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43" w:lineRule="exact"/>
        <w:rPr>
          <w:sz w:val="24"/>
          <w:szCs w:val="24"/>
          <w:color w:val="auto"/>
        </w:rPr>
      </w:pPr>
    </w:p>
    <w:p>
      <w:pPr>
        <w:spacing w:after="0"/>
        <w:rPr>
          <w:sz w:val="20"/>
          <w:szCs w:val="20"/>
          <w:color w:val="auto"/>
        </w:rPr>
      </w:pPr>
      <w:r>
        <w:rPr>
          <w:rFonts w:ascii="Arial" w:cs="Arial" w:eastAsia="Arial" w:hAnsi="Arial"/>
          <w:sz w:val="64"/>
          <w:szCs w:val="64"/>
          <w:color w:val="FFFFFF"/>
        </w:rPr>
        <w:t>2023</w:t>
      </w:r>
    </w:p>
    <w:p>
      <w:pPr>
        <w:spacing w:after="0" w:line="20" w:lineRule="exact"/>
        <w:rPr>
          <w:sz w:val="24"/>
          <w:szCs w:val="24"/>
          <w:color w:val="auto"/>
        </w:rPr>
      </w:pPr>
    </w:p>
    <w:p>
      <w:pPr>
        <w:sectPr>
          <w:pgSz w:w="11880" w:h="15480" w:orient="portrait"/>
          <w:cols w:equalWidth="0" w:num="1">
            <w:col w:w="9160"/>
          </w:cols>
          <w:pgMar w:left="128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31"/>
          <w:szCs w:val="31"/>
          <w:b w:val="1"/>
          <w:bCs w:val="1"/>
          <w:color w:val="1E1E1E"/>
        </w:rPr>
        <w:drawing>
          <wp:anchor simplePos="0" relativeHeight="251657728" behindDoc="1" locked="0" layoutInCell="0" allowOverlap="1">
            <wp:simplePos x="0" y="0"/>
            <wp:positionH relativeFrom="page">
              <wp:posOffset>541655</wp:posOffset>
            </wp:positionH>
            <wp:positionV relativeFrom="page">
              <wp:posOffset>621030</wp:posOffset>
            </wp:positionV>
            <wp:extent cx="668909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89090" cy="9525"/>
                    </a:xfrm>
                    <a:prstGeom prst="rect">
                      <a:avLst/>
                    </a:prstGeom>
                    <a:noFill/>
                  </pic:spPr>
                </pic:pic>
              </a:graphicData>
            </a:graphic>
          </wp:anchor>
        </w:drawing>
        <w:drawing>
          <wp:anchor simplePos="0" relativeHeight="251657728" behindDoc="1" locked="0" layoutInCell="0" allowOverlap="1">
            <wp:simplePos x="0" y="0"/>
            <wp:positionH relativeFrom="page">
              <wp:posOffset>541655</wp:posOffset>
            </wp:positionH>
            <wp:positionV relativeFrom="page">
              <wp:posOffset>639445</wp:posOffset>
            </wp:positionV>
            <wp:extent cx="66890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89090" cy="9525"/>
                    </a:xfrm>
                    <a:prstGeom prst="rect">
                      <a:avLst/>
                    </a:prstGeom>
                    <a:noFill/>
                  </pic:spPr>
                </pic:pic>
              </a:graphicData>
            </a:graphic>
          </wp:anchor>
        </w:drawing>
        <w:t>UNITED STATES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1E1E1E"/>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72390</wp:posOffset>
            </wp:positionV>
            <wp:extent cx="136652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66520" cy="12700"/>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1E1E1E"/>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81280</wp:posOffset>
            </wp:positionV>
            <wp:extent cx="13665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6520" cy="1270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E1E1E"/>
        </w:rPr>
        <w:t>(Mark One)</w:t>
      </w:r>
    </w:p>
    <w:p>
      <w:pPr>
        <w:ind w:left="440" w:hanging="425"/>
        <w:spacing w:after="0"/>
        <w:tabs>
          <w:tab w:leader="none" w:pos="440" w:val="left"/>
        </w:tabs>
        <w:numPr>
          <w:ilvl w:val="0"/>
          <w:numId w:val="1"/>
        </w:numPr>
        <w:rPr>
          <w:rFonts w:ascii="MS PGothic" w:cs="MS PGothic" w:eastAsia="MS PGothic" w:hAnsi="MS PGothic"/>
          <w:sz w:val="17"/>
          <w:szCs w:val="17"/>
          <w:b w:val="1"/>
          <w:bCs w:val="1"/>
          <w:color w:val="1E1E1E"/>
        </w:rPr>
      </w:pPr>
      <w:r>
        <w:rPr>
          <w:rFonts w:ascii="Times New Roman" w:cs="Times New Roman" w:eastAsia="Times New Roman" w:hAnsi="Times New Roman"/>
          <w:sz w:val="17"/>
          <w:szCs w:val="17"/>
          <w:b w:val="1"/>
          <w:bCs w:val="1"/>
          <w:color w:val="1E1E1E"/>
        </w:rPr>
        <w:t>ANNUAL REPORT PURSUANT TO SECTION 13 OR 15(d) OF THE SECURITIES EXCHANGE ACT OF 1934</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E1E1E"/>
        </w:rPr>
        <w:t>For the fiscal year ended December 31, 2023</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E1E1E"/>
        </w:rPr>
        <w:t>OR</w:t>
      </w:r>
    </w:p>
    <w:p>
      <w:pPr>
        <w:spacing w:after="0" w:line="64" w:lineRule="exact"/>
        <w:rPr>
          <w:sz w:val="20"/>
          <w:szCs w:val="20"/>
          <w:color w:val="auto"/>
        </w:rPr>
      </w:pPr>
    </w:p>
    <w:p>
      <w:pPr>
        <w:ind w:left="440" w:hanging="425"/>
        <w:spacing w:after="0"/>
        <w:tabs>
          <w:tab w:leader="none" w:pos="440" w:val="left"/>
        </w:tabs>
        <w:numPr>
          <w:ilvl w:val="0"/>
          <w:numId w:val="2"/>
        </w:numPr>
        <w:rPr>
          <w:rFonts w:ascii="MS PGothic" w:cs="MS PGothic" w:eastAsia="MS PGothic" w:hAnsi="MS PGothic"/>
          <w:sz w:val="17"/>
          <w:szCs w:val="17"/>
          <w:b w:val="1"/>
          <w:bCs w:val="1"/>
          <w:color w:val="1E1E1E"/>
        </w:rPr>
      </w:pPr>
      <w:r>
        <w:rPr>
          <w:rFonts w:ascii="Times New Roman" w:cs="Times New Roman" w:eastAsia="Times New Roman" w:hAnsi="Times New Roman"/>
          <w:sz w:val="17"/>
          <w:szCs w:val="17"/>
          <w:b w:val="1"/>
          <w:bCs w:val="1"/>
          <w:color w:val="1E1E1E"/>
        </w:rPr>
        <w:t>TRANSITION REPORT PURSUANT TO SECTION 13 OR 15(d) OF THE SECURITIES EXCHANGE ACT OF 1934 FOR THE</w:t>
      </w:r>
    </w:p>
    <w:p>
      <w:pPr>
        <w:spacing w:after="0" w:line="5" w:lineRule="exact"/>
        <w:rPr>
          <w:rFonts w:ascii="MS PGothic" w:cs="MS PGothic" w:eastAsia="MS PGothic" w:hAnsi="MS PGothic"/>
          <w:sz w:val="17"/>
          <w:szCs w:val="17"/>
          <w:b w:val="1"/>
          <w:bCs w:val="1"/>
          <w:color w:val="1E1E1E"/>
        </w:rPr>
      </w:pPr>
    </w:p>
    <w:p>
      <w:pPr>
        <w:ind w:left="440"/>
        <w:spacing w:after="0"/>
        <w:rPr>
          <w:rFonts w:ascii="MS PGothic" w:cs="MS PGothic" w:eastAsia="MS PGothic" w:hAnsi="MS PGothic"/>
          <w:sz w:val="17"/>
          <w:szCs w:val="17"/>
          <w:b w:val="1"/>
          <w:bCs w:val="1"/>
          <w:color w:val="1E1E1E"/>
        </w:rPr>
      </w:pPr>
      <w:r>
        <w:rPr>
          <w:rFonts w:ascii="Times New Roman" w:cs="Times New Roman" w:eastAsia="Times New Roman" w:hAnsi="Times New Roman"/>
          <w:sz w:val="17"/>
          <w:szCs w:val="17"/>
          <w:b w:val="1"/>
          <w:bCs w:val="1"/>
          <w:color w:val="1E1E1E"/>
        </w:rPr>
        <w:t>TRANSITION PERIOD FROMTO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Commission File Number 001-40546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73025</wp:posOffset>
            </wp:positionV>
            <wp:extent cx="1366520" cy="1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6520" cy="1206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1E1E1E"/>
        </w:rPr>
        <w:t>Xometry,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1E1E1E"/>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2644140</wp:posOffset>
            </wp:positionH>
            <wp:positionV relativeFrom="paragraph">
              <wp:posOffset>71755</wp:posOffset>
            </wp:positionV>
            <wp:extent cx="1366520" cy="12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6520" cy="12065"/>
                    </a:xfrm>
                    <a:prstGeom prst="rect">
                      <a:avLst/>
                    </a:prstGeom>
                    <a:noFill/>
                  </pic:spPr>
                </pic:pic>
              </a:graphicData>
            </a:graphic>
          </wp:anchor>
        </w:drawing>
      </w:r>
    </w:p>
    <w:p>
      <w:pPr>
        <w:spacing w:after="0" w:line="156"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4040" w:type="dxa"/>
            <w:vAlign w:val="bottom"/>
          </w:tcPr>
          <w:p>
            <w:pPr>
              <w:jc w:val="center"/>
              <w:ind w:right="1700"/>
              <w:spacing w:after="0"/>
              <w:rPr>
                <w:sz w:val="20"/>
                <w:szCs w:val="20"/>
                <w:color w:val="auto"/>
              </w:rPr>
            </w:pPr>
            <w:r>
              <w:rPr>
                <w:rFonts w:ascii="Times New Roman" w:cs="Times New Roman" w:eastAsia="Times New Roman" w:hAnsi="Times New Roman"/>
                <w:sz w:val="19"/>
                <w:szCs w:val="19"/>
                <w:b w:val="1"/>
                <w:bCs w:val="1"/>
                <w:color w:val="1E1E1E"/>
              </w:rPr>
              <w:t>Delaware</w:t>
            </w:r>
          </w:p>
        </w:tc>
        <w:tc>
          <w:tcPr>
            <w:tcW w:w="2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1E1E1E"/>
              </w:rPr>
              <w:t>32-0415449</w:t>
            </w:r>
          </w:p>
        </w:tc>
        <w:tc>
          <w:tcPr>
            <w:tcW w:w="0" w:type="dxa"/>
            <w:vAlign w:val="bottom"/>
          </w:tcPr>
          <w:p>
            <w:pPr>
              <w:spacing w:after="0"/>
              <w:rPr>
                <w:sz w:val="1"/>
                <w:szCs w:val="1"/>
                <w:color w:val="auto"/>
              </w:rPr>
            </w:pPr>
          </w:p>
        </w:tc>
      </w:tr>
      <w:tr>
        <w:trPr>
          <w:trHeight w:val="158"/>
        </w:trPr>
        <w:tc>
          <w:tcPr>
            <w:tcW w:w="4040" w:type="dxa"/>
            <w:vAlign w:val="bottom"/>
          </w:tcPr>
          <w:p>
            <w:pPr>
              <w:jc w:val="center"/>
              <w:ind w:right="1700"/>
              <w:spacing w:after="0" w:line="158" w:lineRule="exact"/>
              <w:rPr>
                <w:sz w:val="20"/>
                <w:szCs w:val="20"/>
                <w:color w:val="auto"/>
              </w:rPr>
            </w:pPr>
            <w:r>
              <w:rPr>
                <w:rFonts w:ascii="Times New Roman" w:cs="Times New Roman" w:eastAsia="Times New Roman" w:hAnsi="Times New Roman"/>
                <w:sz w:val="14"/>
                <w:szCs w:val="14"/>
                <w:b w:val="1"/>
                <w:bCs w:val="1"/>
                <w:color w:val="1E1E1E"/>
                <w:w w:val="97"/>
              </w:rPr>
              <w:t>(State or other jurisdiction of</w:t>
            </w:r>
          </w:p>
        </w:tc>
        <w:tc>
          <w:tcPr>
            <w:tcW w:w="2860" w:type="dxa"/>
            <w:vAlign w:val="bottom"/>
          </w:tcPr>
          <w:p>
            <w:pPr>
              <w:jc w:val="center"/>
              <w:ind w:left="1720"/>
              <w:spacing w:after="0" w:line="158" w:lineRule="exact"/>
              <w:rPr>
                <w:sz w:val="20"/>
                <w:szCs w:val="20"/>
                <w:color w:val="auto"/>
              </w:rPr>
            </w:pPr>
            <w:r>
              <w:rPr>
                <w:rFonts w:ascii="Times New Roman" w:cs="Times New Roman" w:eastAsia="Times New Roman" w:hAnsi="Times New Roman"/>
                <w:sz w:val="14"/>
                <w:szCs w:val="14"/>
                <w:b w:val="1"/>
                <w:bCs w:val="1"/>
                <w:color w:val="1E1E1E"/>
                <w:w w:val="96"/>
              </w:rPr>
              <w:t>(I.R.S. Employer</w:t>
            </w:r>
          </w:p>
        </w:tc>
        <w:tc>
          <w:tcPr>
            <w:tcW w:w="0" w:type="dxa"/>
            <w:vAlign w:val="bottom"/>
          </w:tcPr>
          <w:p>
            <w:pPr>
              <w:spacing w:after="0"/>
              <w:rPr>
                <w:sz w:val="1"/>
                <w:szCs w:val="1"/>
                <w:color w:val="auto"/>
              </w:rPr>
            </w:pPr>
          </w:p>
        </w:tc>
      </w:tr>
      <w:tr>
        <w:trPr>
          <w:trHeight w:val="164"/>
        </w:trPr>
        <w:tc>
          <w:tcPr>
            <w:tcW w:w="404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1E1E1E"/>
                <w:w w:val="97"/>
              </w:rPr>
              <w:t>incorporation or organization)</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4"/>
                <w:szCs w:val="14"/>
                <w:b w:val="1"/>
                <w:bCs w:val="1"/>
                <w:color w:val="1E1E1E"/>
                <w:w w:val="96"/>
              </w:rPr>
              <w:t>Identification No.)</w:t>
            </w:r>
          </w:p>
        </w:tc>
        <w:tc>
          <w:tcPr>
            <w:tcW w:w="0" w:type="dxa"/>
            <w:vAlign w:val="bottom"/>
          </w:tcPr>
          <w:p>
            <w:pPr>
              <w:spacing w:after="0"/>
              <w:rPr>
                <w:sz w:val="1"/>
                <w:szCs w:val="1"/>
                <w:color w:val="auto"/>
              </w:rPr>
            </w:pPr>
          </w:p>
        </w:tc>
      </w:tr>
      <w:tr>
        <w:trPr>
          <w:trHeight w:val="201"/>
        </w:trPr>
        <w:tc>
          <w:tcPr>
            <w:tcW w:w="4040" w:type="dxa"/>
            <w:vAlign w:val="bottom"/>
          </w:tcPr>
          <w:p>
            <w:pPr>
              <w:jc w:val="center"/>
              <w:ind w:right="1680"/>
              <w:spacing w:after="0"/>
              <w:rPr>
                <w:sz w:val="20"/>
                <w:szCs w:val="20"/>
                <w:color w:val="auto"/>
              </w:rPr>
            </w:pPr>
            <w:r>
              <w:rPr>
                <w:rFonts w:ascii="Times New Roman" w:cs="Times New Roman" w:eastAsia="Times New Roman" w:hAnsi="Times New Roman"/>
                <w:sz w:val="17"/>
                <w:szCs w:val="17"/>
                <w:b w:val="1"/>
                <w:bCs w:val="1"/>
                <w:color w:val="1E1E1E"/>
              </w:rPr>
              <w:t>6116 Executive Blvd</w:t>
            </w:r>
          </w:p>
        </w:tc>
        <w:tc>
          <w:tcPr>
            <w:tcW w:w="2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40" w:type="dxa"/>
            <w:vAlign w:val="bottom"/>
          </w:tcPr>
          <w:p>
            <w:pPr>
              <w:jc w:val="center"/>
              <w:ind w:right="1680"/>
              <w:spacing w:after="0"/>
              <w:rPr>
                <w:sz w:val="20"/>
                <w:szCs w:val="20"/>
                <w:color w:val="auto"/>
              </w:rPr>
            </w:pPr>
            <w:r>
              <w:rPr>
                <w:rFonts w:ascii="Times New Roman" w:cs="Times New Roman" w:eastAsia="Times New Roman" w:hAnsi="Times New Roman"/>
                <w:sz w:val="17"/>
                <w:szCs w:val="17"/>
                <w:b w:val="1"/>
                <w:bCs w:val="1"/>
                <w:color w:val="1E1E1E"/>
              </w:rPr>
              <w:t>Suite 800</w:t>
            </w:r>
          </w:p>
        </w:tc>
        <w:tc>
          <w:tcPr>
            <w:tcW w:w="2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9"/>
                <w:szCs w:val="19"/>
                <w:b w:val="1"/>
                <w:bCs w:val="1"/>
                <w:color w:val="1E1E1E"/>
              </w:rPr>
              <w:t>20852</w:t>
            </w:r>
          </w:p>
        </w:tc>
        <w:tc>
          <w:tcPr>
            <w:tcW w:w="0" w:type="dxa"/>
            <w:vAlign w:val="bottom"/>
          </w:tcPr>
          <w:p>
            <w:pPr>
              <w:spacing w:after="0"/>
              <w:rPr>
                <w:sz w:val="1"/>
                <w:szCs w:val="1"/>
                <w:color w:val="auto"/>
              </w:rPr>
            </w:pPr>
          </w:p>
        </w:tc>
      </w:tr>
      <w:tr>
        <w:trPr>
          <w:trHeight w:val="206"/>
        </w:trPr>
        <w:tc>
          <w:tcPr>
            <w:tcW w:w="4040" w:type="dxa"/>
            <w:vAlign w:val="bottom"/>
          </w:tcPr>
          <w:p>
            <w:pPr>
              <w:jc w:val="center"/>
              <w:ind w:right="1700"/>
              <w:spacing w:after="0"/>
              <w:rPr>
                <w:sz w:val="20"/>
                <w:szCs w:val="20"/>
                <w:color w:val="auto"/>
              </w:rPr>
            </w:pPr>
            <w:r>
              <w:rPr>
                <w:rFonts w:ascii="Times New Roman" w:cs="Times New Roman" w:eastAsia="Times New Roman" w:hAnsi="Times New Roman"/>
                <w:sz w:val="17"/>
                <w:szCs w:val="17"/>
                <w:b w:val="1"/>
                <w:bCs w:val="1"/>
                <w:color w:val="1E1E1E"/>
              </w:rPr>
              <w:t>North Bethesda, MD</w:t>
            </w: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4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1E1E1E"/>
                <w:w w:val="97"/>
              </w:rPr>
              <w:t>(Address of principal executive offices)</w:t>
            </w:r>
          </w:p>
        </w:tc>
        <w:tc>
          <w:tcPr>
            <w:tcW w:w="2860" w:type="dxa"/>
            <w:vAlign w:val="bottom"/>
          </w:tcPr>
          <w:p>
            <w:pPr>
              <w:jc w:val="center"/>
              <w:ind w:left="1720"/>
              <w:spacing w:after="0"/>
              <w:rPr>
                <w:sz w:val="20"/>
                <w:szCs w:val="20"/>
                <w:color w:val="auto"/>
              </w:rPr>
            </w:pPr>
            <w:r>
              <w:rPr>
                <w:rFonts w:ascii="Times New Roman" w:cs="Times New Roman" w:eastAsia="Times New Roman" w:hAnsi="Times New Roman"/>
                <w:sz w:val="14"/>
                <w:szCs w:val="14"/>
                <w:b w:val="1"/>
                <w:bCs w:val="1"/>
                <w:color w:val="1E1E1E"/>
                <w:w w:val="95"/>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1E1E1E"/>
        </w:rPr>
        <w:t xml:space="preserve">Registrant’s telephone number, including area code: </w:t>
      </w:r>
      <w:r>
        <w:rPr>
          <w:rFonts w:ascii="Times New Roman" w:cs="Times New Roman" w:eastAsia="Times New Roman" w:hAnsi="Times New Roman"/>
          <w:sz w:val="19"/>
          <w:szCs w:val="19"/>
          <w:b w:val="1"/>
          <w:bCs w:val="1"/>
          <w:color w:val="1E1E1E"/>
        </w:rPr>
        <w:t>(240) 252-1138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1E1E1E"/>
        </w:rPr>
        <w:t>Securities registered pursuant to Section 12(b) of the Act: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Trading</w:t>
            </w: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197"/>
        </w:trPr>
        <w:tc>
          <w:tcPr>
            <w:tcW w:w="3980" w:type="dxa"/>
            <w:vAlign w:val="bottom"/>
            <w:tcBorders>
              <w:bottom w:val="single" w:sz="8" w:color="1E1E1E"/>
            </w:tcBorders>
          </w:tcPr>
          <w:p>
            <w:pPr>
              <w:ind w:left="1400"/>
              <w:spacing w:after="0"/>
              <w:rPr>
                <w:sz w:val="20"/>
                <w:szCs w:val="20"/>
                <w:color w:val="auto"/>
              </w:rPr>
            </w:pPr>
            <w:r>
              <w:rPr>
                <w:rFonts w:ascii="Times New Roman" w:cs="Times New Roman" w:eastAsia="Times New Roman" w:hAnsi="Times New Roman"/>
                <w:sz w:val="16"/>
                <w:szCs w:val="16"/>
                <w:b w:val="1"/>
                <w:bCs w:val="1"/>
                <w:color w:val="1E1E1E"/>
              </w:rPr>
              <w:t>Title of each class</w:t>
            </w:r>
          </w:p>
        </w:tc>
        <w:tc>
          <w:tcPr>
            <w:tcW w:w="100" w:type="dxa"/>
            <w:vAlign w:val="bottom"/>
          </w:tcPr>
          <w:p>
            <w:pPr>
              <w:spacing w:after="0"/>
              <w:rPr>
                <w:sz w:val="17"/>
                <w:szCs w:val="17"/>
                <w:color w:val="auto"/>
              </w:rPr>
            </w:pPr>
          </w:p>
        </w:tc>
        <w:tc>
          <w:tcPr>
            <w:tcW w:w="158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Symbol(s)</w:t>
            </w:r>
          </w:p>
        </w:tc>
        <w:tc>
          <w:tcPr>
            <w:tcW w:w="100" w:type="dxa"/>
            <w:vAlign w:val="bottom"/>
          </w:tcPr>
          <w:p>
            <w:pPr>
              <w:spacing w:after="0"/>
              <w:rPr>
                <w:sz w:val="17"/>
                <w:szCs w:val="17"/>
                <w:color w:val="auto"/>
              </w:rPr>
            </w:pPr>
          </w:p>
        </w:tc>
        <w:tc>
          <w:tcPr>
            <w:tcW w:w="47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Name of each exchange on which registered</w:t>
            </w:r>
          </w:p>
        </w:tc>
      </w:tr>
      <w:tr>
        <w:trPr>
          <w:trHeight w:val="250"/>
        </w:trPr>
        <w:tc>
          <w:tcPr>
            <w:tcW w:w="3980" w:type="dxa"/>
            <w:vAlign w:val="bottom"/>
          </w:tcPr>
          <w:p>
            <w:pPr>
              <w:spacing w:after="0"/>
              <w:rPr>
                <w:sz w:val="20"/>
                <w:szCs w:val="20"/>
                <w:color w:val="auto"/>
              </w:rPr>
            </w:pPr>
            <w:r>
              <w:rPr>
                <w:rFonts w:ascii="Times New Roman" w:cs="Times New Roman" w:eastAsia="Times New Roman" w:hAnsi="Times New Roman"/>
                <w:sz w:val="17"/>
                <w:szCs w:val="17"/>
                <w:color w:val="1E1E1E"/>
              </w:rPr>
              <w:t>Class A common stock, par value $0.000001 per share</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XMTR</w:t>
            </w:r>
          </w:p>
        </w:tc>
        <w:tc>
          <w:tcPr>
            <w:tcW w:w="100" w:type="dxa"/>
            <w:vAlign w:val="bottom"/>
          </w:tcPr>
          <w:p>
            <w:pPr>
              <w:spacing w:after="0"/>
              <w:rPr>
                <w:sz w:val="21"/>
                <w:szCs w:val="21"/>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The Nasdaq Global Select Market</w:t>
            </w:r>
          </w:p>
        </w:tc>
      </w:tr>
      <w:tr>
        <w:trPr>
          <w:trHeight w:val="201"/>
        </w:trPr>
        <w:tc>
          <w:tcPr>
            <w:tcW w:w="3980" w:type="dxa"/>
            <w:vAlign w:val="bottom"/>
          </w:tcPr>
          <w:p>
            <w:pPr>
              <w:spacing w:after="0"/>
              <w:rPr>
                <w:sz w:val="20"/>
                <w:szCs w:val="20"/>
                <w:color w:val="auto"/>
              </w:rPr>
            </w:pPr>
            <w:r>
              <w:rPr>
                <w:rFonts w:ascii="Times New Roman" w:cs="Times New Roman" w:eastAsia="Times New Roman" w:hAnsi="Times New Roman"/>
                <w:sz w:val="15"/>
                <w:szCs w:val="15"/>
                <w:color w:val="1E1E1E"/>
              </w:rPr>
              <w:t>Securities registered pursuant to Section 12(g) of the Act: None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2529205</wp:posOffset>
            </wp:positionH>
            <wp:positionV relativeFrom="paragraph">
              <wp:posOffset>-298450</wp:posOffset>
            </wp:positionV>
            <wp:extent cx="6667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75" cy="6350"/>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-298450</wp:posOffset>
            </wp:positionV>
            <wp:extent cx="6667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75" cy="6350"/>
                    </a:xfrm>
                    <a:prstGeom prst="rect">
                      <a:avLst/>
                    </a:prstGeom>
                    <a:noFill/>
                  </pic:spPr>
                </pic:pic>
              </a:graphicData>
            </a:graphic>
          </wp:anchor>
        </w:drawing>
      </w:r>
    </w:p>
    <w:p>
      <w:pPr>
        <w:spacing w:after="0" w:line="9" w:lineRule="exact"/>
        <w:rPr>
          <w:sz w:val="20"/>
          <w:szCs w:val="20"/>
          <w:color w:val="auto"/>
        </w:rPr>
      </w:pPr>
    </w:p>
    <w:p>
      <w:pPr>
        <w:ind w:right="2540"/>
        <w:spacing w:after="0" w:line="247" w:lineRule="exact"/>
        <w:rPr>
          <w:sz w:val="20"/>
          <w:szCs w:val="20"/>
          <w:color w:val="auto"/>
        </w:rPr>
      </w:pPr>
      <w:r>
        <w:rPr>
          <w:rFonts w:ascii="Times New Roman" w:cs="Times New Roman" w:eastAsia="Times New Roman" w:hAnsi="Times New Roman"/>
          <w:sz w:val="15"/>
          <w:szCs w:val="15"/>
          <w:color w:val="1E1E1E"/>
        </w:rPr>
        <w:t xml:space="preserve">Indicate by check mark if the Registrant is a well-known seasoned issuer, as defined in Rule 405 of the Securities Act. YES </w:t>
      </w:r>
      <w:r>
        <w:rPr>
          <w:rFonts w:ascii="MS Gothic" w:cs="MS Gothic" w:eastAsia="MS Gothic" w:hAnsi="MS Gothic"/>
          <w:sz w:val="15"/>
          <w:szCs w:val="15"/>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Indicate by check mark if the Registrant is not required to file reports pursuant to Section 13 or 15(d) of the Act.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Gothic" w:cs="MS Gothic" w:eastAsia="MS Gothic" w:hAnsi="MS Gothic"/>
          <w:sz w:val="15"/>
          <w:szCs w:val="15"/>
          <w:color w:val="1E1E1E"/>
        </w:rPr>
        <w:t>☑</w:t>
      </w:r>
    </w:p>
    <w:p>
      <w:pPr>
        <w:spacing w:after="0" w:line="16" w:lineRule="exact"/>
        <w:rPr>
          <w:sz w:val="20"/>
          <w:szCs w:val="20"/>
          <w:color w:val="auto"/>
        </w:rPr>
      </w:pPr>
    </w:p>
    <w:p>
      <w:pPr>
        <w:ind w:right="60"/>
        <w:spacing w:after="0" w:line="202" w:lineRule="exact"/>
        <w:rPr>
          <w:sz w:val="20"/>
          <w:szCs w:val="20"/>
          <w:color w:val="auto"/>
        </w:rPr>
      </w:pPr>
      <w:r>
        <w:rPr>
          <w:rFonts w:ascii="Times New Roman" w:cs="Times New Roman" w:eastAsia="Times New Roman" w:hAnsi="Times New Roman"/>
          <w:sz w:val="14"/>
          <w:szCs w:val="14"/>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Gothic" w:cs="MS Gothic" w:eastAsia="MS Gothic" w:hAnsi="MS Gothic"/>
          <w:sz w:val="14"/>
          <w:szCs w:val="14"/>
          <w:color w:val="1E1E1E"/>
        </w:rPr>
        <w:t>☑</w:t>
      </w:r>
      <w:r>
        <w:rPr>
          <w:rFonts w:ascii="Times New Roman" w:cs="Times New Roman" w:eastAsia="Times New Roman" w:hAnsi="Times New Roman"/>
          <w:sz w:val="14"/>
          <w:szCs w:val="14"/>
          <w:color w:val="1E1E1E"/>
        </w:rPr>
        <w:t xml:space="preserve"> NO </w:t>
      </w:r>
      <w:r>
        <w:rPr>
          <w:rFonts w:ascii="MS PGothic" w:cs="MS PGothic" w:eastAsia="MS PGothic" w:hAnsi="MS PGothic"/>
          <w:sz w:val="14"/>
          <w:szCs w:val="14"/>
          <w:b w:val="1"/>
          <w:bCs w:val="1"/>
          <w:color w:val="1E1E1E"/>
        </w:rPr>
        <w:t>☐</w:t>
      </w:r>
    </w:p>
    <w:p>
      <w:pPr>
        <w:spacing w:after="0" w:line="20" w:lineRule="exact"/>
        <w:rPr>
          <w:sz w:val="20"/>
          <w:szCs w:val="20"/>
          <w:color w:val="auto"/>
        </w:rPr>
      </w:pPr>
    </w:p>
    <w:p>
      <w:pPr>
        <w:ind w:right="80"/>
        <w:spacing w:after="0" w:line="202"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Gothic" w:cs="MS Gothic" w:eastAsia="MS Gothic" w:hAnsi="MS Gothic"/>
          <w:sz w:val="15"/>
          <w:szCs w:val="15"/>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1E1E1E"/>
        </w:rPr>
        <w:t>Indicate by check mark whether the registrant is a large accelerated filer, an accelerated filer, a non-accelerated filer, smaller reporting company, or an emerging growth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1E1E1E"/>
        </w:rPr>
        <w:t>See the definitions of “large accelerated filer,” “accelerated filer,” “smaller reporting company,” and “emerging growth company” in Rule 12b-2 of the Exchange Act.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1E1E1E"/>
              </w:rPr>
              <w:t>Large accelerated filer</w:t>
            </w:r>
          </w:p>
        </w:tc>
        <w:tc>
          <w:tcPr>
            <w:tcW w:w="3260" w:type="dxa"/>
            <w:vAlign w:val="bottom"/>
          </w:tcPr>
          <w:p>
            <w:pPr>
              <w:ind w:left="200"/>
              <w:spacing w:after="0" w:line="161" w:lineRule="exact"/>
              <w:rPr>
                <w:sz w:val="20"/>
                <w:szCs w:val="20"/>
                <w:color w:val="auto"/>
              </w:rPr>
            </w:pPr>
            <w:r>
              <w:rPr>
                <w:rFonts w:ascii="MS Gothic" w:cs="MS Gothic" w:eastAsia="MS Gothic" w:hAnsi="MS Gothic"/>
                <w:sz w:val="16"/>
                <w:szCs w:val="16"/>
                <w:color w:val="1E1E1E"/>
              </w:rPr>
              <w:t>☑</w:t>
            </w:r>
          </w:p>
        </w:tc>
        <w:tc>
          <w:tcPr>
            <w:tcW w:w="4860" w:type="dxa"/>
            <w:vAlign w:val="bottom"/>
          </w:tcPr>
          <w:p>
            <w:pPr>
              <w:ind w:left="2880"/>
              <w:spacing w:after="0"/>
              <w:rPr>
                <w:sz w:val="20"/>
                <w:szCs w:val="20"/>
                <w:color w:val="auto"/>
              </w:rPr>
            </w:pPr>
            <w:r>
              <w:rPr>
                <w:rFonts w:ascii="Times New Roman" w:cs="Times New Roman" w:eastAsia="Times New Roman" w:hAnsi="Times New Roman"/>
                <w:sz w:val="16"/>
                <w:szCs w:val="16"/>
                <w:color w:val="1E1E1E"/>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1E1E1E"/>
              </w:rPr>
              <w:t>Non-accelerated filer</w:t>
            </w:r>
          </w:p>
        </w:tc>
        <w:tc>
          <w:tcPr>
            <w:tcW w:w="3260" w:type="dxa"/>
            <w:vAlign w:val="bottom"/>
          </w:tcPr>
          <w:p>
            <w:pPr>
              <w:ind w:left="20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4860" w:type="dxa"/>
            <w:vAlign w:val="bottom"/>
          </w:tcPr>
          <w:p>
            <w:pPr>
              <w:ind w:left="2880"/>
              <w:spacing w:after="0"/>
              <w:rPr>
                <w:sz w:val="20"/>
                <w:szCs w:val="20"/>
                <w:color w:val="auto"/>
              </w:rPr>
            </w:pPr>
            <w:r>
              <w:rPr>
                <w:rFonts w:ascii="Times New Roman" w:cs="Times New Roman" w:eastAsia="Times New Roman" w:hAnsi="Times New Roman"/>
                <w:sz w:val="16"/>
                <w:szCs w:val="16"/>
                <w:color w:val="1E1E1E"/>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78"/>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1E1E1E"/>
              </w:rPr>
              <w:t>Emerging growth company</w:t>
            </w:r>
          </w:p>
        </w:tc>
        <w:tc>
          <w:tcPr>
            <w:tcW w:w="3260" w:type="dxa"/>
            <w:vAlign w:val="bottom"/>
          </w:tcPr>
          <w:p>
            <w:pPr>
              <w:ind w:left="20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486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2" w:lineRule="exact"/>
        <w:rPr>
          <w:sz w:val="20"/>
          <w:szCs w:val="20"/>
          <w:color w:val="auto"/>
        </w:rPr>
      </w:pPr>
    </w:p>
    <w:p>
      <w:pPr>
        <w:ind w:right="360"/>
        <w:spacing w:after="0" w:line="202" w:lineRule="exact"/>
        <w:rPr>
          <w:sz w:val="20"/>
          <w:szCs w:val="20"/>
          <w:color w:val="auto"/>
        </w:rPr>
      </w:pPr>
      <w:r>
        <w:rPr>
          <w:rFonts w:ascii="Times New Roman" w:cs="Times New Roman" w:eastAsia="Times New Roman" w:hAnsi="Times New Roman"/>
          <w:sz w:val="15"/>
          <w:szCs w:val="15"/>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1E1E1E"/>
        </w:rPr>
        <w:t>☐</w:t>
      </w:r>
    </w:p>
    <w:p>
      <w:pPr>
        <w:spacing w:after="0" w:line="17" w:lineRule="exact"/>
        <w:rPr>
          <w:sz w:val="20"/>
          <w:szCs w:val="20"/>
          <w:color w:val="auto"/>
        </w:rPr>
      </w:pPr>
    </w:p>
    <w:p>
      <w:pPr>
        <w:ind w:right="580"/>
        <w:spacing w:after="0" w:line="178" w:lineRule="exact"/>
        <w:rPr>
          <w:sz w:val="20"/>
          <w:szCs w:val="20"/>
          <w:color w:val="auto"/>
        </w:rPr>
      </w:pPr>
      <w:r>
        <w:rPr>
          <w:rFonts w:ascii="Times New Roman" w:cs="Times New Roman" w:eastAsia="Times New Roman" w:hAnsi="Times New Roman"/>
          <w:sz w:val="14"/>
          <w:szCs w:val="14"/>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Gothic" w:cs="MS Gothic" w:eastAsia="MS Gothic" w:hAnsi="MS Gothic"/>
          <w:sz w:val="14"/>
          <w:szCs w:val="14"/>
          <w:color w:val="1E1E1E"/>
        </w:rPr>
        <w:t>☑</w:t>
      </w:r>
    </w:p>
    <w:p>
      <w:pPr>
        <w:spacing w:after="0" w:line="1" w:lineRule="exact"/>
        <w:rPr>
          <w:sz w:val="20"/>
          <w:szCs w:val="20"/>
          <w:color w:val="auto"/>
        </w:rPr>
      </w:pPr>
    </w:p>
    <w:p>
      <w:pPr>
        <w:spacing w:after="0" w:line="178" w:lineRule="exact"/>
        <w:rPr>
          <w:sz w:val="20"/>
          <w:szCs w:val="20"/>
          <w:color w:val="auto"/>
        </w:rPr>
      </w:pPr>
      <w:r>
        <w:rPr>
          <w:rFonts w:ascii="Times New Roman" w:cs="Times New Roman" w:eastAsia="Times New Roman" w:hAnsi="Times New Roman"/>
          <w:sz w:val="15"/>
          <w:szCs w:val="15"/>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Gothic" w:cs="MS Gothic" w:eastAsia="MS Gothic" w:hAnsi="MS Gothic"/>
          <w:sz w:val="15"/>
          <w:szCs w:val="15"/>
          <w:color w:val="1E1E1E"/>
        </w:rPr>
        <w:t>☑</w:t>
      </w:r>
    </w:p>
    <w:p>
      <w:pPr>
        <w:spacing w:after="0" w:line="1" w:lineRule="exact"/>
        <w:rPr>
          <w:sz w:val="20"/>
          <w:szCs w:val="20"/>
          <w:color w:val="auto"/>
        </w:rPr>
      </w:pPr>
    </w:p>
    <w:p>
      <w:pPr>
        <w:ind w:right="680"/>
        <w:spacing w:after="0" w:line="202" w:lineRule="exact"/>
        <w:rPr>
          <w:sz w:val="20"/>
          <w:szCs w:val="20"/>
          <w:color w:val="auto"/>
        </w:rPr>
      </w:pPr>
      <w:r>
        <w:rPr>
          <w:rFonts w:ascii="Times New Roman" w:cs="Times New Roman" w:eastAsia="Times New Roman" w:hAnsi="Times New Roman"/>
          <w:sz w:val="15"/>
          <w:szCs w:val="15"/>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b w:val="1"/>
          <w:bCs w:val="1"/>
          <w:color w:val="1E1E1E"/>
        </w:rPr>
        <w:t>☐</w:t>
      </w:r>
    </w:p>
    <w:p>
      <w:pPr>
        <w:spacing w:after="0" w:line="15" w:lineRule="exact"/>
        <w:rPr>
          <w:sz w:val="20"/>
          <w:szCs w:val="20"/>
          <w:color w:val="auto"/>
        </w:rPr>
      </w:pPr>
    </w:p>
    <w:p>
      <w:pPr>
        <w:spacing w:after="0" w:line="173" w:lineRule="exact"/>
        <w:tabs>
          <w:tab w:leader="none" w:pos="7340" w:val="left"/>
        </w:tabs>
        <w:rPr>
          <w:sz w:val="20"/>
          <w:szCs w:val="20"/>
          <w:color w:val="auto"/>
        </w:rPr>
      </w:pPr>
      <w:r>
        <w:rPr>
          <w:rFonts w:ascii="Times New Roman" w:cs="Times New Roman" w:eastAsia="Times New Roman" w:hAnsi="Times New Roman"/>
          <w:sz w:val="15"/>
          <w:szCs w:val="15"/>
          <w:color w:val="1E1E1E"/>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1E1E1E"/>
        </w:rPr>
        <w:t>☐</w:t>
      </w:r>
      <w:r>
        <w:rPr>
          <w:sz w:val="20"/>
          <w:szCs w:val="20"/>
          <w:color w:val="auto"/>
        </w:rPr>
        <w:tab/>
      </w:r>
      <w:r>
        <w:rPr>
          <w:rFonts w:ascii="Times New Roman" w:cs="Times New Roman" w:eastAsia="Times New Roman" w:hAnsi="Times New Roman"/>
          <w:sz w:val="14"/>
          <w:szCs w:val="14"/>
          <w:color w:val="1E1E1E"/>
        </w:rPr>
        <w:t xml:space="preserve">NO </w:t>
      </w:r>
      <w:r>
        <w:rPr>
          <w:rFonts w:ascii="MS Gothic" w:cs="MS Gothic" w:eastAsia="MS Gothic" w:hAnsi="MS Gothic"/>
          <w:sz w:val="14"/>
          <w:szCs w:val="14"/>
          <w:color w:val="1E1E1E"/>
        </w:rPr>
        <w:t>☑</w:t>
      </w:r>
    </w:p>
    <w:p>
      <w:pPr>
        <w:spacing w:after="0" w:line="81"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5"/>
          <w:szCs w:val="15"/>
          <w:color w:val="1E1E1E"/>
        </w:rPr>
        <w:t>The aggregate market value of the voting and non-voting common equity held by non-affiliates of the Registrant, based on the closing price of the shares of common stock as reported by The Nasdaq Global Select Market on June 30, 2023 was $845 million.</w:t>
      </w:r>
    </w:p>
    <w:p>
      <w:pPr>
        <w:spacing w:after="0" w:line="13"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5"/>
          <w:szCs w:val="15"/>
          <w:color w:val="1E1E1E"/>
        </w:rPr>
        <w:t>The number of shares of Registrant’s Class A common stock outstanding as of February 19, 2024 was 45,901,958 and the number of shares of the registrant’s Class B common stock outstanding as of February 19, 2024 was 2,676,154.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DOCUMENTS INCORPORATED BY REFERENCE</w:t>
      </w:r>
    </w:p>
    <w:p>
      <w:pPr>
        <w:ind w:right="500"/>
        <w:spacing w:after="0" w:line="263" w:lineRule="auto"/>
        <w:rPr>
          <w:sz w:val="20"/>
          <w:szCs w:val="20"/>
          <w:color w:val="auto"/>
        </w:rPr>
      </w:pPr>
      <w:r>
        <w:rPr>
          <w:rFonts w:ascii="Times New Roman" w:cs="Times New Roman" w:eastAsia="Times New Roman" w:hAnsi="Times New Roman"/>
          <w:sz w:val="16"/>
          <w:szCs w:val="16"/>
          <w:color w:val="1E1E1E"/>
        </w:rPr>
        <w:t>Portions of the Registrant’s definitive proxy statement for the Registrant’s 2024 annual meeting of stockholders, to be filed within 120 days after the close of the Registrant’s fiscal year, are incorporated by reference into Part III of this Annual Report.</w:t>
      </w:r>
    </w:p>
    <w:p>
      <w:pPr>
        <w:spacing w:after="0" w:line="146" w:lineRule="exact"/>
        <w:rPr>
          <w:sz w:val="20"/>
          <w:szCs w:val="20"/>
          <w:color w:val="auto"/>
        </w:rPr>
      </w:pPr>
    </w:p>
    <w:p>
      <w:pPr>
        <w:spacing w:after="0"/>
        <w:tabs>
          <w:tab w:leader="none" w:pos="1260" w:val="left"/>
          <w:tab w:leader="none" w:pos="3020" w:val="left"/>
          <w:tab w:leader="none" w:pos="4280" w:val="left"/>
          <w:tab w:leader="none" w:pos="6380" w:val="left"/>
          <w:tab w:leader="none" w:pos="7780" w:val="left"/>
        </w:tabs>
        <w:rPr>
          <w:sz w:val="20"/>
          <w:szCs w:val="20"/>
          <w:color w:val="auto"/>
        </w:rPr>
      </w:pPr>
      <w:r>
        <w:rPr>
          <w:rFonts w:ascii="Times New Roman" w:cs="Times New Roman" w:eastAsia="Times New Roman" w:hAnsi="Times New Roman"/>
          <w:sz w:val="16"/>
          <w:szCs w:val="16"/>
          <w:color w:val="1E1E1E"/>
        </w:rPr>
        <w:t>Auditor Firm Id:</w:t>
        <w:tab/>
        <w:t>185</w:t>
      </w:r>
      <w:r>
        <w:rPr>
          <w:sz w:val="20"/>
          <w:szCs w:val="20"/>
          <w:color w:val="auto"/>
        </w:rPr>
        <w:tab/>
      </w:r>
      <w:r>
        <w:rPr>
          <w:rFonts w:ascii="Times New Roman" w:cs="Times New Roman" w:eastAsia="Times New Roman" w:hAnsi="Times New Roman"/>
          <w:sz w:val="16"/>
          <w:szCs w:val="16"/>
          <w:color w:val="1E1E1E"/>
        </w:rPr>
        <w:t>Auditor Name:</w:t>
      </w:r>
      <w:r>
        <w:rPr>
          <w:sz w:val="20"/>
          <w:szCs w:val="20"/>
          <w:color w:val="auto"/>
        </w:rPr>
        <w:tab/>
      </w:r>
      <w:r>
        <w:rPr>
          <w:rFonts w:ascii="Times New Roman" w:cs="Times New Roman" w:eastAsia="Times New Roman" w:hAnsi="Times New Roman"/>
          <w:sz w:val="16"/>
          <w:szCs w:val="16"/>
          <w:color w:val="1E1E1E"/>
        </w:rPr>
        <w:t>KPMG LLP</w:t>
      </w:r>
      <w:r>
        <w:rPr>
          <w:sz w:val="20"/>
          <w:szCs w:val="20"/>
          <w:color w:val="auto"/>
        </w:rPr>
        <w:tab/>
      </w:r>
      <w:r>
        <w:rPr>
          <w:rFonts w:ascii="Times New Roman" w:cs="Times New Roman" w:eastAsia="Times New Roman" w:hAnsi="Times New Roman"/>
          <w:sz w:val="16"/>
          <w:szCs w:val="16"/>
          <w:color w:val="1E1E1E"/>
        </w:rPr>
        <w:t>Auditor Location:</w:t>
      </w:r>
      <w:r>
        <w:rPr>
          <w:sz w:val="20"/>
          <w:szCs w:val="20"/>
          <w:color w:val="auto"/>
        </w:rPr>
        <w:tab/>
      </w:r>
      <w:r>
        <w:rPr>
          <w:rFonts w:ascii="Times New Roman" w:cs="Times New Roman" w:eastAsia="Times New Roman" w:hAnsi="Times New Roman"/>
          <w:sz w:val="14"/>
          <w:szCs w:val="14"/>
          <w:color w:val="1E1E1E"/>
        </w:rPr>
        <w:t>McLean,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111760</wp:posOffset>
            </wp:positionV>
            <wp:extent cx="66890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9090" cy="952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93345</wp:posOffset>
            </wp:positionV>
            <wp:extent cx="668909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9090" cy="9525"/>
                    </a:xfrm>
                    <a:prstGeom prst="rect">
                      <a:avLst/>
                    </a:prstGeom>
                    <a:noFill/>
                  </pic:spPr>
                </pic:pic>
              </a:graphicData>
            </a:graphic>
          </wp:anchor>
        </w:drawing>
      </w:r>
    </w:p>
    <w:p>
      <w:pPr>
        <w:sectPr>
          <w:pgSz w:w="11880" w:h="15480" w:orient="portrait"/>
          <w:cols w:equalWidth="0" w:num="1">
            <w:col w:w="10480"/>
          </w:cols>
          <w:pgMar w:left="880" w:top="1119" w:right="520" w:bottom="554" w:gutter="0" w:footer="0" w:header="0"/>
        </w:sectPr>
      </w:pPr>
    </w:p>
    <w:bookmarkStart w:id="3" w:name="page4"/>
    <w:bookmarkEnd w:id="3"/>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spacing w:after="0" w:line="349" w:lineRule="exact"/>
        <w:rPr>
          <w:sz w:val="20"/>
          <w:szCs w:val="20"/>
          <w:color w:val="auto"/>
        </w:rPr>
      </w:pPr>
    </w:p>
    <w:tbl>
      <w:tblPr>
        <w:tblLayout w:type="fixed"/>
        <w:tblInd w:w="320" w:type="dxa"/>
        <w:tblCellMar>
          <w:top w:w="0" w:type="dxa"/>
          <w:left w:w="0" w:type="dxa"/>
          <w:bottom w:w="0" w:type="dxa"/>
          <w:right w:w="0" w:type="dxa"/>
        </w:tblCellMar>
      </w:tblPr>
      <w:tr>
        <w:trPr>
          <w:trHeight w:val="267"/>
        </w:trPr>
        <w:tc>
          <w:tcPr>
            <w:tcW w:w="920" w:type="dxa"/>
            <w:vAlign w:val="bottom"/>
          </w:tcPr>
          <w:p>
            <w:pPr>
              <w:spacing w:after="0"/>
              <w:rPr>
                <w:sz w:val="23"/>
                <w:szCs w:val="23"/>
                <w:color w:val="auto"/>
              </w:rPr>
            </w:pPr>
          </w:p>
        </w:tc>
        <w:tc>
          <w:tcPr>
            <w:tcW w:w="7520" w:type="dxa"/>
            <w:vAlign w:val="bottom"/>
          </w:tcPr>
          <w:p>
            <w:pPr>
              <w:ind w:left="2880"/>
              <w:spacing w:after="0"/>
              <w:rPr>
                <w:sz w:val="20"/>
                <w:szCs w:val="20"/>
                <w:color w:val="auto"/>
              </w:rPr>
            </w:pPr>
            <w:r>
              <w:rPr>
                <w:rFonts w:ascii="Times New Roman" w:cs="Times New Roman" w:eastAsia="Times New Roman" w:hAnsi="Times New Roman"/>
                <w:sz w:val="19"/>
                <w:szCs w:val="19"/>
                <w:b w:val="1"/>
                <w:bCs w:val="1"/>
                <w:color w:val="1E1E1E"/>
              </w:rPr>
              <w:t>Table of Contents</w:t>
            </w: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6"/>
        </w:trPr>
        <w:tc>
          <w:tcPr>
            <w:tcW w:w="9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PART I</w:t>
            </w:r>
          </w:p>
        </w:tc>
        <w:tc>
          <w:tcPr>
            <w:tcW w:w="7520" w:type="dxa"/>
            <w:vAlign w:val="bottom"/>
          </w:tcPr>
          <w:p>
            <w:pPr>
              <w:spacing w:after="0"/>
              <w:rPr>
                <w:sz w:val="24"/>
                <w:szCs w:val="24"/>
                <w:color w:val="auto"/>
              </w:rPr>
            </w:pPr>
          </w:p>
        </w:tc>
        <w:tc>
          <w:tcPr>
            <w:tcW w:w="640" w:type="dxa"/>
            <w:vAlign w:val="bottom"/>
            <w:tcBorders>
              <w:bottom w:val="single" w:sz="8" w:color="1E1E1E"/>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7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Business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1A.</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1B.</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Unresolved Staff Comments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1C.</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Cybersecurity</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2.</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Properties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3.</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Legal Proceedings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w:t>
            </w:r>
          </w:p>
        </w:tc>
        <w:tc>
          <w:tcPr>
            <w:tcW w:w="0" w:type="dxa"/>
            <w:vAlign w:val="bottom"/>
          </w:tcPr>
          <w:p>
            <w:pPr>
              <w:spacing w:after="0"/>
              <w:rPr>
                <w:sz w:val="1"/>
                <w:szCs w:val="1"/>
                <w:color w:val="auto"/>
              </w:rPr>
            </w:pPr>
          </w:p>
        </w:tc>
      </w:tr>
      <w:tr>
        <w:trPr>
          <w:trHeight w:val="260"/>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4.</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1E1E1E"/>
              </w:rPr>
              <w:t>PART II</w:t>
            </w:r>
          </w:p>
        </w:tc>
        <w:tc>
          <w:tcPr>
            <w:tcW w:w="7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5.</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Market for Registrant’s Common Equity, Related Stockholder Matters and Issuer Purchases of</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Equity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42</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6.</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[Reserved]</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44</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7.</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7A.</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65</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8.</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Financial Statements and Supplementary Data</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66</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9.</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Changes in and Disagreements With Accountants on Accounting and Financial Disclosure</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9A.</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103</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9B.</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104</w:t>
            </w:r>
          </w:p>
        </w:tc>
        <w:tc>
          <w:tcPr>
            <w:tcW w:w="0" w:type="dxa"/>
            <w:vAlign w:val="bottom"/>
          </w:tcPr>
          <w:p>
            <w:pPr>
              <w:spacing w:after="0"/>
              <w:rPr>
                <w:sz w:val="1"/>
                <w:szCs w:val="1"/>
                <w:color w:val="auto"/>
              </w:rPr>
            </w:pPr>
          </w:p>
        </w:tc>
      </w:tr>
      <w:tr>
        <w:trPr>
          <w:trHeight w:val="260"/>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9C.</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Disclosure Regarding Foreign Jurisdictions that Prevent Inspections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104</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1E1E1E"/>
              </w:rPr>
              <w:t>PART III</w:t>
            </w:r>
          </w:p>
        </w:tc>
        <w:tc>
          <w:tcPr>
            <w:tcW w:w="7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10.</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Directors, Executive Officers and Corporate Governance</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11.</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Executive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223"/>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12.</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Security Ownership of Certain Beneficial Owners and Management and Related Stockholder</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20" w:type="dxa"/>
            <w:vAlign w:val="bottom"/>
          </w:tcPr>
          <w:p>
            <w:pPr>
              <w:spacing w:after="0"/>
              <w:rPr>
                <w:sz w:val="20"/>
                <w:szCs w:val="20"/>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Matters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13.</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Certain Relationships and Related Transactions, and Director Independence</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260"/>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14.</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Principal Accounting Fees and Services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1E1E1E"/>
              </w:rPr>
              <w:t>PART IV</w:t>
            </w:r>
          </w:p>
        </w:tc>
        <w:tc>
          <w:tcPr>
            <w:tcW w:w="7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15.</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Exhibits, Financial Statement Schedules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106</w:t>
            </w:r>
          </w:p>
        </w:tc>
        <w:tc>
          <w:tcPr>
            <w:tcW w:w="0" w:type="dxa"/>
            <w:vAlign w:val="bottom"/>
          </w:tcPr>
          <w:p>
            <w:pPr>
              <w:spacing w:after="0"/>
              <w:rPr>
                <w:sz w:val="1"/>
                <w:szCs w:val="1"/>
                <w:color w:val="auto"/>
              </w:rPr>
            </w:pPr>
          </w:p>
        </w:tc>
      </w:tr>
      <w:tr>
        <w:trPr>
          <w:trHeight w:val="260"/>
        </w:trPr>
        <w:tc>
          <w:tcPr>
            <w:tcW w:w="920" w:type="dxa"/>
            <w:vAlign w:val="bottom"/>
          </w:tcPr>
          <w:p>
            <w:pPr>
              <w:ind w:left="140"/>
              <w:spacing w:after="0"/>
              <w:rPr>
                <w:sz w:val="20"/>
                <w:szCs w:val="20"/>
                <w:color w:val="auto"/>
              </w:rPr>
            </w:pPr>
            <w:r>
              <w:rPr>
                <w:rFonts w:ascii="Times New Roman" w:cs="Times New Roman" w:eastAsia="Times New Roman" w:hAnsi="Times New Roman"/>
                <w:sz w:val="19"/>
                <w:szCs w:val="19"/>
                <w:color w:val="1E1E1E"/>
              </w:rPr>
              <w:t>Item 16.</w:t>
            </w: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Form 10-K Summary</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108</w:t>
            </w:r>
          </w:p>
        </w:tc>
        <w:tc>
          <w:tcPr>
            <w:tcW w:w="0" w:type="dxa"/>
            <w:vAlign w:val="bottom"/>
          </w:tcPr>
          <w:p>
            <w:pPr>
              <w:spacing w:after="0"/>
              <w:rPr>
                <w:sz w:val="1"/>
                <w:szCs w:val="1"/>
                <w:color w:val="auto"/>
              </w:rPr>
            </w:pPr>
          </w:p>
        </w:tc>
      </w:tr>
      <w:tr>
        <w:trPr>
          <w:trHeight w:val="475"/>
        </w:trPr>
        <w:tc>
          <w:tcPr>
            <w:tcW w:w="92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Signatures</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600" w:h="16200" w:orient="portrait"/>
          <w:cols w:equalWidth="0" w:num="1">
            <w:col w:w="9720"/>
          </w:cols>
          <w:pgMar w:left="1440" w:top="1440" w:right="1440" w:bottom="6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E1E1E"/>
        </w:rPr>
        <w:t>i</w:t>
      </w:r>
    </w:p>
    <w:p>
      <w:pPr>
        <w:sectPr>
          <w:pgSz w:w="12600" w:h="16200" w:orient="portrait"/>
          <w:cols w:equalWidth="0" w:num="1">
            <w:col w:w="9720"/>
          </w:cols>
          <w:pgMar w:left="1440" w:top="1440" w:right="1440" w:bottom="633"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SPECIAL NOTE REGARDING FORWARD-LOOKING STATEMENTS</w:t>
      </w:r>
    </w:p>
    <w:p>
      <w:pPr>
        <w:spacing w:after="0" w:line="347"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9"/>
          <w:szCs w:val="19"/>
          <w:color w:val="1E1E1E"/>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87" w:lineRule="exact"/>
        <w:rPr>
          <w:sz w:val="20"/>
          <w:szCs w:val="20"/>
          <w:color w:val="auto"/>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expectations regarding our revenue, expenses and other operating results;</w:t>
      </w:r>
    </w:p>
    <w:p>
      <w:pPr>
        <w:spacing w:after="0" w:line="134" w:lineRule="exact"/>
        <w:rPr>
          <w:rFonts w:ascii="Arial" w:cs="Arial" w:eastAsia="Arial" w:hAnsi="Arial"/>
          <w:sz w:val="19"/>
          <w:szCs w:val="19"/>
          <w:color w:val="1E1E1E"/>
        </w:rPr>
      </w:pPr>
    </w:p>
    <w:p>
      <w:pPr>
        <w:ind w:left="960" w:right="60" w:hanging="485"/>
        <w:spacing w:after="0" w:line="289" w:lineRule="auto"/>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the anticipated growth of our business, including our ability to effectively manage or sustain our growth and to achieve or sustain profitability;</w:t>
      </w:r>
    </w:p>
    <w:p>
      <w:pPr>
        <w:spacing w:after="0" w:line="49" w:lineRule="exact"/>
        <w:rPr>
          <w:rFonts w:ascii="Arial" w:cs="Arial" w:eastAsia="Arial" w:hAnsi="Arial"/>
          <w:sz w:val="19"/>
          <w:szCs w:val="19"/>
          <w:color w:val="1E1E1E"/>
        </w:rPr>
      </w:pPr>
    </w:p>
    <w:p>
      <w:pPr>
        <w:ind w:left="960" w:right="180" w:hanging="485"/>
        <w:spacing w:after="0" w:line="289" w:lineRule="auto"/>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the effects of public health crises or other macroeconomic factors and geopolitical tension, which may lead to periods of global economic uncertainty;</w:t>
      </w:r>
    </w:p>
    <w:p>
      <w:pPr>
        <w:spacing w:after="0" w:line="49" w:lineRule="exact"/>
        <w:rPr>
          <w:rFonts w:ascii="Arial" w:cs="Arial" w:eastAsia="Arial" w:hAnsi="Arial"/>
          <w:sz w:val="19"/>
          <w:szCs w:val="19"/>
          <w:color w:val="1E1E1E"/>
        </w:rPr>
      </w:pPr>
    </w:p>
    <w:p>
      <w:pPr>
        <w:ind w:left="960" w:right="920" w:hanging="485"/>
        <w:spacing w:after="0" w:line="289" w:lineRule="auto"/>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future investments in our business, our anticipated capital expenditures and our estimates regarding our capital requirements;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attract new buyers and suppliers and successfully engage new and existing buyers and suppliers;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the costs and success of our sales and marketing efforts, and our ability to promote our brand;</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reliance on key personnel and our ability to identify, recruit and retain skilled personnel;</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effectively manage our growth, including any international expansion;</w:t>
      </w:r>
    </w:p>
    <w:p>
      <w:pPr>
        <w:spacing w:after="0" w:line="134" w:lineRule="exact"/>
        <w:rPr>
          <w:rFonts w:ascii="Arial" w:cs="Arial" w:eastAsia="Arial" w:hAnsi="Arial"/>
          <w:sz w:val="19"/>
          <w:szCs w:val="19"/>
          <w:color w:val="1E1E1E"/>
        </w:rPr>
      </w:pPr>
    </w:p>
    <w:p>
      <w:pPr>
        <w:ind w:left="960" w:right="520" w:hanging="485"/>
        <w:spacing w:after="0" w:line="289" w:lineRule="auto"/>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obtain, maintain, protect and enforce our intellectual property or other proprietary rights and any costs associated therewith;</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effectively manage our costs and expenses, which may be impacted by inflationary pressures;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compete effectively with existing competitors and new market entrants; and</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3"/>
        </w:numPr>
        <w:rPr>
          <w:rFonts w:ascii="Arial" w:cs="Arial" w:eastAsia="Arial" w:hAnsi="Arial"/>
          <w:sz w:val="19"/>
          <w:szCs w:val="19"/>
          <w:color w:val="1E1E1E"/>
        </w:rPr>
      </w:pPr>
      <w:r>
        <w:rPr>
          <w:rFonts w:ascii="Times New Roman" w:cs="Times New Roman" w:eastAsia="Times New Roman" w:hAnsi="Times New Roman"/>
          <w:sz w:val="19"/>
          <w:szCs w:val="19"/>
          <w:color w:val="1E1E1E"/>
        </w:rPr>
        <w:t>the growth rates of the markets in which we compete.</w:t>
      </w:r>
    </w:p>
    <w:p>
      <w:pPr>
        <w:spacing w:after="0" w:line="120" w:lineRule="exact"/>
        <w:rPr>
          <w:sz w:val="20"/>
          <w:szCs w:val="20"/>
          <w:color w:val="auto"/>
        </w:rPr>
      </w:pPr>
    </w:p>
    <w:p>
      <w:pPr>
        <w:ind w:right="160" w:firstLine="600"/>
        <w:spacing w:after="0" w:line="250" w:lineRule="auto"/>
        <w:rPr>
          <w:sz w:val="20"/>
          <w:szCs w:val="20"/>
          <w:color w:val="auto"/>
        </w:rPr>
      </w:pPr>
      <w:r>
        <w:rPr>
          <w:rFonts w:ascii="Times New Roman" w:cs="Times New Roman" w:eastAsia="Times New Roman" w:hAnsi="Times New Roman"/>
          <w:sz w:val="19"/>
          <w:szCs w:val="19"/>
          <w:color w:val="1E1E1E"/>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76" w:lineRule="exact"/>
        <w:rPr>
          <w:sz w:val="20"/>
          <w:szCs w:val="20"/>
          <w:color w:val="auto"/>
        </w:rPr>
      </w:pPr>
    </w:p>
    <w:p>
      <w:pPr>
        <w:ind w:firstLine="601"/>
        <w:spacing w:after="0" w:line="256" w:lineRule="auto"/>
        <w:rPr>
          <w:sz w:val="20"/>
          <w:szCs w:val="20"/>
          <w:color w:val="auto"/>
        </w:rPr>
      </w:pPr>
      <w:r>
        <w:rPr>
          <w:rFonts w:ascii="Times New Roman" w:cs="Times New Roman" w:eastAsia="Times New Roman" w:hAnsi="Times New Roman"/>
          <w:sz w:val="19"/>
          <w:szCs w:val="19"/>
          <w:color w:val="1E1E1E"/>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67" w:lineRule="exact"/>
        <w:rPr>
          <w:sz w:val="20"/>
          <w:szCs w:val="20"/>
          <w:color w:val="auto"/>
        </w:rPr>
      </w:pPr>
    </w:p>
    <w:p>
      <w:pPr>
        <w:ind w:right="40" w:firstLine="601"/>
        <w:spacing w:after="0" w:line="254" w:lineRule="auto"/>
        <w:rPr>
          <w:sz w:val="20"/>
          <w:szCs w:val="20"/>
          <w:color w:val="auto"/>
        </w:rPr>
      </w:pPr>
      <w:r>
        <w:rPr>
          <w:rFonts w:ascii="Times New Roman" w:cs="Times New Roman" w:eastAsia="Times New Roman" w:hAnsi="Times New Roman"/>
          <w:sz w:val="19"/>
          <w:szCs w:val="19"/>
          <w:color w:val="1E1E1E"/>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880" w:h="15480" w:orient="portrait"/>
          <w:cols w:equalWidth="0" w:num="1">
            <w:col w:w="10460"/>
          </w:cols>
          <w:pgMar w:left="700" w:top="953" w:right="720" w:bottom="2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1E1E1E"/>
        </w:rPr>
        <w:t>ii</w:t>
      </w:r>
    </w:p>
    <w:p>
      <w:pPr>
        <w:sectPr>
          <w:pgSz w:w="11880" w:h="15480" w:orient="portrait"/>
          <w:cols w:equalWidth="0" w:num="1">
            <w:col w:w="10460"/>
          </w:cols>
          <w:pgMar w:left="700" w:top="953" w:right="720" w:bottom="238"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9"/>
          <w:szCs w:val="19"/>
          <w:b w:val="1"/>
          <w:bCs w:val="1"/>
          <w:color w:val="1E1E1E"/>
        </w:rPr>
        <w:t>PART 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 Business.</w:t>
      </w:r>
    </w:p>
    <w:p>
      <w:pPr>
        <w:spacing w:after="0" w:line="124" w:lineRule="exact"/>
        <w:rPr>
          <w:sz w:val="20"/>
          <w:szCs w:val="20"/>
          <w:color w:val="auto"/>
        </w:rPr>
      </w:pPr>
    </w:p>
    <w:p>
      <w:pPr>
        <w:ind w:right="80" w:firstLine="600"/>
        <w:spacing w:after="0" w:line="256" w:lineRule="auto"/>
        <w:rPr>
          <w:sz w:val="20"/>
          <w:szCs w:val="20"/>
          <w:color w:val="auto"/>
        </w:rPr>
      </w:pPr>
      <w:r>
        <w:rPr>
          <w:rFonts w:ascii="Times New Roman" w:cs="Times New Roman" w:eastAsia="Times New Roman" w:hAnsi="Times New Roman"/>
          <w:sz w:val="19"/>
          <w:szCs w:val="19"/>
          <w:color w:val="1E1E1E"/>
        </w:rPr>
        <w:t>Xometry, Inc. (Xometry, the “Company”, “our”, or “we”)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w:t>
      </w:r>
    </w:p>
    <w:p>
      <w:pPr>
        <w:spacing w:after="0" w:line="67"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45" w:lineRule="exact"/>
        <w:rPr>
          <w:sz w:val="20"/>
          <w:szCs w:val="20"/>
          <w:color w:val="auto"/>
        </w:rPr>
      </w:pPr>
    </w:p>
    <w:p>
      <w:pPr>
        <w:ind w:firstLine="600"/>
        <w:spacing w:after="0" w:line="252" w:lineRule="auto"/>
        <w:rPr>
          <w:sz w:val="20"/>
          <w:szCs w:val="20"/>
          <w:color w:val="auto"/>
        </w:rPr>
      </w:pPr>
      <w:r>
        <w:rPr>
          <w:rFonts w:ascii="Times New Roman" w:cs="Times New Roman" w:eastAsia="Times New Roman" w:hAnsi="Times New Roman"/>
          <w:sz w:val="19"/>
          <w:szCs w:val="19"/>
          <w:color w:val="1E1E1E"/>
        </w:rPr>
        <w:t>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50" w:lineRule="exact"/>
        <w:rPr>
          <w:sz w:val="20"/>
          <w:szCs w:val="20"/>
          <w:color w:val="auto"/>
        </w:rPr>
      </w:pPr>
    </w:p>
    <w:p>
      <w:pPr>
        <w:ind w:right="100" w:firstLine="600"/>
        <w:spacing w:after="0" w:line="252" w:lineRule="auto"/>
        <w:rPr>
          <w:sz w:val="20"/>
          <w:szCs w:val="20"/>
          <w:color w:val="auto"/>
        </w:rPr>
      </w:pPr>
      <w:r>
        <w:rPr>
          <w:rFonts w:ascii="Times New Roman" w:cs="Times New Roman" w:eastAsia="Times New Roman" w:hAnsi="Times New Roman"/>
          <w:sz w:val="19"/>
          <w:szCs w:val="19"/>
          <w:color w:val="1E1E1E"/>
        </w:rPr>
        <w:t>Manufacturing is one of the largest industries globally and is in the early stages of digitization. Buyers looking to source manufacturing processes are faced with a highly fragmented and regionalized base of suppliers that are prone to supply chain disruptions and are difficult to efficiently manage. Opaque pricing structures, long lead times and a lack of quality controls contribute to a procurement process that is inefficient, unpredictable and unreliable. Conversely, suppliers of specialized and custom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suppliers need a more efficient, agile way to transact.</w:t>
      </w:r>
    </w:p>
    <w:p>
      <w:pPr>
        <w:spacing w:after="0" w:line="150" w:lineRule="exact"/>
        <w:rPr>
          <w:sz w:val="20"/>
          <w:szCs w:val="20"/>
          <w:color w:val="auto"/>
        </w:rPr>
      </w:pPr>
    </w:p>
    <w:p>
      <w:pPr>
        <w:ind w:right="80" w:firstLine="600"/>
        <w:spacing w:after="0" w:line="252" w:lineRule="auto"/>
        <w:rPr>
          <w:sz w:val="20"/>
          <w:szCs w:val="20"/>
          <w:color w:val="auto"/>
        </w:rPr>
      </w:pPr>
      <w:r>
        <w:rPr>
          <w:rFonts w:ascii="Times New Roman" w:cs="Times New Roman" w:eastAsia="Times New Roman" w:hAnsi="Times New Roman"/>
          <w:sz w:val="19"/>
          <w:szCs w:val="19"/>
          <w:color w:val="1E1E1E"/>
        </w:rPr>
        <w:t>We enable buyers across industries to source a broad array of manufacturing processes to meet their needs. We generate a majority of our revenue from the prices we charge buyers on our platform. Buyers begin by uploading an engineering schematic that contains 3D design specifications, typically a computer-aided design (“CAD”) file. Then, our proprietary AI-enabled Xometry Instant Quoting Engine® prices transactions based on factors such as volume, manufacturing process, material and location. We continue to add new processes to our Xometry Instant Quoting Engine. The convenience and transparency of our model leads to increasing buyer loyalty and spend over time. In addition, we offer buyers the ability to purchase carbon credits to offset the carbon used to make and ship their parts. Revenue from our marketplace was approximately 85% of our total revenue for the year ended December 31, 2023.</w:t>
      </w:r>
    </w:p>
    <w:p>
      <w:pPr>
        <w:spacing w:after="0" w:line="150" w:lineRule="exact"/>
        <w:rPr>
          <w:sz w:val="20"/>
          <w:szCs w:val="20"/>
          <w:color w:val="auto"/>
        </w:rPr>
      </w:pPr>
    </w:p>
    <w:p>
      <w:pPr>
        <w:ind w:right="20" w:firstLine="600"/>
        <w:spacing w:after="0" w:line="254" w:lineRule="auto"/>
        <w:rPr>
          <w:sz w:val="20"/>
          <w:szCs w:val="20"/>
          <w:color w:val="auto"/>
        </w:rPr>
      </w:pPr>
      <w:r>
        <w:rPr>
          <w:rFonts w:ascii="Times New Roman" w:cs="Times New Roman" w:eastAsia="Times New Roman" w:hAnsi="Times New Roman"/>
          <w:sz w:val="19"/>
          <w:szCs w:val="19"/>
          <w:color w:val="1E1E1E"/>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on Thomasnet. In addition, our suite of supplier services includes financial service products to stabilize and enhance cash flow and a cloud-based manufacturing execution system (“Workcenter”) to help suppliers optimize their productivity. Revenue from our supplier services was approximately 15% of our total revenue for the year ended December 31, 2023.</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Industry Overview</w:t>
      </w:r>
    </w:p>
    <w:p>
      <w:pPr>
        <w:spacing w:after="0" w:line="255" w:lineRule="exact"/>
        <w:rPr>
          <w:sz w:val="20"/>
          <w:szCs w:val="20"/>
          <w:color w:val="auto"/>
        </w:rPr>
      </w:pPr>
    </w:p>
    <w:p>
      <w:pPr>
        <w:ind w:left="820" w:right="200" w:hanging="232"/>
        <w:spacing w:after="0" w:line="251" w:lineRule="auto"/>
        <w:tabs>
          <w:tab w:leader="none" w:pos="820" w:val="left"/>
        </w:tabs>
        <w:numPr>
          <w:ilvl w:val="0"/>
          <w:numId w:val="4"/>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Manufacturing is a massive, highly fragmented, and regionalized industry in need of solutions to drive efficiency. </w:t>
      </w:r>
      <w:r>
        <w:rPr>
          <w:rFonts w:ascii="Times New Roman" w:cs="Times New Roman" w:eastAsia="Times New Roman" w:hAnsi="Times New Roman"/>
          <w:sz w:val="19"/>
          <w:szCs w:val="19"/>
          <w:color w:val="1E1E1E"/>
        </w:rPr>
        <w:t>The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global manufacturing industry is one of the largest industries in the world. We believe the industry is poised for increased digitization via a number of global thematic shifts, including rising demand for production, new manufacturing technologies, and shifting value chains, but is in need of solutions to drive efficiency and create opportunities from these dynamics. Furthermore, the manufacturing industry is largely composed of small- to medium-sized manufacturers and we believe that there are significant barriers to entry for these businesses, who have to compete with scaled, better-resourced manufacturers. Xometry has an opportunity to help these highly fragmented, small- to medium-sized manufacturers with their materials, financing and advertising and marketing through our supplier services.</w:t>
      </w:r>
    </w:p>
    <w:p>
      <w:pPr>
        <w:sectPr>
          <w:pgSz w:w="11880" w:h="15480" w:orient="portrait"/>
          <w:cols w:equalWidth="0" w:num="1">
            <w:col w:w="10480"/>
          </w:cols>
          <w:pgMar w:left="700" w:top="1303" w:right="700" w:bottom="25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1</w:t>
      </w:r>
    </w:p>
    <w:p>
      <w:pPr>
        <w:sectPr>
          <w:pgSz w:w="11880" w:h="15480" w:orient="portrait"/>
          <w:cols w:equalWidth="0" w:num="1">
            <w:col w:w="10480"/>
          </w:cols>
          <w:pgMar w:left="700" w:top="1303" w:right="700" w:bottom="250" w:gutter="0" w:footer="0" w:header="0"/>
          <w:type w:val="continuous"/>
        </w:sectPr>
      </w:pPr>
    </w:p>
    <w:bookmarkStart w:id="7" w:name="page8"/>
    <w:bookmarkEnd w:id="7"/>
    <w:p>
      <w:pPr>
        <w:ind w:left="820" w:right="100" w:hanging="232"/>
        <w:spacing w:after="0" w:line="259" w:lineRule="auto"/>
        <w:tabs>
          <w:tab w:leader="none" w:pos="820" w:val="left"/>
        </w:tabs>
        <w:numPr>
          <w:ilvl w:val="0"/>
          <w:numId w:val="5"/>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Sourcing manufacturing opportunities is a complex, costly and time-consuming process. </w:t>
      </w:r>
      <w:r>
        <w:rPr>
          <w:rFonts w:ascii="Times New Roman" w:cs="Times New Roman" w:eastAsia="Times New Roman" w:hAnsi="Times New Roman"/>
          <w:sz w:val="19"/>
          <w:szCs w:val="19"/>
          <w:color w:val="1E1E1E"/>
        </w:rPr>
        <w:t>Even for the most sophisticated</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buyers and suppliers, the manufacturing sourcing and procurement process is complex, uncertain, costly and time-consuming. We believe that the labor-intensive sourcing process presents a significant opportunity as buyers and suppliers look for more efficient ways to source demand and launch production.</w:t>
      </w:r>
    </w:p>
    <w:p>
      <w:pPr>
        <w:spacing w:after="0" w:line="78" w:lineRule="exact"/>
        <w:rPr>
          <w:rFonts w:ascii="Arial" w:cs="Arial" w:eastAsia="Arial" w:hAnsi="Arial"/>
          <w:sz w:val="19"/>
          <w:szCs w:val="19"/>
          <w:color w:val="1E1E1E"/>
        </w:rPr>
      </w:pPr>
    </w:p>
    <w:p>
      <w:pPr>
        <w:ind w:left="820" w:right="400" w:hanging="232"/>
        <w:spacing w:after="0" w:line="259" w:lineRule="auto"/>
        <w:tabs>
          <w:tab w:leader="none" w:pos="820" w:val="left"/>
        </w:tabs>
        <w:numPr>
          <w:ilvl w:val="0"/>
          <w:numId w:val="5"/>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Resilient, localized and compliant supply chains are imperative. </w:t>
      </w:r>
      <w:r>
        <w:rPr>
          <w:rFonts w:ascii="Times New Roman" w:cs="Times New Roman" w:eastAsia="Times New Roman" w:hAnsi="Times New Roman"/>
          <w:sz w:val="19"/>
          <w:szCs w:val="19"/>
          <w:color w:val="1E1E1E"/>
        </w:rPr>
        <w:t>There is a significant opportunity to help companies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around the world improve their supply chain diversification, access just-in-time production, and build supply chain resilience. The effects of the recent public health crises and ongoing geopolitical instability have highlighted the urgent need for resilient and localized supply chains.</w:t>
      </w:r>
    </w:p>
    <w:p>
      <w:pPr>
        <w:spacing w:after="0" w:line="80" w:lineRule="exact"/>
        <w:rPr>
          <w:rFonts w:ascii="Arial" w:cs="Arial" w:eastAsia="Arial" w:hAnsi="Arial"/>
          <w:sz w:val="19"/>
          <w:szCs w:val="19"/>
          <w:color w:val="1E1E1E"/>
        </w:rPr>
      </w:pPr>
    </w:p>
    <w:p>
      <w:pPr>
        <w:ind w:left="820" w:right="60" w:hanging="232"/>
        <w:spacing w:after="0" w:line="252" w:lineRule="auto"/>
        <w:tabs>
          <w:tab w:leader="none" w:pos="820" w:val="left"/>
        </w:tabs>
        <w:numPr>
          <w:ilvl w:val="0"/>
          <w:numId w:val="5"/>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There is increasing focus on the manufacturing industry to address environmental, social and governance (“ESG”) issues. </w:t>
      </w:r>
      <w:r>
        <w:rPr>
          <w:rFonts w:ascii="Times New Roman" w:cs="Times New Roman" w:eastAsia="Times New Roman" w:hAnsi="Times New Roman"/>
          <w:sz w:val="19"/>
          <w:szCs w:val="19"/>
          <w:color w:val="1E1E1E"/>
        </w:rPr>
        <w:t>Companies and investors are increasingly focused on the importance of ESG issues. Supply chain management is a</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major source of carbon emissions. A lack of transparency in the supply chain makes it more difficult for companies to track and address their carbon emissions. Many companies, including some of the largest corporations in the U.S., are shifting their focus towards building more equitable supply chains and sourcing from more diverse suppliers. These issues continue to garner management and stakeholder focus, and we believe companies will increasingly look to productive business solutions that limit environmental harm and address social issues throughout the manufacturing ecosystem.</w:t>
      </w:r>
    </w:p>
    <w:p>
      <w:pPr>
        <w:spacing w:after="0" w:line="84" w:lineRule="exact"/>
        <w:rPr>
          <w:rFonts w:ascii="Arial" w:cs="Arial" w:eastAsia="Arial" w:hAnsi="Arial"/>
          <w:sz w:val="19"/>
          <w:szCs w:val="19"/>
          <w:color w:val="1E1E1E"/>
        </w:rPr>
      </w:pPr>
    </w:p>
    <w:p>
      <w:pPr>
        <w:ind w:left="820" w:right="180" w:hanging="232"/>
        <w:spacing w:after="0" w:line="267" w:lineRule="auto"/>
        <w:tabs>
          <w:tab w:leader="none" w:pos="820" w:val="left"/>
        </w:tabs>
        <w:numPr>
          <w:ilvl w:val="0"/>
          <w:numId w:val="5"/>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Multiple catalysts have led to an inflection point for industry digitization. </w:t>
      </w:r>
      <w:r>
        <w:rPr>
          <w:rFonts w:ascii="Times New Roman" w:cs="Times New Roman" w:eastAsia="Times New Roman" w:hAnsi="Times New Roman"/>
          <w:sz w:val="19"/>
          <w:szCs w:val="19"/>
          <w:color w:val="1E1E1E"/>
        </w:rPr>
        <w:t>We believe future expected labor shortages, in</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combination with the proliferation of new technologies, necessitates digital solutions that increase productivity, improve financial performance and allow them to compete sustainably.</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Our Opportunity</w:t>
      </w:r>
    </w:p>
    <w:p>
      <w:pPr>
        <w:spacing w:after="0" w:line="241" w:lineRule="exact"/>
        <w:rPr>
          <w:sz w:val="20"/>
          <w:szCs w:val="20"/>
          <w:color w:val="auto"/>
        </w:rPr>
      </w:pPr>
    </w:p>
    <w:p>
      <w:pPr>
        <w:ind w:right="480" w:firstLine="600"/>
        <w:spacing w:after="0" w:line="267" w:lineRule="auto"/>
        <w:rPr>
          <w:sz w:val="20"/>
          <w:szCs w:val="20"/>
          <w:color w:val="auto"/>
        </w:rPr>
      </w:pPr>
      <w:r>
        <w:rPr>
          <w:rFonts w:ascii="Times New Roman" w:cs="Times New Roman" w:eastAsia="Times New Roman" w:hAnsi="Times New Roman"/>
          <w:sz w:val="19"/>
          <w:szCs w:val="19"/>
          <w:color w:val="1E1E1E"/>
        </w:rPr>
        <w:t>We believe the unique challenges that companies and manufacturers face, supporting macro trends, and innovations in technology have brought the manufacturing industry to an inflection point for digital transformation. We provide the solution—a marketplace to unlock access, drive business efficiency, and improve the sustainability of manufacturing worldwide.</w:t>
      </w:r>
    </w:p>
    <w:p>
      <w:pPr>
        <w:spacing w:after="0" w:line="173"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At the time of our initial public offering (“IPO”), we estimated our addressable market at $260 billion based on the estimated size of the market for the six key manufacturing processes offered on our platform at that time. This included CNC machining, injection molding, 3D printing (including fused deposition modeling, direct metal laser sintering, PolyJet, stereolithography, selective laser sintering, binder jetting, carbon digital light synthesis and multi jet fusion), sheet forming and cutting, die casting and urethane casting. Subsequently, we acquired Thomas Publishing Company and its subsidiaries (“Thomas”) which has data and information about suppliers which offer over 70,000 industrial processes, which we believe expands our addressable market to over $2 trillion.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Our Platform</w:t>
      </w:r>
    </w:p>
    <w:p>
      <w:pPr>
        <w:spacing w:after="0" w:line="241" w:lineRule="exact"/>
        <w:rPr>
          <w:sz w:val="20"/>
          <w:szCs w:val="20"/>
          <w:color w:val="auto"/>
        </w:rPr>
      </w:pPr>
    </w:p>
    <w:p>
      <w:pPr>
        <w:ind w:right="20" w:firstLine="594"/>
        <w:spacing w:after="0" w:line="260" w:lineRule="auto"/>
        <w:rPr>
          <w:sz w:val="20"/>
          <w:szCs w:val="20"/>
          <w:color w:val="auto"/>
        </w:rPr>
      </w:pPr>
      <w:r>
        <w:rPr>
          <w:rFonts w:ascii="Times New Roman" w:cs="Times New Roman" w:eastAsia="Times New Roman" w:hAnsi="Times New Roman"/>
          <w:sz w:val="19"/>
          <w:szCs w:val="19"/>
          <w:color w:val="1E1E1E"/>
        </w:rPr>
        <w:t>We are accelerating innovation by providing real-time, equitable access to global manufacturing demand and capacity. We provide sourcing and pricing across a network of buyers and suppliers, offer a suite of configurable manufacturing processes through our diverse supplier network, and enable business success through additional products and services that serve the unique needs of each side of our marketplace.</w:t>
      </w:r>
    </w:p>
    <w:p>
      <w:pPr>
        <w:spacing w:after="0" w:line="140" w:lineRule="exact"/>
        <w:rPr>
          <w:sz w:val="20"/>
          <w:szCs w:val="20"/>
          <w:color w:val="auto"/>
        </w:rPr>
      </w:pPr>
    </w:p>
    <w:p>
      <w:pPr>
        <w:ind w:firstLine="594"/>
        <w:spacing w:after="0" w:line="267" w:lineRule="auto"/>
        <w:rPr>
          <w:sz w:val="20"/>
          <w:szCs w:val="20"/>
          <w:color w:val="auto"/>
        </w:rPr>
      </w:pPr>
      <w:r>
        <w:rPr>
          <w:rFonts w:ascii="Times New Roman" w:cs="Times New Roman" w:eastAsia="Times New Roman" w:hAnsi="Times New Roman"/>
          <w:sz w:val="19"/>
          <w:szCs w:val="19"/>
          <w:color w:val="1E1E1E"/>
        </w:rPr>
        <w:t>Our platform is AI-driven, continuously learning from millions of data inputs from marketplace interactions, providing rich insights and analytics that allow us to further improve the efficiency of our ecosystem and the products and services we offer. The data we generate enables us to become a preferred collaboration, workflow, and transaction platform for both buyers and suppliers.</w:t>
      </w:r>
    </w:p>
    <w:p>
      <w:pPr>
        <w:spacing w:after="0" w:line="134" w:lineRule="exact"/>
        <w:rPr>
          <w:sz w:val="20"/>
          <w:szCs w:val="20"/>
          <w:color w:val="auto"/>
        </w:rPr>
      </w:pPr>
    </w:p>
    <w:p>
      <w:pPr>
        <w:ind w:firstLine="594"/>
        <w:spacing w:after="0" w:line="260" w:lineRule="auto"/>
        <w:rPr>
          <w:sz w:val="20"/>
          <w:szCs w:val="20"/>
          <w:color w:val="auto"/>
        </w:rPr>
      </w:pPr>
      <w:r>
        <w:rPr>
          <w:rFonts w:ascii="Times New Roman" w:cs="Times New Roman" w:eastAsia="Times New Roman" w:hAnsi="Times New Roman"/>
          <w:sz w:val="19"/>
          <w:szCs w:val="19"/>
          <w:color w:val="1E1E1E"/>
        </w:rPr>
        <w:t>Our platform is also highly extensible, with an expansive and growing set of traditional and emerging manufacturing processes offered by our supplier network. Because of our platform’s extensibility, we are well positioned to scale and rapidly capture new processes brought to the platform by our suppliers, further enabling buyers to access customized, relevant manufacturing solutions that are suited to their industry needs and buyer preferences.</w:t>
      </w:r>
    </w:p>
    <w:p>
      <w:pPr>
        <w:spacing w:after="0" w:line="140" w:lineRule="exact"/>
        <w:rPr>
          <w:sz w:val="20"/>
          <w:szCs w:val="20"/>
          <w:color w:val="auto"/>
        </w:rPr>
      </w:pPr>
    </w:p>
    <w:p>
      <w:pPr>
        <w:ind w:right="260" w:firstLine="594"/>
        <w:spacing w:after="0" w:line="290" w:lineRule="auto"/>
        <w:rPr>
          <w:sz w:val="20"/>
          <w:szCs w:val="20"/>
          <w:color w:val="auto"/>
        </w:rPr>
      </w:pPr>
      <w:r>
        <w:rPr>
          <w:rFonts w:ascii="Times New Roman" w:cs="Times New Roman" w:eastAsia="Times New Roman" w:hAnsi="Times New Roman"/>
          <w:sz w:val="19"/>
          <w:szCs w:val="19"/>
          <w:color w:val="1E1E1E"/>
        </w:rPr>
        <w:t>We offer these tailored processes through a user-centric platform that is reliable and flexible, leveraging additional products and services to increase buyer and seller engagement over time.</w:t>
      </w:r>
    </w:p>
    <w:p>
      <w:pPr>
        <w:sectPr>
          <w:pgSz w:w="11880" w:h="15480" w:orient="portrait"/>
          <w:cols w:equalWidth="0" w:num="1">
            <w:col w:w="10480"/>
          </w:cols>
          <w:pgMar w:left="700" w:top="970" w:right="700"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2</w:t>
      </w:r>
    </w:p>
    <w:p>
      <w:pPr>
        <w:sectPr>
          <w:pgSz w:w="11880" w:h="15480" w:orient="portrait"/>
          <w:cols w:equalWidth="0" w:num="1">
            <w:col w:w="10480"/>
          </w:cols>
          <w:pgMar w:left="700" w:top="970" w:right="700" w:bottom="250" w:gutter="0" w:footer="0" w:header="0"/>
          <w:type w:val="continuous"/>
        </w:sectPr>
      </w:pPr>
    </w:p>
    <w:bookmarkStart w:id="8" w:name="page9"/>
    <w:bookmarkEnd w:id="8"/>
    <w:p>
      <w:pPr>
        <w:ind w:left="3360"/>
        <w:spacing w:after="0"/>
        <w:rPr>
          <w:sz w:val="20"/>
          <w:szCs w:val="20"/>
          <w:color w:val="auto"/>
        </w:rPr>
      </w:pPr>
      <w:r>
        <w:rPr>
          <w:rFonts w:ascii="Times New Roman" w:cs="Times New Roman" w:eastAsia="Times New Roman" w:hAnsi="Times New Roman"/>
          <w:sz w:val="19"/>
          <w:szCs w:val="19"/>
          <w:b w:val="1"/>
          <w:bCs w:val="1"/>
          <w:color w:val="1E1E1E"/>
        </w:rPr>
        <w:t>Reducing Manufacturing's Carbon Footprint</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We are committed to helping reduce the manufacturing industry’s overall carbon footprint.</w:t>
      </w:r>
    </w:p>
    <w:p>
      <w:pPr>
        <w:spacing w:after="0" w:line="199" w:lineRule="exact"/>
        <w:rPr>
          <w:sz w:val="20"/>
          <w:szCs w:val="20"/>
          <w:color w:val="auto"/>
        </w:rPr>
      </w:pPr>
    </w:p>
    <w:p>
      <w:pPr>
        <w:ind w:right="20" w:firstLine="594"/>
        <w:spacing w:after="0" w:line="260" w:lineRule="auto"/>
        <w:rPr>
          <w:sz w:val="20"/>
          <w:szCs w:val="20"/>
          <w:color w:val="auto"/>
        </w:rPr>
      </w:pPr>
      <w:r>
        <w:rPr>
          <w:rFonts w:ascii="Times New Roman" w:cs="Times New Roman" w:eastAsia="Times New Roman" w:hAnsi="Times New Roman"/>
          <w:sz w:val="19"/>
          <w:szCs w:val="19"/>
          <w:color w:val="1E1E1E"/>
        </w:rPr>
        <w:t>Marketplace customers can calculate the carbon footprint of their manufacturing projects to help them make informed decisions that will help them reduce their carbon emissions. In 2022, we integrated the Gravity Climate API into our marketplace. The Gravity Climate API calculates carbon emissions estimates for Xometry order requests, using climate science and data related to product material, manufacturing processes, mass, and geography.</w:t>
      </w:r>
    </w:p>
    <w:p>
      <w:pPr>
        <w:spacing w:after="0" w:line="140" w:lineRule="exact"/>
        <w:rPr>
          <w:sz w:val="20"/>
          <w:szCs w:val="20"/>
          <w:color w:val="auto"/>
        </w:rPr>
      </w:pPr>
    </w:p>
    <w:p>
      <w:pPr>
        <w:ind w:right="60" w:firstLine="594"/>
        <w:spacing w:after="0" w:line="256" w:lineRule="auto"/>
        <w:rPr>
          <w:sz w:val="20"/>
          <w:szCs w:val="20"/>
          <w:color w:val="auto"/>
        </w:rPr>
      </w:pPr>
      <w:r>
        <w:rPr>
          <w:rFonts w:ascii="Times New Roman" w:cs="Times New Roman" w:eastAsia="Times New Roman" w:hAnsi="Times New Roman"/>
          <w:sz w:val="19"/>
          <w:szCs w:val="19"/>
          <w:color w:val="1E1E1E"/>
        </w:rPr>
        <w:t>We also offer a Carbon Offset Program, which gives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promote green technologies like additive manufacturing, which help to reduce the carbon footprint of the manufacturing industry globally.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Why Buyers Win</w:t>
      </w:r>
    </w:p>
    <w:p>
      <w:pPr>
        <w:spacing w:after="0" w:line="255" w:lineRule="exact"/>
        <w:rPr>
          <w:sz w:val="20"/>
          <w:szCs w:val="20"/>
          <w:color w:val="auto"/>
        </w:rPr>
      </w:pPr>
    </w:p>
    <w:p>
      <w:pPr>
        <w:ind w:left="820" w:hanging="232"/>
        <w:spacing w:after="0" w:line="256"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Instant and Competitive Pricing and Lead Times. </w:t>
      </w:r>
      <w:r>
        <w:rPr>
          <w:rFonts w:ascii="Times New Roman" w:cs="Times New Roman" w:eastAsia="Times New Roman" w:hAnsi="Times New Roman"/>
          <w:sz w:val="19"/>
          <w:szCs w:val="19"/>
          <w:color w:val="1E1E1E"/>
        </w:rPr>
        <w:t>We create value for buyers through our marketplace which is fueled by</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the continuous learning of our AI-enabled technology platform. The data generated by platform interactions improves the efficiency of our marketplace pricing and improves lead times for buyers. As our AI technology learns buyer needs and preferences, it becomes more precise and efficient, leading to better pricing and matching which in turn drives greater buyer engagement on the platform.</w:t>
      </w:r>
    </w:p>
    <w:p>
      <w:pPr>
        <w:spacing w:after="0" w:line="79" w:lineRule="exact"/>
        <w:rPr>
          <w:rFonts w:ascii="Arial" w:cs="Arial" w:eastAsia="Arial" w:hAnsi="Arial"/>
          <w:sz w:val="19"/>
          <w:szCs w:val="19"/>
          <w:color w:val="1E1E1E"/>
        </w:rPr>
      </w:pPr>
    </w:p>
    <w:p>
      <w:pPr>
        <w:ind w:left="820" w:right="20" w:hanging="232"/>
        <w:spacing w:after="0" w:line="256"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Ease of Purchase. </w:t>
      </w:r>
      <w:r>
        <w:rPr>
          <w:rFonts w:ascii="Times New Roman" w:cs="Times New Roman" w:eastAsia="Times New Roman" w:hAnsi="Times New Roman"/>
          <w:sz w:val="19"/>
          <w:szCs w:val="19"/>
          <w:color w:val="1E1E1E"/>
        </w:rPr>
        <w:t>We make it easy for buyers to transact on our marketplace. We are committed to simplifying the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procurement process for buyers and offer an exceptional e-commerce experience to simplify transactions. After a buyer uploads a CAD file, our platform provides instant access to a wide range of materials, finishes and certifications, with transparent pricing and lead-time information. Buyers can also access our e-commerce capabilities through our plug-ins created for various popular 3D CAD programs and punch-out integrations with widely-used ERP and procurement systems.</w:t>
      </w:r>
    </w:p>
    <w:p>
      <w:pPr>
        <w:spacing w:after="0" w:line="79" w:lineRule="exact"/>
        <w:rPr>
          <w:rFonts w:ascii="Arial" w:cs="Arial" w:eastAsia="Arial" w:hAnsi="Arial"/>
          <w:sz w:val="19"/>
          <w:szCs w:val="19"/>
          <w:color w:val="1E1E1E"/>
        </w:rPr>
      </w:pPr>
    </w:p>
    <w:p>
      <w:pPr>
        <w:ind w:left="820" w:right="80" w:hanging="232"/>
        <w:spacing w:after="0" w:line="256"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Access to a Growing Network of Suppliers. </w:t>
      </w:r>
      <w:r>
        <w:rPr>
          <w:rFonts w:ascii="Times New Roman" w:cs="Times New Roman" w:eastAsia="Times New Roman" w:hAnsi="Times New Roman"/>
          <w:sz w:val="19"/>
          <w:szCs w:val="19"/>
          <w:color w:val="1E1E1E"/>
        </w:rPr>
        <w:t>We provide buyers access to a growing global network of suppliers on our</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platform. Our extensive network alongside a personalized user experience allows buyers to submit projects with unique components and specifications, which we source through our platform to suppliers that are able to deliver. In particular, we implement select credentialing and compliance specifications to ensure that we can meet the standards for buyers across a number of industries.</w:t>
      </w:r>
    </w:p>
    <w:p>
      <w:pPr>
        <w:spacing w:after="0" w:line="79" w:lineRule="exact"/>
        <w:rPr>
          <w:rFonts w:ascii="Arial" w:cs="Arial" w:eastAsia="Arial" w:hAnsi="Arial"/>
          <w:sz w:val="19"/>
          <w:szCs w:val="19"/>
          <w:color w:val="1E1E1E"/>
        </w:rPr>
      </w:pPr>
    </w:p>
    <w:p>
      <w:pPr>
        <w:ind w:left="820" w:right="120" w:hanging="232"/>
        <w:spacing w:after="0" w:line="259"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Broad Suite of Industry-Specific Solutions. </w:t>
      </w:r>
      <w:r>
        <w:rPr>
          <w:rFonts w:ascii="Times New Roman" w:cs="Times New Roman" w:eastAsia="Times New Roman" w:hAnsi="Times New Roman"/>
          <w:sz w:val="19"/>
          <w:szCs w:val="19"/>
          <w:color w:val="1E1E1E"/>
        </w:rPr>
        <w:t>We offer a wide range of traditional and emerging manufacturing processes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and materials for customized solutions across massive industries including Aerospace, Healthcare, Robotics, Defense, Industrial, Energy, Automotive, Government, Education and Consumer Goods. The extensibility of our platform allows us to add new processes over time.</w:t>
      </w:r>
    </w:p>
    <w:p>
      <w:pPr>
        <w:spacing w:after="0" w:line="78" w:lineRule="exact"/>
        <w:rPr>
          <w:rFonts w:ascii="Arial" w:cs="Arial" w:eastAsia="Arial" w:hAnsi="Arial"/>
          <w:sz w:val="19"/>
          <w:szCs w:val="19"/>
          <w:color w:val="1E1E1E"/>
        </w:rPr>
      </w:pPr>
    </w:p>
    <w:p>
      <w:pPr>
        <w:ind w:left="820" w:right="240" w:hanging="232"/>
        <w:spacing w:after="0" w:line="259"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Reliability and Quality. </w:t>
      </w:r>
      <w:r>
        <w:rPr>
          <w:rFonts w:ascii="Times New Roman" w:cs="Times New Roman" w:eastAsia="Times New Roman" w:hAnsi="Times New Roman"/>
          <w:sz w:val="19"/>
          <w:szCs w:val="19"/>
          <w:color w:val="1E1E1E"/>
        </w:rPr>
        <w:t>We offer consistently high-quality products and certainty of order fulfillment for buyers. We are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further embedding our platform into various buyer workflows by productizing our internal AI and workflow engine. Our enterprise integration supports procurement workflows and part and sourcing requirements. By embedding Xometry intelligence into workflows, we are able to deliver more reliable and relevant manufacturing solutions for buyers.</w:t>
      </w:r>
    </w:p>
    <w:p>
      <w:pPr>
        <w:spacing w:after="0" w:line="78" w:lineRule="exact"/>
        <w:rPr>
          <w:rFonts w:ascii="Arial" w:cs="Arial" w:eastAsia="Arial" w:hAnsi="Arial"/>
          <w:sz w:val="19"/>
          <w:szCs w:val="19"/>
          <w:color w:val="1E1E1E"/>
        </w:rPr>
      </w:pPr>
    </w:p>
    <w:p>
      <w:pPr>
        <w:ind w:left="820" w:right="160" w:hanging="232"/>
        <w:spacing w:after="0" w:line="253" w:lineRule="auto"/>
        <w:tabs>
          <w:tab w:leader="none" w:pos="820" w:val="left"/>
        </w:tabs>
        <w:numPr>
          <w:ilvl w:val="0"/>
          <w:numId w:val="6"/>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Production Flexibility. </w:t>
      </w:r>
      <w:r>
        <w:rPr>
          <w:rFonts w:ascii="Times New Roman" w:cs="Times New Roman" w:eastAsia="Times New Roman" w:hAnsi="Times New Roman"/>
          <w:sz w:val="19"/>
          <w:szCs w:val="19"/>
          <w:color w:val="1E1E1E"/>
        </w:rPr>
        <w:t>We allow buyers to purchase any number of parts and services. From one part to millions, buyers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have access to several manufacturing processes for rapid prototyping, product development, or high-volume production. These processes can also be combined with over 75 finishes available across CNC machining, sheet forming and cutting and additive manufacturing along with thousands of raw material and color combinations. Given this ability to provide tailored and scaled solutions, we find that buyers typically expand their use of our marketplace, sourcing a greater number of parts and processes over time.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Why Suppliers Win</w:t>
      </w:r>
    </w:p>
    <w:p>
      <w:pPr>
        <w:spacing w:after="0" w:line="255" w:lineRule="exact"/>
        <w:rPr>
          <w:sz w:val="20"/>
          <w:szCs w:val="20"/>
          <w:color w:val="auto"/>
        </w:rPr>
      </w:pPr>
    </w:p>
    <w:p>
      <w:pPr>
        <w:ind w:left="820" w:right="180" w:hanging="232"/>
        <w:spacing w:after="0" w:line="244" w:lineRule="auto"/>
        <w:tabs>
          <w:tab w:leader="none" w:pos="820" w:val="left"/>
        </w:tabs>
        <w:numPr>
          <w:ilvl w:val="0"/>
          <w:numId w:val="7"/>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Cost-Efficient, Real-Time New Business Generation. </w:t>
      </w:r>
      <w:r>
        <w:rPr>
          <w:rFonts w:ascii="Times New Roman" w:cs="Times New Roman" w:eastAsia="Times New Roman" w:hAnsi="Times New Roman"/>
          <w:sz w:val="19"/>
          <w:szCs w:val="19"/>
          <w:color w:val="1E1E1E"/>
        </w:rPr>
        <w:t>We offer suppliers access to manufacturing opportunities from our</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large, geographically and industry-diverse buyer base, allowing suppliers to gain new customers without increasing their sales and marketing spend. As our AI technology improves, our ability to generate new business for suppliers increases.</w:t>
      </w:r>
    </w:p>
    <w:p>
      <w:pPr>
        <w:spacing w:after="0" w:line="2" w:lineRule="exact"/>
        <w:rPr>
          <w:rFonts w:ascii="Arial" w:cs="Arial" w:eastAsia="Arial" w:hAnsi="Arial"/>
          <w:sz w:val="19"/>
          <w:szCs w:val="19"/>
          <w:color w:val="1E1E1E"/>
        </w:rPr>
      </w:pPr>
    </w:p>
    <w:p>
      <w:pPr>
        <w:ind w:left="820"/>
        <w:spacing w:after="0"/>
        <w:rPr>
          <w:rFonts w:ascii="Arial" w:cs="Arial" w:eastAsia="Arial" w:hAnsi="Arial"/>
          <w:sz w:val="19"/>
          <w:szCs w:val="19"/>
          <w:color w:val="1E1E1E"/>
        </w:rPr>
      </w:pPr>
      <w:r>
        <w:rPr>
          <w:rFonts w:ascii="Times New Roman" w:cs="Times New Roman" w:eastAsia="Times New Roman" w:hAnsi="Times New Roman"/>
          <w:sz w:val="19"/>
          <w:szCs w:val="19"/>
          <w:color w:val="1E1E1E"/>
        </w:rPr>
        <w:t>This model is designed to lower customer acquisition costs and improve suppliers margins over time.</w:t>
      </w:r>
    </w:p>
    <w:p>
      <w:pPr>
        <w:spacing w:after="0" w:line="135" w:lineRule="exact"/>
        <w:rPr>
          <w:rFonts w:ascii="Arial" w:cs="Arial" w:eastAsia="Arial" w:hAnsi="Arial"/>
          <w:sz w:val="19"/>
          <w:szCs w:val="19"/>
          <w:color w:val="1E1E1E"/>
        </w:rPr>
      </w:pPr>
    </w:p>
    <w:p>
      <w:pPr>
        <w:ind w:left="820" w:right="80" w:hanging="232"/>
        <w:spacing w:after="0" w:line="267" w:lineRule="auto"/>
        <w:tabs>
          <w:tab w:leader="none" w:pos="820" w:val="left"/>
        </w:tabs>
        <w:numPr>
          <w:ilvl w:val="0"/>
          <w:numId w:val="7"/>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Repeat, High-Quality Customers. </w:t>
      </w:r>
      <w:r>
        <w:rPr>
          <w:rFonts w:ascii="Times New Roman" w:cs="Times New Roman" w:eastAsia="Times New Roman" w:hAnsi="Times New Roman"/>
          <w:sz w:val="19"/>
          <w:szCs w:val="19"/>
          <w:color w:val="1E1E1E"/>
        </w:rPr>
        <w:t>Following a successful transaction, we initially offer the same supplier the exclusive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opportunity to accept the next repeat order in order to increase efficiency and reliability. Our ability to attract repeat buyers helps stabilize demand for suppliers so they can operate their businesses more efficiently.</w:t>
      </w:r>
    </w:p>
    <w:p>
      <w:pPr>
        <w:sectPr>
          <w:pgSz w:w="11880" w:h="15480" w:orient="portrait"/>
          <w:cols w:equalWidth="0" w:num="1">
            <w:col w:w="10460"/>
          </w:cols>
          <w:pgMar w:left="700" w:top="953" w:right="720" w:bottom="250" w:gutter="0" w:footer="0" w:header="0"/>
        </w:sect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3</w:t>
      </w:r>
    </w:p>
    <w:p>
      <w:pPr>
        <w:sectPr>
          <w:pgSz w:w="11880" w:h="15480" w:orient="portrait"/>
          <w:cols w:equalWidth="0" w:num="1">
            <w:col w:w="10460"/>
          </w:cols>
          <w:pgMar w:left="700" w:top="953" w:right="720" w:bottom="250" w:gutter="0" w:footer="0" w:header="0"/>
          <w:type w:val="continuous"/>
        </w:sectPr>
      </w:pPr>
    </w:p>
    <w:bookmarkStart w:id="9" w:name="page10"/>
    <w:bookmarkEnd w:id="9"/>
    <w:p>
      <w:pPr>
        <w:ind w:left="232" w:right="40" w:hanging="232"/>
        <w:spacing w:after="0" w:line="252" w:lineRule="auto"/>
        <w:tabs>
          <w:tab w:leader="none" w:pos="232" w:val="left"/>
        </w:tabs>
        <w:numPr>
          <w:ilvl w:val="0"/>
          <w:numId w:val="8"/>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Operational Excellence. </w:t>
      </w:r>
      <w:r>
        <w:rPr>
          <w:rFonts w:ascii="Times New Roman" w:cs="Times New Roman" w:eastAsia="Times New Roman" w:hAnsi="Times New Roman"/>
          <w:sz w:val="19"/>
          <w:szCs w:val="19"/>
          <w:color w:val="1E1E1E"/>
        </w:rPr>
        <w:t>We aim to be a completely digital one-stop-shop for all workflow solutions for suppliers.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Workcenter helps our suppliers digitize their operations so they can work smarter and faster. We provide order management, shipping and collaboration tools, reducing friction for suppliers and improving overall manufacturing order process efficiency. During 2022, we introduced Workcenter which gives suppliers a one-stop view into all of their Xometry and non-Xometry work. A cloud-based manufacturing execution system, Workcenter brings the job board and financial services into one, easy-to-use platform. With Workcenter, shop owners can build and manage workflows for all their projects, including those from non-Xometry customers, and also quote new projects from Xometry and Thomas.</w:t>
      </w:r>
    </w:p>
    <w:p>
      <w:pPr>
        <w:spacing w:after="0" w:line="85" w:lineRule="exact"/>
        <w:rPr>
          <w:rFonts w:ascii="Arial" w:cs="Arial" w:eastAsia="Arial" w:hAnsi="Arial"/>
          <w:sz w:val="19"/>
          <w:szCs w:val="19"/>
          <w:color w:val="1E1E1E"/>
        </w:rPr>
      </w:pPr>
    </w:p>
    <w:p>
      <w:pPr>
        <w:ind w:left="232" w:right="20" w:hanging="232"/>
        <w:spacing w:after="0" w:line="257" w:lineRule="auto"/>
        <w:tabs>
          <w:tab w:leader="none" w:pos="232" w:val="left"/>
        </w:tabs>
        <w:numPr>
          <w:ilvl w:val="0"/>
          <w:numId w:val="8"/>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Financial Stability and Security. </w:t>
      </w:r>
      <w:r>
        <w:rPr>
          <w:rFonts w:ascii="Times New Roman" w:cs="Times New Roman" w:eastAsia="Times New Roman" w:hAnsi="Times New Roman"/>
          <w:sz w:val="19"/>
          <w:szCs w:val="19"/>
          <w:color w:val="1E1E1E"/>
        </w:rPr>
        <w:t>Our suite of financial services and Xometry maintenance, repair, and operating</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partnerships help suppliers enhance their cash flows and lower operating costs at all stages of production. Suppliers can receive cash advances for their work, accelerated payouts and a seamless digital invoicing process in an industry that frequently still relies on analog payments that are prone to delays. These services help suppliers manage their business more efficiently.</w:t>
      </w:r>
    </w:p>
    <w:p>
      <w:pPr>
        <w:spacing w:after="0" w:line="309" w:lineRule="exact"/>
        <w:rPr>
          <w:rFonts w:ascii="Arial" w:cs="Arial" w:eastAsia="Arial" w:hAnsi="Arial"/>
          <w:sz w:val="19"/>
          <w:szCs w:val="19"/>
          <w:color w:val="1E1E1E"/>
        </w:rPr>
      </w:pPr>
    </w:p>
    <w:p>
      <w:pPr>
        <w:ind w:left="232" w:right="360" w:hanging="232"/>
        <w:spacing w:after="0" w:line="259" w:lineRule="auto"/>
        <w:tabs>
          <w:tab w:leader="none" w:pos="232" w:val="left"/>
        </w:tabs>
        <w:numPr>
          <w:ilvl w:val="0"/>
          <w:numId w:val="8"/>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Advertising, Marketing and Data Solutions. </w:t>
      </w:r>
      <w:r>
        <w:rPr>
          <w:rFonts w:ascii="Times New Roman" w:cs="Times New Roman" w:eastAsia="Times New Roman" w:hAnsi="Times New Roman"/>
          <w:sz w:val="19"/>
          <w:szCs w:val="19"/>
          <w:color w:val="1E1E1E"/>
        </w:rPr>
        <w:t>Our suite of digital advertising and marketing services and data solutions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provided by Thomasnet helps suppliers grow and efficiently run their business. We offer suppliers a full slate of digital advertising and marketing services, including targeted advertising to buyers, website building, and search-engine optimization (“SEO”) resources that will help them further grow their business.</w:t>
      </w:r>
    </w:p>
    <w:p>
      <w:pPr>
        <w:spacing w:after="0" w:line="78" w:lineRule="exact"/>
        <w:rPr>
          <w:rFonts w:ascii="Arial" w:cs="Arial" w:eastAsia="Arial" w:hAnsi="Arial"/>
          <w:sz w:val="19"/>
          <w:szCs w:val="19"/>
          <w:color w:val="1E1E1E"/>
        </w:rPr>
      </w:pPr>
    </w:p>
    <w:p>
      <w:pPr>
        <w:ind w:left="232" w:hanging="232"/>
        <w:spacing w:after="0" w:line="256" w:lineRule="auto"/>
        <w:tabs>
          <w:tab w:leader="none" w:pos="232" w:val="left"/>
        </w:tabs>
        <w:numPr>
          <w:ilvl w:val="0"/>
          <w:numId w:val="8"/>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Increased Utilization. </w:t>
      </w:r>
      <w:r>
        <w:rPr>
          <w:rFonts w:ascii="Times New Roman" w:cs="Times New Roman" w:eastAsia="Times New Roman" w:hAnsi="Times New Roman"/>
          <w:sz w:val="19"/>
          <w:szCs w:val="19"/>
          <w:color w:val="1E1E1E"/>
        </w:rPr>
        <w:t>We are focused on helping suppliers realize their potential by providing manufacturing opportunities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that can be procured in a single click. Knowing that there is a reliable way to find extra work gives suppliers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supplier network.</w:t>
      </w:r>
    </w:p>
    <w:p>
      <w:pPr>
        <w:spacing w:after="0" w:line="79" w:lineRule="exact"/>
        <w:rPr>
          <w:rFonts w:ascii="Arial" w:cs="Arial" w:eastAsia="Arial" w:hAnsi="Arial"/>
          <w:sz w:val="19"/>
          <w:szCs w:val="19"/>
          <w:color w:val="1E1E1E"/>
        </w:rPr>
      </w:pPr>
    </w:p>
    <w:p>
      <w:pPr>
        <w:ind w:left="232" w:right="200" w:hanging="232"/>
        <w:spacing w:after="0" w:line="256" w:lineRule="auto"/>
        <w:tabs>
          <w:tab w:leader="none" w:pos="232" w:val="left"/>
        </w:tabs>
        <w:numPr>
          <w:ilvl w:val="0"/>
          <w:numId w:val="8"/>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Supplier Community. </w:t>
      </w:r>
      <w:r>
        <w:rPr>
          <w:rFonts w:ascii="Times New Roman" w:cs="Times New Roman" w:eastAsia="Times New Roman" w:hAnsi="Times New Roman"/>
          <w:sz w:val="19"/>
          <w:szCs w:val="19"/>
          <w:color w:val="1E1E1E"/>
        </w:rPr>
        <w:t>Through our supplier-focused community initiatives, we empower suppliers of a variety of sizes to</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grow their businesses. Our Community Portal is an active and dedicated place where we can interact with our suppliers to better understand their needs and interests, and also give suppliers a platform to support one another. Our suppliers take pride in their crafts and are often sharing tips on machining best practices as well as how they leverage Xometry to work best for their shop.</w:t>
      </w:r>
    </w:p>
    <w:p>
      <w:pPr>
        <w:spacing w:after="0" w:line="296" w:lineRule="exact"/>
        <w:rPr>
          <w:sz w:val="20"/>
          <w:szCs w:val="20"/>
          <w:color w:val="auto"/>
        </w:rPr>
      </w:pPr>
    </w:p>
    <w:p>
      <w:pPr>
        <w:ind w:left="4092"/>
        <w:spacing w:after="0"/>
        <w:rPr>
          <w:sz w:val="20"/>
          <w:szCs w:val="20"/>
          <w:color w:val="auto"/>
        </w:rPr>
      </w:pPr>
      <w:r>
        <w:rPr>
          <w:rFonts w:ascii="Times New Roman" w:cs="Times New Roman" w:eastAsia="Times New Roman" w:hAnsi="Times New Roman"/>
          <w:sz w:val="19"/>
          <w:szCs w:val="19"/>
          <w:b w:val="1"/>
          <w:bCs w:val="1"/>
          <w:color w:val="1E1E1E"/>
        </w:rPr>
        <w:t>Why We Win</w:t>
      </w:r>
    </w:p>
    <w:p>
      <w:pPr>
        <w:spacing w:after="0" w:line="255" w:lineRule="exact"/>
        <w:rPr>
          <w:sz w:val="20"/>
          <w:szCs w:val="20"/>
          <w:color w:val="auto"/>
        </w:rPr>
      </w:pPr>
    </w:p>
    <w:p>
      <w:pPr>
        <w:ind w:left="232" w:right="100" w:hanging="232"/>
        <w:spacing w:after="0" w:line="252" w:lineRule="auto"/>
        <w:tabs>
          <w:tab w:leader="none" w:pos="232" w:val="left"/>
        </w:tabs>
        <w:numPr>
          <w:ilvl w:val="0"/>
          <w:numId w:val="9"/>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Rich Data and Constantly Improving AI Technology. </w:t>
      </w:r>
      <w:r>
        <w:rPr>
          <w:rFonts w:ascii="Times New Roman" w:cs="Times New Roman" w:eastAsia="Times New Roman" w:hAnsi="Times New Roman"/>
          <w:sz w:val="19"/>
          <w:szCs w:val="19"/>
          <w:color w:val="1E1E1E"/>
        </w:rPr>
        <w:t>In an industry that historically used intuition and basic data to drive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this growing data set, we have been refining our AI technology to improve sourcing, pricing and lead time quotes for buyers and suppliers. This data in combination with our machine learning algorithms fuels the continuous learning of our models. As our models improve, pricing and supplier matching on our platform becomes more efficient helping to drive expanding marketplace gross margin.</w:t>
      </w:r>
    </w:p>
    <w:p>
      <w:pPr>
        <w:spacing w:after="0" w:line="85" w:lineRule="exact"/>
        <w:rPr>
          <w:rFonts w:ascii="Arial" w:cs="Arial" w:eastAsia="Arial" w:hAnsi="Arial"/>
          <w:sz w:val="19"/>
          <w:szCs w:val="19"/>
          <w:color w:val="1E1E1E"/>
        </w:rPr>
      </w:pPr>
    </w:p>
    <w:p>
      <w:pPr>
        <w:ind w:left="232" w:right="20" w:hanging="232"/>
        <w:spacing w:after="0" w:line="253" w:lineRule="auto"/>
        <w:tabs>
          <w:tab w:leader="none" w:pos="232" w:val="left"/>
        </w:tabs>
        <w:numPr>
          <w:ilvl w:val="0"/>
          <w:numId w:val="9"/>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Custom-Built, Extensible Platform. </w:t>
      </w:r>
      <w:r>
        <w:rPr>
          <w:rFonts w:ascii="Times New Roman" w:cs="Times New Roman" w:eastAsia="Times New Roman" w:hAnsi="Times New Roman"/>
          <w:sz w:val="19"/>
          <w:szCs w:val="19"/>
          <w:color w:val="1E1E1E"/>
        </w:rPr>
        <w:t>Our manufacturing processes and supply offerings are tailored to the complex and</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industry-specific design and order needs of manufacturing. These custom offerings are powered by our diverse and growing supplier network which contributes differentiated processes and our AI-enabled technology that facilitates intelligent matches between buyers and suppliers. Additionally, our use of services-oriented architecture and cloud infrastructure ensures scalability and helps reduce the time to market for new offerings. With the acquisition of Thomasnet, we continue to add new manufacturing processes by leveraging data and supplier relationships on the platform.</w:t>
      </w:r>
    </w:p>
    <w:p>
      <w:pPr>
        <w:spacing w:after="0" w:line="86" w:lineRule="exact"/>
        <w:rPr>
          <w:rFonts w:ascii="Arial" w:cs="Arial" w:eastAsia="Arial" w:hAnsi="Arial"/>
          <w:sz w:val="19"/>
          <w:szCs w:val="19"/>
          <w:color w:val="1E1E1E"/>
        </w:rPr>
      </w:pPr>
    </w:p>
    <w:p>
      <w:pPr>
        <w:ind w:left="232" w:right="140" w:hanging="232"/>
        <w:spacing w:after="0" w:line="259" w:lineRule="auto"/>
        <w:tabs>
          <w:tab w:leader="none" w:pos="232" w:val="left"/>
        </w:tabs>
        <w:numPr>
          <w:ilvl w:val="0"/>
          <w:numId w:val="9"/>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Powerful Network Effects. </w:t>
      </w:r>
      <w:r>
        <w:rPr>
          <w:rFonts w:ascii="Times New Roman" w:cs="Times New Roman" w:eastAsia="Times New Roman" w:hAnsi="Times New Roman"/>
          <w:sz w:val="19"/>
          <w:szCs w:val="19"/>
          <w:color w:val="1E1E1E"/>
        </w:rPr>
        <w:t>Today, we are the largest AI-enabled digital manufacturing marketplace by revenue. As we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continue to scale, we benefit from a self-reinforcing, virtuous cycle, in which marketplace interactions contribute valuable data points and insights that improve our AI-enabled platform. As a result, we have experienced rapid growth in our active buyer and active supplier base, fueling marketplace growth.</w:t>
      </w:r>
    </w:p>
    <w:p>
      <w:pPr>
        <w:spacing w:after="0" w:line="78" w:lineRule="exact"/>
        <w:rPr>
          <w:rFonts w:ascii="Arial" w:cs="Arial" w:eastAsia="Arial" w:hAnsi="Arial"/>
          <w:sz w:val="19"/>
          <w:szCs w:val="19"/>
          <w:color w:val="1E1E1E"/>
        </w:rPr>
      </w:pPr>
    </w:p>
    <w:p>
      <w:pPr>
        <w:ind w:left="232" w:right="20" w:hanging="232"/>
        <w:spacing w:after="0" w:line="253" w:lineRule="auto"/>
        <w:tabs>
          <w:tab w:leader="none" w:pos="232" w:val="left"/>
        </w:tabs>
        <w:numPr>
          <w:ilvl w:val="0"/>
          <w:numId w:val="9"/>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Buyer Engagement and Expansion. </w:t>
      </w:r>
      <w:r>
        <w:rPr>
          <w:rFonts w:ascii="Times New Roman" w:cs="Times New Roman" w:eastAsia="Times New Roman" w:hAnsi="Times New Roman"/>
          <w:sz w:val="19"/>
          <w:szCs w:val="19"/>
          <w:color w:val="1E1E1E"/>
        </w:rPr>
        <w:t>Our flexible ordering process allows us to land new customers and increases buyer</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loyalty, fueling an efficient go-to-market model. Over time, our accounts typically increase their spend with us through the addition of buyers and incremental processes, increasing order frequency and spend. For the quarter ended December 31, 2023, 96% of our marketplace revenue was generated from existing accounts. We define an existing account as an account where at least one buyer has made a purchase on our marketplace. For the quarter ended December 31, 2023, we saw a 30% year-over-year increase in accounts with at least $50,000 annual spend.</w:t>
      </w:r>
    </w:p>
    <w:p>
      <w:pPr>
        <w:spacing w:after="0" w:line="86" w:lineRule="exact"/>
        <w:rPr>
          <w:rFonts w:ascii="Arial" w:cs="Arial" w:eastAsia="Arial" w:hAnsi="Arial"/>
          <w:sz w:val="19"/>
          <w:szCs w:val="19"/>
          <w:color w:val="1E1E1E"/>
        </w:rPr>
      </w:pPr>
    </w:p>
    <w:p>
      <w:pPr>
        <w:ind w:left="232" w:right="60" w:hanging="232"/>
        <w:spacing w:after="0" w:line="261" w:lineRule="auto"/>
        <w:tabs>
          <w:tab w:leader="none" w:pos="232" w:val="left"/>
        </w:tabs>
        <w:numPr>
          <w:ilvl w:val="0"/>
          <w:numId w:val="9"/>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Globally Distributed Supplier Network. </w:t>
      </w:r>
      <w:r>
        <w:rPr>
          <w:rFonts w:ascii="Times New Roman" w:cs="Times New Roman" w:eastAsia="Times New Roman" w:hAnsi="Times New Roman"/>
          <w:sz w:val="19"/>
          <w:szCs w:val="19"/>
          <w:color w:val="1E1E1E"/>
        </w:rPr>
        <w:t>Our global network of over 10,000 supplier brings together a range of</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manufacturing processes and industry-specific knowledge. With the acquisition of Thomas, we have access to an additional 500,000 suppliers. This enables us to serve a large, diverse and growing set of buyers. We offer our suppliers products and</w:t>
      </w:r>
    </w:p>
    <w:p>
      <w:pPr>
        <w:sectPr>
          <w:pgSz w:w="11880" w:h="15480" w:orient="portrait"/>
          <w:cols w:equalWidth="0" w:num="1">
            <w:col w:w="9892"/>
          </w:cols>
          <w:pgMar w:left="1288" w:top="970" w:right="700" w:bottom="250" w:gutter="0" w:footer="0" w:header="0"/>
        </w:sectPr>
      </w:pPr>
    </w:p>
    <w:p>
      <w:pPr>
        <w:spacing w:after="0" w:line="2" w:lineRule="exact"/>
        <w:rPr>
          <w:sz w:val="20"/>
          <w:szCs w:val="20"/>
          <w:color w:val="auto"/>
        </w:rPr>
      </w:pPr>
    </w:p>
    <w:p>
      <w:pPr>
        <w:ind w:left="4612"/>
        <w:spacing w:after="0"/>
        <w:rPr>
          <w:sz w:val="20"/>
          <w:szCs w:val="20"/>
          <w:color w:val="auto"/>
        </w:rPr>
      </w:pPr>
      <w:r>
        <w:rPr>
          <w:rFonts w:ascii="Times New Roman" w:cs="Times New Roman" w:eastAsia="Times New Roman" w:hAnsi="Times New Roman"/>
          <w:sz w:val="16"/>
          <w:szCs w:val="16"/>
          <w:color w:val="1E1E1E"/>
        </w:rPr>
        <w:t>4</w:t>
      </w:r>
    </w:p>
    <w:p>
      <w:pPr>
        <w:sectPr>
          <w:pgSz w:w="11880" w:h="15480" w:orient="portrait"/>
          <w:cols w:equalWidth="0" w:num="1">
            <w:col w:w="9892"/>
          </w:cols>
          <w:pgMar w:left="1288" w:top="970" w:right="700" w:bottom="250" w:gutter="0" w:footer="0" w:header="0"/>
          <w:type w:val="continuous"/>
        </w:sectPr>
      </w:pPr>
    </w:p>
    <w:bookmarkStart w:id="10" w:name="page11"/>
    <w:bookmarkEnd w:id="10"/>
    <w:p>
      <w:pPr>
        <w:ind w:left="820" w:right="360"/>
        <w:spacing w:after="0" w:line="290" w:lineRule="auto"/>
        <w:rPr>
          <w:sz w:val="20"/>
          <w:szCs w:val="20"/>
          <w:color w:val="auto"/>
        </w:rPr>
      </w:pPr>
      <w:r>
        <w:rPr>
          <w:rFonts w:ascii="Times New Roman" w:cs="Times New Roman" w:eastAsia="Times New Roman" w:hAnsi="Times New Roman"/>
          <w:sz w:val="19"/>
          <w:szCs w:val="19"/>
          <w:color w:val="1E1E1E"/>
        </w:rPr>
        <w:t>services to help them manage their businesses more efficiently and connect our entire supplier community for access to shared resources and support.</w:t>
      </w:r>
    </w:p>
    <w:p>
      <w:pPr>
        <w:spacing w:after="0" w:line="49" w:lineRule="exact"/>
        <w:rPr>
          <w:sz w:val="20"/>
          <w:szCs w:val="20"/>
          <w:color w:val="auto"/>
        </w:rPr>
      </w:pPr>
    </w:p>
    <w:p>
      <w:pPr>
        <w:ind w:left="820" w:right="60" w:hanging="232"/>
        <w:spacing w:after="0" w:line="259" w:lineRule="auto"/>
        <w:tabs>
          <w:tab w:leader="none" w:pos="820" w:val="left"/>
        </w:tabs>
        <w:numPr>
          <w:ilvl w:val="0"/>
          <w:numId w:val="10"/>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Mission-Driven Culture. </w:t>
      </w:r>
      <w:r>
        <w:rPr>
          <w:rFonts w:ascii="Times New Roman" w:cs="Times New Roman" w:eastAsia="Times New Roman" w:hAnsi="Times New Roman"/>
          <w:sz w:val="19"/>
          <w:szCs w:val="19"/>
          <w:color w:val="1E1E1E"/>
        </w:rPr>
        <w:t>As we accelerate innovation in manufacturing, we remain focused on empowering local</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1E1E1E"/>
        </w:rPr>
        <w:t>Our Growth Strategy</w:t>
      </w:r>
    </w:p>
    <w:p>
      <w:pPr>
        <w:spacing w:after="0" w:line="255" w:lineRule="exact"/>
        <w:rPr>
          <w:sz w:val="20"/>
          <w:szCs w:val="20"/>
          <w:color w:val="auto"/>
        </w:rPr>
      </w:pPr>
    </w:p>
    <w:p>
      <w:pPr>
        <w:ind w:left="820" w:right="160" w:hanging="232"/>
        <w:spacing w:after="0" w:line="259"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Attract new buyers and grow wallet share with existing buyers. </w:t>
      </w:r>
      <w:r>
        <w:rPr>
          <w:rFonts w:ascii="Times New Roman" w:cs="Times New Roman" w:eastAsia="Times New Roman" w:hAnsi="Times New Roman"/>
          <w:sz w:val="19"/>
          <w:szCs w:val="19"/>
          <w:color w:val="1E1E1E"/>
        </w:rPr>
        <w:t>We intend to continue investing in acquiring new buyers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through traditional paid sales and marketing techniques as well as leveraging our strong organic referral network to drive awareness and build trust. We are also focused on increasing buyer loyalty and buyer spend within existing accounts by investing in our sales and marketing capabilities.</w:t>
      </w:r>
    </w:p>
    <w:p>
      <w:pPr>
        <w:spacing w:after="0" w:line="78" w:lineRule="exact"/>
        <w:rPr>
          <w:rFonts w:ascii="Arial" w:cs="Arial" w:eastAsia="Arial" w:hAnsi="Arial"/>
          <w:sz w:val="19"/>
          <w:szCs w:val="19"/>
          <w:color w:val="1E1E1E"/>
        </w:rPr>
      </w:pPr>
    </w:p>
    <w:p>
      <w:pPr>
        <w:ind w:left="820" w:right="80" w:hanging="232"/>
        <w:spacing w:after="0" w:line="267"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Deepen and expand supplier partnerships. </w:t>
      </w:r>
      <w:r>
        <w:rPr>
          <w:rFonts w:ascii="Times New Roman" w:cs="Times New Roman" w:eastAsia="Times New Roman" w:hAnsi="Times New Roman"/>
          <w:sz w:val="19"/>
          <w:szCs w:val="19"/>
          <w:color w:val="1E1E1E"/>
        </w:rPr>
        <w:t>Creating the largest, most connected, and efficient supplier network in the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world benefits our entire platform. We are focused on attracting new suppliers, recognizing the massive opportunity still in front of us and the intrinsic benefit an active, diverse supplier population brings to the overall platform.</w:t>
      </w:r>
    </w:p>
    <w:p>
      <w:pPr>
        <w:spacing w:after="0" w:line="69" w:lineRule="exact"/>
        <w:rPr>
          <w:rFonts w:ascii="Arial" w:cs="Arial" w:eastAsia="Arial" w:hAnsi="Arial"/>
          <w:sz w:val="19"/>
          <w:szCs w:val="19"/>
          <w:color w:val="1E1E1E"/>
        </w:rPr>
      </w:pPr>
    </w:p>
    <w:p>
      <w:pPr>
        <w:ind w:left="820" w:right="60" w:hanging="232"/>
        <w:spacing w:after="0" w:line="259"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Become an enterprise solution for our suppliers. </w:t>
      </w:r>
      <w:r>
        <w:rPr>
          <w:rFonts w:ascii="Times New Roman" w:cs="Times New Roman" w:eastAsia="Times New Roman" w:hAnsi="Times New Roman"/>
          <w:sz w:val="19"/>
          <w:szCs w:val="19"/>
          <w:color w:val="1E1E1E"/>
        </w:rPr>
        <w:t>As we continue to grow the amount of data processed by our algorithms,</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we can provide our suppliers with progressively sophisticated data insights and analytics. Combined with our workflow management software and other supplier services, we will increasingly become the enterprise solution for suppliers to manage their businesses on and off platform.</w:t>
      </w:r>
    </w:p>
    <w:p>
      <w:pPr>
        <w:spacing w:after="0" w:line="78" w:lineRule="exact"/>
        <w:rPr>
          <w:rFonts w:ascii="Arial" w:cs="Arial" w:eastAsia="Arial" w:hAnsi="Arial"/>
          <w:sz w:val="19"/>
          <w:szCs w:val="19"/>
          <w:color w:val="1E1E1E"/>
        </w:rPr>
      </w:pPr>
    </w:p>
    <w:p>
      <w:pPr>
        <w:ind w:left="820" w:right="120" w:hanging="232"/>
        <w:spacing w:after="0" w:line="259"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Continue our international expansion. </w:t>
      </w:r>
      <w:r>
        <w:rPr>
          <w:rFonts w:ascii="Times New Roman" w:cs="Times New Roman" w:eastAsia="Times New Roman" w:hAnsi="Times New Roman"/>
          <w:sz w:val="19"/>
          <w:szCs w:val="19"/>
          <w:color w:val="1E1E1E"/>
        </w:rPr>
        <w:t>We believe there is significant opportunity in the global manufacturing ecosystem</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for a marketplace like Xometry. With operations throughout the majority of the contiguous United States, Canada, Europe and Asia, we have established footholds in major markets around the world. We will continue to dedicate sales and marketing resources to develop our supplier networks and attract buyers to our marketplace in other regions.</w:t>
      </w:r>
    </w:p>
    <w:p>
      <w:pPr>
        <w:spacing w:after="0" w:line="78" w:lineRule="exact"/>
        <w:rPr>
          <w:rFonts w:ascii="Arial" w:cs="Arial" w:eastAsia="Arial" w:hAnsi="Arial"/>
          <w:sz w:val="19"/>
          <w:szCs w:val="19"/>
          <w:color w:val="1E1E1E"/>
        </w:rPr>
      </w:pPr>
    </w:p>
    <w:p>
      <w:pPr>
        <w:ind w:left="820" w:right="80" w:hanging="232"/>
        <w:spacing w:after="0" w:line="253"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Enhance and offer additional supplier products and services. </w:t>
      </w:r>
      <w:r>
        <w:rPr>
          <w:rFonts w:ascii="Times New Roman" w:cs="Times New Roman" w:eastAsia="Times New Roman" w:hAnsi="Times New Roman"/>
          <w:sz w:val="19"/>
          <w:szCs w:val="19"/>
          <w:color w:val="1E1E1E"/>
        </w:rPr>
        <w:t>Our supplier products and services allow us to deepen</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supplier relationships and increase engagement. Revenue from our supplier services was approximately 15% of our total revenue for the year ended December 31, 2023. We plan to continue to market our financial service products to U.S. suppliers, enhance features that allow quicker conversion of purchase orders to cash, and build toward a full-service digital wallet for suppliers to use for payouts and purchases. In addition, we continue to enable our buyers and suppliers to seamlessly acquire our marketing and advertising services through Thomasnet.</w:t>
      </w:r>
    </w:p>
    <w:p>
      <w:pPr>
        <w:spacing w:after="0" w:line="86" w:lineRule="exact"/>
        <w:rPr>
          <w:rFonts w:ascii="Arial" w:cs="Arial" w:eastAsia="Arial" w:hAnsi="Arial"/>
          <w:sz w:val="19"/>
          <w:szCs w:val="19"/>
          <w:color w:val="1E1E1E"/>
        </w:rPr>
      </w:pPr>
    </w:p>
    <w:p>
      <w:pPr>
        <w:ind w:left="820" w:right="220" w:hanging="232"/>
        <w:spacing w:after="0" w:line="289" w:lineRule="auto"/>
        <w:tabs>
          <w:tab w:leader="none" w:pos="820" w:val="left"/>
        </w:tabs>
        <w:numPr>
          <w:ilvl w:val="0"/>
          <w:numId w:val="11"/>
        </w:numPr>
        <w:rPr>
          <w:rFonts w:ascii="Arial" w:cs="Arial" w:eastAsia="Arial" w:hAnsi="Arial"/>
          <w:sz w:val="19"/>
          <w:szCs w:val="19"/>
          <w:color w:val="1E1E1E"/>
        </w:rPr>
      </w:pPr>
      <w:r>
        <w:rPr>
          <w:rFonts w:ascii="Times New Roman" w:cs="Times New Roman" w:eastAsia="Times New Roman" w:hAnsi="Times New Roman"/>
          <w:sz w:val="19"/>
          <w:szCs w:val="19"/>
          <w:b w:val="1"/>
          <w:bCs w:val="1"/>
          <w:i w:val="1"/>
          <w:iCs w:val="1"/>
          <w:color w:val="1E1E1E"/>
        </w:rPr>
        <w:t xml:space="preserve">Pursue strategic acquisitions. </w:t>
      </w:r>
      <w:r>
        <w:rPr>
          <w:rFonts w:ascii="Times New Roman" w:cs="Times New Roman" w:eastAsia="Times New Roman" w:hAnsi="Times New Roman"/>
          <w:sz w:val="19"/>
          <w:szCs w:val="19"/>
          <w:color w:val="1E1E1E"/>
        </w:rPr>
        <w:t>With the size and complexity of the manufacturing industry we believe there is significant</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opportunity for targeted investments and acquisitions to strengthen our competitive position and processes.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Government Regulation</w:t>
      </w:r>
    </w:p>
    <w:p>
      <w:pPr>
        <w:spacing w:after="0" w:line="163" w:lineRule="exact"/>
        <w:rPr>
          <w:sz w:val="20"/>
          <w:szCs w:val="20"/>
          <w:color w:val="auto"/>
        </w:rPr>
      </w:pPr>
    </w:p>
    <w:p>
      <w:pPr>
        <w:ind w:right="20" w:firstLine="594"/>
        <w:spacing w:after="0" w:line="252" w:lineRule="auto"/>
        <w:rPr>
          <w:sz w:val="20"/>
          <w:szCs w:val="20"/>
          <w:color w:val="auto"/>
        </w:rPr>
      </w:pPr>
      <w:r>
        <w:rPr>
          <w:rFonts w:ascii="Times New Roman" w:cs="Times New Roman" w:eastAsia="Times New Roman" w:hAnsi="Times New Roman"/>
          <w:sz w:val="19"/>
          <w:szCs w:val="19"/>
          <w:color w:val="1E1E1E"/>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intellectual property, advertising, environmental, labor and employment, consumer protection and unsolicited email, and cybersecurity,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Data Privacy and Security Laws</w:t>
      </w:r>
    </w:p>
    <w:p>
      <w:pPr>
        <w:spacing w:after="0" w:line="200" w:lineRule="exact"/>
        <w:rPr>
          <w:sz w:val="20"/>
          <w:szCs w:val="20"/>
          <w:color w:val="auto"/>
        </w:rPr>
      </w:pPr>
    </w:p>
    <w:p>
      <w:pPr>
        <w:spacing w:after="0" w:line="248" w:lineRule="exact"/>
        <w:rPr>
          <w:sz w:val="20"/>
          <w:szCs w:val="20"/>
          <w:color w:val="auto"/>
        </w:rPr>
      </w:pPr>
    </w:p>
    <w:p>
      <w:pPr>
        <w:ind w:firstLine="970"/>
        <w:spacing w:after="0" w:line="252" w:lineRule="auto"/>
        <w:rPr>
          <w:sz w:val="20"/>
          <w:szCs w:val="20"/>
          <w:color w:val="auto"/>
        </w:rPr>
      </w:pPr>
      <w:r>
        <w:rPr>
          <w:rFonts w:ascii="Times New Roman" w:cs="Times New Roman" w:eastAsia="Times New Roman" w:hAnsi="Times New Roman"/>
          <w:sz w:val="19"/>
          <w:szCs w:val="19"/>
          <w:color w:val="1E1E1E"/>
        </w:rPr>
        <w:t>We may be subject to numerous data privacy and security obligations in various jurisdictions, including laws, regulations, guidance, industry standards, external and internal privacy and security policies, contractual requirements, and other obligations relating to data privacy and security. Most U.S. states have enacted laws and regulations requiring notification to users when there is a security breach of personal data, or requiring the adoption of certain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1E1E1E"/>
        </w:rPr>
        <w:t>We are also subject to federal, state, and foreign laws and regulations regarding privacy and protection of data. Our privacy</w:t>
      </w:r>
    </w:p>
    <w:p>
      <w:pPr>
        <w:sectPr>
          <w:pgSz w:w="11880" w:h="15480" w:orient="portrait"/>
          <w:cols w:equalWidth="0" w:num="1">
            <w:col w:w="10440"/>
          </w:cols>
          <w:pgMar w:left="700" w:top="957" w:right="740" w:bottom="25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1E1E1E"/>
        </w:rPr>
        <w:t>5</w:t>
      </w:r>
    </w:p>
    <w:p>
      <w:pPr>
        <w:sectPr>
          <w:pgSz w:w="11880" w:h="15480" w:orient="portrait"/>
          <w:cols w:equalWidth="0" w:num="1">
            <w:col w:w="10440"/>
          </w:cols>
          <w:pgMar w:left="700" w:top="957" w:right="740" w:bottom="250" w:gutter="0" w:footer="0" w:header="0"/>
          <w:type w:val="continuous"/>
        </w:sectPr>
      </w:pPr>
    </w:p>
    <w:bookmarkStart w:id="11" w:name="page12"/>
    <w:bookmarkEnd w:id="11"/>
    <w:p>
      <w:pPr>
        <w:spacing w:after="0" w:line="251" w:lineRule="auto"/>
        <w:rPr>
          <w:sz w:val="20"/>
          <w:szCs w:val="20"/>
          <w:color w:val="auto"/>
        </w:rPr>
      </w:pPr>
      <w:r>
        <w:rPr>
          <w:rFonts w:ascii="Times New Roman" w:cs="Times New Roman" w:eastAsia="Times New Roman" w:hAnsi="Times New Roman"/>
          <w:sz w:val="19"/>
          <w:szCs w:val="19"/>
          <w:color w:val="1E1E1E"/>
        </w:rPr>
        <w:t>policies describe our practices concerning the use, storage, transmission and disclosure of personal information, including visitor and user data. Any failure by us to comply with these terms or privacy related laws and regulations could result in proceedings against us by governmental authorities or others, which could harm our business. In addition, the interpretation of privacy and data protection laws and regulations and their application to online services are quickly changing, becoming increasingly stringent, and creating regulatory uncertainty. There is a risk that these laws and regulations may be interpreted and applied in conflicting ways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341" w:lineRule="exact"/>
        <w:rPr>
          <w:sz w:val="20"/>
          <w:szCs w:val="20"/>
          <w:color w:val="auto"/>
        </w:rPr>
      </w:pPr>
    </w:p>
    <w:p>
      <w:pPr>
        <w:ind w:right="60" w:firstLine="594"/>
        <w:spacing w:after="0" w:line="260" w:lineRule="auto"/>
        <w:rPr>
          <w:sz w:val="20"/>
          <w:szCs w:val="20"/>
          <w:color w:val="auto"/>
        </w:rPr>
      </w:pPr>
      <w:r>
        <w:rPr>
          <w:rFonts w:ascii="Times New Roman" w:cs="Times New Roman" w:eastAsia="Times New Roman" w:hAnsi="Times New Roman"/>
          <w:sz w:val="19"/>
          <w:szCs w:val="19"/>
          <w:color w:val="1E1E1E"/>
        </w:rPr>
        <w:t>In addition, outside the U.S., an increasing number of laws, regulations, and industry standards govern data privacy and security. Complying with these varying domestic and foreign requirements could cause us to incur additional costs and change our business practices. Further, any failure by us to adequately protect our users’ privacy and data could result in a loss of user confidence in our services and ultimately in a loss of users, which could adversely affect our business.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Human Capital</w:t>
      </w:r>
    </w:p>
    <w:p>
      <w:pPr>
        <w:spacing w:after="0" w:line="202" w:lineRule="exact"/>
        <w:rPr>
          <w:sz w:val="20"/>
          <w:szCs w:val="20"/>
          <w:color w:val="auto"/>
        </w:rPr>
      </w:pPr>
    </w:p>
    <w:p>
      <w:pPr>
        <w:ind w:right="20" w:firstLine="594"/>
        <w:spacing w:after="0" w:line="267" w:lineRule="auto"/>
        <w:rPr>
          <w:sz w:val="20"/>
          <w:szCs w:val="20"/>
          <w:color w:val="auto"/>
        </w:rPr>
      </w:pPr>
      <w:r>
        <w:rPr>
          <w:rFonts w:ascii="Times New Roman" w:cs="Times New Roman" w:eastAsia="Times New Roman" w:hAnsi="Times New Roman"/>
          <w:sz w:val="19"/>
          <w:szCs w:val="19"/>
          <w:color w:val="1E1E1E"/>
        </w:rPr>
        <w:t>We strive to recruit, develop, and engage diverse, highly talented and driven employees who connect to our mission and model our core values. We believe that our strong, mission-driven culture and our continued investment in our employees’ growth and development are key to our collective success. As of December 31, 2023, we had 992 employees.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Xometry Culture and Engagement</w:t>
      </w:r>
    </w:p>
    <w:p>
      <w:pPr>
        <w:spacing w:after="0" w:line="195" w:lineRule="exact"/>
        <w:rPr>
          <w:sz w:val="20"/>
          <w:szCs w:val="20"/>
          <w:color w:val="auto"/>
        </w:rPr>
      </w:pPr>
    </w:p>
    <w:p>
      <w:pPr>
        <w:ind w:right="160" w:firstLine="594"/>
        <w:spacing w:after="0" w:line="260" w:lineRule="auto"/>
        <w:rPr>
          <w:sz w:val="20"/>
          <w:szCs w:val="20"/>
          <w:color w:val="auto"/>
        </w:rPr>
      </w:pPr>
      <w:r>
        <w:rPr>
          <w:rFonts w:ascii="Times New Roman" w:cs="Times New Roman" w:eastAsia="Times New Roman" w:hAnsi="Times New Roman"/>
          <w:sz w:val="19"/>
          <w:szCs w:val="19"/>
          <w:color w:val="1E1E1E"/>
        </w:rPr>
        <w:t>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w:t>
      </w:r>
    </w:p>
    <w:p>
      <w:pPr>
        <w:spacing w:after="0" w:line="140" w:lineRule="exact"/>
        <w:rPr>
          <w:sz w:val="20"/>
          <w:szCs w:val="20"/>
          <w:color w:val="auto"/>
        </w:rPr>
      </w:pPr>
    </w:p>
    <w:p>
      <w:pPr>
        <w:ind w:right="440" w:firstLine="594"/>
        <w:spacing w:after="0" w:line="290" w:lineRule="auto"/>
        <w:rPr>
          <w:sz w:val="20"/>
          <w:szCs w:val="20"/>
          <w:color w:val="auto"/>
        </w:rPr>
      </w:pPr>
      <w:r>
        <w:rPr>
          <w:rFonts w:ascii="Times New Roman" w:cs="Times New Roman" w:eastAsia="Times New Roman" w:hAnsi="Times New Roman"/>
          <w:sz w:val="19"/>
          <w:szCs w:val="19"/>
          <w:color w:val="1E1E1E"/>
        </w:rPr>
        <w:t>All of us at Xometry come to work with one mission in mind, to champion the manufacturers who build the big ideas that move our world forward.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Employee Learning and Development</w:t>
      </w:r>
    </w:p>
    <w:p>
      <w:pPr>
        <w:spacing w:after="0" w:line="195" w:lineRule="exact"/>
        <w:rPr>
          <w:sz w:val="20"/>
          <w:szCs w:val="20"/>
          <w:color w:val="auto"/>
        </w:rPr>
      </w:pPr>
    </w:p>
    <w:p>
      <w:pPr>
        <w:ind w:right="100" w:firstLine="594"/>
        <w:spacing w:after="0" w:line="256" w:lineRule="auto"/>
        <w:rPr>
          <w:sz w:val="20"/>
          <w:szCs w:val="20"/>
          <w:color w:val="auto"/>
        </w:rPr>
      </w:pPr>
      <w:r>
        <w:rPr>
          <w:rFonts w:ascii="Times New Roman" w:cs="Times New Roman" w:eastAsia="Times New Roman" w:hAnsi="Times New Roman"/>
          <w:sz w:val="19"/>
          <w:szCs w:val="19"/>
          <w:color w:val="1E1E1E"/>
        </w:rPr>
        <w:t>We are committed to cultivating ongoing learning throughout each employee’s unique career journey here. We strive to continuously develop capabilities across our global teams and to ensure there are plentiful opportunities where our employees can showcase their expanding accomplishments. We seek to ensure our employees have the tools and resources they need to achieve their career goals covering a range of priority topics, through a variety of learning formats, and in close partnership and alignment with leaders.</w:t>
      </w:r>
    </w:p>
    <w:p>
      <w:pPr>
        <w:spacing w:after="0" w:line="144" w:lineRule="exact"/>
        <w:rPr>
          <w:sz w:val="20"/>
          <w:szCs w:val="20"/>
          <w:color w:val="auto"/>
        </w:rPr>
      </w:pPr>
    </w:p>
    <w:p>
      <w:pPr>
        <w:ind w:right="580" w:firstLine="594"/>
        <w:spacing w:after="0" w:line="290" w:lineRule="auto"/>
        <w:rPr>
          <w:sz w:val="20"/>
          <w:szCs w:val="20"/>
          <w:color w:val="auto"/>
        </w:rPr>
      </w:pPr>
      <w:r>
        <w:rPr>
          <w:rFonts w:ascii="Times New Roman" w:cs="Times New Roman" w:eastAsia="Times New Roman" w:hAnsi="Times New Roman"/>
          <w:sz w:val="19"/>
          <w:szCs w:val="19"/>
          <w:color w:val="1E1E1E"/>
        </w:rPr>
        <w:t>We believe career growth occurs by building a broad-based portfolio of capabilities and not just in a linear path, and we eagerly encourage and celebrate mobility across and throughout the organization.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Diversity and Inclusion</w:t>
      </w:r>
    </w:p>
    <w:p>
      <w:pPr>
        <w:spacing w:after="0" w:line="195" w:lineRule="exact"/>
        <w:rPr>
          <w:sz w:val="20"/>
          <w:szCs w:val="20"/>
          <w:color w:val="auto"/>
        </w:rPr>
      </w:pPr>
    </w:p>
    <w:p>
      <w:pPr>
        <w:ind w:right="40" w:firstLine="594"/>
        <w:spacing w:after="0" w:line="260" w:lineRule="auto"/>
        <w:rPr>
          <w:sz w:val="20"/>
          <w:szCs w:val="20"/>
          <w:color w:val="auto"/>
        </w:rPr>
      </w:pPr>
      <w:r>
        <w:rPr>
          <w:rFonts w:ascii="Times New Roman" w:cs="Times New Roman" w:eastAsia="Times New Roman" w:hAnsi="Times New Roman"/>
          <w:sz w:val="19"/>
          <w:szCs w:val="19"/>
          <w:color w:val="1E1E1E"/>
        </w:rPr>
        <w:t>We are committed to growing and empowering inclusive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We drive diversity, equity and inclusion (“DEI”) forward through programs, investments and initiatives including:</w:t>
      </w:r>
    </w:p>
    <w:p>
      <w:pPr>
        <w:spacing w:after="0" w:line="135" w:lineRule="exact"/>
        <w:rPr>
          <w:sz w:val="20"/>
          <w:szCs w:val="20"/>
          <w:color w:val="auto"/>
        </w:rPr>
      </w:pPr>
    </w:p>
    <w:p>
      <w:pPr>
        <w:ind w:left="960" w:right="60" w:hanging="485"/>
        <w:spacing w:after="0" w:line="289" w:lineRule="auto"/>
        <w:tabs>
          <w:tab w:leader="none" w:pos="96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u w:val="single" w:color="auto"/>
          <w:color w:val="1E1E1E"/>
        </w:rPr>
        <w:t>Diverse Manufacturers</w:t>
      </w:r>
      <w:r>
        <w:rPr>
          <w:rFonts w:ascii="Times New Roman" w:cs="Times New Roman" w:eastAsia="Times New Roman" w:hAnsi="Times New Roman"/>
          <w:sz w:val="19"/>
          <w:szCs w:val="19"/>
          <w:color w:val="1E1E1E"/>
        </w:rPr>
        <w:t>. We provide work to thousands of small machine shops that typically do not have exposure to jobs from large corporations. Our suppliers include many minority, veteran, and women-owned companies.</w:t>
      </w:r>
    </w:p>
    <w:p>
      <w:pPr>
        <w:spacing w:after="0" w:line="49" w:lineRule="exact"/>
        <w:rPr>
          <w:rFonts w:ascii="Arial" w:cs="Arial" w:eastAsia="Arial" w:hAnsi="Arial"/>
          <w:sz w:val="19"/>
          <w:szCs w:val="19"/>
          <w:color w:val="1E1E1E"/>
        </w:rPr>
      </w:pPr>
    </w:p>
    <w:p>
      <w:pPr>
        <w:ind w:left="960" w:right="60" w:hanging="485"/>
        <w:spacing w:after="0" w:line="289" w:lineRule="auto"/>
        <w:tabs>
          <w:tab w:leader="none" w:pos="96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u w:val="single" w:color="auto"/>
          <w:color w:val="1E1E1E"/>
        </w:rPr>
        <w:t>Talent</w:t>
      </w:r>
      <w:r>
        <w:rPr>
          <w:rFonts w:ascii="Times New Roman" w:cs="Times New Roman" w:eastAsia="Times New Roman" w:hAnsi="Times New Roman"/>
          <w:sz w:val="19"/>
          <w:szCs w:val="19"/>
          <w:color w:val="1E1E1E"/>
        </w:rPr>
        <w:t>. We are increasing and broadening the pools of candidates from which we hire, both externally and internally, and are further refining the requirements, assessment criteria and selection process for each of our roles.</w:t>
      </w:r>
    </w:p>
    <w:p>
      <w:pPr>
        <w:spacing w:after="0" w:line="49" w:lineRule="exact"/>
        <w:rPr>
          <w:rFonts w:ascii="Arial" w:cs="Arial" w:eastAsia="Arial" w:hAnsi="Arial"/>
          <w:sz w:val="19"/>
          <w:szCs w:val="19"/>
          <w:color w:val="1E1E1E"/>
        </w:rPr>
      </w:pPr>
    </w:p>
    <w:p>
      <w:pPr>
        <w:ind w:left="960" w:right="240" w:hanging="485"/>
        <w:spacing w:after="0" w:line="267" w:lineRule="auto"/>
        <w:tabs>
          <w:tab w:leader="none" w:pos="96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u w:val="single" w:color="auto"/>
          <w:color w:val="1E1E1E"/>
        </w:rPr>
        <w:t>Education</w:t>
      </w:r>
      <w:r>
        <w:rPr>
          <w:rFonts w:ascii="Times New Roman" w:cs="Times New Roman" w:eastAsia="Times New Roman" w:hAnsi="Times New Roman"/>
          <w:sz w:val="19"/>
          <w:szCs w:val="19"/>
          <w:color w:val="1E1E1E"/>
        </w:rPr>
        <w:t>. We devote considerable time and resources to the continuing education of our employees. This effort begins on an employee’s first day and remains part of our employee’s experience through regular panel discussions and focus groups to encourage conversations and ideas around DEI priorities.</w:t>
      </w:r>
    </w:p>
    <w:p>
      <w:pPr>
        <w:spacing w:after="0" w:line="69" w:lineRule="exact"/>
        <w:rPr>
          <w:rFonts w:ascii="Arial" w:cs="Arial" w:eastAsia="Arial" w:hAnsi="Arial"/>
          <w:sz w:val="19"/>
          <w:szCs w:val="19"/>
          <w:color w:val="1E1E1E"/>
        </w:rPr>
      </w:pPr>
    </w:p>
    <w:p>
      <w:pPr>
        <w:ind w:left="960" w:right="160" w:hanging="485"/>
        <w:spacing w:after="0" w:line="289" w:lineRule="auto"/>
        <w:tabs>
          <w:tab w:leader="none" w:pos="960" w:val="left"/>
        </w:tabs>
        <w:numPr>
          <w:ilvl w:val="0"/>
          <w:numId w:val="12"/>
        </w:numPr>
        <w:rPr>
          <w:rFonts w:ascii="Arial" w:cs="Arial" w:eastAsia="Arial" w:hAnsi="Arial"/>
          <w:sz w:val="19"/>
          <w:szCs w:val="19"/>
          <w:color w:val="1E1E1E"/>
        </w:rPr>
      </w:pPr>
      <w:r>
        <w:rPr>
          <w:rFonts w:ascii="Times New Roman" w:cs="Times New Roman" w:eastAsia="Times New Roman" w:hAnsi="Times New Roman"/>
          <w:sz w:val="19"/>
          <w:szCs w:val="19"/>
          <w:u w:val="single" w:color="auto"/>
          <w:color w:val="1E1E1E"/>
        </w:rPr>
        <w:t>Culture</w:t>
      </w:r>
      <w:r>
        <w:rPr>
          <w:rFonts w:ascii="Times New Roman" w:cs="Times New Roman" w:eastAsia="Times New Roman" w:hAnsi="Times New Roman"/>
          <w:sz w:val="19"/>
          <w:szCs w:val="19"/>
          <w:color w:val="1E1E1E"/>
        </w:rPr>
        <w:t>. Our Employee Resource Groups (“ERGs”) continue to bring employees together to build and further strengthen communities that foster a diverse and inclusive workplace through education, conversation, support, and advocacy.</w:t>
      </w:r>
    </w:p>
    <w:p>
      <w:pPr>
        <w:sectPr>
          <w:pgSz w:w="11880" w:h="15480" w:orient="portrait"/>
          <w:cols w:equalWidth="0" w:num="1">
            <w:col w:w="10480"/>
          </w:cols>
          <w:pgMar w:left="700" w:top="957" w:right="700" w:bottom="250" w:gutter="0" w:footer="0" w:header="0"/>
        </w:sectPr>
      </w:pP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6</w:t>
      </w:r>
    </w:p>
    <w:p>
      <w:pPr>
        <w:sectPr>
          <w:pgSz w:w="11880" w:h="15480" w:orient="portrait"/>
          <w:cols w:equalWidth="0" w:num="1">
            <w:col w:w="10480"/>
          </w:cols>
          <w:pgMar w:left="700" w:top="957" w:right="700" w:bottom="25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9"/>
          <w:szCs w:val="19"/>
          <w:i w:val="1"/>
          <w:iCs w:val="1"/>
          <w:color w:val="1E1E1E"/>
        </w:rPr>
        <w:t>Compensation and Benefits</w:t>
      </w:r>
    </w:p>
    <w:p>
      <w:pPr>
        <w:spacing w:after="0" w:line="195" w:lineRule="exact"/>
        <w:rPr>
          <w:sz w:val="20"/>
          <w:szCs w:val="20"/>
          <w:color w:val="auto"/>
        </w:rPr>
      </w:pPr>
    </w:p>
    <w:p>
      <w:pPr>
        <w:ind w:right="60" w:firstLine="594"/>
        <w:spacing w:after="0" w:line="267" w:lineRule="auto"/>
        <w:rPr>
          <w:sz w:val="20"/>
          <w:szCs w:val="20"/>
          <w:color w:val="auto"/>
        </w:rPr>
      </w:pPr>
      <w:r>
        <w:rPr>
          <w:rFonts w:ascii="Times New Roman" w:cs="Times New Roman" w:eastAsia="Times New Roman" w:hAnsi="Times New Roman"/>
          <w:sz w:val="19"/>
          <w:szCs w:val="19"/>
          <w:color w:val="1E1E1E"/>
        </w:rPr>
        <w:t>Our compensation philosophy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w:t>
      </w:r>
    </w:p>
    <w:p>
      <w:pPr>
        <w:spacing w:after="0" w:line="134" w:lineRule="exact"/>
        <w:rPr>
          <w:sz w:val="20"/>
          <w:szCs w:val="20"/>
          <w:color w:val="auto"/>
        </w:rPr>
      </w:pPr>
    </w:p>
    <w:p>
      <w:pPr>
        <w:ind w:right="300" w:firstLine="594"/>
        <w:spacing w:after="0" w:line="260" w:lineRule="auto"/>
        <w:rPr>
          <w:sz w:val="20"/>
          <w:szCs w:val="20"/>
          <w:color w:val="auto"/>
        </w:rPr>
      </w:pPr>
      <w:r>
        <w:rPr>
          <w:rFonts w:ascii="Times New Roman" w:cs="Times New Roman" w:eastAsia="Times New Roman" w:hAnsi="Times New Roman"/>
          <w:sz w:val="19"/>
          <w:szCs w:val="19"/>
          <w:color w:val="1E1E1E"/>
        </w:rPr>
        <w:t>We designed our total rewards approach to include a range of offerings to reward, engage and support our employees. This includes market-competitive pay, including equity compensation, along with a comprehensive offering of benefits and programs to support health, mental, social and financial well-being. While the philosophy around our benefits is the same worldwide, specific benefits vary regionally due to local regulations and preferences.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Social Impact</w:t>
      </w:r>
    </w:p>
    <w:p>
      <w:pPr>
        <w:spacing w:after="0" w:line="195" w:lineRule="exact"/>
        <w:rPr>
          <w:sz w:val="20"/>
          <w:szCs w:val="20"/>
          <w:color w:val="auto"/>
        </w:rPr>
      </w:pPr>
    </w:p>
    <w:p>
      <w:pPr>
        <w:ind w:right="20" w:firstLine="594"/>
        <w:spacing w:after="0" w:line="260" w:lineRule="auto"/>
        <w:rPr>
          <w:sz w:val="20"/>
          <w:szCs w:val="20"/>
          <w:color w:val="auto"/>
        </w:rPr>
      </w:pPr>
      <w:r>
        <w:rPr>
          <w:rFonts w:ascii="Times New Roman" w:cs="Times New Roman" w:eastAsia="Times New Roman" w:hAnsi="Times New Roman"/>
          <w:sz w:val="19"/>
          <w:szCs w:val="19"/>
          <w:color w:val="1E1E1E"/>
        </w:rPr>
        <w:t>We take pride in giving back to the communities that have supported us as an organization and as individuals. In addition to our donor advised fund, we also sponsor and encourage our employees to volunteer and/or donate to a variety of charitable organizations, whether to non-profits local to the communities in which we operate, for causes near to our employees’ hearts or as part of our ERGs’ missions to advocate, educate and/or support partner non-profit organizations.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Environment</w:t>
      </w:r>
    </w:p>
    <w:p>
      <w:pPr>
        <w:spacing w:after="0" w:line="195" w:lineRule="exact"/>
        <w:rPr>
          <w:sz w:val="20"/>
          <w:szCs w:val="20"/>
          <w:color w:val="auto"/>
        </w:rPr>
      </w:pPr>
    </w:p>
    <w:p>
      <w:pPr>
        <w:ind w:right="60" w:firstLine="594"/>
        <w:spacing w:after="0" w:line="267" w:lineRule="auto"/>
        <w:rPr>
          <w:sz w:val="20"/>
          <w:szCs w:val="20"/>
          <w:color w:val="auto"/>
        </w:rPr>
      </w:pPr>
      <w:r>
        <w:rPr>
          <w:rFonts w:ascii="Times New Roman" w:cs="Times New Roman" w:eastAsia="Times New Roman" w:hAnsi="Times New Roman"/>
          <w:sz w:val="19"/>
          <w:szCs w:val="19"/>
          <w:color w:val="1E1E1E"/>
        </w:rPr>
        <w:t>We are committed to reducing the carbon footprint of manufacturing. We purchase carbon credits to offset 100% of the estimated impact of the shipment of parts, and offer buyers the ability to instantly see the price to purchase carbon credits to offset the carbon used to make and ship their parts. We also promote technologies like additive manufacturing that reduce the carbon footprint.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Non-Profit Organizations</w:t>
      </w:r>
    </w:p>
    <w:p>
      <w:pPr>
        <w:spacing w:after="0" w:line="195" w:lineRule="exact"/>
        <w:rPr>
          <w:sz w:val="20"/>
          <w:szCs w:val="20"/>
          <w:color w:val="auto"/>
        </w:rPr>
      </w:pPr>
    </w:p>
    <w:p>
      <w:pPr>
        <w:ind w:right="100" w:firstLine="594"/>
        <w:spacing w:after="0" w:line="252" w:lineRule="auto"/>
        <w:rPr>
          <w:sz w:val="20"/>
          <w:szCs w:val="20"/>
          <w:color w:val="auto"/>
        </w:rPr>
      </w:pPr>
      <w:r>
        <w:rPr>
          <w:rFonts w:ascii="Times New Roman" w:cs="Times New Roman" w:eastAsia="Times New Roman" w:hAnsi="Times New Roman"/>
          <w:sz w:val="19"/>
          <w:szCs w:val="19"/>
          <w:color w:val="1E1E1E"/>
        </w:rPr>
        <w:t>We want to help non-profits that are making a difference addressing crucial problems facing our world.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w:t>
      </w:r>
    </w:p>
    <w:p>
      <w:pPr>
        <w:spacing w:after="0" w:line="150" w:lineRule="exact"/>
        <w:rPr>
          <w:sz w:val="20"/>
          <w:szCs w:val="20"/>
          <w:color w:val="auto"/>
        </w:rPr>
      </w:pPr>
    </w:p>
    <w:p>
      <w:pPr>
        <w:ind w:firstLine="594"/>
        <w:spacing w:after="0" w:line="252" w:lineRule="auto"/>
        <w:rPr>
          <w:sz w:val="20"/>
          <w:szCs w:val="20"/>
          <w:color w:val="auto"/>
        </w:rPr>
      </w:pPr>
      <w:r>
        <w:rPr>
          <w:rFonts w:ascii="Times New Roman" w:cs="Times New Roman" w:eastAsia="Times New Roman" w:hAnsi="Times New Roman"/>
          <w:sz w:val="19"/>
          <w:szCs w:val="19"/>
          <w:color w:val="1E1E1E"/>
        </w:rPr>
        <w:t>We have embraced the Pledge 1% movement, and are committed to donating 1% of our equity over time, to fund and support the operations of the donor advised fund. We have initially reserved 402,658 shares of Class A common stock, representing 1% of our fully diluted capitalization as of the date of approval by our board of directors, for issuance over the next five years for this purpose, in an amount not to exceed 20% of the initial reserve amount per calendar year. Xometry has pledged more than $900,000 to provide eight scholarships through the 2026 academic year to students enrolled in the Department of Mechanical Engineering at the Howard University College of Engineering and Architecture. Xometry is also providing scholarships for 250 students at community colleges in six manufacturing states: Maryland, Kentucky, Wisconsin, South Carolina, Connecticut and New York.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Competition</w:t>
      </w:r>
    </w:p>
    <w:p>
      <w:pPr>
        <w:spacing w:after="0" w:line="202" w:lineRule="exact"/>
        <w:rPr>
          <w:sz w:val="20"/>
          <w:szCs w:val="20"/>
          <w:color w:val="auto"/>
        </w:rPr>
      </w:pPr>
    </w:p>
    <w:p>
      <w:pPr>
        <w:ind w:right="460" w:firstLine="594"/>
        <w:spacing w:after="0" w:line="290" w:lineRule="auto"/>
        <w:rPr>
          <w:sz w:val="20"/>
          <w:szCs w:val="20"/>
          <w:color w:val="auto"/>
        </w:rPr>
      </w:pPr>
      <w:r>
        <w:rPr>
          <w:rFonts w:ascii="Times New Roman" w:cs="Times New Roman" w:eastAsia="Times New Roman" w:hAnsi="Times New Roman"/>
          <w:sz w:val="19"/>
          <w:szCs w:val="19"/>
          <w:color w:val="1E1E1E"/>
        </w:rPr>
        <w:t>The domestic and global on-demand manufacturing industry is localized and highly fragmented and we compete for both buyers and suppliers.</w:t>
      </w:r>
    </w:p>
    <w:p>
      <w:pPr>
        <w:spacing w:after="0" w:line="112" w:lineRule="exact"/>
        <w:rPr>
          <w:sz w:val="20"/>
          <w:szCs w:val="20"/>
          <w:color w:val="auto"/>
        </w:rPr>
      </w:pPr>
    </w:p>
    <w:p>
      <w:pPr>
        <w:ind w:right="60" w:firstLine="594"/>
        <w:spacing w:after="0" w:line="260" w:lineRule="auto"/>
        <w:rPr>
          <w:sz w:val="20"/>
          <w:szCs w:val="20"/>
          <w:color w:val="auto"/>
        </w:rPr>
      </w:pPr>
      <w:r>
        <w:rPr>
          <w:rFonts w:ascii="Times New Roman" w:cs="Times New Roman" w:eastAsia="Times New Roman" w:hAnsi="Times New Roman"/>
          <w:sz w:val="19"/>
          <w:szCs w:val="19"/>
          <w:color w:val="1E1E1E"/>
        </w:rPr>
        <w:t>We compete for buyers with service bureaus and brokers. Our competitors include vertically integrated service bureaus, the service bureau divisions of the additive original equipment manufacturing (“OEM”) companies such as Stratasys and 3D Systems and independent machine shops and 3D printing service bureaus. For buyers, we compete on the basis of competitive pricing, user experience, and superior customer service.</w:t>
      </w:r>
    </w:p>
    <w:p>
      <w:pPr>
        <w:spacing w:after="0" w:line="140" w:lineRule="exact"/>
        <w:rPr>
          <w:sz w:val="20"/>
          <w:szCs w:val="20"/>
          <w:color w:val="auto"/>
        </w:rPr>
      </w:pPr>
    </w:p>
    <w:p>
      <w:pPr>
        <w:ind w:right="60" w:firstLine="594"/>
        <w:spacing w:after="0" w:line="256" w:lineRule="auto"/>
        <w:rPr>
          <w:sz w:val="20"/>
          <w:szCs w:val="20"/>
          <w:color w:val="auto"/>
        </w:rPr>
      </w:pPr>
      <w:r>
        <w:rPr>
          <w:rFonts w:ascii="Times New Roman" w:cs="Times New Roman" w:eastAsia="Times New Roman" w:hAnsi="Times New Roman"/>
          <w:sz w:val="19"/>
          <w:szCs w:val="19"/>
          <w:color w:val="1E1E1E"/>
        </w:rPr>
        <w:t>For suppliers, we compete with brokers and listing services. Suppliers will pay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are able to compete for suppliers on the basis of providing real-time access to orders, cash flow stability, global access to customers and supplier services and financial products.</w:t>
      </w:r>
    </w:p>
    <w:p>
      <w:pPr>
        <w:sectPr>
          <w:pgSz w:w="11880" w:h="15480" w:orient="portrait"/>
          <w:cols w:equalWidth="0" w:num="1">
            <w:col w:w="10460"/>
          </w:cols>
          <w:pgMar w:left="700" w:top="1183" w:right="720"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7</w:t>
      </w:r>
    </w:p>
    <w:p>
      <w:pPr>
        <w:sectPr>
          <w:pgSz w:w="11880" w:h="15480" w:orient="portrait"/>
          <w:cols w:equalWidth="0" w:num="1">
            <w:col w:w="10460"/>
          </w:cols>
          <w:pgMar w:left="700" w:top="1183" w:right="720" w:bottom="25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b w:val="1"/>
          <w:bCs w:val="1"/>
          <w:color w:val="1E1E1E"/>
        </w:rPr>
        <w:t>Intellectual Property</w:t>
      </w:r>
    </w:p>
    <w:p>
      <w:pPr>
        <w:spacing w:after="0" w:line="202" w:lineRule="exact"/>
        <w:rPr>
          <w:sz w:val="20"/>
          <w:szCs w:val="20"/>
          <w:color w:val="auto"/>
        </w:rPr>
      </w:pPr>
    </w:p>
    <w:p>
      <w:pPr>
        <w:ind w:right="20" w:firstLine="594"/>
        <w:spacing w:after="0" w:line="254" w:lineRule="auto"/>
        <w:rPr>
          <w:sz w:val="20"/>
          <w:szCs w:val="20"/>
          <w:color w:val="auto"/>
        </w:rPr>
      </w:pPr>
      <w:r>
        <w:rPr>
          <w:rFonts w:ascii="Times New Roman" w:cs="Times New Roman" w:eastAsia="Times New Roman" w:hAnsi="Times New Roman"/>
          <w:sz w:val="19"/>
          <w:szCs w:val="19"/>
          <w:color w:val="1E1E1E"/>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45" w:lineRule="exact"/>
        <w:rPr>
          <w:sz w:val="20"/>
          <w:szCs w:val="20"/>
          <w:color w:val="auto"/>
        </w:rPr>
      </w:pPr>
    </w:p>
    <w:p>
      <w:pPr>
        <w:ind w:right="220" w:firstLine="594"/>
        <w:spacing w:after="0" w:line="260" w:lineRule="auto"/>
        <w:rPr>
          <w:sz w:val="20"/>
          <w:szCs w:val="20"/>
          <w:color w:val="auto"/>
        </w:rPr>
      </w:pPr>
      <w:r>
        <w:rPr>
          <w:rFonts w:ascii="Times New Roman" w:cs="Times New Roman" w:eastAsia="Times New Roman" w:hAnsi="Times New Roman"/>
          <w:sz w:val="19"/>
          <w:szCs w:val="19"/>
          <w:color w:val="1E1E1E"/>
        </w:rPr>
        <w:t>As of December 31, 2023, we own ten issued United States patents directed to the use of machine learning for generating fabrication and manufacturing predictions, such as price, manufacturability and suitable materials and three pending patents applications (two in the United States and one in Europe) directed to similar technologies. Our issued patents in the U.S. will expire between 2036 and 2037, excluding any extension of patent terms that may be available.</w:t>
      </w:r>
    </w:p>
    <w:p>
      <w:pPr>
        <w:spacing w:after="0" w:line="140" w:lineRule="exact"/>
        <w:rPr>
          <w:sz w:val="20"/>
          <w:szCs w:val="20"/>
          <w:color w:val="auto"/>
        </w:rPr>
      </w:pPr>
    </w:p>
    <w:p>
      <w:pPr>
        <w:ind w:right="60" w:firstLine="594"/>
        <w:spacing w:after="0" w:line="267" w:lineRule="auto"/>
        <w:rPr>
          <w:sz w:val="20"/>
          <w:szCs w:val="20"/>
          <w:color w:val="auto"/>
        </w:rPr>
      </w:pPr>
      <w:r>
        <w:rPr>
          <w:rFonts w:ascii="Times New Roman" w:cs="Times New Roman" w:eastAsia="Times New Roman" w:hAnsi="Times New Roman"/>
          <w:sz w:val="19"/>
          <w:szCs w:val="19"/>
          <w:color w:val="1E1E1E"/>
        </w:rPr>
        <w:t>As of December 31, 2023, we have approximately 45 registered U.S. trademarks and more than 100 registered foreign trademarks internationally for our name and certain words and phrases that we use in our business, and we rely on copyright laws and licenses to use and protect software and certain other elements of our proprietary technologies.</w:t>
      </w:r>
    </w:p>
    <w:p>
      <w:pPr>
        <w:spacing w:after="0" w:line="134" w:lineRule="exact"/>
        <w:rPr>
          <w:sz w:val="20"/>
          <w:szCs w:val="20"/>
          <w:color w:val="auto"/>
        </w:rPr>
      </w:pPr>
    </w:p>
    <w:p>
      <w:pPr>
        <w:ind w:right="40" w:firstLine="594"/>
        <w:spacing w:after="0" w:line="256" w:lineRule="auto"/>
        <w:rPr>
          <w:sz w:val="20"/>
          <w:szCs w:val="20"/>
          <w:color w:val="auto"/>
        </w:rPr>
      </w:pPr>
      <w:r>
        <w:rPr>
          <w:rFonts w:ascii="Times New Roman" w:cs="Times New Roman" w:eastAsia="Times New Roman" w:hAnsi="Times New Roman"/>
          <w:sz w:val="19"/>
          <w:szCs w:val="19"/>
          <w:color w:val="1E1E1E"/>
        </w:rPr>
        <w:t>We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44" w:lineRule="exact"/>
        <w:rPr>
          <w:sz w:val="20"/>
          <w:szCs w:val="20"/>
          <w:color w:val="auto"/>
        </w:rPr>
      </w:pPr>
    </w:p>
    <w:p>
      <w:pPr>
        <w:ind w:firstLine="594"/>
        <w:spacing w:after="0" w:line="249" w:lineRule="auto"/>
        <w:rPr>
          <w:sz w:val="20"/>
          <w:szCs w:val="20"/>
          <w:color w:val="auto"/>
        </w:rPr>
      </w:pPr>
      <w:r>
        <w:rPr>
          <w:rFonts w:ascii="Times New Roman" w:cs="Times New Roman" w:eastAsia="Times New Roman" w:hAnsi="Times New Roman"/>
          <w:sz w:val="19"/>
          <w:szCs w:val="19"/>
          <w:color w:val="1E1E1E"/>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55" w:lineRule="exact"/>
        <w:rPr>
          <w:sz w:val="20"/>
          <w:szCs w:val="20"/>
          <w:color w:val="auto"/>
        </w:rPr>
      </w:pPr>
    </w:p>
    <w:p>
      <w:pPr>
        <w:ind w:firstLine="594"/>
        <w:spacing w:after="0" w:line="267" w:lineRule="auto"/>
        <w:rPr>
          <w:sz w:val="20"/>
          <w:szCs w:val="20"/>
          <w:color w:val="auto"/>
        </w:rPr>
      </w:pPr>
      <w:r>
        <w:rPr>
          <w:rFonts w:ascii="Times New Roman" w:cs="Times New Roman" w:eastAsia="Times New Roman" w:hAnsi="Times New Roman"/>
          <w:sz w:val="19"/>
          <w:szCs w:val="19"/>
          <w:color w:val="1E1E1E"/>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34" w:lineRule="exact"/>
        <w:rPr>
          <w:sz w:val="20"/>
          <w:szCs w:val="20"/>
          <w:color w:val="auto"/>
        </w:rPr>
      </w:pPr>
    </w:p>
    <w:p>
      <w:pPr>
        <w:ind w:right="100" w:firstLine="594"/>
        <w:spacing w:after="0" w:line="290" w:lineRule="auto"/>
        <w:rPr>
          <w:sz w:val="20"/>
          <w:szCs w:val="20"/>
          <w:color w:val="auto"/>
        </w:rPr>
      </w:pPr>
      <w:r>
        <w:rPr>
          <w:rFonts w:ascii="Times New Roman" w:cs="Times New Roman" w:eastAsia="Times New Roman" w:hAnsi="Times New Roman"/>
          <w:sz w:val="19"/>
          <w:szCs w:val="19"/>
          <w:color w:val="1E1E1E"/>
        </w:rPr>
        <w:t>See the section titled “Risk Factors—Risks Related to Our Business” for a more comprehensive description of risks related to our intellectual property and proprietary rights.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Corporate Information</w:t>
      </w:r>
    </w:p>
    <w:p>
      <w:pPr>
        <w:spacing w:after="0" w:line="202" w:lineRule="exact"/>
        <w:rPr>
          <w:sz w:val="20"/>
          <w:szCs w:val="20"/>
          <w:color w:val="auto"/>
        </w:rPr>
      </w:pPr>
    </w:p>
    <w:p>
      <w:pPr>
        <w:ind w:right="80" w:firstLine="594"/>
        <w:spacing w:after="0" w:line="250" w:lineRule="auto"/>
        <w:rPr>
          <w:sz w:val="20"/>
          <w:szCs w:val="20"/>
          <w:color w:val="auto"/>
        </w:rPr>
      </w:pPr>
      <w:r>
        <w:rPr>
          <w:rFonts w:ascii="Times New Roman" w:cs="Times New Roman" w:eastAsia="Times New Roman" w:hAnsi="Times New Roman"/>
          <w:sz w:val="19"/>
          <w:szCs w:val="19"/>
          <w:color w:val="1E1E1E"/>
        </w:rPr>
        <w:t>We were founded in 2013 and incorporated in Delaware on May 29, 2013 under the name NextLine Manufacturing Corp. We changed our name to Xometry, Inc. on June 29, 2015. Our principal executive offices are located at 6116 Executive Boulevard, Suite 800, North Bethesda, MD 20852, and our telephone number is (240) 252-1138. We also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ectPr>
          <w:pgSz w:w="11880" w:h="15480" w:orient="portrait"/>
          <w:cols w:equalWidth="0" w:num="1">
            <w:col w:w="10440"/>
          </w:cols>
          <w:pgMar w:left="700" w:top="953" w:right="740"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1E1E1E"/>
        </w:rPr>
        <w:t>8</w:t>
      </w:r>
    </w:p>
    <w:p>
      <w:pPr>
        <w:sectPr>
          <w:pgSz w:w="11880" w:h="15480" w:orient="portrait"/>
          <w:cols w:equalWidth="0" w:num="1">
            <w:col w:w="10440"/>
          </w:cols>
          <w:pgMar w:left="700" w:top="953" w:right="740" w:bottom="25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1E1E1E"/>
        </w:rPr>
        <w:t>Item 1A. Risk Factors.</w:t>
      </w:r>
    </w:p>
    <w:p>
      <w:pPr>
        <w:spacing w:after="0" w:line="11"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9"/>
          <w:szCs w:val="19"/>
          <w:i w:val="1"/>
          <w:iCs w:val="1"/>
          <w:color w:val="1E1E1E"/>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Risk Factors Summary</w:t>
      </w:r>
    </w:p>
    <w:p>
      <w:pPr>
        <w:spacing w:after="0" w:line="241" w:lineRule="exact"/>
        <w:rPr>
          <w:sz w:val="20"/>
          <w:szCs w:val="20"/>
          <w:color w:val="auto"/>
        </w:rPr>
      </w:pPr>
    </w:p>
    <w:p>
      <w:pPr>
        <w:ind w:right="300" w:firstLine="600"/>
        <w:spacing w:after="0" w:line="290" w:lineRule="auto"/>
        <w:rPr>
          <w:sz w:val="20"/>
          <w:szCs w:val="20"/>
          <w:color w:val="auto"/>
        </w:rPr>
      </w:pPr>
      <w:r>
        <w:rPr>
          <w:rFonts w:ascii="Times New Roman" w:cs="Times New Roman" w:eastAsia="Times New Roman" w:hAnsi="Times New Roman"/>
          <w:sz w:val="19"/>
          <w:szCs w:val="19"/>
          <w:color w:val="1E1E1E"/>
        </w:rPr>
        <w:t>Our business is subject to numerous risks and uncertainties, including those outside our control, that could cause our actual results to be harmed.</w:t>
      </w:r>
    </w:p>
    <w:p>
      <w:pPr>
        <w:spacing w:after="0" w:line="49" w:lineRule="exact"/>
        <w:rPr>
          <w:sz w:val="20"/>
          <w:szCs w:val="20"/>
          <w:color w:val="auto"/>
        </w:rPr>
      </w:pPr>
    </w:p>
    <w:p>
      <w:pPr>
        <w:ind w:left="960" w:right="6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have incurred net losses in the past, expect to incur net losses in the future and may never achieve or maintain profitability.</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may not continue to grow on pace with historical rates.</w:t>
      </w:r>
    </w:p>
    <w:p>
      <w:pPr>
        <w:spacing w:after="0" w:line="134" w:lineRule="exact"/>
        <w:rPr>
          <w:rFonts w:ascii="Arial" w:cs="Arial" w:eastAsia="Arial" w:hAnsi="Arial"/>
          <w:sz w:val="19"/>
          <w:szCs w:val="19"/>
          <w:color w:val="1E1E1E"/>
        </w:rPr>
      </w:pPr>
    </w:p>
    <w:p>
      <w:pPr>
        <w:ind w:left="960" w:right="5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If we are unable to manage the anticipated growth of our business, our future revenue and operating results may be adversely affected.</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Our operating results may fluctuate from quarter to quarter, which makes our future results difficult to predict.</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Our growth depends on our ability to attract and retain a large community of buyers and suppliers.</w:t>
      </w:r>
    </w:p>
    <w:p>
      <w:pPr>
        <w:spacing w:after="0" w:line="134" w:lineRule="exact"/>
        <w:rPr>
          <w:rFonts w:ascii="Arial" w:cs="Arial" w:eastAsia="Arial" w:hAnsi="Arial"/>
          <w:sz w:val="19"/>
          <w:szCs w:val="19"/>
          <w:color w:val="1E1E1E"/>
        </w:rPr>
      </w:pPr>
    </w:p>
    <w:p>
      <w:pPr>
        <w:ind w:left="960" w:right="50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Our success depends on our ability to deliver products and manufacturing processes that meet the demand of buyers transacting on our marketplace and our ability to adapt to technological changes and improvements.</w:t>
      </w:r>
    </w:p>
    <w:p>
      <w:pPr>
        <w:spacing w:after="0" w:line="49" w:lineRule="exact"/>
        <w:rPr>
          <w:rFonts w:ascii="Arial" w:cs="Arial" w:eastAsia="Arial" w:hAnsi="Arial"/>
          <w:sz w:val="19"/>
          <w:szCs w:val="19"/>
          <w:color w:val="1E1E1E"/>
        </w:rPr>
      </w:pPr>
    </w:p>
    <w:p>
      <w:pPr>
        <w:ind w:left="960" w:right="1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If we fail to maintain and improve the quality of our platform, customer support and ancillary services available through our platform, we may not be able to attract and retain buyers and suppliers.</w:t>
      </w:r>
    </w:p>
    <w:p>
      <w:pPr>
        <w:spacing w:after="0" w:line="49" w:lineRule="exact"/>
        <w:rPr>
          <w:rFonts w:ascii="Arial" w:cs="Arial" w:eastAsia="Arial" w:hAnsi="Arial"/>
          <w:sz w:val="19"/>
          <w:szCs w:val="19"/>
          <w:color w:val="1E1E1E"/>
        </w:rPr>
      </w:pPr>
    </w:p>
    <w:p>
      <w:pPr>
        <w:ind w:left="960" w:right="10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provide quality assurance to buyers even when a supplier manufactures the ordered part(s), which could subject us to liability for poor quality parts.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Our business model involves our agreeing to pricing with a buyer in advance of sourcing the opportunity to a supplier.</w:t>
      </w:r>
    </w:p>
    <w:p>
      <w:pPr>
        <w:spacing w:after="0" w:line="134" w:lineRule="exact"/>
        <w:rPr>
          <w:rFonts w:ascii="Arial" w:cs="Arial" w:eastAsia="Arial" w:hAnsi="Arial"/>
          <w:sz w:val="19"/>
          <w:szCs w:val="19"/>
          <w:color w:val="1E1E1E"/>
        </w:rPr>
      </w:pPr>
    </w:p>
    <w:p>
      <w:pPr>
        <w:ind w:left="960" w:right="4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or our third-party partners or service providers may experience a security breach, including unauthorized parties obtaining access to buyers’ confidential information.</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Failure to deal effectively with bad actors engaging on our marketplace or platform could harm our business.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may be subject to disputes between buyers and suppliers on our platform.</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rely on a third-party payment processor to process payments made by buyers and payments made to suppliers.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rely on third parties to fulfill buyer orders.</w:t>
      </w:r>
    </w:p>
    <w:p>
      <w:pPr>
        <w:spacing w:after="0" w:line="134" w:lineRule="exact"/>
        <w:rPr>
          <w:rFonts w:ascii="Arial" w:cs="Arial" w:eastAsia="Arial" w:hAnsi="Arial"/>
          <w:sz w:val="19"/>
          <w:szCs w:val="19"/>
          <w:color w:val="1E1E1E"/>
        </w:rPr>
      </w:pPr>
    </w:p>
    <w:p>
      <w:pPr>
        <w:ind w:left="960" w:right="1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face significant competition and expect to face increasing competition in many aspects of our business, which could cause our operating results to suffer.</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may not be able to rapidly grow our business outside the United States.</w:t>
      </w:r>
    </w:p>
    <w:p>
      <w:pPr>
        <w:spacing w:after="0" w:line="134" w:lineRule="exact"/>
        <w:rPr>
          <w:rFonts w:ascii="Arial" w:cs="Arial" w:eastAsia="Arial" w:hAnsi="Arial"/>
          <w:sz w:val="19"/>
          <w:szCs w:val="19"/>
          <w:color w:val="1E1E1E"/>
        </w:rPr>
      </w:pPr>
    </w:p>
    <w:p>
      <w:pPr>
        <w:ind w:left="960" w:right="66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may not realize all of the anticipated benefits from the acquisition of Thomas because of difficulties related to integration, the achievement of synergies, and other challenges.</w:t>
      </w:r>
    </w:p>
    <w:p>
      <w:pPr>
        <w:spacing w:after="0" w:line="49" w:lineRule="exact"/>
        <w:rPr>
          <w:rFonts w:ascii="Arial" w:cs="Arial" w:eastAsia="Arial" w:hAnsi="Arial"/>
          <w:sz w:val="19"/>
          <w:szCs w:val="19"/>
          <w:color w:val="1E1E1E"/>
        </w:rPr>
      </w:pPr>
    </w:p>
    <w:p>
      <w:pPr>
        <w:ind w:left="960" w:right="68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Unstable market and economic conditions, including a global or domestic recession or the fear of a recession, and inflation may have serious adverse consequences on our business, financial condition and share price.</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are subject to stringent and evolving laws and regulations relating to consumer data privacy and data protection.</w:t>
      </w:r>
    </w:p>
    <w:p>
      <w:pPr>
        <w:spacing w:after="0" w:line="134" w:lineRule="exact"/>
        <w:rPr>
          <w:rFonts w:ascii="Arial" w:cs="Arial" w:eastAsia="Arial" w:hAnsi="Arial"/>
          <w:sz w:val="19"/>
          <w:szCs w:val="19"/>
          <w:color w:val="1E1E1E"/>
        </w:rPr>
      </w:pPr>
    </w:p>
    <w:p>
      <w:pPr>
        <w:ind w:left="960" w:right="4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Our intellectual property and proprietary rights are valuable, and any inability to obtain, maintain, protect or enforce them could substantially harm our business, products, services, and brand.</w:t>
      </w:r>
    </w:p>
    <w:p>
      <w:pPr>
        <w:spacing w:after="0" w:line="49" w:lineRule="exact"/>
        <w:rPr>
          <w:rFonts w:ascii="Arial" w:cs="Arial" w:eastAsia="Arial" w:hAnsi="Arial"/>
          <w:sz w:val="19"/>
          <w:szCs w:val="19"/>
          <w:color w:val="1E1E1E"/>
        </w:rPr>
      </w:pPr>
    </w:p>
    <w:p>
      <w:pPr>
        <w:ind w:left="960" w:right="520" w:hanging="485"/>
        <w:spacing w:after="0" w:line="289" w:lineRule="auto"/>
        <w:tabs>
          <w:tab w:leader="none" w:pos="960" w:val="left"/>
        </w:tabs>
        <w:numPr>
          <w:ilvl w:val="0"/>
          <w:numId w:val="13"/>
        </w:numPr>
        <w:rPr>
          <w:rFonts w:ascii="Arial" w:cs="Arial" w:eastAsia="Arial" w:hAnsi="Arial"/>
          <w:sz w:val="19"/>
          <w:szCs w:val="19"/>
          <w:color w:val="1E1E1E"/>
        </w:rPr>
      </w:pPr>
      <w:r>
        <w:rPr>
          <w:rFonts w:ascii="Times New Roman" w:cs="Times New Roman" w:eastAsia="Times New Roman" w:hAnsi="Times New Roman"/>
          <w:sz w:val="19"/>
          <w:szCs w:val="19"/>
          <w:color w:val="1E1E1E"/>
        </w:rPr>
        <w:t>We could incur substantial costs and other harms as a result of any claim of infringement, misappropriation or other violation of another party’s intellectual property or proprietary rights.</w:t>
      </w:r>
    </w:p>
    <w:p>
      <w:pPr>
        <w:sectPr>
          <w:pgSz w:w="11880" w:h="15480" w:orient="portrait"/>
          <w:cols w:equalWidth="0" w:num="1">
            <w:col w:w="10460"/>
          </w:cols>
          <w:pgMar w:left="700" w:top="1177" w:right="720" w:bottom="25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1E1E1E"/>
        </w:rPr>
        <w:t>9</w:t>
      </w:r>
    </w:p>
    <w:p>
      <w:pPr>
        <w:sectPr>
          <w:pgSz w:w="11880" w:h="15480" w:orient="portrait"/>
          <w:cols w:equalWidth="0" w:num="1">
            <w:col w:w="10460"/>
          </w:cols>
          <w:pgMar w:left="700" w:top="1177" w:right="720" w:bottom="250" w:gutter="0" w:footer="0" w:header="0"/>
          <w:type w:val="continuous"/>
        </w:sectPr>
      </w:pPr>
    </w:p>
    <w:bookmarkStart w:id="15" w:name="page16"/>
    <w:bookmarkEnd w:id="15"/>
    <w:p>
      <w:pPr>
        <w:ind w:left="960" w:right="180" w:hanging="485"/>
        <w:spacing w:after="0" w:line="289" w:lineRule="auto"/>
        <w:tabs>
          <w:tab w:leader="none" w:pos="960" w:val="left"/>
        </w:tabs>
        <w:numPr>
          <w:ilvl w:val="0"/>
          <w:numId w:val="14"/>
        </w:numPr>
        <w:rPr>
          <w:rFonts w:ascii="Arial" w:cs="Arial" w:eastAsia="Arial" w:hAnsi="Arial"/>
          <w:sz w:val="19"/>
          <w:szCs w:val="19"/>
          <w:color w:val="1E1E1E"/>
        </w:rPr>
      </w:pPr>
      <w:r>
        <w:rPr>
          <w:rFonts w:ascii="Times New Roman" w:cs="Times New Roman" w:eastAsia="Times New Roman" w:hAnsi="Times New Roman"/>
          <w:sz w:val="19"/>
          <w:szCs w:val="19"/>
          <w:color w:val="1E1E1E"/>
        </w:rPr>
        <w:t>We rely on Amazon Web Services to operate our platform, and any disruption of service from Amazon Web Services or material change to our arrangement with Amazon Web Services could adversely affect our business.</w:t>
      </w:r>
    </w:p>
    <w:p>
      <w:pPr>
        <w:spacing w:after="0" w:line="49" w:lineRule="exact"/>
        <w:rPr>
          <w:rFonts w:ascii="Arial" w:cs="Arial" w:eastAsia="Arial" w:hAnsi="Arial"/>
          <w:sz w:val="19"/>
          <w:szCs w:val="19"/>
          <w:color w:val="1E1E1E"/>
        </w:rPr>
      </w:pPr>
    </w:p>
    <w:p>
      <w:pPr>
        <w:ind w:left="960" w:right="80" w:hanging="485"/>
        <w:spacing w:after="0" w:line="289" w:lineRule="auto"/>
        <w:tabs>
          <w:tab w:leader="none" w:pos="960" w:val="left"/>
        </w:tabs>
        <w:numPr>
          <w:ilvl w:val="0"/>
          <w:numId w:val="14"/>
        </w:numPr>
        <w:rPr>
          <w:rFonts w:ascii="Arial" w:cs="Arial" w:eastAsia="Arial" w:hAnsi="Arial"/>
          <w:sz w:val="19"/>
          <w:szCs w:val="19"/>
          <w:color w:val="1E1E1E"/>
        </w:rPr>
      </w:pPr>
      <w:r>
        <w:rPr>
          <w:rFonts w:ascii="Times New Roman" w:cs="Times New Roman" w:eastAsia="Times New Roman" w:hAnsi="Times New Roman"/>
          <w:sz w:val="19"/>
          <w:szCs w:val="19"/>
          <w:color w:val="1E1E1E"/>
        </w:rPr>
        <w:t>If we fail to maintain an effective system of disclosure controls and internal control over financial reporting, our ability to produce timely and accurate financial statements or comply with applicable regulations could be impaired.</w:t>
      </w:r>
    </w:p>
    <w:p>
      <w:pPr>
        <w:spacing w:after="0" w:line="26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1E1E1E"/>
        </w:rPr>
        <w:t>Risks Related to Our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have incurred net losses in the past, expect to incur net losses in the future and may never achieve or sustain profitability.</w:t>
      </w:r>
    </w:p>
    <w:p>
      <w:pPr>
        <w:spacing w:after="0" w:line="120" w:lineRule="exact"/>
        <w:rPr>
          <w:sz w:val="20"/>
          <w:szCs w:val="20"/>
          <w:color w:val="auto"/>
        </w:rPr>
      </w:pPr>
    </w:p>
    <w:p>
      <w:pPr>
        <w:ind w:right="80" w:firstLine="600"/>
        <w:spacing w:after="0" w:line="252" w:lineRule="auto"/>
        <w:rPr>
          <w:sz w:val="20"/>
          <w:szCs w:val="20"/>
          <w:color w:val="auto"/>
        </w:rPr>
      </w:pPr>
      <w:r>
        <w:rPr>
          <w:rFonts w:ascii="Times New Roman" w:cs="Times New Roman" w:eastAsia="Times New Roman" w:hAnsi="Times New Roman"/>
          <w:sz w:val="19"/>
          <w:szCs w:val="19"/>
          <w:color w:val="1E1E1E"/>
        </w:rPr>
        <w:t>We have incurred net losses since our inception in 2013. We incurred a net loss available to common stock holders of $67.5 million in 2023 and, as a result of these losses, we had an accumulated deficit of $319.9 million as of December 31, 2023. We expect to continue the development and expansion of our business, and we anticipate additional costs in connection with legal, accounting and other administrative expenses related to operating as a public company.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may not continue to grow on pace with historical rates.</w:t>
      </w:r>
    </w:p>
    <w:p>
      <w:pPr>
        <w:spacing w:after="0" w:line="120" w:lineRule="exact"/>
        <w:rPr>
          <w:sz w:val="20"/>
          <w:szCs w:val="20"/>
          <w:color w:val="auto"/>
        </w:rPr>
      </w:pPr>
    </w:p>
    <w:p>
      <w:pPr>
        <w:ind w:right="40" w:firstLine="600"/>
        <w:spacing w:after="0" w:line="249" w:lineRule="auto"/>
        <w:rPr>
          <w:sz w:val="20"/>
          <w:szCs w:val="20"/>
          <w:color w:val="auto"/>
        </w:rPr>
      </w:pPr>
      <w:r>
        <w:rPr>
          <w:rFonts w:ascii="Times New Roman" w:cs="Times New Roman" w:eastAsia="Times New Roman" w:hAnsi="Times New Roman"/>
          <w:sz w:val="19"/>
          <w:szCs w:val="19"/>
          <w:color w:val="1E1E1E"/>
        </w:rPr>
        <w:t>We have grown rapidly over the last several years, but our recent revenue growth rate and financial performance should not be considered indicative of our future performance. During the years ended December 31, 2023, 2022, and 2021, our revenue was $463.4 million, $380.9 million and $218.3 million, respectively. We may also experience declines in our revenue growth rate as a result of a number of factors, including slowing demand for our platform, insufficient growth in the number of buyers and suppliers who transact on our marketplace, increasing competition, a decrease in the growth of our overall market, our failure to continue to capitalize on growth opportunities, failure to realize anticipated revenue growth from our supplier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53"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we are unable to manage the anticipated growth of our business, our future revenue and operating results may be adversely affected.</w:t>
      </w:r>
    </w:p>
    <w:p>
      <w:pPr>
        <w:spacing w:after="0" w:line="37"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effectively, such as by failing to implement necessary procedures, transition to new processes or hire necessary personnel, it may be difficult for us to execute our business strategy and our business could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operating results may fluctuate from quarter to quarter, which makes our future results difficult to predict.</w:t>
      </w:r>
    </w:p>
    <w:p>
      <w:pPr>
        <w:spacing w:after="0" w:line="120" w:lineRule="exact"/>
        <w:rPr>
          <w:sz w:val="20"/>
          <w:szCs w:val="20"/>
          <w:color w:val="auto"/>
        </w:rPr>
      </w:pPr>
    </w:p>
    <w:p>
      <w:pPr>
        <w:ind w:firstLine="601"/>
        <w:spacing w:after="0" w:line="260" w:lineRule="auto"/>
        <w:rPr>
          <w:sz w:val="20"/>
          <w:szCs w:val="20"/>
          <w:color w:val="auto"/>
        </w:rPr>
      </w:pPr>
      <w:r>
        <w:rPr>
          <w:rFonts w:ascii="Times New Roman" w:cs="Times New Roman" w:eastAsia="Times New Roman" w:hAnsi="Times New Roman"/>
          <w:sz w:val="19"/>
          <w:szCs w:val="19"/>
          <w:color w:val="1E1E1E"/>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w:t>
      </w:r>
    </w:p>
    <w:p>
      <w:pPr>
        <w:sectPr>
          <w:pgSz w:w="11880" w:h="15480" w:orient="portrait"/>
          <w:cols w:equalWidth="0" w:num="1">
            <w:col w:w="10480"/>
          </w:cols>
          <w:pgMar w:left="700" w:top="970"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10</w:t>
      </w:r>
    </w:p>
    <w:p>
      <w:pPr>
        <w:sectPr>
          <w:pgSz w:w="11880" w:h="15480" w:orient="portrait"/>
          <w:cols w:equalWidth="0" w:num="1">
            <w:col w:w="10480"/>
          </w:cols>
          <w:pgMar w:left="700" w:top="970" w:right="700" w:bottom="215" w:gutter="0" w:footer="0" w:header="0"/>
          <w:type w:val="continuous"/>
        </w:sectPr>
      </w:pPr>
    </w:p>
    <w:bookmarkStart w:id="16" w:name="page17"/>
    <w:bookmarkEnd w:id="16"/>
    <w:p>
      <w:pPr>
        <w:ind w:right="300"/>
        <w:spacing w:after="0" w:line="290" w:lineRule="auto"/>
        <w:rPr>
          <w:sz w:val="20"/>
          <w:szCs w:val="20"/>
          <w:color w:val="auto"/>
        </w:rPr>
      </w:pPr>
      <w:r>
        <w:rPr>
          <w:rFonts w:ascii="Times New Roman" w:cs="Times New Roman" w:eastAsia="Times New Roman" w:hAnsi="Times New Roman"/>
          <w:sz w:val="19"/>
          <w:szCs w:val="19"/>
          <w:color w:val="1E1E1E"/>
        </w:rPr>
        <w:t>markets. Our operating results in any given quarter can be influenced by numerous factors, many of which are unpredictable or are outside of our control, including:</w:t>
      </w:r>
    </w:p>
    <w:p>
      <w:pPr>
        <w:spacing w:after="0" w:line="49" w:lineRule="exact"/>
        <w:rPr>
          <w:sz w:val="20"/>
          <w:szCs w:val="20"/>
          <w:color w:val="auto"/>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maintain and grow our community of buyers and suppliers;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retain and increase revenue from existing customers;</w:t>
      </w:r>
    </w:p>
    <w:p>
      <w:pPr>
        <w:spacing w:after="0" w:line="134" w:lineRule="exact"/>
        <w:rPr>
          <w:rFonts w:ascii="Arial" w:cs="Arial" w:eastAsia="Arial" w:hAnsi="Arial"/>
          <w:sz w:val="19"/>
          <w:szCs w:val="19"/>
          <w:color w:val="1E1E1E"/>
        </w:rPr>
      </w:pPr>
    </w:p>
    <w:p>
      <w:pPr>
        <w:ind w:left="960" w:right="28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the demand for and types of manufacturing processes, capabilities and materials that are sourced on our marketplace to suppliers;</w:t>
      </w:r>
    </w:p>
    <w:p>
      <w:pPr>
        <w:spacing w:after="0" w:line="49" w:lineRule="exact"/>
        <w:rPr>
          <w:rFonts w:ascii="Arial" w:cs="Arial" w:eastAsia="Arial" w:hAnsi="Arial"/>
          <w:sz w:val="19"/>
          <w:szCs w:val="19"/>
          <w:color w:val="1E1E1E"/>
        </w:rPr>
      </w:pPr>
    </w:p>
    <w:p>
      <w:pPr>
        <w:ind w:left="960" w:right="38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spending patterns of buyers, including whether those buyers who transact on our marketplace frequently, or for larger services, reduce their use of our marketplace or stop transacting on our marketplace completely;</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timing of large orders on our marketplace;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the impact of holidays on purchase activity;</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fluctuations in the prices charged to buyers transacting on our marketplace;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to our pricing model;</w:t>
      </w:r>
    </w:p>
    <w:p>
      <w:pPr>
        <w:spacing w:after="0" w:line="134" w:lineRule="exact"/>
        <w:rPr>
          <w:rFonts w:ascii="Arial" w:cs="Arial" w:eastAsia="Arial" w:hAnsi="Arial"/>
          <w:sz w:val="19"/>
          <w:szCs w:val="19"/>
          <w:color w:val="1E1E1E"/>
        </w:rPr>
      </w:pPr>
    </w:p>
    <w:p>
      <w:pPr>
        <w:ind w:left="960" w:right="4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our ability to introduce new features and services and enhance our existing platform and our ability to generate significant revenue from new features and services;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the impact of outages of our platform and associated reputational harm;</w:t>
      </w:r>
    </w:p>
    <w:p>
      <w:pPr>
        <w:spacing w:after="0" w:line="134" w:lineRule="exact"/>
        <w:rPr>
          <w:rFonts w:ascii="Arial" w:cs="Arial" w:eastAsia="Arial" w:hAnsi="Arial"/>
          <w:sz w:val="19"/>
          <w:szCs w:val="19"/>
          <w:color w:val="1E1E1E"/>
        </w:rPr>
      </w:pPr>
    </w:p>
    <w:p>
      <w:pPr>
        <w:ind w:left="960" w:right="18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to financial accounting standards and the interpretation of those standards that may affect the way we recognize and report our financial results;</w:t>
      </w:r>
    </w:p>
    <w:p>
      <w:pPr>
        <w:spacing w:after="0" w:line="49" w:lineRule="exact"/>
        <w:rPr>
          <w:rFonts w:ascii="Arial" w:cs="Arial" w:eastAsia="Arial" w:hAnsi="Arial"/>
          <w:sz w:val="19"/>
          <w:szCs w:val="19"/>
          <w:color w:val="1E1E1E"/>
        </w:rPr>
      </w:pPr>
    </w:p>
    <w:p>
      <w:pPr>
        <w:ind w:left="960" w:right="72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increases in, and timing of, operating expenses that we may incur to grow and expand our business and to remain competitive;</w:t>
      </w:r>
    </w:p>
    <w:p>
      <w:pPr>
        <w:spacing w:after="0" w:line="49" w:lineRule="exact"/>
        <w:rPr>
          <w:rFonts w:ascii="Arial" w:cs="Arial" w:eastAsia="Arial" w:hAnsi="Arial"/>
          <w:sz w:val="19"/>
          <w:szCs w:val="19"/>
          <w:color w:val="1E1E1E"/>
        </w:rPr>
      </w:pPr>
    </w:p>
    <w:p>
      <w:pPr>
        <w:ind w:left="960" w:right="2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costs related to the acquisition of businesses, talent, technologies, or intellectual property, including potentially significant amortization costs and possible impairments;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actual or perceived breaches of, or failures relating to security or data privacy and associated remediation costs;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litigation, adverse judgments, settlements, or other litigation-related costs;</w:t>
      </w:r>
    </w:p>
    <w:p>
      <w:pPr>
        <w:spacing w:after="0" w:line="134" w:lineRule="exact"/>
        <w:rPr>
          <w:rFonts w:ascii="Arial" w:cs="Arial" w:eastAsia="Arial" w:hAnsi="Arial"/>
          <w:sz w:val="19"/>
          <w:szCs w:val="19"/>
          <w:color w:val="1E1E1E"/>
        </w:rPr>
      </w:pPr>
    </w:p>
    <w:p>
      <w:pPr>
        <w:ind w:left="960" w:right="68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developments or disputes concerning our intellectual property or proprietary rights or our solutions, or third-party intellectual property or proprietary rights;</w:t>
      </w:r>
    </w:p>
    <w:p>
      <w:pPr>
        <w:spacing w:after="0" w:line="49" w:lineRule="exact"/>
        <w:rPr>
          <w:rFonts w:ascii="Arial" w:cs="Arial" w:eastAsia="Arial" w:hAnsi="Arial"/>
          <w:sz w:val="19"/>
          <w:szCs w:val="19"/>
          <w:color w:val="1E1E1E"/>
        </w:rPr>
      </w:pPr>
    </w:p>
    <w:p>
      <w:pPr>
        <w:ind w:left="960" w:right="20" w:hanging="485"/>
        <w:spacing w:after="0" w:line="25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global trade, or tax requirements;</w:t>
      </w:r>
    </w:p>
    <w:p>
      <w:pPr>
        <w:spacing w:after="0" w:line="78"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fluctuations in currency exchange rates and interest rates;</w:t>
      </w:r>
    </w:p>
    <w:p>
      <w:pPr>
        <w:spacing w:after="0" w:line="134" w:lineRule="exact"/>
        <w:rPr>
          <w:rFonts w:ascii="Arial" w:cs="Arial" w:eastAsia="Arial" w:hAnsi="Arial"/>
          <w:sz w:val="19"/>
          <w:szCs w:val="19"/>
          <w:color w:val="1E1E1E"/>
        </w:rPr>
      </w:pPr>
    </w:p>
    <w:p>
      <w:pPr>
        <w:ind w:left="960" w:right="18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uncertainties regarding the effect of general economic, business and market conditions, including inflationary pressures, general economic downturn or recession, market volatility, increasing interest rates and changes in monetary policy;</w:t>
      </w:r>
    </w:p>
    <w:p>
      <w:pPr>
        <w:spacing w:after="0" w:line="49" w:lineRule="exact"/>
        <w:rPr>
          <w:rFonts w:ascii="Arial" w:cs="Arial" w:eastAsia="Arial" w:hAnsi="Arial"/>
          <w:sz w:val="19"/>
          <w:szCs w:val="19"/>
          <w:color w:val="1E1E1E"/>
        </w:rPr>
      </w:pPr>
    </w:p>
    <w:p>
      <w:pPr>
        <w:ind w:left="960" w:hanging="485"/>
        <w:spacing w:after="0" w:line="267"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political unrest, changes and uncertainty associated with terrorism, hostilities and war, including the ongoing conflict between Russia and Ukraine and the ongoing conflict between Israel and Hamas, and sanctions imposed against Russia by the international community;</w:t>
      </w:r>
    </w:p>
    <w:p>
      <w:pPr>
        <w:spacing w:after="0" w:line="69" w:lineRule="exact"/>
        <w:rPr>
          <w:rFonts w:ascii="Arial" w:cs="Arial" w:eastAsia="Arial" w:hAnsi="Arial"/>
          <w:sz w:val="19"/>
          <w:szCs w:val="19"/>
          <w:color w:val="1E1E1E"/>
        </w:rPr>
      </w:pPr>
    </w:p>
    <w:p>
      <w:pPr>
        <w:ind w:left="960" w:right="840" w:hanging="485"/>
        <w:spacing w:after="0" w:line="289" w:lineRule="auto"/>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general economic and political conditions and government regulations in the countries where we currently have significant numbers of users, or where we currently operate or may expand in the future; and</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5"/>
        </w:numPr>
        <w:rPr>
          <w:rFonts w:ascii="Arial" w:cs="Arial" w:eastAsia="Arial" w:hAnsi="Arial"/>
          <w:sz w:val="19"/>
          <w:szCs w:val="19"/>
          <w:color w:val="1E1E1E"/>
        </w:rPr>
      </w:pPr>
      <w:r>
        <w:rPr>
          <w:rFonts w:ascii="Times New Roman" w:cs="Times New Roman" w:eastAsia="Times New Roman" w:hAnsi="Times New Roman"/>
          <w:sz w:val="19"/>
          <w:szCs w:val="19"/>
          <w:color w:val="1E1E1E"/>
        </w:rPr>
        <w:t>natural disasters, such as earthquakes, hurricanes, wildfires, and the effects of public health crises.</w:t>
      </w:r>
    </w:p>
    <w:p>
      <w:pPr>
        <w:spacing w:after="0" w:line="227" w:lineRule="exact"/>
        <w:rPr>
          <w:sz w:val="20"/>
          <w:szCs w:val="20"/>
          <w:color w:val="auto"/>
        </w:rPr>
      </w:pPr>
    </w:p>
    <w:p>
      <w:pPr>
        <w:ind w:right="200" w:firstLine="600"/>
        <w:spacing w:after="0" w:line="260" w:lineRule="auto"/>
        <w:rPr>
          <w:sz w:val="20"/>
          <w:szCs w:val="20"/>
          <w:color w:val="auto"/>
        </w:rPr>
      </w:pPr>
      <w:r>
        <w:rPr>
          <w:rFonts w:ascii="Times New Roman" w:cs="Times New Roman" w:eastAsia="Times New Roman" w:hAnsi="Times New Roman"/>
          <w:sz w:val="19"/>
          <w:szCs w:val="19"/>
          <w:color w:val="1E1E1E"/>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Class A common stock could fall substantially, and we could face costly lawsuits, including securities class action suits.</w:t>
      </w:r>
    </w:p>
    <w:p>
      <w:pPr>
        <w:sectPr>
          <w:pgSz w:w="11880" w:h="15480" w:orient="portrait"/>
          <w:cols w:equalWidth="0" w:num="1">
            <w:col w:w="10460"/>
          </w:cols>
          <w:pgMar w:left="700" w:top="957"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11</w:t>
      </w:r>
    </w:p>
    <w:p>
      <w:pPr>
        <w:sectPr>
          <w:pgSz w:w="11880" w:h="15480" w:orient="portrait"/>
          <w:cols w:equalWidth="0" w:num="1">
            <w:col w:w="10460"/>
          </w:cols>
          <w:pgMar w:left="700" w:top="957" w:right="720" w:bottom="215" w:gutter="0" w:footer="0" w:header="0"/>
          <w:type w:val="continuous"/>
        </w:sectPr>
      </w:pPr>
    </w:p>
    <w:bookmarkStart w:id="17" w:name="page18"/>
    <w:bookmarkEnd w:id="17"/>
    <w:p>
      <w:pPr>
        <w:ind w:right="12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spacing w:after="0" w:line="58" w:lineRule="exact"/>
        <w:rPr>
          <w:sz w:val="20"/>
          <w:szCs w:val="20"/>
          <w:color w:val="auto"/>
        </w:rPr>
      </w:pPr>
    </w:p>
    <w:p>
      <w:pPr>
        <w:ind w:right="20" w:firstLine="600"/>
        <w:spacing w:after="0" w:line="248" w:lineRule="auto"/>
        <w:rPr>
          <w:sz w:val="20"/>
          <w:szCs w:val="20"/>
          <w:color w:val="auto"/>
        </w:rPr>
      </w:pPr>
      <w:r>
        <w:rPr>
          <w:rFonts w:ascii="Times New Roman" w:cs="Times New Roman" w:eastAsia="Times New Roman" w:hAnsi="Times New Roman"/>
          <w:sz w:val="19"/>
          <w:szCs w:val="19"/>
          <w:color w:val="1E1E1E"/>
        </w:rPr>
        <w:t>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spacing w:after="0" w:line="155" w:lineRule="exact"/>
        <w:rPr>
          <w:sz w:val="20"/>
          <w:szCs w:val="20"/>
          <w:color w:val="auto"/>
        </w:rPr>
      </w:pPr>
    </w:p>
    <w:p>
      <w:pPr>
        <w:ind w:right="40" w:firstLine="600"/>
        <w:spacing w:after="0" w:line="250" w:lineRule="auto"/>
        <w:rPr>
          <w:sz w:val="20"/>
          <w:szCs w:val="20"/>
          <w:color w:val="auto"/>
        </w:rPr>
      </w:pPr>
      <w:r>
        <w:rPr>
          <w:rFonts w:ascii="Times New Roman" w:cs="Times New Roman" w:eastAsia="Times New Roman" w:hAnsi="Times New Roman"/>
          <w:sz w:val="19"/>
          <w:szCs w:val="19"/>
          <w:color w:val="1E1E1E"/>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spacing w:after="0" w:line="154" w:lineRule="exact"/>
        <w:rPr>
          <w:sz w:val="20"/>
          <w:szCs w:val="20"/>
          <w:color w:val="auto"/>
        </w:rPr>
      </w:pPr>
    </w:p>
    <w:p>
      <w:pPr>
        <w:ind w:right="60" w:firstLine="600"/>
        <w:spacing w:after="0" w:line="251" w:lineRule="auto"/>
        <w:rPr>
          <w:sz w:val="20"/>
          <w:szCs w:val="20"/>
          <w:color w:val="auto"/>
        </w:rPr>
      </w:pPr>
      <w:r>
        <w:rPr>
          <w:rFonts w:ascii="Times New Roman" w:cs="Times New Roman" w:eastAsia="Times New Roman" w:hAnsi="Times New Roman"/>
          <w:sz w:val="19"/>
          <w:szCs w:val="19"/>
          <w:color w:val="1E1E1E"/>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spacing w:after="0" w:line="18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success depends on our ability to deliver products and manufacturing processes that meet the demand of buyers transacting on our marketplace and our ability to adapt to technological changes and improvements.</w:t>
      </w:r>
    </w:p>
    <w:p>
      <w:pPr>
        <w:spacing w:after="0" w:line="37"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9"/>
          <w:szCs w:val="19"/>
          <w:color w:val="1E1E1E"/>
        </w:rPr>
        <w:t>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51" w:lineRule="exact"/>
        <w:rPr>
          <w:sz w:val="20"/>
          <w:szCs w:val="20"/>
          <w:color w:val="auto"/>
        </w:rPr>
      </w:pPr>
    </w:p>
    <w:p>
      <w:pPr>
        <w:ind w:right="140" w:firstLine="600"/>
        <w:spacing w:after="0" w:line="250" w:lineRule="auto"/>
        <w:rPr>
          <w:sz w:val="20"/>
          <w:szCs w:val="20"/>
          <w:color w:val="auto"/>
        </w:rPr>
      </w:pPr>
      <w:r>
        <w:rPr>
          <w:rFonts w:ascii="Times New Roman" w:cs="Times New Roman" w:eastAsia="Times New Roman" w:hAnsi="Times New Roman"/>
          <w:sz w:val="19"/>
          <w:szCs w:val="19"/>
          <w:color w:val="1E1E1E"/>
        </w:rPr>
        <w:t>In particular, 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ectPr>
          <w:pgSz w:w="11880" w:h="15480" w:orient="portrait"/>
          <w:cols w:equalWidth="0" w:num="1">
            <w:col w:w="10480"/>
          </w:cols>
          <w:pgMar w:left="700" w:top="958" w:right="700" w:bottom="215"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12</w:t>
      </w:r>
    </w:p>
    <w:p>
      <w:pPr>
        <w:sectPr>
          <w:pgSz w:w="11880" w:h="15480" w:orient="portrait"/>
          <w:cols w:equalWidth="0" w:num="1">
            <w:col w:w="10480"/>
          </w:cols>
          <w:pgMar w:left="700" w:top="958" w:right="700" w:bottom="215" w:gutter="0" w:footer="0" w:header="0"/>
          <w:type w:val="continuous"/>
        </w:sectPr>
      </w:pPr>
    </w:p>
    <w:bookmarkStart w:id="18" w:name="page19"/>
    <w:bookmarkEnd w:id="18"/>
    <w:p>
      <w:pPr>
        <w:jc w:val="both"/>
        <w:ind w:right="280" w:firstLine="600"/>
        <w:spacing w:after="0" w:line="267" w:lineRule="auto"/>
        <w:rPr>
          <w:sz w:val="20"/>
          <w:szCs w:val="20"/>
          <w:color w:val="auto"/>
        </w:rPr>
      </w:pPr>
      <w:r>
        <w:rPr>
          <w:rFonts w:ascii="Times New Roman" w:cs="Times New Roman" w:eastAsia="Times New Roman" w:hAnsi="Times New Roman"/>
          <w:sz w:val="19"/>
          <w:szCs w:val="19"/>
          <w:color w:val="1E1E1E"/>
        </w:rPr>
        <w:t>Any failure to properly meet the needs of buyers and suppliers or respond to changes in our industry on a cost-effective and timely basis, or at all, would likely have a material adverse effect on our business, financial condition, and results of operations and harm our competitive position.</w:t>
      </w:r>
    </w:p>
    <w:p>
      <w:pPr>
        <w:spacing w:after="0" w:line="165"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we fail to maintain and improve the quality of our platform, customer support and ancillary services available through our platform, we may not be able to attract and retain buyers and suppliers.</w:t>
      </w:r>
    </w:p>
    <w:p>
      <w:pPr>
        <w:spacing w:after="0" w:line="54" w:lineRule="exact"/>
        <w:rPr>
          <w:sz w:val="20"/>
          <w:szCs w:val="20"/>
          <w:color w:val="auto"/>
        </w:rPr>
      </w:pPr>
    </w:p>
    <w:p>
      <w:pPr>
        <w:ind w:right="40" w:firstLine="600"/>
        <w:spacing w:after="0" w:line="249" w:lineRule="auto"/>
        <w:rPr>
          <w:sz w:val="20"/>
          <w:szCs w:val="20"/>
          <w:color w:val="auto"/>
        </w:rPr>
      </w:pPr>
      <w:r>
        <w:rPr>
          <w:rFonts w:ascii="Times New Roman" w:cs="Times New Roman" w:eastAsia="Times New Roman" w:hAnsi="Times New Roman"/>
          <w:sz w:val="19"/>
          <w:szCs w:val="19"/>
          <w:color w:val="1E1E1E"/>
        </w:rPr>
        <w:t>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like our Thomasnet.com® platform, Xometry Pay, the Xometry Advance Card and Workcenter, improving upon and introducing new design guides,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81" w:lineRule="exact"/>
        <w:rPr>
          <w:sz w:val="20"/>
          <w:szCs w:val="20"/>
          <w:color w:val="auto"/>
        </w:rPr>
      </w:pPr>
    </w:p>
    <w:p>
      <w:pPr>
        <w:ind w:right="60" w:firstLine="600"/>
        <w:spacing w:after="0" w:line="250" w:lineRule="auto"/>
        <w:rPr>
          <w:sz w:val="20"/>
          <w:szCs w:val="20"/>
          <w:color w:val="auto"/>
        </w:rPr>
      </w:pPr>
      <w:r>
        <w:rPr>
          <w:rFonts w:ascii="Times New Roman" w:cs="Times New Roman" w:eastAsia="Times New Roman" w:hAnsi="Times New Roman"/>
          <w:sz w:val="19"/>
          <w:szCs w:val="19"/>
          <w:color w:val="1E1E1E"/>
        </w:rPr>
        <w:t>In addition, we need to continue to adapt, expand and improve our platform and user interfaces to keep up with changing user preferences. We invest substantial resources in researching and developing new supplier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79"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75" w:lineRule="exact"/>
        <w:rPr>
          <w:sz w:val="20"/>
          <w:szCs w:val="20"/>
          <w:color w:val="auto"/>
        </w:rPr>
      </w:pPr>
    </w:p>
    <w:p>
      <w:pPr>
        <w:jc w:val="both"/>
        <w:ind w:right="100" w:firstLine="600"/>
        <w:spacing w:after="0" w:line="267" w:lineRule="auto"/>
        <w:rPr>
          <w:sz w:val="20"/>
          <w:szCs w:val="20"/>
          <w:color w:val="auto"/>
        </w:rPr>
      </w:pPr>
      <w:r>
        <w:rPr>
          <w:rFonts w:ascii="Times New Roman" w:cs="Times New Roman" w:eastAsia="Times New Roman" w:hAnsi="Times New Roman"/>
          <w:sz w:val="19"/>
          <w:szCs w:val="19"/>
          <w:color w:val="1E1E1E"/>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6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provide quality assurance to buyers even when a supplier manufactures the ordered part(s), which could subject us to liability for poor quality parts.</w:t>
      </w:r>
    </w:p>
    <w:p>
      <w:pPr>
        <w:spacing w:after="0" w:line="54" w:lineRule="exact"/>
        <w:rPr>
          <w:sz w:val="20"/>
          <w:szCs w:val="20"/>
          <w:color w:val="auto"/>
        </w:rPr>
      </w:pPr>
    </w:p>
    <w:p>
      <w:pPr>
        <w:ind w:right="160" w:firstLine="600"/>
        <w:spacing w:after="0" w:line="251" w:lineRule="auto"/>
        <w:rPr>
          <w:sz w:val="20"/>
          <w:szCs w:val="20"/>
          <w:color w:val="auto"/>
        </w:rPr>
      </w:pPr>
      <w:r>
        <w:rPr>
          <w:rFonts w:ascii="Times New Roman" w:cs="Times New Roman" w:eastAsia="Times New Roman" w:hAnsi="Times New Roman"/>
          <w:sz w:val="19"/>
          <w:szCs w:val="19"/>
          <w:color w:val="1E1E1E"/>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terms allow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 To the extent we face a significant number of claims of non-conformance, our financial condition and results of operations could be adversely affected.</w:t>
      </w:r>
    </w:p>
    <w:p>
      <w:pPr>
        <w:sectPr>
          <w:pgSz w:w="11880" w:h="15480" w:orient="portrait"/>
          <w:cols w:equalWidth="0" w:num="1">
            <w:col w:w="10480"/>
          </w:cols>
          <w:pgMar w:left="700" w:top="957"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13</w:t>
      </w:r>
    </w:p>
    <w:p>
      <w:pPr>
        <w:sectPr>
          <w:pgSz w:w="11880" w:h="15480" w:orient="portrait"/>
          <w:cols w:equalWidth="0" w:num="1">
            <w:col w:w="10480"/>
          </w:cols>
          <w:pgMar w:left="700" w:top="957" w:right="700" w:bottom="215" w:gutter="0" w:footer="0" w:header="0"/>
          <w:type w:val="continuous"/>
        </w:sectPr>
      </w:pPr>
    </w:p>
    <w:bookmarkStart w:id="19" w:name="page20"/>
    <w:bookmarkEnd w:id="19"/>
    <w:p>
      <w:pPr>
        <w:ind w:right="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business model involves our agreeing to pricing with a buyer in advance of sourcing the opportunity to a seller. We are at risk that the price a buyer pays us may be less than the cost we ultimately pay a supplier.</w:t>
      </w:r>
    </w:p>
    <w:p>
      <w:pPr>
        <w:spacing w:after="0" w:line="54"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It may be difficult for us to comply with non-standard contract terms with our customers.</w:t>
      </w:r>
    </w:p>
    <w:p>
      <w:pPr>
        <w:spacing w:after="0" w:line="137" w:lineRule="exact"/>
        <w:rPr>
          <w:sz w:val="20"/>
          <w:szCs w:val="20"/>
          <w:color w:val="auto"/>
        </w:rPr>
      </w:pPr>
    </w:p>
    <w:p>
      <w:pPr>
        <w:ind w:right="140" w:firstLine="600"/>
        <w:spacing w:after="0" w:line="254" w:lineRule="auto"/>
        <w:rPr>
          <w:sz w:val="20"/>
          <w:szCs w:val="20"/>
          <w:color w:val="auto"/>
        </w:rPr>
      </w:pPr>
      <w:r>
        <w:rPr>
          <w:rFonts w:ascii="Times New Roman" w:cs="Times New Roman" w:eastAsia="Times New Roman" w:hAnsi="Times New Roman"/>
          <w:sz w:val="19"/>
          <w:szCs w:val="19"/>
          <w:color w:val="1E1E1E"/>
        </w:rPr>
        <w:t>Customers, including large customers with substantial negotiating and purchasing power, may request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requests in order to do business with such customers, it may increase our cost to comply with such terms or we may not be able comply with such terms at all, in which case our relationship with the affected customer may be negatively impacted.</w:t>
      </w:r>
    </w:p>
    <w:p>
      <w:pPr>
        <w:spacing w:after="0" w:line="176"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9"/>
          <w:szCs w:val="19"/>
          <w:b w:val="1"/>
          <w:bCs w:val="1"/>
          <w:i w:val="1"/>
          <w:iCs w:val="1"/>
          <w:color w:val="1E1E1E"/>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82"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We refer to the aforementioned data and other proprietary, confidential, or sensitive data as “sensitive information.”</w:t>
      </w:r>
    </w:p>
    <w:p>
      <w:pPr>
        <w:spacing w:after="0" w:line="175" w:lineRule="exact"/>
        <w:rPr>
          <w:sz w:val="20"/>
          <w:szCs w:val="20"/>
          <w:color w:val="auto"/>
        </w:rPr>
      </w:pPr>
    </w:p>
    <w:p>
      <w:pPr>
        <w:ind w:right="200" w:firstLine="600"/>
        <w:spacing w:after="0" w:line="250" w:lineRule="auto"/>
        <w:rPr>
          <w:sz w:val="20"/>
          <w:szCs w:val="20"/>
          <w:color w:val="auto"/>
        </w:rPr>
      </w:pPr>
      <w:r>
        <w:rPr>
          <w:rFonts w:ascii="Times New Roman" w:cs="Times New Roman" w:eastAsia="Times New Roman" w:hAnsi="Times New Roman"/>
          <w:sz w:val="19"/>
          <w:szCs w:val="19"/>
          <w:color w:val="1E1E1E"/>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83" w:lineRule="exact"/>
        <w:rPr>
          <w:sz w:val="20"/>
          <w:szCs w:val="20"/>
          <w:color w:val="auto"/>
        </w:rPr>
      </w:pPr>
    </w:p>
    <w:p>
      <w:pPr>
        <w:ind w:firstLine="601"/>
        <w:spacing w:after="0" w:line="248" w:lineRule="auto"/>
        <w:rPr>
          <w:sz w:val="20"/>
          <w:szCs w:val="20"/>
          <w:color w:val="auto"/>
        </w:rPr>
      </w:pPr>
      <w:r>
        <w:rPr>
          <w:rFonts w:ascii="Times New Roman" w:cs="Times New Roman" w:eastAsia="Times New Roman" w:hAnsi="Times New Roman"/>
          <w:sz w:val="19"/>
          <w:szCs w:val="19"/>
          <w:color w:val="1E1E1E"/>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(particularly for companies engaged in critical manufacturing). Such attacks could lead to significant interruptions in our operations, loss of sensitive information, loss of revenue, reputational harm, and diversion of funds. Extortion payments may alleviate the negative impact of a ransomware attack, but we may be unwilling or unable to make such payments due to, for example, applicable laws or regulations prohibiting such payments.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186" w:lineRule="exact"/>
        <w:rPr>
          <w:sz w:val="20"/>
          <w:szCs w:val="20"/>
          <w:color w:val="auto"/>
        </w:rPr>
      </w:pPr>
    </w:p>
    <w:p>
      <w:pPr>
        <w:ind w:firstLine="601"/>
        <w:spacing w:after="0" w:line="256" w:lineRule="auto"/>
        <w:rPr>
          <w:sz w:val="20"/>
          <w:szCs w:val="20"/>
          <w:color w:val="auto"/>
        </w:rPr>
      </w:pPr>
      <w:r>
        <w:rPr>
          <w:rFonts w:ascii="Times New Roman" w:cs="Times New Roman" w:eastAsia="Times New Roman" w:hAnsi="Times New Roman"/>
          <w:sz w:val="19"/>
          <w:szCs w:val="19"/>
          <w:color w:val="1E1E1E"/>
        </w:rPr>
        <w:t>Remote work has also become more common and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 systems and technologies. Furthermore, we may discover security issues that were not found during due</w:t>
      </w:r>
    </w:p>
    <w:p>
      <w:pPr>
        <w:sectPr>
          <w:pgSz w:w="11880" w:h="15480" w:orient="portrait"/>
          <w:cols w:equalWidth="0" w:num="1">
            <w:col w:w="10440"/>
          </w:cols>
          <w:pgMar w:left="700" w:top="958" w:right="740" w:bottom="215" w:gutter="0" w:footer="0" w:header="0"/>
        </w:sectPr>
      </w:pP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14</w:t>
      </w:r>
    </w:p>
    <w:p>
      <w:pPr>
        <w:sectPr>
          <w:pgSz w:w="11880" w:h="15480" w:orient="portrait"/>
          <w:cols w:equalWidth="0" w:num="1">
            <w:col w:w="10440"/>
          </w:cols>
          <w:pgMar w:left="700" w:top="958" w:right="740" w:bottom="215" w:gutter="0" w:footer="0" w:header="0"/>
          <w:type w:val="continuous"/>
        </w:sectPr>
      </w:pPr>
    </w:p>
    <w:bookmarkStart w:id="20" w:name="page21"/>
    <w:bookmarkEnd w:id="20"/>
    <w:p>
      <w:pPr>
        <w:ind w:right="640"/>
        <w:spacing w:after="0" w:line="290" w:lineRule="auto"/>
        <w:rPr>
          <w:sz w:val="20"/>
          <w:szCs w:val="20"/>
          <w:color w:val="auto"/>
        </w:rPr>
      </w:pPr>
      <w:r>
        <w:rPr>
          <w:rFonts w:ascii="Times New Roman" w:cs="Times New Roman" w:eastAsia="Times New Roman" w:hAnsi="Times New Roman"/>
          <w:sz w:val="19"/>
          <w:szCs w:val="19"/>
          <w:color w:val="1E1E1E"/>
        </w:rPr>
        <w:t>diligence of such acquired or integrated entities, and it may be difficult to integrate companies into our information technology environments and security programs.</w:t>
      </w:r>
    </w:p>
    <w:p>
      <w:pPr>
        <w:spacing w:after="0" w:line="141" w:lineRule="exact"/>
        <w:rPr>
          <w:sz w:val="20"/>
          <w:szCs w:val="20"/>
          <w:color w:val="auto"/>
        </w:rPr>
      </w:pPr>
    </w:p>
    <w:p>
      <w:pPr>
        <w:ind w:right="40" w:firstLine="600"/>
        <w:spacing w:after="0" w:line="250" w:lineRule="auto"/>
        <w:rPr>
          <w:sz w:val="20"/>
          <w:szCs w:val="20"/>
          <w:color w:val="auto"/>
        </w:rPr>
      </w:pPr>
      <w:r>
        <w:rPr>
          <w:rFonts w:ascii="Times New Roman" w:cs="Times New Roman" w:eastAsia="Times New Roman" w:hAnsi="Times New Roman"/>
          <w:sz w:val="19"/>
          <w:szCs w:val="19"/>
          <w:color w:val="1E1E1E"/>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3" w:lineRule="exact"/>
        <w:rPr>
          <w:sz w:val="20"/>
          <w:szCs w:val="20"/>
          <w:color w:val="auto"/>
        </w:rPr>
      </w:pPr>
    </w:p>
    <w:p>
      <w:pPr>
        <w:ind w:right="40" w:firstLine="600"/>
        <w:spacing w:after="0" w:line="260" w:lineRule="auto"/>
        <w:rPr>
          <w:sz w:val="20"/>
          <w:szCs w:val="20"/>
          <w:color w:val="auto"/>
        </w:rPr>
      </w:pPr>
      <w:r>
        <w:rPr>
          <w:rFonts w:ascii="Times New Roman" w:cs="Times New Roman" w:eastAsia="Times New Roman" w:hAnsi="Times New Roman"/>
          <w:sz w:val="19"/>
          <w:szCs w:val="19"/>
          <w:color w:val="1E1E1E"/>
        </w:rPr>
        <w:t>A security breach or incident that we or our third-party partners or service providers experience could result in unauthorized, unlawful, or accidental access to, misuse of, or acquisition of our and our third-party service providers’ sensitive information, the loss, corruption, or alteration of such data, interruptions in our operations, damage to our computers or systems or those of our platform’s users, or the loss of access to our systems by us, our buyers or our suppliers.</w:t>
      </w:r>
    </w:p>
    <w:p>
      <w:pPr>
        <w:spacing w:after="0" w:line="169" w:lineRule="exact"/>
        <w:rPr>
          <w:sz w:val="20"/>
          <w:szCs w:val="20"/>
          <w:color w:val="auto"/>
        </w:rPr>
      </w:pPr>
    </w:p>
    <w:p>
      <w:pPr>
        <w:ind w:firstLine="600"/>
        <w:spacing w:after="0" w:line="247" w:lineRule="auto"/>
        <w:rPr>
          <w:sz w:val="20"/>
          <w:szCs w:val="20"/>
          <w:color w:val="auto"/>
        </w:rPr>
      </w:pPr>
      <w:r>
        <w:rPr>
          <w:rFonts w:ascii="Times New Roman" w:cs="Times New Roman" w:eastAsia="Times New Roman" w:hAnsi="Times New Roman"/>
          <w:sz w:val="19"/>
          <w:szCs w:val="19"/>
          <w:color w:val="1E1E1E"/>
        </w:rPr>
        <w:t>If an actual or perceived breach of security of our networks or systems or those of any of our third-party partners’ or service providers’ security occurs, our ability to provide our platform could be disrupted,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additional reporting requirements or oversight, restrictions on processing sensitive information (including personal data), negative publicity, monetary fund diversions, and legal and financial exposure, including potential contractual liability (such as indemnification obligations), in all cases that may not always be covered by our insurance, in whole or in part. Any such compromise could also result in damage to our brand and a loss of confidence in our security and privacy or data protection measures, and any significant unavailability of our platforms due to attacks could cause buyers and suppliers to stop using our platforms and transacting on our marketplace.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Certain data privacy and security obligations may require us to implement and maintain specific security measures or industry-standard or reasonable security measures to protect our information technology systems and sensitive information.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sensitive information, or the belief that any of these have occurred, could damage our reputation and expose us to a risk of loss or litigation and possible liability. Furthermore, 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200" w:lineRule="exact"/>
        <w:rPr>
          <w:sz w:val="20"/>
          <w:szCs w:val="20"/>
          <w:color w:val="auto"/>
        </w:rPr>
      </w:pPr>
    </w:p>
    <w:p>
      <w:pPr>
        <w:spacing w:after="0" w:line="210" w:lineRule="exact"/>
        <w:rPr>
          <w:sz w:val="20"/>
          <w:szCs w:val="20"/>
          <w:color w:val="auto"/>
        </w:rPr>
      </w:pPr>
    </w:p>
    <w:p>
      <w:pPr>
        <w:ind w:right="20" w:firstLine="600"/>
        <w:spacing w:after="0" w:line="256" w:lineRule="auto"/>
        <w:rPr>
          <w:sz w:val="20"/>
          <w:szCs w:val="20"/>
          <w:color w:val="auto"/>
        </w:rPr>
      </w:pPr>
      <w:r>
        <w:rPr>
          <w:rFonts w:ascii="Times New Roman" w:cs="Times New Roman" w:eastAsia="Times New Roman" w:hAnsi="Times New Roman"/>
          <w:sz w:val="19"/>
          <w:szCs w:val="19"/>
          <w:color w:val="1E1E1E"/>
        </w:rPr>
        <w:t>While we have implemented security measures designed to protect against security incidents, we cannot provide assurances that such measures will be effective in all cases. We take steps designed to detect and remediate vulnerabilities in our information systems (such as our hardware and/or software, including that of third parties upon which we rely). We may not, however,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spacing w:after="0" w:line="174" w:lineRule="exact"/>
        <w:rPr>
          <w:sz w:val="20"/>
          <w:szCs w:val="20"/>
          <w:color w:val="auto"/>
        </w:rPr>
      </w:pPr>
    </w:p>
    <w:p>
      <w:pPr>
        <w:ind w:right="20" w:firstLine="600"/>
        <w:spacing w:after="0" w:line="254" w:lineRule="auto"/>
        <w:rPr>
          <w:sz w:val="20"/>
          <w:szCs w:val="20"/>
          <w:color w:val="auto"/>
        </w:rPr>
      </w:pPr>
      <w:r>
        <w:rPr>
          <w:rFonts w:ascii="Times New Roman" w:cs="Times New Roman" w:eastAsia="Times New Roman" w:hAnsi="Times New Roman"/>
          <w:sz w:val="19"/>
          <w:szCs w:val="19"/>
          <w:color w:val="1E1E1E"/>
        </w:rPr>
        <w:t>Our contracts may not contain limitations of liability, and even where they do, there can be no assurance that such limitations are sufficient to protect us from liabilities, damages, or claims related to our data privacy and security obligations. Although we maintain cybersecurity liability insurance, we cannot be certain our coverage will be adequate to protect us from or mitigate expenses or liabilities actually incurred, that such coverage will continue to be available to us on commercially reasonable terms or at all, or that such coverage will pay future claims. Any of the foregoing could materially and adversely affect our business, prospects, financial condition and results of operations.</w:t>
      </w:r>
    </w:p>
    <w:p>
      <w:pPr>
        <w:spacing w:after="0" w:line="175" w:lineRule="exact"/>
        <w:rPr>
          <w:sz w:val="20"/>
          <w:szCs w:val="20"/>
          <w:color w:val="auto"/>
        </w:rPr>
      </w:pPr>
    </w:p>
    <w:p>
      <w:pPr>
        <w:ind w:right="60" w:firstLine="601"/>
        <w:spacing w:after="0" w:line="254" w:lineRule="auto"/>
        <w:rPr>
          <w:sz w:val="20"/>
          <w:szCs w:val="20"/>
          <w:color w:val="auto"/>
        </w:rPr>
      </w:pPr>
      <w:r>
        <w:rPr>
          <w:rFonts w:ascii="Times New Roman" w:cs="Times New Roman" w:eastAsia="Times New Roman" w:hAnsi="Times New Roman"/>
          <w:sz w:val="19"/>
          <w:szCs w:val="19"/>
          <w:color w:val="1E1E1E"/>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that we input into a third-party generative AI/ML platform could be leaked or disclosed to others, including if sensitive information is used to train the third parties’ AI/ML model. Additionally, where an AI/ML model ingests</w:t>
      </w:r>
    </w:p>
    <w:p>
      <w:pPr>
        <w:sectPr>
          <w:pgSz w:w="11880" w:h="15480" w:orient="portrait"/>
          <w:cols w:equalWidth="0" w:num="1">
            <w:col w:w="10480"/>
          </w:cols>
          <w:pgMar w:left="700" w:top="957" w:right="700" w:bottom="215" w:gutter="0" w:footer="0" w:header="0"/>
        </w:sectPr>
      </w:pP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15</w:t>
      </w:r>
    </w:p>
    <w:p>
      <w:pPr>
        <w:sectPr>
          <w:pgSz w:w="11880" w:h="15480" w:orient="portrait"/>
          <w:cols w:equalWidth="0" w:num="1">
            <w:col w:w="10480"/>
          </w:cols>
          <w:pgMar w:left="700" w:top="957" w:right="700" w:bottom="215" w:gutter="0" w:footer="0" w:header="0"/>
          <w:type w:val="continuous"/>
        </w:sectPr>
      </w:pPr>
    </w:p>
    <w:bookmarkStart w:id="21" w:name="page22"/>
    <w:bookmarkEnd w:id="21"/>
    <w:p>
      <w:pPr>
        <w:ind w:right="60"/>
        <w:spacing w:after="0" w:line="245" w:lineRule="auto"/>
        <w:rPr>
          <w:sz w:val="20"/>
          <w:szCs w:val="20"/>
          <w:color w:val="auto"/>
        </w:rPr>
      </w:pPr>
      <w:r>
        <w:rPr>
          <w:rFonts w:ascii="Times New Roman" w:cs="Times New Roman" w:eastAsia="Times New Roman" w:hAnsi="Times New Roman"/>
          <w:sz w:val="19"/>
          <w:szCs w:val="19"/>
          <w:color w:val="1E1E1E"/>
        </w:rPr>
        <w:t>personal data and makes connections using such data, those technologies may reveal other personal or sensitive information generated by the model. Moreover, AI/ML models may create flawed, incomplete, or inaccurate outputs, some of which may appear</w:t>
      </w:r>
    </w:p>
    <w:p>
      <w:pPr>
        <w:ind w:right="20"/>
        <w:spacing w:after="0" w:line="254" w:lineRule="auto"/>
        <w:rPr>
          <w:sz w:val="20"/>
          <w:szCs w:val="20"/>
          <w:color w:val="auto"/>
        </w:rPr>
      </w:pPr>
      <w:r>
        <w:rPr>
          <w:rFonts w:ascii="Times New Roman" w:cs="Times New Roman" w:eastAsia="Times New Roman" w:hAnsi="Times New Roman"/>
          <w:sz w:val="19"/>
          <w:szCs w:val="19"/>
          <w:color w:val="1E1E1E"/>
        </w:rPr>
        <w:t>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Failure to deal effectively with bad actors engaging on our marketplace or platform could harm our business.</w:t>
      </w:r>
    </w:p>
    <w:p>
      <w:pPr>
        <w:spacing w:after="0" w:line="137" w:lineRule="exact"/>
        <w:rPr>
          <w:sz w:val="20"/>
          <w:szCs w:val="20"/>
          <w:color w:val="auto"/>
        </w:rPr>
      </w:pPr>
    </w:p>
    <w:p>
      <w:pPr>
        <w:ind w:right="20" w:firstLine="600"/>
        <w:spacing w:after="0" w:line="252" w:lineRule="auto"/>
        <w:rPr>
          <w:sz w:val="20"/>
          <w:szCs w:val="20"/>
          <w:color w:val="auto"/>
        </w:rPr>
      </w:pPr>
      <w:r>
        <w:rPr>
          <w:rFonts w:ascii="Times New Roman" w:cs="Times New Roman" w:eastAsia="Times New Roman" w:hAnsi="Times New Roman"/>
          <w:sz w:val="19"/>
          <w:szCs w:val="19"/>
          <w:color w:val="1E1E1E"/>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spacing w:after="0" w:line="179" w:lineRule="exact"/>
        <w:rPr>
          <w:sz w:val="20"/>
          <w:szCs w:val="20"/>
          <w:color w:val="auto"/>
        </w:rPr>
      </w:pPr>
    </w:p>
    <w:p>
      <w:pPr>
        <w:ind w:right="160" w:firstLine="600"/>
        <w:spacing w:after="0" w:line="260" w:lineRule="auto"/>
        <w:rPr>
          <w:sz w:val="20"/>
          <w:szCs w:val="20"/>
          <w:color w:val="auto"/>
        </w:rPr>
      </w:pPr>
      <w:r>
        <w:rPr>
          <w:rFonts w:ascii="Times New Roman" w:cs="Times New Roman" w:eastAsia="Times New Roman" w:hAnsi="Times New Roman"/>
          <w:sz w:val="19"/>
          <w:szCs w:val="19"/>
          <w:color w:val="1E1E1E"/>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spacing w:after="0" w:line="169" w:lineRule="exact"/>
        <w:rPr>
          <w:sz w:val="20"/>
          <w:szCs w:val="20"/>
          <w:color w:val="auto"/>
        </w:rPr>
      </w:pPr>
    </w:p>
    <w:p>
      <w:pPr>
        <w:ind w:firstLine="600"/>
        <w:spacing w:after="0" w:line="267" w:lineRule="auto"/>
        <w:rPr>
          <w:sz w:val="20"/>
          <w:szCs w:val="20"/>
          <w:color w:val="auto"/>
        </w:rPr>
      </w:pPr>
      <w:r>
        <w:rPr>
          <w:rFonts w:ascii="Times New Roman" w:cs="Times New Roman" w:eastAsia="Times New Roman" w:hAnsi="Times New Roman"/>
          <w:sz w:val="19"/>
          <w:szCs w:val="19"/>
          <w:color w:val="1E1E1E"/>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may be subject to disputes between buyers and suppliers on our platform.</w:t>
      </w:r>
    </w:p>
    <w:p>
      <w:pPr>
        <w:spacing w:after="0" w:line="137" w:lineRule="exact"/>
        <w:rPr>
          <w:sz w:val="20"/>
          <w:szCs w:val="20"/>
          <w:color w:val="auto"/>
        </w:rPr>
      </w:pPr>
    </w:p>
    <w:p>
      <w:pPr>
        <w:ind w:right="60" w:firstLine="600"/>
        <w:spacing w:after="0" w:line="250" w:lineRule="auto"/>
        <w:rPr>
          <w:sz w:val="20"/>
          <w:szCs w:val="20"/>
          <w:color w:val="auto"/>
        </w:rPr>
      </w:pPr>
      <w:r>
        <w:rPr>
          <w:rFonts w:ascii="Times New Roman" w:cs="Times New Roman" w:eastAsia="Times New Roman" w:hAnsi="Times New Roman"/>
          <w:sz w:val="19"/>
          <w:szCs w:val="19"/>
          <w:color w:val="1E1E1E"/>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8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spacing w:after="0" w:line="75" w:lineRule="exact"/>
        <w:rPr>
          <w:sz w:val="20"/>
          <w:szCs w:val="20"/>
          <w:color w:val="auto"/>
        </w:rPr>
      </w:pPr>
    </w:p>
    <w:p>
      <w:pPr>
        <w:ind w:right="40" w:firstLine="601"/>
        <w:spacing w:after="0" w:line="249" w:lineRule="auto"/>
        <w:rPr>
          <w:sz w:val="20"/>
          <w:szCs w:val="20"/>
          <w:color w:val="auto"/>
        </w:rPr>
      </w:pPr>
      <w:r>
        <w:rPr>
          <w:rFonts w:ascii="Times New Roman" w:cs="Times New Roman" w:eastAsia="Times New Roman" w:hAnsi="Times New Roman"/>
          <w:sz w:val="19"/>
          <w:szCs w:val="19"/>
          <w:color w:val="1E1E1E"/>
        </w:rPr>
        <w:t>We rely on a third-party payment processor, Stripe, to process payments made by buyers and payments made to suppliers. We also rely on Stripe for certain financial service offerings, an integrated payment processing tool for suppliers available through our platform, and the Xometry Advance Card. Under our commercial agreements with Stripe, Stripe may terminate the relationship with 120 days’ advance notice. If 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or the Xometry Advance Card, any of which could disrupt our business for an extended period of time, make our platform less convenient, trustworthy and attractive to users, and adversely affect our ability to attract and retain qualified buyers and suppliers.</w:t>
      </w:r>
    </w:p>
    <w:p>
      <w:pPr>
        <w:spacing w:after="0" w:line="200" w:lineRule="exact"/>
        <w:rPr>
          <w:sz w:val="20"/>
          <w:szCs w:val="20"/>
          <w:color w:val="auto"/>
        </w:rPr>
      </w:pPr>
    </w:p>
    <w:p>
      <w:pPr>
        <w:spacing w:after="0" w:line="211" w:lineRule="exact"/>
        <w:rPr>
          <w:sz w:val="20"/>
          <w:szCs w:val="20"/>
          <w:color w:val="auto"/>
        </w:rPr>
      </w:pPr>
    </w:p>
    <w:p>
      <w:pPr>
        <w:ind w:right="20" w:firstLine="601"/>
        <w:spacing w:after="0" w:line="256" w:lineRule="auto"/>
        <w:rPr>
          <w:sz w:val="20"/>
          <w:szCs w:val="20"/>
          <w:color w:val="auto"/>
        </w:rPr>
      </w:pPr>
      <w:r>
        <w:rPr>
          <w:rFonts w:ascii="Times New Roman" w:cs="Times New Roman" w:eastAsia="Times New Roman" w:hAnsi="Times New Roman"/>
          <w:sz w:val="19"/>
          <w:szCs w:val="19"/>
          <w:color w:val="1E1E1E"/>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w:t>
      </w:r>
    </w:p>
    <w:p>
      <w:pPr>
        <w:sectPr>
          <w:pgSz w:w="11880" w:h="15480" w:orient="portrait"/>
          <w:cols w:equalWidth="0" w:num="1">
            <w:col w:w="10480"/>
          </w:cols>
          <w:pgMar w:left="700" w:top="957" w:right="700" w:bottom="215"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16</w:t>
      </w:r>
    </w:p>
    <w:p>
      <w:pPr>
        <w:sectPr>
          <w:pgSz w:w="11880" w:h="15480" w:orient="portrait"/>
          <w:cols w:equalWidth="0" w:num="1">
            <w:col w:w="10480"/>
          </w:cols>
          <w:pgMar w:left="700" w:top="957" w:right="700" w:bottom="215" w:gutter="0" w:footer="0" w:header="0"/>
          <w:type w:val="continuous"/>
        </w:sectPr>
      </w:pPr>
    </w:p>
    <w:bookmarkStart w:id="22" w:name="page23"/>
    <w:bookmarkEnd w:id="22"/>
    <w:p>
      <w:pPr>
        <w:ind w:right="220"/>
        <w:spacing w:after="0" w:line="256" w:lineRule="auto"/>
        <w:rPr>
          <w:sz w:val="20"/>
          <w:szCs w:val="20"/>
          <w:color w:val="auto"/>
        </w:rPr>
      </w:pPr>
      <w:r>
        <w:rPr>
          <w:rFonts w:ascii="Times New Roman" w:cs="Times New Roman" w:eastAsia="Times New Roman" w:hAnsi="Times New Roman"/>
          <w:sz w:val="19"/>
          <w:szCs w:val="19"/>
          <w:color w:val="1E1E1E"/>
        </w:rPr>
        <w:t>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74" w:lineRule="exact"/>
        <w:rPr>
          <w:sz w:val="20"/>
          <w:szCs w:val="20"/>
          <w:color w:val="auto"/>
        </w:rPr>
      </w:pPr>
    </w:p>
    <w:p>
      <w:pPr>
        <w:ind w:right="60" w:firstLine="600"/>
        <w:spacing w:after="0" w:line="250" w:lineRule="auto"/>
        <w:rPr>
          <w:sz w:val="20"/>
          <w:szCs w:val="20"/>
          <w:color w:val="auto"/>
        </w:rPr>
      </w:pPr>
      <w:r>
        <w:rPr>
          <w:rFonts w:ascii="Times New Roman" w:cs="Times New Roman" w:eastAsia="Times New Roman" w:hAnsi="Times New Roman"/>
          <w:sz w:val="19"/>
          <w:szCs w:val="19"/>
          <w:color w:val="1E1E1E"/>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79" w:lineRule="exact"/>
        <w:rPr>
          <w:sz w:val="20"/>
          <w:szCs w:val="20"/>
          <w:color w:val="auto"/>
        </w:rPr>
      </w:pPr>
    </w:p>
    <w:p>
      <w:pPr>
        <w:ind w:right="60" w:firstLine="600"/>
        <w:spacing w:after="0" w:line="251" w:lineRule="auto"/>
        <w:rPr>
          <w:sz w:val="20"/>
          <w:szCs w:val="20"/>
          <w:color w:val="auto"/>
        </w:rPr>
      </w:pPr>
      <w:r>
        <w:rPr>
          <w:rFonts w:ascii="Times New Roman" w:cs="Times New Roman" w:eastAsia="Times New Roman" w:hAnsi="Times New Roman"/>
          <w:sz w:val="19"/>
          <w:szCs w:val="19"/>
          <w:color w:val="1E1E1E"/>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are required to comply with payment card network operating rules.</w:t>
      </w:r>
    </w:p>
    <w:p>
      <w:pPr>
        <w:spacing w:after="0" w:line="137" w:lineRule="exact"/>
        <w:rPr>
          <w:sz w:val="20"/>
          <w:szCs w:val="20"/>
          <w:color w:val="auto"/>
        </w:rPr>
      </w:pPr>
    </w:p>
    <w:p>
      <w:pPr>
        <w:ind w:right="20" w:firstLine="600"/>
        <w:spacing w:after="0" w:line="251" w:lineRule="auto"/>
        <w:rPr>
          <w:sz w:val="20"/>
          <w:szCs w:val="20"/>
          <w:color w:val="auto"/>
        </w:rPr>
      </w:pPr>
      <w:r>
        <w:rPr>
          <w:rFonts w:ascii="Times New Roman" w:cs="Times New Roman" w:eastAsia="Times New Roman" w:hAnsi="Times New Roman"/>
          <w:sz w:val="19"/>
          <w:szCs w:val="19"/>
          <w:color w:val="1E1E1E"/>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(“PCI DSS”), govern a variety of areas, including how consumers and customers may use their cards, the security features of cards, security standards for processing, data security and allocation of liability for certain acts or omissions, including liability in the event of a data breach. For example,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from credit card companies ranging from $5,000 to $100,000 per month, litigation, damage to our reputation, and revenue losses.</w:t>
      </w:r>
    </w:p>
    <w:p>
      <w:pPr>
        <w:spacing w:after="0" w:line="180"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PCI DSS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184" w:lineRule="exact"/>
        <w:rPr>
          <w:sz w:val="20"/>
          <w:szCs w:val="20"/>
          <w:color w:val="auto"/>
        </w:rPr>
      </w:pPr>
    </w:p>
    <w:p>
      <w:pPr>
        <w:ind w:right="100" w:firstLine="601"/>
        <w:spacing w:after="0" w:line="250" w:lineRule="auto"/>
        <w:rPr>
          <w:sz w:val="20"/>
          <w:szCs w:val="20"/>
          <w:color w:val="auto"/>
        </w:rPr>
      </w:pPr>
      <w:r>
        <w:rPr>
          <w:rFonts w:ascii="Times New Roman" w:cs="Times New Roman" w:eastAsia="Times New Roman" w:hAnsi="Times New Roman"/>
          <w:sz w:val="19"/>
          <w:szCs w:val="19"/>
          <w:color w:val="1E1E1E"/>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ectPr>
          <w:pgSz w:w="11880" w:h="15480" w:orient="portrait"/>
          <w:cols w:equalWidth="0" w:num="1">
            <w:col w:w="10440"/>
          </w:cols>
          <w:pgMar w:left="700" w:top="957" w:right="74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17</w:t>
      </w:r>
    </w:p>
    <w:p>
      <w:pPr>
        <w:sectPr>
          <w:pgSz w:w="11880" w:h="15480" w:orient="portrait"/>
          <w:cols w:equalWidth="0" w:num="1">
            <w:col w:w="10440"/>
          </w:cols>
          <w:pgMar w:left="700" w:top="957" w:right="740" w:bottom="215"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i w:val="1"/>
          <w:iCs w:val="1"/>
          <w:color w:val="1E1E1E"/>
        </w:rPr>
        <w:t>We rely on third parties to deliver buyer orders.</w:t>
      </w:r>
    </w:p>
    <w:p>
      <w:pPr>
        <w:spacing w:after="0" w:line="137" w:lineRule="exact"/>
        <w:rPr>
          <w:sz w:val="20"/>
          <w:szCs w:val="20"/>
          <w:color w:val="auto"/>
        </w:rPr>
      </w:pPr>
    </w:p>
    <w:p>
      <w:pPr>
        <w:ind w:right="180" w:firstLine="600"/>
        <w:spacing w:after="0" w:line="254" w:lineRule="auto"/>
        <w:rPr>
          <w:sz w:val="20"/>
          <w:szCs w:val="20"/>
          <w:color w:val="auto"/>
        </w:rPr>
      </w:pPr>
      <w:r>
        <w:rPr>
          <w:rFonts w:ascii="Times New Roman" w:cs="Times New Roman" w:eastAsia="Times New Roman" w:hAnsi="Times New Roman"/>
          <w:sz w:val="19"/>
          <w:szCs w:val="19"/>
          <w:color w:val="1E1E1E"/>
        </w:rPr>
        <w:t>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increase significantly, our suppliers may have increased costs, and/or our buyers may have a poor purchasing experience and may lose trust in our marketplace, which could negatively impact our business, financial condition, and results of operations.</w:t>
      </w:r>
    </w:p>
    <w:p>
      <w:pPr>
        <w:spacing w:after="0" w:line="176"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face significant competition and expect to face increasing competition in many aspects of our business, which could cause our operating results to suffer.</w:t>
      </w:r>
    </w:p>
    <w:p>
      <w:pPr>
        <w:spacing w:after="0" w:line="54" w:lineRule="exact"/>
        <w:rPr>
          <w:sz w:val="20"/>
          <w:szCs w:val="20"/>
          <w:color w:val="auto"/>
        </w:rPr>
      </w:pPr>
    </w:p>
    <w:p>
      <w:pPr>
        <w:ind w:right="20" w:firstLine="600"/>
        <w:spacing w:after="0" w:line="248" w:lineRule="auto"/>
        <w:rPr>
          <w:sz w:val="20"/>
          <w:szCs w:val="20"/>
          <w:color w:val="auto"/>
        </w:rPr>
      </w:pPr>
      <w:r>
        <w:rPr>
          <w:rFonts w:ascii="Times New Roman" w:cs="Times New Roman" w:eastAsia="Times New Roman" w:hAnsi="Times New Roman"/>
          <w:sz w:val="19"/>
          <w:szCs w:val="19"/>
          <w:color w:val="1E1E1E"/>
        </w:rPr>
        <w:t>The manufacturing market is fragmented and highly competitive. We compete for buyers with a wide variety of manufacturers. Some of our current and potential competitors include captive in-house product lines, parts manufacturers, and other marketplaces for manufacturing services. Moreover,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spacing w:after="0" w:line="200" w:lineRule="exact"/>
        <w:rPr>
          <w:sz w:val="20"/>
          <w:szCs w:val="20"/>
          <w:color w:val="auto"/>
        </w:rPr>
      </w:pPr>
    </w:p>
    <w:p>
      <w:pPr>
        <w:spacing w:after="0" w:line="215" w:lineRule="exact"/>
        <w:rPr>
          <w:sz w:val="20"/>
          <w:szCs w:val="20"/>
          <w:color w:val="auto"/>
        </w:rPr>
      </w:pPr>
    </w:p>
    <w:p>
      <w:pPr>
        <w:ind w:right="200" w:firstLine="600"/>
        <w:spacing w:after="0" w:line="260" w:lineRule="auto"/>
        <w:rPr>
          <w:sz w:val="20"/>
          <w:szCs w:val="20"/>
          <w:color w:val="auto"/>
        </w:rPr>
      </w:pPr>
      <w:r>
        <w:rPr>
          <w:rFonts w:ascii="Times New Roman" w:cs="Times New Roman" w:eastAsia="Times New Roman" w:hAnsi="Times New Roman"/>
          <w:sz w:val="19"/>
          <w:szCs w:val="19"/>
          <w:color w:val="1E1E1E"/>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69" w:lineRule="exact"/>
        <w:rPr>
          <w:sz w:val="20"/>
          <w:szCs w:val="20"/>
          <w:color w:val="auto"/>
        </w:rPr>
      </w:pPr>
    </w:p>
    <w:p>
      <w:pPr>
        <w:ind w:right="40" w:firstLine="600"/>
        <w:spacing w:after="0" w:line="254" w:lineRule="auto"/>
        <w:rPr>
          <w:sz w:val="20"/>
          <w:szCs w:val="20"/>
          <w:color w:val="auto"/>
        </w:rPr>
      </w:pPr>
      <w:r>
        <w:rPr>
          <w:rFonts w:ascii="Times New Roman" w:cs="Times New Roman" w:eastAsia="Times New Roman" w:hAnsi="Times New Roman"/>
          <w:sz w:val="19"/>
          <w:szCs w:val="19"/>
          <w:color w:val="1E1E1E"/>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75"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9"/>
          <w:szCs w:val="19"/>
          <w:color w:val="1E1E1E"/>
        </w:rPr>
        <w:t>We have expanded and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requires investment of significant funds and other resources. Operating internationally subjects us to new risks and may increase risks that we currently face, including risks associated with:</w:t>
      </w:r>
    </w:p>
    <w:p>
      <w:pPr>
        <w:spacing w:after="0" w:line="105" w:lineRule="exact"/>
        <w:rPr>
          <w:sz w:val="20"/>
          <w:szCs w:val="20"/>
          <w:color w:val="auto"/>
        </w:rPr>
      </w:pPr>
    </w:p>
    <w:p>
      <w:pPr>
        <w:ind w:left="960" w:right="540" w:hanging="485"/>
        <w:spacing w:after="0" w:line="289" w:lineRule="auto"/>
        <w:tabs>
          <w:tab w:leader="none" w:pos="960" w:val="left"/>
        </w:tabs>
        <w:numPr>
          <w:ilvl w:val="0"/>
          <w:numId w:val="16"/>
        </w:numPr>
        <w:rPr>
          <w:rFonts w:ascii="Arial" w:cs="Arial" w:eastAsia="Arial" w:hAnsi="Arial"/>
          <w:sz w:val="19"/>
          <w:szCs w:val="19"/>
          <w:color w:val="1E1E1E"/>
        </w:rPr>
      </w:pPr>
      <w:r>
        <w:rPr>
          <w:rFonts w:ascii="Times New Roman" w:cs="Times New Roman" w:eastAsia="Times New Roman" w:hAnsi="Times New Roman"/>
          <w:sz w:val="19"/>
          <w:szCs w:val="19"/>
          <w:color w:val="1E1E1E"/>
        </w:rPr>
        <w:t>recruiting, training and retaining talented and capable employees outside of the United States, Europe and Asia, and maintaining our company culture across all of our offices;</w:t>
      </w:r>
    </w:p>
    <w:p>
      <w:pPr>
        <w:spacing w:after="0" w:line="49" w:lineRule="exact"/>
        <w:rPr>
          <w:rFonts w:ascii="Arial" w:cs="Arial" w:eastAsia="Arial" w:hAnsi="Arial"/>
          <w:sz w:val="19"/>
          <w:szCs w:val="19"/>
          <w:color w:val="1E1E1E"/>
        </w:rPr>
      </w:pPr>
    </w:p>
    <w:p>
      <w:pPr>
        <w:ind w:left="960" w:right="480" w:hanging="485"/>
        <w:spacing w:after="0" w:line="267" w:lineRule="auto"/>
        <w:tabs>
          <w:tab w:leader="none" w:pos="960" w:val="left"/>
        </w:tabs>
        <w:numPr>
          <w:ilvl w:val="0"/>
          <w:numId w:val="16"/>
        </w:numPr>
        <w:rPr>
          <w:rFonts w:ascii="Arial" w:cs="Arial" w:eastAsia="Arial" w:hAnsi="Arial"/>
          <w:sz w:val="19"/>
          <w:szCs w:val="19"/>
          <w:color w:val="1E1E1E"/>
        </w:rPr>
      </w:pPr>
      <w:r>
        <w:rPr>
          <w:rFonts w:ascii="Times New Roman" w:cs="Times New Roman" w:eastAsia="Times New Roman" w:hAnsi="Times New Roman"/>
          <w:sz w:val="19"/>
          <w:szCs w:val="19"/>
          <w:color w:val="1E1E1E"/>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69" w:lineRule="exact"/>
        <w:rPr>
          <w:rFonts w:ascii="Arial" w:cs="Arial" w:eastAsia="Arial" w:hAnsi="Arial"/>
          <w:sz w:val="19"/>
          <w:szCs w:val="19"/>
          <w:color w:val="1E1E1E"/>
        </w:rPr>
      </w:pPr>
    </w:p>
    <w:p>
      <w:pPr>
        <w:ind w:left="960" w:hanging="485"/>
        <w:spacing w:after="0" w:line="267" w:lineRule="auto"/>
        <w:tabs>
          <w:tab w:leader="none" w:pos="960" w:val="left"/>
        </w:tabs>
        <w:numPr>
          <w:ilvl w:val="0"/>
          <w:numId w:val="16"/>
        </w:numPr>
        <w:rPr>
          <w:rFonts w:ascii="Arial" w:cs="Arial" w:eastAsia="Arial" w:hAnsi="Arial"/>
          <w:sz w:val="19"/>
          <w:szCs w:val="19"/>
          <w:color w:val="1E1E1E"/>
        </w:rPr>
      </w:pPr>
      <w:r>
        <w:rPr>
          <w:rFonts w:ascii="Times New Roman" w:cs="Times New Roman" w:eastAsia="Times New Roman" w:hAnsi="Times New Roman"/>
          <w:sz w:val="19"/>
          <w:szCs w:val="19"/>
          <w:color w:val="1E1E1E"/>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ectPr>
          <w:pgSz w:w="11880" w:h="15480" w:orient="portrait"/>
          <w:cols w:equalWidth="0" w:num="1">
            <w:col w:w="10480"/>
          </w:cols>
          <w:pgMar w:left="700" w:top="958" w:right="700" w:bottom="215" w:gutter="0" w:footer="0" w:header="0"/>
        </w:sect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18</w:t>
      </w:r>
    </w:p>
    <w:p>
      <w:pPr>
        <w:sectPr>
          <w:pgSz w:w="11880" w:h="15480" w:orient="portrait"/>
          <w:cols w:equalWidth="0" w:num="1">
            <w:col w:w="10480"/>
          </w:cols>
          <w:pgMar w:left="700" w:top="958" w:right="700" w:bottom="215" w:gutter="0" w:footer="0" w:header="0"/>
          <w:type w:val="continuous"/>
        </w:sectPr>
      </w:pPr>
    </w:p>
    <w:bookmarkStart w:id="24" w:name="page25"/>
    <w:bookmarkEnd w:id="24"/>
    <w:p>
      <w:pPr>
        <w:ind w:left="960" w:right="300" w:hanging="485"/>
        <w:spacing w:after="0" w:line="289" w:lineRule="auto"/>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operating in jurisdictions that do not protect intellectual property rights or other proprietary rights to the same extent as does the United States;</w:t>
      </w:r>
    </w:p>
    <w:p>
      <w:pPr>
        <w:spacing w:after="0" w:line="49" w:lineRule="exact"/>
        <w:rPr>
          <w:rFonts w:ascii="Arial" w:cs="Arial" w:eastAsia="Arial" w:hAnsi="Arial"/>
          <w:sz w:val="19"/>
          <w:szCs w:val="19"/>
          <w:color w:val="1E1E1E"/>
        </w:rPr>
      </w:pPr>
    </w:p>
    <w:p>
      <w:pPr>
        <w:jc w:val="both"/>
        <w:ind w:left="960" w:right="600" w:hanging="485"/>
        <w:spacing w:after="0" w:line="267" w:lineRule="auto"/>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69" w:lineRule="exact"/>
        <w:rPr>
          <w:rFonts w:ascii="Arial" w:cs="Arial" w:eastAsia="Arial" w:hAnsi="Arial"/>
          <w:sz w:val="19"/>
          <w:szCs w:val="19"/>
          <w:color w:val="1E1E1E"/>
        </w:rPr>
      </w:pPr>
    </w:p>
    <w:p>
      <w:pPr>
        <w:ind w:left="960" w:hanging="485"/>
        <w:spacing w:after="0"/>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political and economic instability, including that related to the conflict between Russia and Ukraine;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fluctuations in currency exchange rates;</w:t>
      </w:r>
    </w:p>
    <w:p>
      <w:pPr>
        <w:spacing w:after="0" w:line="134" w:lineRule="exact"/>
        <w:rPr>
          <w:rFonts w:ascii="Arial" w:cs="Arial" w:eastAsia="Arial" w:hAnsi="Arial"/>
          <w:sz w:val="19"/>
          <w:szCs w:val="19"/>
          <w:color w:val="1E1E1E"/>
        </w:rPr>
      </w:pPr>
    </w:p>
    <w:p>
      <w:pPr>
        <w:ind w:left="960" w:right="800" w:hanging="485"/>
        <w:spacing w:after="0" w:line="289" w:lineRule="auto"/>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potentially adverse tax consequences due to changes in the income and other tax laws of the United States or the international jurisdictions in which we operate; and</w:t>
      </w:r>
    </w:p>
    <w:p>
      <w:pPr>
        <w:spacing w:after="0" w:line="49" w:lineRule="exact"/>
        <w:rPr>
          <w:rFonts w:ascii="Arial" w:cs="Arial" w:eastAsia="Arial" w:hAnsi="Arial"/>
          <w:sz w:val="19"/>
          <w:szCs w:val="19"/>
          <w:color w:val="1E1E1E"/>
        </w:rPr>
      </w:pPr>
    </w:p>
    <w:p>
      <w:pPr>
        <w:ind w:left="960" w:right="720" w:hanging="485"/>
        <w:spacing w:after="0" w:line="289" w:lineRule="auto"/>
        <w:tabs>
          <w:tab w:leader="none" w:pos="960" w:val="left"/>
        </w:tabs>
        <w:numPr>
          <w:ilvl w:val="0"/>
          <w:numId w:val="17"/>
        </w:numPr>
        <w:rPr>
          <w:rFonts w:ascii="Arial" w:cs="Arial" w:eastAsia="Arial" w:hAnsi="Arial"/>
          <w:sz w:val="19"/>
          <w:szCs w:val="19"/>
          <w:color w:val="1E1E1E"/>
        </w:rPr>
      </w:pPr>
      <w:r>
        <w:rPr>
          <w:rFonts w:ascii="Times New Roman" w:cs="Times New Roman" w:eastAsia="Times New Roman" w:hAnsi="Times New Roman"/>
          <w:sz w:val="19"/>
          <w:szCs w:val="19"/>
          <w:color w:val="1E1E1E"/>
        </w:rPr>
        <w:t>higher costs of doing business internationally, including increased legal, financial compliance, accounting, travel, infrastructure and other administrative costs.</w:t>
      </w:r>
    </w:p>
    <w:p>
      <w:pPr>
        <w:spacing w:after="0" w:line="142"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Geopolitical instability outside of the U.S. may adversely impact the U.S. and global economies.</w:t>
      </w:r>
    </w:p>
    <w:p>
      <w:pPr>
        <w:spacing w:after="0" w:line="226" w:lineRule="exact"/>
        <w:rPr>
          <w:sz w:val="20"/>
          <w:szCs w:val="20"/>
          <w:color w:val="auto"/>
        </w:rPr>
      </w:pPr>
    </w:p>
    <w:p>
      <w:pPr>
        <w:ind w:right="80" w:firstLine="600"/>
        <w:spacing w:after="0" w:line="256" w:lineRule="auto"/>
        <w:rPr>
          <w:sz w:val="20"/>
          <w:szCs w:val="20"/>
          <w:color w:val="auto"/>
        </w:rPr>
      </w:pPr>
      <w:r>
        <w:rPr>
          <w:rFonts w:ascii="Times New Roman" w:cs="Times New Roman" w:eastAsia="Times New Roman" w:hAnsi="Times New Roman"/>
          <w:sz w:val="19"/>
          <w:szCs w:val="19"/>
          <w:color w:val="1E1E1E"/>
        </w:rPr>
        <w:t>In February 2022, Russia invaded Ukraine and the ensuing conflict has continued into 2024.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w:t>
      </w:r>
    </w:p>
    <w:p>
      <w:pPr>
        <w:spacing w:after="0" w:line="174" w:lineRule="exact"/>
        <w:rPr>
          <w:sz w:val="20"/>
          <w:szCs w:val="20"/>
          <w:color w:val="auto"/>
        </w:rPr>
      </w:pPr>
    </w:p>
    <w:p>
      <w:pPr>
        <w:ind w:right="100" w:firstLine="600"/>
        <w:spacing w:after="0" w:line="290" w:lineRule="auto"/>
        <w:rPr>
          <w:sz w:val="20"/>
          <w:szCs w:val="20"/>
          <w:color w:val="auto"/>
        </w:rPr>
      </w:pPr>
      <w:r>
        <w:rPr>
          <w:rFonts w:ascii="Times New Roman" w:cs="Times New Roman" w:eastAsia="Times New Roman" w:hAnsi="Times New Roman"/>
          <w:sz w:val="19"/>
          <w:szCs w:val="19"/>
          <w:color w:val="1E1E1E"/>
        </w:rPr>
        <w:t>We have contractors in Ukraine, Belarus and Russia. To the extent there are losses of life, disruptions to internet connectivity, or interruptions to banking payment systems, we and our employees could be adversely impacted.</w:t>
      </w:r>
    </w:p>
    <w:p>
      <w:pPr>
        <w:spacing w:after="0" w:line="141" w:lineRule="exact"/>
        <w:rPr>
          <w:sz w:val="20"/>
          <w:szCs w:val="20"/>
          <w:color w:val="auto"/>
        </w:rPr>
      </w:pPr>
    </w:p>
    <w:p>
      <w:pPr>
        <w:ind w:right="80" w:firstLine="600"/>
        <w:spacing w:after="0" w:line="254" w:lineRule="auto"/>
        <w:rPr>
          <w:sz w:val="20"/>
          <w:szCs w:val="20"/>
          <w:color w:val="auto"/>
        </w:rPr>
      </w:pPr>
      <w:r>
        <w:rPr>
          <w:rFonts w:ascii="Times New Roman" w:cs="Times New Roman" w:eastAsia="Times New Roman" w:hAnsi="Times New Roman"/>
          <w:sz w:val="19"/>
          <w:szCs w:val="19"/>
          <w:color w:val="1E1E1E"/>
        </w:rPr>
        <w:t>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w:t>
      </w:r>
    </w:p>
    <w:p>
      <w:pPr>
        <w:spacing w:after="0" w:line="176"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Unstable market and economic conditions, including a global or domestic recession or the fear of a recession, may have serious adverse consequences on our business, financial condition and share price.</w:t>
      </w:r>
    </w:p>
    <w:p>
      <w:pPr>
        <w:spacing w:after="0" w:line="222" w:lineRule="exact"/>
        <w:rPr>
          <w:sz w:val="20"/>
          <w:szCs w:val="20"/>
          <w:color w:val="auto"/>
        </w:rPr>
      </w:pPr>
    </w:p>
    <w:p>
      <w:pPr>
        <w:ind w:right="20" w:firstLine="601"/>
        <w:spacing w:after="0" w:line="248" w:lineRule="auto"/>
        <w:rPr>
          <w:sz w:val="20"/>
          <w:szCs w:val="20"/>
          <w:color w:val="auto"/>
        </w:rPr>
      </w:pPr>
      <w:r>
        <w:rPr>
          <w:rFonts w:ascii="Times New Roman" w:cs="Times New Roman" w:eastAsia="Times New Roman" w:hAnsi="Times New Roman"/>
          <w:sz w:val="19"/>
          <w:szCs w:val="19"/>
          <w:color w:val="1E1E1E"/>
        </w:rPr>
        <w:t>The global economy, including credit and financial markets, has experienced volatility and disruptions, including diminished liquidity and credit availability, declines in consumer confidence, declines in economic growth, increases in inflation rates, higher interest rates and uncertainty about economic stability. For example, Russia’s ongoing incursion into Ukraine and the conflict in Israel and Gaza have created volatility in the global capital markets and is expected to have further global economic consequences, including disruptions of the global supply chain and energy markets. In addition, rising inflation and other macroeconomic pressures in the United States and the global economy could exacerbate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sectPr>
          <w:pgSz w:w="11880" w:h="15480" w:orient="portrait"/>
          <w:cols w:equalWidth="0" w:num="1">
            <w:col w:w="10480"/>
          </w:cols>
          <w:pgMar w:left="700" w:top="970"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19</w:t>
      </w:r>
    </w:p>
    <w:p>
      <w:pPr>
        <w:sectPr>
          <w:pgSz w:w="11880" w:h="15480" w:orient="portrait"/>
          <w:cols w:equalWidth="0" w:num="1">
            <w:col w:w="10480"/>
          </w:cols>
          <w:pgMar w:left="700" w:top="970" w:right="700" w:bottom="215"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9"/>
          <w:szCs w:val="19"/>
          <w:b w:val="1"/>
          <w:bCs w:val="1"/>
          <w:i w:val="1"/>
          <w:iCs w:val="1"/>
          <w:color w:val="1E1E1E"/>
        </w:rPr>
        <w:t>Our business could be adversely impacted by changes in the Internet and mobile device accessibility of users.</w:t>
      </w:r>
    </w:p>
    <w:p>
      <w:pPr>
        <w:spacing w:after="0" w:line="137" w:lineRule="exact"/>
        <w:rPr>
          <w:sz w:val="20"/>
          <w:szCs w:val="20"/>
          <w:color w:val="auto"/>
        </w:rPr>
      </w:pPr>
    </w:p>
    <w:p>
      <w:pPr>
        <w:ind w:right="20" w:firstLine="600"/>
        <w:spacing w:after="0" w:line="250" w:lineRule="auto"/>
        <w:rPr>
          <w:sz w:val="20"/>
          <w:szCs w:val="20"/>
          <w:color w:val="auto"/>
        </w:rPr>
      </w:pPr>
      <w:r>
        <w:rPr>
          <w:rFonts w:ascii="Times New Roman" w:cs="Times New Roman" w:eastAsia="Times New Roman" w:hAnsi="Times New Roman"/>
          <w:sz w:val="19"/>
          <w:szCs w:val="19"/>
          <w:color w:val="1E1E1E"/>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85"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54"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75" w:lineRule="exact"/>
        <w:rPr>
          <w:sz w:val="20"/>
          <w:szCs w:val="20"/>
          <w:color w:val="auto"/>
        </w:rPr>
      </w:pPr>
    </w:p>
    <w:p>
      <w:pPr>
        <w:ind w:right="40" w:firstLine="600"/>
        <w:spacing w:after="0" w:line="249" w:lineRule="auto"/>
        <w:rPr>
          <w:sz w:val="20"/>
          <w:szCs w:val="20"/>
          <w:color w:val="auto"/>
        </w:rPr>
      </w:pPr>
      <w:r>
        <w:rPr>
          <w:rFonts w:ascii="Times New Roman" w:cs="Times New Roman" w:eastAsia="Times New Roman" w:hAnsi="Times New Roman"/>
          <w:sz w:val="19"/>
          <w:szCs w:val="19"/>
          <w:color w:val="1E1E1E"/>
        </w:rPr>
        <w:t>A number of factors or events could cause such interruptions or problems, including: human and software errors, design faults,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 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81" w:lineRule="exact"/>
        <w:rPr>
          <w:sz w:val="20"/>
          <w:szCs w:val="20"/>
          <w:color w:val="auto"/>
        </w:rPr>
      </w:pPr>
    </w:p>
    <w:p>
      <w:pPr>
        <w:ind w:right="40" w:firstLine="600"/>
        <w:spacing w:after="0" w:line="260" w:lineRule="auto"/>
        <w:rPr>
          <w:sz w:val="20"/>
          <w:szCs w:val="20"/>
          <w:color w:val="auto"/>
        </w:rPr>
      </w:pPr>
      <w:r>
        <w:rPr>
          <w:rFonts w:ascii="Times New Roman" w:cs="Times New Roman" w:eastAsia="Times New Roman" w:hAnsi="Times New Roman"/>
          <w:sz w:val="19"/>
          <w:szCs w:val="19"/>
          <w:color w:val="1E1E1E"/>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7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We are subject to stringent and evolving laws and regulations relating to data privacy and data protection, and any actual or perceived failure by us to comply with such laws and regulations or our privacy policies could materially and adversely affect our business.</w:t>
      </w:r>
    </w:p>
    <w:p>
      <w:pPr>
        <w:spacing w:after="0" w:line="75" w:lineRule="exact"/>
        <w:rPr>
          <w:sz w:val="20"/>
          <w:szCs w:val="20"/>
          <w:color w:val="auto"/>
        </w:rPr>
      </w:pPr>
    </w:p>
    <w:p>
      <w:pPr>
        <w:ind w:right="60" w:firstLine="600"/>
        <w:spacing w:after="0" w:line="248" w:lineRule="auto"/>
        <w:rPr>
          <w:sz w:val="20"/>
          <w:szCs w:val="20"/>
          <w:color w:val="auto"/>
        </w:rPr>
      </w:pPr>
      <w:r>
        <w:rPr>
          <w:rFonts w:ascii="Times New Roman" w:cs="Times New Roman" w:eastAsia="Times New Roman" w:hAnsi="Times New Roman"/>
          <w:sz w:val="19"/>
          <w:szCs w:val="19"/>
          <w:color w:val="1E1E1E"/>
        </w:rPr>
        <w:t>We receive, collect, store, process, transfer and otherwise use (collectively, process) sensitive information (defined above), including personal data. The effectiveness of our technology, including our AI and platforms, and our ability to offer our platform to users rely on the processing of this data. Our processing of this data subjects us to numerous data privacy and security obligations, including federal, state, local and foreign laws, regulations, guidance, industry standards, internal and external privacy and security policies, contractual requirements, and other obligations regarding privacy, data protection, information security and the processing of personal data and other sensitive information.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processing of personal data, or their interpretation, or any changes regarding the manner in which the consent of users or other data subjects for the processing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86" w:lineRule="exact"/>
        <w:rPr>
          <w:sz w:val="20"/>
          <w:szCs w:val="20"/>
          <w:color w:val="auto"/>
        </w:rPr>
      </w:pPr>
    </w:p>
    <w:p>
      <w:pPr>
        <w:ind w:right="120" w:firstLine="601"/>
        <w:spacing w:after="0" w:line="290" w:lineRule="auto"/>
        <w:rPr>
          <w:sz w:val="20"/>
          <w:szCs w:val="20"/>
          <w:color w:val="auto"/>
        </w:rPr>
      </w:pPr>
      <w:r>
        <w:rPr>
          <w:rFonts w:ascii="Times New Roman" w:cs="Times New Roman" w:eastAsia="Times New Roman" w:hAnsi="Times New Roman"/>
          <w:sz w:val="19"/>
          <w:szCs w:val="19"/>
          <w:color w:val="1E1E1E"/>
        </w:rPr>
        <w:t>We expect that there will continue to be new laws, regulations and industry standards concerning privacy, data protection and information security proposed and enacted in various jurisdictions. For example, the EU’s General Data Protection Regulation (”EU</w:t>
      </w:r>
    </w:p>
    <w:p>
      <w:pPr>
        <w:sectPr>
          <w:pgSz w:w="11880" w:h="15480" w:orient="portrait"/>
          <w:cols w:equalWidth="0" w:num="1">
            <w:col w:w="10480"/>
          </w:cols>
          <w:pgMar w:left="700" w:top="958" w:right="700" w:bottom="215" w:gutter="0" w:footer="0" w:header="0"/>
        </w:sectPr>
      </w:pP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20</w:t>
      </w:r>
    </w:p>
    <w:p>
      <w:pPr>
        <w:sectPr>
          <w:pgSz w:w="11880" w:h="15480" w:orient="portrait"/>
          <w:cols w:equalWidth="0" w:num="1">
            <w:col w:w="10480"/>
          </w:cols>
          <w:pgMar w:left="700" w:top="958" w:right="700" w:bottom="215" w:gutter="0" w:footer="0" w:header="0"/>
          <w:type w:val="continuous"/>
        </w:sectPr>
      </w:pPr>
    </w:p>
    <w:bookmarkStart w:id="26" w:name="page27"/>
    <w:bookmarkEnd w:id="26"/>
    <w:p>
      <w:pPr>
        <w:ind w:right="200"/>
        <w:spacing w:after="0" w:line="249" w:lineRule="auto"/>
        <w:rPr>
          <w:sz w:val="20"/>
          <w:szCs w:val="20"/>
          <w:color w:val="auto"/>
        </w:rPr>
      </w:pPr>
      <w:r>
        <w:rPr>
          <w:rFonts w:ascii="Times New Roman" w:cs="Times New Roman" w:eastAsia="Times New Roman" w:hAnsi="Times New Roman"/>
          <w:sz w:val="19"/>
          <w:szCs w:val="19"/>
          <w:color w:val="1E1E1E"/>
        </w:rPr>
        <w:t>GDPR”), the United Kingdom’s GDPR (“UK GDPR”) (collectively, EU and UK GDPR, “GDPR”), Canada’s Personal Information Protection and Electronic Documents Act (“PIPEDA”), and China’s Personal Information Protection Law (“PIPL”) impose strict requirements for processing personal data.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Under the GDPR, companies may face temporary or definitive bans on data processing and other corrective actions; significant financial penalties for noncompliance (including possible fines of up to €20 million under the EU GDPR, 17.5 million pounds sterling under the UK GDPR, or, in each case, 4% of global annual turnover for the preceding financial year for the most serious violations (whichever is greater), as well as the right to compensation for financial or non-financial damages claimed by any individuals. If our efforts to comply with GDPR are not successful, or are perceived to be unsuccessful, it could adversely affect our business. We also target customers in Asia and have operations in China and may be subject to new and emerging data privacy regimes in Asia, including China’s Personal Information Protection Law.</w:t>
      </w:r>
    </w:p>
    <w:p>
      <w:pPr>
        <w:spacing w:after="0" w:line="181" w:lineRule="exact"/>
        <w:rPr>
          <w:sz w:val="20"/>
          <w:szCs w:val="20"/>
          <w:color w:val="auto"/>
        </w:rPr>
      </w:pPr>
    </w:p>
    <w:p>
      <w:pPr>
        <w:ind w:right="20" w:firstLine="600"/>
        <w:spacing w:after="0" w:line="250" w:lineRule="auto"/>
        <w:rPr>
          <w:sz w:val="20"/>
          <w:szCs w:val="20"/>
          <w:color w:val="auto"/>
        </w:rPr>
      </w:pPr>
      <w:r>
        <w:rPr>
          <w:rFonts w:ascii="Times New Roman" w:cs="Times New Roman" w:eastAsia="Times New Roman" w:hAnsi="Times New Roman"/>
          <w:sz w:val="19"/>
          <w:szCs w:val="19"/>
          <w:color w:val="1E1E1E"/>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("CAN-SPAM”) and the Telephone Consumer Protection Act of 1991 (“TCPA”) impose specific requirements on communications with customers. To illustrate,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We may also be subject to the Fair Credit Reporting Act (“FCRA”), which imposes specific obligations on certain data processing activities.</w:t>
      </w:r>
    </w:p>
    <w:p>
      <w:pPr>
        <w:spacing w:after="0" w:line="183" w:lineRule="exact"/>
        <w:rPr>
          <w:sz w:val="20"/>
          <w:szCs w:val="20"/>
          <w:color w:val="auto"/>
        </w:rPr>
      </w:pPr>
    </w:p>
    <w:p>
      <w:pPr>
        <w:ind w:firstLine="601"/>
        <w:spacing w:after="0" w:line="247" w:lineRule="auto"/>
        <w:rPr>
          <w:sz w:val="20"/>
          <w:szCs w:val="20"/>
          <w:color w:val="auto"/>
        </w:rPr>
      </w:pPr>
      <w:r>
        <w:rPr>
          <w:rFonts w:ascii="Times New Roman" w:cs="Times New Roman" w:eastAsia="Times New Roman" w:hAnsi="Times New Roman"/>
          <w:sz w:val="19"/>
          <w:szCs w:val="19"/>
          <w:color w:val="1E1E1E"/>
        </w:rPr>
        <w:t>As another example, California passed the California Consumer Privacy Act (“CCPA”), which became effective on January 1, 2020. The CCPA provides data privacy rights for consumers and operational requirements for companies and applies to personal information of consumers, business representatives, and employees who are California residents. Specifically, the CCPA mandates that covered companies provide new disclosures to California residents and afford such residents new data privacy rights that include, among other things, the right to request a copy from a covered company of the personal information collected about them and the right to request deletion of such personal information. The CCPA provides for fines of up to $7,500 per intentional violation and a private right of action for certain data breaches that is expected to increase data breach litigation. Additionally, the California Privacy Rights Act (“CPRA”), effective on January 1, 2023,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and provide for increased penalties for CPRA violations concerning California residents under the age of 16. Other states, such as Virginia and Colorado, have also passed comprehensive privacy laws, and similar laws are being considered in several other states, as well as at the federal and local levels. Additionally, the CCPA, CPRA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and other agencies with respect to data privacy issues, including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85" w:lineRule="exact"/>
        <w:rPr>
          <w:sz w:val="20"/>
          <w:szCs w:val="20"/>
          <w:color w:val="auto"/>
        </w:rPr>
      </w:pPr>
    </w:p>
    <w:p>
      <w:pPr>
        <w:ind w:right="80" w:firstLine="601"/>
        <w:spacing w:after="0" w:line="248" w:lineRule="auto"/>
        <w:rPr>
          <w:sz w:val="20"/>
          <w:szCs w:val="20"/>
          <w:color w:val="auto"/>
        </w:rPr>
      </w:pPr>
      <w:r>
        <w:rPr>
          <w:rFonts w:ascii="Times New Roman" w:cs="Times New Roman" w:eastAsia="Times New Roman" w:hAnsi="Times New Roman"/>
          <w:sz w:val="19"/>
          <w:szCs w:val="19"/>
          <w:color w:val="1E1E1E"/>
        </w:rPr>
        <w:t>Our employees and personnel may use generative artificial intelligence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technologies in our platform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such as the EU’s AI Act. We expect other jurisdictions will adopt similar laws. Additionally, in the United Kingdom, the government has published a White Paper calling for existing regulators to implement certain specific principles to guide and inform the responsible development and use of AI/ML. Moreover,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w:t>
      </w:r>
    </w:p>
    <w:p>
      <w:pPr>
        <w:sectPr>
          <w:pgSz w:w="11880" w:h="15480" w:orient="portrait"/>
          <w:cols w:equalWidth="0" w:num="1">
            <w:col w:w="10460"/>
          </w:cols>
          <w:pgMar w:left="700" w:top="957" w:right="720" w:bottom="215" w:gutter="0" w:footer="0" w:header="0"/>
        </w:sectPr>
      </w:pP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21</w:t>
      </w:r>
    </w:p>
    <w:p>
      <w:pPr>
        <w:sectPr>
          <w:pgSz w:w="11880" w:h="15480" w:orient="portrait"/>
          <w:cols w:equalWidth="0" w:num="1">
            <w:col w:w="10460"/>
          </w:cols>
          <w:pgMar w:left="700" w:top="957" w:right="720" w:bottom="215" w:gutter="0" w:footer="0" w:header="0"/>
          <w:type w:val="continuous"/>
        </w:sectPr>
      </w:pPr>
    </w:p>
    <w:bookmarkStart w:id="27" w:name="page28"/>
    <w:bookmarkEnd w:id="27"/>
    <w:p>
      <w:pPr>
        <w:ind w:right="140"/>
        <w:spacing w:after="0" w:line="267" w:lineRule="auto"/>
        <w:rPr>
          <w:sz w:val="20"/>
          <w:szCs w:val="20"/>
          <w:color w:val="auto"/>
        </w:rPr>
      </w:pPr>
      <w:r>
        <w:rPr>
          <w:rFonts w:ascii="Times New Roman" w:cs="Times New Roman" w:eastAsia="Times New Roman" w:hAnsi="Times New Roman"/>
          <w:sz w:val="19"/>
          <w:szCs w:val="19"/>
          <w:color w:val="1E1E1E"/>
        </w:rPr>
        <w:t>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63" w:lineRule="exact"/>
        <w:rPr>
          <w:sz w:val="20"/>
          <w:szCs w:val="20"/>
          <w:color w:val="auto"/>
        </w:rPr>
      </w:pPr>
    </w:p>
    <w:p>
      <w:pPr>
        <w:ind w:right="20" w:firstLine="600"/>
        <w:spacing w:after="0" w:line="247" w:lineRule="auto"/>
        <w:rPr>
          <w:sz w:val="20"/>
          <w:szCs w:val="20"/>
          <w:color w:val="auto"/>
        </w:rPr>
      </w:pPr>
      <w:r>
        <w:rPr>
          <w:rFonts w:ascii="Times New Roman" w:cs="Times New Roman" w:eastAsia="Times New Roman" w:hAnsi="Times New Roman"/>
          <w:sz w:val="19"/>
          <w:szCs w:val="19"/>
          <w:color w:val="1E1E1E"/>
        </w:rPr>
        <w:t>In the ordinary course of business, we transfer personal data from Europe and other jurisdictions to the U.S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out of Europe for allegedly violating the GDPR’s cross-border data transfer limitations. Additionally, companies that transfer personal data out of the EEA and UK to other jurisdictions, particularly to the U.S., are subject to increased scrutiny from regulators, individual litigants, and activist groups.</w:t>
      </w:r>
    </w:p>
    <w:p>
      <w:pPr>
        <w:spacing w:after="0" w:line="192" w:lineRule="exact"/>
        <w:rPr>
          <w:sz w:val="20"/>
          <w:szCs w:val="20"/>
          <w:color w:val="auto"/>
        </w:rPr>
      </w:pPr>
    </w:p>
    <w:p>
      <w:pPr>
        <w:ind w:right="160" w:firstLine="600"/>
        <w:spacing w:after="0" w:line="256" w:lineRule="auto"/>
        <w:rPr>
          <w:sz w:val="20"/>
          <w:szCs w:val="20"/>
          <w:color w:val="auto"/>
        </w:rPr>
      </w:pPr>
      <w:r>
        <w:rPr>
          <w:rFonts w:ascii="Times New Roman" w:cs="Times New Roman" w:eastAsia="Times New Roman" w:hAnsi="Times New Roman"/>
          <w:sz w:val="19"/>
          <w:szCs w:val="19"/>
          <w:color w:val="1E1E1E"/>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174" w:lineRule="exact"/>
        <w:rPr>
          <w:sz w:val="20"/>
          <w:szCs w:val="20"/>
          <w:color w:val="auto"/>
        </w:rPr>
      </w:pPr>
    </w:p>
    <w:p>
      <w:pPr>
        <w:ind w:right="140" w:firstLine="649"/>
        <w:spacing w:after="0" w:line="252" w:lineRule="auto"/>
        <w:rPr>
          <w:sz w:val="20"/>
          <w:szCs w:val="20"/>
          <w:color w:val="auto"/>
        </w:rPr>
      </w:pPr>
      <w:r>
        <w:rPr>
          <w:rFonts w:ascii="Times New Roman" w:cs="Times New Roman" w:eastAsia="Times New Roman" w:hAnsi="Times New Roman"/>
          <w:sz w:val="19"/>
          <w:szCs w:val="19"/>
          <w:color w:val="1E1E1E"/>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and other statements.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79" w:lineRule="exact"/>
        <w:rPr>
          <w:sz w:val="20"/>
          <w:szCs w:val="20"/>
          <w:color w:val="auto"/>
        </w:rPr>
      </w:pPr>
    </w:p>
    <w:p>
      <w:pPr>
        <w:ind w:right="100" w:firstLine="601"/>
        <w:spacing w:after="0" w:line="248" w:lineRule="auto"/>
        <w:rPr>
          <w:sz w:val="20"/>
          <w:szCs w:val="20"/>
          <w:color w:val="auto"/>
        </w:rPr>
      </w:pPr>
      <w:r>
        <w:rPr>
          <w:rFonts w:ascii="Times New Roman" w:cs="Times New Roman" w:eastAsia="Times New Roman" w:hAnsi="Times New Roman"/>
          <w:sz w:val="19"/>
          <w:szCs w:val="19"/>
          <w:color w:val="1E1E1E"/>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w:t>
      </w:r>
    </w:p>
    <w:p>
      <w:pPr>
        <w:spacing w:after="0" w:line="189" w:lineRule="exact"/>
        <w:rPr>
          <w:sz w:val="20"/>
          <w:szCs w:val="20"/>
          <w:color w:val="auto"/>
        </w:rPr>
      </w:pPr>
    </w:p>
    <w:p>
      <w:pPr>
        <w:ind w:firstLine="601"/>
        <w:spacing w:after="0" w:line="254" w:lineRule="auto"/>
        <w:rPr>
          <w:sz w:val="20"/>
          <w:szCs w:val="20"/>
          <w:color w:val="auto"/>
        </w:rPr>
      </w:pPr>
      <w:r>
        <w:rPr>
          <w:rFonts w:ascii="Times New Roman" w:cs="Times New Roman" w:eastAsia="Times New Roman" w:hAnsi="Times New Roman"/>
          <w:sz w:val="19"/>
          <w:szCs w:val="19"/>
          <w:color w:val="1E1E1E"/>
        </w:rPr>
        <w:t>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200" w:lineRule="exact"/>
        <w:rPr>
          <w:sz w:val="20"/>
          <w:szCs w:val="20"/>
          <w:color w:val="auto"/>
        </w:rPr>
      </w:pPr>
    </w:p>
    <w:p>
      <w:pPr>
        <w:spacing w:after="0" w:line="206" w:lineRule="exact"/>
        <w:rPr>
          <w:sz w:val="20"/>
          <w:szCs w:val="20"/>
          <w:color w:val="auto"/>
        </w:rPr>
      </w:pPr>
    </w:p>
    <w:p>
      <w:pPr>
        <w:ind w:right="160" w:firstLine="601"/>
        <w:spacing w:after="0" w:line="290" w:lineRule="auto"/>
        <w:rPr>
          <w:sz w:val="20"/>
          <w:szCs w:val="20"/>
          <w:color w:val="auto"/>
        </w:rPr>
      </w:pPr>
      <w:r>
        <w:rPr>
          <w:rFonts w:ascii="Times New Roman" w:cs="Times New Roman" w:eastAsia="Times New Roman" w:hAnsi="Times New Roman"/>
          <w:sz w:val="19"/>
          <w:szCs w:val="19"/>
          <w:color w:val="1E1E1E"/>
        </w:rPr>
        <w:t>We may at times fail (or are perceived to have failed) in our efforts to comply with our data privacy and security obligations. Moreover, despite our efforts, our personnel or third parties on whom we rely may fail to comply with such obligations,</w:t>
      </w:r>
    </w:p>
    <w:p>
      <w:pPr>
        <w:sectPr>
          <w:pgSz w:w="11880" w:h="15480" w:orient="portrait"/>
          <w:cols w:equalWidth="0" w:num="1">
            <w:col w:w="10480"/>
          </w:cols>
          <w:pgMar w:left="700" w:top="957" w:right="700" w:bottom="215" w:gutter="0" w:footer="0" w:header="0"/>
        </w:sectPr>
      </w:pP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22</w:t>
      </w:r>
    </w:p>
    <w:p>
      <w:pPr>
        <w:sectPr>
          <w:pgSz w:w="11880" w:h="15480" w:orient="portrait"/>
          <w:cols w:equalWidth="0" w:num="1">
            <w:col w:w="10480"/>
          </w:cols>
          <w:pgMar w:left="700" w:top="957" w:right="700" w:bottom="215" w:gutter="0" w:footer="0" w:header="0"/>
          <w:type w:val="continuous"/>
        </w:sectPr>
      </w:pPr>
    </w:p>
    <w:bookmarkStart w:id="28" w:name="page29"/>
    <w:bookmarkEnd w:id="28"/>
    <w:p>
      <w:pPr>
        <w:spacing w:after="0" w:line="249" w:lineRule="auto"/>
        <w:rPr>
          <w:sz w:val="20"/>
          <w:szCs w:val="20"/>
          <w:color w:val="auto"/>
        </w:rPr>
      </w:pPr>
      <w:r>
        <w:rPr>
          <w:rFonts w:ascii="Times New Roman" w:cs="Times New Roman" w:eastAsia="Times New Roman" w:hAnsi="Times New Roman"/>
          <w:sz w:val="19"/>
          <w:szCs w:val="19"/>
          <w:color w:val="1E1E1E"/>
        </w:rPr>
        <w:t>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governmental enforcement actions (e.g., investigations, fines, penalties, audits, inspections, and similar), litigation, claims (including class-action claims) and mass arbitration demands; additional reporting requirements and/or oversight; bans on processing personal data; orders to destroy or not use personal data; or public statements against us by consumer advocacy groups or others.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result in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81" w:lineRule="exact"/>
        <w:rPr>
          <w:sz w:val="20"/>
          <w:szCs w:val="20"/>
          <w:color w:val="auto"/>
        </w:rPr>
      </w:pPr>
    </w:p>
    <w:p>
      <w:pPr>
        <w:ind w:firstLine="600"/>
        <w:spacing w:after="0" w:line="252" w:lineRule="auto"/>
        <w:rPr>
          <w:sz w:val="20"/>
          <w:szCs w:val="20"/>
          <w:color w:val="auto"/>
        </w:rPr>
      </w:pPr>
      <w:r>
        <w:rPr>
          <w:rFonts w:ascii="Times New Roman" w:cs="Times New Roman" w:eastAsia="Times New Roman" w:hAnsi="Times New Roman"/>
          <w:sz w:val="19"/>
          <w:szCs w:val="19"/>
          <w:color w:val="1E1E1E"/>
        </w:rPr>
        <w:t>Furthermore, the costs of compliance with, and other burdens imposed by the privacy and security obligations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and could result in similar material adverse effects on our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79" w:lineRule="exact"/>
        <w:rPr>
          <w:sz w:val="20"/>
          <w:szCs w:val="20"/>
          <w:color w:val="auto"/>
        </w:rPr>
      </w:pPr>
    </w:p>
    <w:p>
      <w:pPr>
        <w:ind w:firstLine="600"/>
        <w:spacing w:after="0" w:line="253" w:lineRule="auto"/>
        <w:rPr>
          <w:sz w:val="20"/>
          <w:szCs w:val="20"/>
          <w:color w:val="auto"/>
        </w:rPr>
      </w:pPr>
      <w:r>
        <w:rPr>
          <w:rFonts w:ascii="Times New Roman" w:cs="Times New Roman" w:eastAsia="Times New Roman" w:hAnsi="Times New Roman"/>
          <w:sz w:val="19"/>
          <w:szCs w:val="19"/>
          <w:color w:val="1E1E1E"/>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 unauthorized disclosure of personal data was high profile, which could adversely affect our ability to expand our user base, and our business and financial results.</w:t>
      </w:r>
    </w:p>
    <w:p>
      <w:pPr>
        <w:spacing w:after="0" w:line="200" w:lineRule="exact"/>
        <w:rPr>
          <w:sz w:val="20"/>
          <w:szCs w:val="20"/>
          <w:color w:val="auto"/>
        </w:rPr>
      </w:pPr>
    </w:p>
    <w:p>
      <w:pPr>
        <w:spacing w:after="0" w:line="203" w:lineRule="exact"/>
        <w:rPr>
          <w:sz w:val="20"/>
          <w:szCs w:val="20"/>
          <w:color w:val="auto"/>
        </w:rPr>
      </w:pPr>
    </w:p>
    <w:p>
      <w:pPr>
        <w:ind w:right="140" w:firstLine="600"/>
        <w:spacing w:after="0" w:line="260" w:lineRule="auto"/>
        <w:rPr>
          <w:sz w:val="20"/>
          <w:szCs w:val="20"/>
          <w:color w:val="auto"/>
        </w:rPr>
      </w:pPr>
      <w:r>
        <w:rPr>
          <w:rFonts w:ascii="Times New Roman" w:cs="Times New Roman" w:eastAsia="Times New Roman" w:hAnsi="Times New Roman"/>
          <w:sz w:val="19"/>
          <w:szCs w:val="19"/>
          <w:color w:val="1E1E1E"/>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70"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Government regulation of the Internet and e-commerce is evolving, and unfavorable changes could adversely affect our business, financial condition, and results of operations.</w:t>
      </w:r>
    </w:p>
    <w:p>
      <w:pPr>
        <w:spacing w:after="0" w:line="54" w:lineRule="exact"/>
        <w:rPr>
          <w:sz w:val="20"/>
          <w:szCs w:val="20"/>
          <w:color w:val="auto"/>
        </w:rPr>
      </w:pPr>
    </w:p>
    <w:p>
      <w:pPr>
        <w:ind w:firstLine="601"/>
        <w:spacing w:after="0" w:line="248" w:lineRule="auto"/>
        <w:rPr>
          <w:sz w:val="20"/>
          <w:szCs w:val="20"/>
          <w:color w:val="auto"/>
        </w:rPr>
      </w:pPr>
      <w:r>
        <w:rPr>
          <w:rFonts w:ascii="Times New Roman" w:cs="Times New Roman" w:eastAsia="Times New Roman" w:hAnsi="Times New Roman"/>
          <w:sz w:val="19"/>
          <w:szCs w:val="19"/>
          <w:color w:val="1E1E1E"/>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90"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spacing w:after="0" w:line="54" w:lineRule="exact"/>
        <w:rPr>
          <w:sz w:val="20"/>
          <w:szCs w:val="20"/>
          <w:color w:val="auto"/>
        </w:rPr>
      </w:pPr>
    </w:p>
    <w:p>
      <w:pPr>
        <w:ind w:firstLine="601"/>
        <w:spacing w:after="0" w:line="252" w:lineRule="auto"/>
        <w:rPr>
          <w:sz w:val="20"/>
          <w:szCs w:val="20"/>
          <w:color w:val="auto"/>
        </w:rPr>
      </w:pPr>
      <w:r>
        <w:rPr>
          <w:rFonts w:ascii="Times New Roman" w:cs="Times New Roman" w:eastAsia="Times New Roman" w:hAnsi="Times New Roman"/>
          <w:sz w:val="19"/>
          <w:szCs w:val="19"/>
          <w:color w:val="1E1E1E"/>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w:t>
      </w:r>
    </w:p>
    <w:p>
      <w:pPr>
        <w:sectPr>
          <w:pgSz w:w="11880" w:h="15480" w:orient="portrait"/>
          <w:cols w:equalWidth="0" w:num="1">
            <w:col w:w="10460"/>
          </w:cols>
          <w:pgMar w:left="700" w:top="957" w:right="720" w:bottom="215" w:gutter="0" w:footer="0" w:header="0"/>
        </w:sectPr>
      </w:pP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23</w:t>
      </w:r>
    </w:p>
    <w:p>
      <w:pPr>
        <w:sectPr>
          <w:pgSz w:w="11880" w:h="15480" w:orient="portrait"/>
          <w:cols w:equalWidth="0" w:num="1">
            <w:col w:w="10460"/>
          </w:cols>
          <w:pgMar w:left="700" w:top="957" w:right="720" w:bottom="215" w:gutter="0" w:footer="0" w:header="0"/>
          <w:type w:val="continuous"/>
        </w:sectPr>
      </w:pPr>
    </w:p>
    <w:bookmarkStart w:id="29" w:name="page30"/>
    <w:bookmarkEnd w:id="29"/>
    <w:p>
      <w:pPr>
        <w:ind w:right="100"/>
        <w:spacing w:after="0" w:line="260" w:lineRule="auto"/>
        <w:rPr>
          <w:sz w:val="20"/>
          <w:szCs w:val="20"/>
          <w:color w:val="auto"/>
        </w:rPr>
      </w:pPr>
      <w:r>
        <w:rPr>
          <w:rFonts w:ascii="Times New Roman" w:cs="Times New Roman" w:eastAsia="Times New Roman" w:hAnsi="Times New Roman"/>
          <w:sz w:val="19"/>
          <w:szCs w:val="19"/>
          <w:color w:val="1E1E1E"/>
        </w:rPr>
        <w:t>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69" w:lineRule="exact"/>
        <w:rPr>
          <w:sz w:val="20"/>
          <w:szCs w:val="20"/>
          <w:color w:val="auto"/>
        </w:rPr>
      </w:pPr>
    </w:p>
    <w:p>
      <w:pPr>
        <w:ind w:right="240" w:firstLine="600"/>
        <w:spacing w:after="0" w:line="260" w:lineRule="auto"/>
        <w:rPr>
          <w:sz w:val="20"/>
          <w:szCs w:val="20"/>
          <w:color w:val="auto"/>
        </w:rPr>
      </w:pPr>
      <w:r>
        <w:rPr>
          <w:rFonts w:ascii="Times New Roman" w:cs="Times New Roman" w:eastAsia="Times New Roman" w:hAnsi="Times New Roman"/>
          <w:sz w:val="19"/>
          <w:szCs w:val="19"/>
          <w:color w:val="1E1E1E"/>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spacing w:after="0" w:line="76" w:lineRule="exact"/>
        <w:rPr>
          <w:sz w:val="20"/>
          <w:szCs w:val="20"/>
          <w:color w:val="auto"/>
        </w:rPr>
      </w:pPr>
    </w:p>
    <w:p>
      <w:pPr>
        <w:ind w:left="960" w:right="220" w:hanging="485"/>
        <w:spacing w:after="0" w:line="289" w:lineRule="auto"/>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complaints or negative publicity about us, our platform, our marketplace, our buyers, our suppliers, or our policies and guidelines, including our pricing model;</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price quote, production, lead time or shipping delays;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real or perceived manufacturing or quality control inadequacies;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fraud;</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illegal, negligent, reckless, or otherwise inappropriate behavior by buyers, suppliers or third parties;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provide suppliers with a sufficient level of orders or repeat business;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offer buyers or suppliers competitive pricing and lead times;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provide a range of manufacturing processes sought by buyers;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provide manufacturing processes that limit environmental harm;</w:t>
      </w:r>
    </w:p>
    <w:p>
      <w:pPr>
        <w:spacing w:after="0" w:line="134" w:lineRule="exact"/>
        <w:rPr>
          <w:rFonts w:ascii="Arial" w:cs="Arial" w:eastAsia="Arial" w:hAnsi="Arial"/>
          <w:sz w:val="19"/>
          <w:szCs w:val="19"/>
          <w:color w:val="1E1E1E"/>
        </w:rPr>
      </w:pPr>
    </w:p>
    <w:p>
      <w:pPr>
        <w:jc w:val="both"/>
        <w:ind w:left="960" w:hanging="485"/>
        <w:spacing w:after="0" w:line="267" w:lineRule="auto"/>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69"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litigation over, or investigations by regulators into, our company or the industry in which we operate;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buyers’ or suppliers’ lack of awareness of, or compliance with, our policies;</w:t>
      </w:r>
    </w:p>
    <w:p>
      <w:pPr>
        <w:spacing w:after="0" w:line="134" w:lineRule="exact"/>
        <w:rPr>
          <w:rFonts w:ascii="Arial" w:cs="Arial" w:eastAsia="Arial" w:hAnsi="Arial"/>
          <w:sz w:val="19"/>
          <w:szCs w:val="19"/>
          <w:color w:val="1E1E1E"/>
        </w:rPr>
      </w:pPr>
    </w:p>
    <w:p>
      <w:pPr>
        <w:ind w:left="960" w:hanging="485"/>
        <w:spacing w:after="0" w:line="289" w:lineRule="auto"/>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to our policies that users or others perceive as overly restrictive, unclear, inconsistent with our values or mission, or not clearly articulated;</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comply with legal, tax, and regulatory requirements, as discussed elsewhere in this “Risk Factors” section;</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enforce our policies in a manner that users perceive as effective, fair, and transparent;</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operate our business in a way that is consistent with our values and mission;</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inadequate or unsatisfactory support experiences;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illegal or otherwise inappropriate behavior by our management team or other employees or contractors;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negative responses by buyers or suppliers to new services or manufacturing processes available on our marketplace;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 failure to register or to prevent infringement, misappropriation or other violation of our trademarks;</w:t>
      </w:r>
    </w:p>
    <w:p>
      <w:pPr>
        <w:spacing w:after="0" w:line="134" w:lineRule="exact"/>
        <w:rPr>
          <w:rFonts w:ascii="Arial" w:cs="Arial" w:eastAsia="Arial" w:hAnsi="Arial"/>
          <w:sz w:val="19"/>
          <w:szCs w:val="19"/>
          <w:color w:val="1E1E1E"/>
        </w:rPr>
      </w:pPr>
    </w:p>
    <w:p>
      <w:pPr>
        <w:ind w:left="960" w:right="260" w:hanging="485"/>
        <w:spacing w:after="0" w:line="289" w:lineRule="auto"/>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perception of our treatment of buyers and suppliers and our response to buyer or seller sentiment related to political or social causes or actions of management; or</w:t>
      </w:r>
    </w:p>
    <w:p>
      <w:pPr>
        <w:spacing w:after="0" w:line="49" w:lineRule="exact"/>
        <w:rPr>
          <w:rFonts w:ascii="Arial" w:cs="Arial" w:eastAsia="Arial" w:hAnsi="Arial"/>
          <w:sz w:val="19"/>
          <w:szCs w:val="19"/>
          <w:color w:val="1E1E1E"/>
        </w:rPr>
      </w:pPr>
    </w:p>
    <w:p>
      <w:pPr>
        <w:ind w:left="960" w:right="100" w:hanging="485"/>
        <w:spacing w:after="0" w:line="289" w:lineRule="auto"/>
        <w:tabs>
          <w:tab w:leader="none" w:pos="960" w:val="left"/>
        </w:tabs>
        <w:numPr>
          <w:ilvl w:val="0"/>
          <w:numId w:val="18"/>
        </w:numPr>
        <w:rPr>
          <w:rFonts w:ascii="Arial" w:cs="Arial" w:eastAsia="Arial" w:hAnsi="Arial"/>
          <w:sz w:val="19"/>
          <w:szCs w:val="19"/>
          <w:color w:val="1E1E1E"/>
        </w:rPr>
      </w:pPr>
      <w:r>
        <w:rPr>
          <w:rFonts w:ascii="Times New Roman" w:cs="Times New Roman" w:eastAsia="Times New Roman" w:hAnsi="Times New Roman"/>
          <w:sz w:val="19"/>
          <w:szCs w:val="19"/>
          <w:color w:val="1E1E1E"/>
        </w:rPr>
        <w:t>any of the foregoing with respect to our competitors, to the extent such resulting negative perception affects the public’s perception of us or our industry as a whole.</w:t>
      </w:r>
    </w:p>
    <w:p>
      <w:pPr>
        <w:spacing w:after="0" w:line="76"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company culture and values have contributed to our success and if we cannot maintain and evolve our culture as we grow, our business could be adversely affected.</w:t>
      </w:r>
    </w:p>
    <w:p>
      <w:pPr>
        <w:spacing w:after="0" w:line="37" w:lineRule="exact"/>
        <w:rPr>
          <w:sz w:val="20"/>
          <w:szCs w:val="20"/>
          <w:color w:val="auto"/>
        </w:rPr>
      </w:pPr>
    </w:p>
    <w:p>
      <w:pPr>
        <w:ind w:right="360" w:firstLine="600"/>
        <w:spacing w:after="0" w:line="290" w:lineRule="auto"/>
        <w:rPr>
          <w:sz w:val="20"/>
          <w:szCs w:val="20"/>
          <w:color w:val="auto"/>
        </w:rPr>
      </w:pPr>
      <w:r>
        <w:rPr>
          <w:rFonts w:ascii="Times New Roman" w:cs="Times New Roman" w:eastAsia="Times New Roman" w:hAnsi="Times New Roman"/>
          <w:sz w:val="19"/>
          <w:szCs w:val="19"/>
          <w:color w:val="1E1E1E"/>
        </w:rPr>
        <w:t>We believe that our company culture has been critical to our success. We face a number of challenges that may affect our ability to sustain our corporate culture, including:</w:t>
      </w:r>
    </w:p>
    <w:p>
      <w:pPr>
        <w:spacing w:after="0" w:line="49" w:lineRule="exact"/>
        <w:rPr>
          <w:sz w:val="20"/>
          <w:szCs w:val="20"/>
          <w:color w:val="auto"/>
        </w:rPr>
      </w:pPr>
    </w:p>
    <w:p>
      <w:pPr>
        <w:ind w:left="960" w:right="40" w:hanging="485"/>
        <w:spacing w:after="0" w:line="289" w:lineRule="auto"/>
        <w:tabs>
          <w:tab w:leader="none" w:pos="960" w:val="left"/>
        </w:tabs>
        <w:numPr>
          <w:ilvl w:val="0"/>
          <w:numId w:val="19"/>
        </w:numPr>
        <w:rPr>
          <w:rFonts w:ascii="Arial" w:cs="Arial" w:eastAsia="Arial" w:hAnsi="Arial"/>
          <w:sz w:val="19"/>
          <w:szCs w:val="19"/>
          <w:color w:val="1E1E1E"/>
        </w:rPr>
      </w:pPr>
      <w:r>
        <w:rPr>
          <w:rFonts w:ascii="Times New Roman" w:cs="Times New Roman" w:eastAsia="Times New Roman" w:hAnsi="Times New Roman"/>
          <w:sz w:val="19"/>
          <w:szCs w:val="19"/>
          <w:color w:val="1E1E1E"/>
        </w:rPr>
        <w:t>failure to identify, attract, reward, and retain people in leadership positions in our organization who share and further our culture, values, and mission;</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19"/>
        </w:numPr>
        <w:rPr>
          <w:rFonts w:ascii="Arial" w:cs="Arial" w:eastAsia="Arial" w:hAnsi="Arial"/>
          <w:sz w:val="19"/>
          <w:szCs w:val="19"/>
          <w:color w:val="1E1E1E"/>
        </w:rPr>
      </w:pPr>
      <w:r>
        <w:rPr>
          <w:rFonts w:ascii="Times New Roman" w:cs="Times New Roman" w:eastAsia="Times New Roman" w:hAnsi="Times New Roman"/>
          <w:sz w:val="19"/>
          <w:szCs w:val="19"/>
          <w:color w:val="1E1E1E"/>
        </w:rPr>
        <w:t>failure to further our diversity efforts with respect to our leadership team and our offerings;</w:t>
      </w:r>
    </w:p>
    <w:p>
      <w:pPr>
        <w:sectPr>
          <w:pgSz w:w="11880" w:h="15480" w:orient="portrait"/>
          <w:cols w:equalWidth="0" w:num="1">
            <w:col w:w="10380"/>
          </w:cols>
          <w:pgMar w:left="700" w:top="957" w:right="800" w:bottom="215" w:gutter="0" w:footer="0" w:header="0"/>
        </w:sect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E1E1E"/>
        </w:rPr>
        <w:t>24</w:t>
      </w:r>
    </w:p>
    <w:p>
      <w:pPr>
        <w:sectPr>
          <w:pgSz w:w="11880" w:h="15480" w:orient="portrait"/>
          <w:cols w:equalWidth="0" w:num="1">
            <w:col w:w="10380"/>
          </w:cols>
          <w:pgMar w:left="700" w:top="957" w:right="800" w:bottom="215" w:gutter="0" w:footer="0" w:header="0"/>
          <w:type w:val="continuous"/>
        </w:sectPr>
      </w:pPr>
    </w:p>
    <w:bookmarkStart w:id="30" w:name="page31"/>
    <w:bookmarkEnd w:id="30"/>
    <w:p>
      <w:pPr>
        <w:ind w:left="960" w:hanging="485"/>
        <w:spacing w:after="0"/>
        <w:tabs>
          <w:tab w:leader="none" w:pos="960" w:val="left"/>
        </w:tabs>
        <w:numPr>
          <w:ilvl w:val="0"/>
          <w:numId w:val="20"/>
        </w:numPr>
        <w:rPr>
          <w:rFonts w:ascii="Arial" w:cs="Arial" w:eastAsia="Arial" w:hAnsi="Arial"/>
          <w:sz w:val="19"/>
          <w:szCs w:val="19"/>
          <w:color w:val="1E1E1E"/>
        </w:rPr>
      </w:pPr>
      <w:r>
        <w:rPr>
          <w:rFonts w:ascii="Times New Roman" w:cs="Times New Roman" w:eastAsia="Times New Roman" w:hAnsi="Times New Roman"/>
          <w:sz w:val="19"/>
          <w:szCs w:val="19"/>
          <w:color w:val="1E1E1E"/>
        </w:rPr>
        <w:t>the increasing size and geographic diversity of our workforce;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0"/>
        </w:numPr>
        <w:rPr>
          <w:rFonts w:ascii="Arial" w:cs="Arial" w:eastAsia="Arial" w:hAnsi="Arial"/>
          <w:sz w:val="19"/>
          <w:szCs w:val="19"/>
          <w:color w:val="1E1E1E"/>
        </w:rPr>
      </w:pPr>
      <w:r>
        <w:rPr>
          <w:rFonts w:ascii="Times New Roman" w:cs="Times New Roman" w:eastAsia="Times New Roman" w:hAnsi="Times New Roman"/>
          <w:sz w:val="19"/>
          <w:szCs w:val="19"/>
          <w:color w:val="1E1E1E"/>
        </w:rPr>
        <w:t>competitive pressures to move in directions that may divert us from our mission, vision, and values;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0"/>
        </w:numPr>
        <w:rPr>
          <w:rFonts w:ascii="Arial" w:cs="Arial" w:eastAsia="Arial" w:hAnsi="Arial"/>
          <w:sz w:val="19"/>
          <w:szCs w:val="19"/>
          <w:color w:val="1E1E1E"/>
        </w:rPr>
      </w:pPr>
      <w:r>
        <w:rPr>
          <w:rFonts w:ascii="Times New Roman" w:cs="Times New Roman" w:eastAsia="Times New Roman" w:hAnsi="Times New Roman"/>
          <w:sz w:val="19"/>
          <w:szCs w:val="19"/>
          <w:color w:val="1E1E1E"/>
        </w:rPr>
        <w:t>the continued challenges of a rapidly evolving industry; and</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0"/>
        </w:numPr>
        <w:rPr>
          <w:rFonts w:ascii="Arial" w:cs="Arial" w:eastAsia="Arial" w:hAnsi="Arial"/>
          <w:sz w:val="19"/>
          <w:szCs w:val="19"/>
          <w:color w:val="1E1E1E"/>
        </w:rPr>
      </w:pPr>
      <w:r>
        <w:rPr>
          <w:rFonts w:ascii="Times New Roman" w:cs="Times New Roman" w:eastAsia="Times New Roman" w:hAnsi="Times New Roman"/>
          <w:sz w:val="19"/>
          <w:szCs w:val="19"/>
          <w:color w:val="1E1E1E"/>
        </w:rPr>
        <w:t>the integration of new personnel and businesses from acquisitions.</w:t>
      </w:r>
    </w:p>
    <w:p>
      <w:pPr>
        <w:spacing w:after="0" w:line="4" w:lineRule="exact"/>
        <w:rPr>
          <w:sz w:val="20"/>
          <w:szCs w:val="20"/>
          <w:color w:val="auto"/>
        </w:rPr>
      </w:pPr>
    </w:p>
    <w:p>
      <w:pPr>
        <w:ind w:right="460" w:firstLine="600"/>
        <w:spacing w:after="0" w:line="290" w:lineRule="auto"/>
        <w:rPr>
          <w:sz w:val="20"/>
          <w:szCs w:val="20"/>
          <w:color w:val="auto"/>
        </w:rPr>
      </w:pPr>
      <w:r>
        <w:rPr>
          <w:rFonts w:ascii="Times New Roman" w:cs="Times New Roman" w:eastAsia="Times New Roman" w:hAnsi="Times New Roman"/>
          <w:sz w:val="19"/>
          <w:szCs w:val="19"/>
          <w:color w:val="1E1E1E"/>
        </w:rPr>
        <w:t>If we are not able to maintain and evolve our culture, our business, financial condition, and results of operations could be adversely affected.</w:t>
      </w:r>
    </w:p>
    <w:p>
      <w:pPr>
        <w:spacing w:after="0" w:line="143"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Any failure to offer high-quality support may harm our relationships with buyers and suppliers and could adversely affect our business, financial condition, and results of operations.</w:t>
      </w:r>
    </w:p>
    <w:p>
      <w:pPr>
        <w:spacing w:after="0" w:line="54"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pacing w:after="0" w:line="200" w:lineRule="exact"/>
        <w:rPr>
          <w:sz w:val="20"/>
          <w:szCs w:val="20"/>
          <w:color w:val="auto"/>
        </w:rPr>
      </w:pPr>
    </w:p>
    <w:p>
      <w:pPr>
        <w:spacing w:after="0" w:line="212"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business is subject to a variety of laws and regulations, both in the United States and internationally, many of which are evolving.</w:t>
      </w:r>
    </w:p>
    <w:p>
      <w:pPr>
        <w:spacing w:after="0" w:line="54"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spacing w:after="0" w:line="181" w:lineRule="exact"/>
        <w:rPr>
          <w:sz w:val="20"/>
          <w:szCs w:val="20"/>
          <w:color w:val="auto"/>
        </w:rPr>
      </w:pPr>
    </w:p>
    <w:p>
      <w:pPr>
        <w:ind w:right="40" w:firstLine="600"/>
        <w:spacing w:after="0" w:line="252" w:lineRule="auto"/>
        <w:rPr>
          <w:sz w:val="20"/>
          <w:szCs w:val="20"/>
          <w:color w:val="auto"/>
        </w:rPr>
      </w:pPr>
      <w:r>
        <w:rPr>
          <w:rFonts w:ascii="Times New Roman" w:cs="Times New Roman" w:eastAsia="Times New Roman" w:hAnsi="Times New Roman"/>
          <w:sz w:val="19"/>
          <w:szCs w:val="19"/>
          <w:color w:val="1E1E1E"/>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the past, we have received letters from certain jurisdictions indicating that we are required to pay taxes based on having certain minimum contacts in such jurisdictions. We may become subject to taxation in additional jurisdictions in the future.</w:t>
      </w:r>
    </w:p>
    <w:p>
      <w:pPr>
        <w:spacing w:after="0" w:line="1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65" w:lineRule="exact"/>
        <w:rPr>
          <w:sz w:val="20"/>
          <w:szCs w:val="20"/>
          <w:color w:val="auto"/>
        </w:rPr>
      </w:pPr>
    </w:p>
    <w:p>
      <w:pPr>
        <w:ind w:right="340" w:firstLine="600"/>
        <w:spacing w:after="0" w:line="290" w:lineRule="auto"/>
        <w:rPr>
          <w:sz w:val="20"/>
          <w:szCs w:val="20"/>
          <w:color w:val="auto"/>
        </w:rPr>
      </w:pPr>
      <w:r>
        <w:rPr>
          <w:rFonts w:ascii="Times New Roman" w:cs="Times New Roman" w:eastAsia="Times New Roman" w:hAnsi="Times New Roman"/>
          <w:sz w:val="19"/>
          <w:szCs w:val="19"/>
          <w:color w:val="1E1E1E"/>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141" w:lineRule="exact"/>
        <w:rPr>
          <w:sz w:val="20"/>
          <w:szCs w:val="20"/>
          <w:color w:val="auto"/>
        </w:rPr>
      </w:pPr>
    </w:p>
    <w:p>
      <w:pPr>
        <w:ind w:right="20" w:firstLine="600"/>
        <w:spacing w:after="0" w:line="254" w:lineRule="auto"/>
        <w:rPr>
          <w:sz w:val="20"/>
          <w:szCs w:val="20"/>
          <w:color w:val="auto"/>
        </w:rPr>
      </w:pPr>
      <w:r>
        <w:rPr>
          <w:rFonts w:ascii="Times New Roman" w:cs="Times New Roman" w:eastAsia="Times New Roman" w:hAnsi="Times New Roman"/>
          <w:sz w:val="19"/>
          <w:szCs w:val="19"/>
          <w:color w:val="1E1E1E"/>
        </w:rPr>
        <w:t>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the State Department’s Directorate of Defense Trade Controls (“DDTC”), and the Bureau of Industry and Security (“BIS”), of the Department of Commerce. As a result of doing business in foreign countries and with foreign customers, we are exposed to a heightened risk of violating anti-corruption and trade control laws and sanctions regulations.</w:t>
      </w:r>
    </w:p>
    <w:p>
      <w:pPr>
        <w:sectPr>
          <w:pgSz w:w="11880" w:h="15480" w:orient="portrait"/>
          <w:cols w:equalWidth="0" w:num="1">
            <w:col w:w="10460"/>
          </w:cols>
          <w:pgMar w:left="700" w:top="970" w:right="720" w:bottom="215" w:gutter="0" w:footer="0" w:header="0"/>
        </w:sectPr>
      </w:pP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25</w:t>
      </w:r>
    </w:p>
    <w:p>
      <w:pPr>
        <w:sectPr>
          <w:pgSz w:w="11880" w:h="15480" w:orient="portrait"/>
          <w:cols w:equalWidth="0" w:num="1">
            <w:col w:w="10460"/>
          </w:cols>
          <w:pgMar w:left="700" w:top="970" w:right="720" w:bottom="215" w:gutter="0" w:footer="0" w:header="0"/>
          <w:type w:val="continuous"/>
        </w:sectPr>
      </w:pPr>
    </w:p>
    <w:bookmarkStart w:id="31" w:name="page32"/>
    <w:bookmarkEnd w:id="31"/>
    <w:p>
      <w:pPr>
        <w:ind w:right="20" w:firstLine="600"/>
        <w:spacing w:after="0" w:line="252" w:lineRule="auto"/>
        <w:rPr>
          <w:sz w:val="20"/>
          <w:szCs w:val="20"/>
          <w:color w:val="auto"/>
        </w:rPr>
      </w:pPr>
      <w:r>
        <w:rPr>
          <w:rFonts w:ascii="Times New Roman" w:cs="Times New Roman" w:eastAsia="Times New Roman" w:hAnsi="Times New Roman"/>
          <w:sz w:val="19"/>
          <w:szCs w:val="19"/>
          <w:color w:val="1E1E1E"/>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79" w:lineRule="exact"/>
        <w:rPr>
          <w:sz w:val="20"/>
          <w:szCs w:val="20"/>
          <w:color w:val="auto"/>
        </w:rPr>
      </w:pPr>
    </w:p>
    <w:p>
      <w:pPr>
        <w:ind w:right="100" w:firstLine="600"/>
        <w:spacing w:after="0" w:line="250" w:lineRule="auto"/>
        <w:rPr>
          <w:sz w:val="20"/>
          <w:szCs w:val="20"/>
          <w:color w:val="auto"/>
        </w:rPr>
      </w:pPr>
      <w:r>
        <w:rPr>
          <w:rFonts w:ascii="Times New Roman" w:cs="Times New Roman" w:eastAsia="Times New Roman" w:hAnsi="Times New Roman"/>
          <w:sz w:val="19"/>
          <w:szCs w:val="19"/>
          <w:color w:val="1E1E1E"/>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debarment from doing business with certain buyers, and restrictions on our ability to export our parts, and repeat failures could carry more significant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are subject to various federal, state, local and non-U.S. laws and regulations relating to environmental protection.</w:t>
      </w:r>
    </w:p>
    <w:p>
      <w:pPr>
        <w:spacing w:after="0" w:line="137" w:lineRule="exact"/>
        <w:rPr>
          <w:sz w:val="20"/>
          <w:szCs w:val="20"/>
          <w:color w:val="auto"/>
        </w:rPr>
      </w:pPr>
    </w:p>
    <w:p>
      <w:pPr>
        <w:ind w:firstLine="600"/>
        <w:spacing w:after="0" w:line="252" w:lineRule="auto"/>
        <w:rPr>
          <w:sz w:val="20"/>
          <w:szCs w:val="20"/>
          <w:color w:val="auto"/>
        </w:rPr>
      </w:pPr>
      <w:r>
        <w:rPr>
          <w:rFonts w:ascii="Times New Roman" w:cs="Times New Roman" w:eastAsia="Times New Roman" w:hAnsi="Times New Roman"/>
          <w:sz w:val="19"/>
          <w:szCs w:val="19"/>
          <w:color w:val="1E1E1E"/>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 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81"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intellectual property and proprietary rights are valuable, and any inability to obtain, maintain, protect or enforce them could substantially harm our business, products, services and brand.</w:t>
      </w:r>
    </w:p>
    <w:p>
      <w:pPr>
        <w:spacing w:after="0" w:line="54"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9"/>
          <w:szCs w:val="19"/>
          <w:color w:val="1E1E1E"/>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79" w:lineRule="exact"/>
        <w:rPr>
          <w:sz w:val="20"/>
          <w:szCs w:val="20"/>
          <w:color w:val="auto"/>
        </w:rPr>
      </w:pPr>
    </w:p>
    <w:p>
      <w:pPr>
        <w:ind w:right="120" w:firstLine="600"/>
        <w:spacing w:after="0" w:line="260" w:lineRule="auto"/>
        <w:rPr>
          <w:sz w:val="20"/>
          <w:szCs w:val="20"/>
          <w:color w:val="auto"/>
        </w:rPr>
      </w:pPr>
      <w:r>
        <w:rPr>
          <w:rFonts w:ascii="Times New Roman" w:cs="Times New Roman" w:eastAsia="Times New Roman" w:hAnsi="Times New Roman"/>
          <w:sz w:val="19"/>
          <w:szCs w:val="19"/>
          <w:color w:val="1E1E1E"/>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69" w:lineRule="exact"/>
        <w:rPr>
          <w:sz w:val="20"/>
          <w:szCs w:val="20"/>
          <w:color w:val="auto"/>
        </w:rPr>
      </w:pPr>
    </w:p>
    <w:p>
      <w:pPr>
        <w:ind w:firstLine="601"/>
        <w:spacing w:after="0" w:line="248" w:lineRule="auto"/>
        <w:rPr>
          <w:sz w:val="20"/>
          <w:szCs w:val="20"/>
          <w:color w:val="auto"/>
        </w:rPr>
      </w:pPr>
      <w:r>
        <w:rPr>
          <w:rFonts w:ascii="Times New Roman" w:cs="Times New Roman" w:eastAsia="Times New Roman" w:hAnsi="Times New Roman"/>
          <w:sz w:val="19"/>
          <w:szCs w:val="19"/>
          <w:color w:val="1E1E1E"/>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ectPr>
          <w:pgSz w:w="11880" w:h="15480" w:orient="portrait"/>
          <w:cols w:equalWidth="0" w:num="1">
            <w:col w:w="10420"/>
          </w:cols>
          <w:pgMar w:left="700" w:top="1180" w:right="760" w:bottom="215" w:gutter="0" w:footer="0" w:header="0"/>
        </w:sectPr>
      </w:pPr>
    </w:p>
    <w:p>
      <w:pPr>
        <w:spacing w:after="0" w:line="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26</w:t>
      </w:r>
    </w:p>
    <w:p>
      <w:pPr>
        <w:sectPr>
          <w:pgSz w:w="11880" w:h="15480" w:orient="portrait"/>
          <w:cols w:equalWidth="0" w:num="1">
            <w:col w:w="10420"/>
          </w:cols>
          <w:pgMar w:left="700" w:top="1180" w:right="760" w:bottom="215" w:gutter="0" w:footer="0" w:header="0"/>
          <w:type w:val="continuous"/>
        </w:sectPr>
      </w:pPr>
    </w:p>
    <w:bookmarkStart w:id="32" w:name="page33"/>
    <w:bookmarkEnd w:id="32"/>
    <w:p>
      <w:pPr>
        <w:ind w:right="20" w:firstLine="600"/>
        <w:spacing w:after="0" w:line="251" w:lineRule="auto"/>
        <w:rPr>
          <w:sz w:val="20"/>
          <w:szCs w:val="20"/>
          <w:color w:val="auto"/>
        </w:rPr>
      </w:pPr>
      <w:r>
        <w:rPr>
          <w:rFonts w:ascii="Times New Roman" w:cs="Times New Roman" w:eastAsia="Times New Roman" w:hAnsi="Times New Roman"/>
          <w:sz w:val="19"/>
          <w:szCs w:val="19"/>
          <w:color w:val="1E1E1E"/>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80" w:lineRule="exact"/>
        <w:rPr>
          <w:sz w:val="20"/>
          <w:szCs w:val="20"/>
          <w:color w:val="auto"/>
        </w:rPr>
      </w:pPr>
    </w:p>
    <w:p>
      <w:pPr>
        <w:ind w:right="20" w:firstLine="600"/>
        <w:spacing w:after="0" w:line="251" w:lineRule="auto"/>
        <w:rPr>
          <w:sz w:val="20"/>
          <w:szCs w:val="20"/>
          <w:color w:val="auto"/>
        </w:rPr>
      </w:pPr>
      <w:r>
        <w:rPr>
          <w:rFonts w:ascii="Times New Roman" w:cs="Times New Roman" w:eastAsia="Times New Roman" w:hAnsi="Times New Roman"/>
          <w:sz w:val="19"/>
          <w:szCs w:val="19"/>
          <w:color w:val="1E1E1E"/>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80" w:lineRule="exact"/>
        <w:rPr>
          <w:sz w:val="20"/>
          <w:szCs w:val="20"/>
          <w:color w:val="auto"/>
        </w:rPr>
      </w:pPr>
    </w:p>
    <w:p>
      <w:pPr>
        <w:ind w:firstLine="600"/>
        <w:spacing w:after="0" w:line="247" w:lineRule="auto"/>
        <w:rPr>
          <w:sz w:val="20"/>
          <w:szCs w:val="20"/>
          <w:color w:val="auto"/>
        </w:rPr>
      </w:pPr>
      <w:r>
        <w:rPr>
          <w:rFonts w:ascii="Times New Roman" w:cs="Times New Roman" w:eastAsia="Times New Roman" w:hAnsi="Times New Roman"/>
          <w:sz w:val="19"/>
          <w:szCs w:val="19"/>
          <w:color w:val="1E1E1E"/>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 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color w:val="1E1E1E"/>
        </w:rPr>
        <w:t>Similarly, our reliance on unpatented proprietary information and technology, such as trade secrets and confidential</w:t>
      </w:r>
    </w:p>
    <w:p>
      <w:pPr>
        <w:spacing w:after="0" w:line="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9"/>
          <w:szCs w:val="19"/>
          <w:color w:val="1E1E1E"/>
        </w:rPr>
        <w:t>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186" w:lineRule="exact"/>
        <w:rPr>
          <w:sz w:val="20"/>
          <w:szCs w:val="20"/>
          <w:color w:val="auto"/>
        </w:rPr>
      </w:pPr>
    </w:p>
    <w:p>
      <w:pPr>
        <w:ind w:right="380" w:firstLine="601"/>
        <w:spacing w:after="0" w:line="260" w:lineRule="auto"/>
        <w:rPr>
          <w:sz w:val="20"/>
          <w:szCs w:val="20"/>
          <w:color w:val="auto"/>
        </w:rPr>
      </w:pPr>
      <w:r>
        <w:rPr>
          <w:rFonts w:ascii="Times New Roman" w:cs="Times New Roman" w:eastAsia="Times New Roman" w:hAnsi="Times New Roman"/>
          <w:sz w:val="19"/>
          <w:szCs w:val="19"/>
          <w:color w:val="1E1E1E"/>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w:t>
      </w:r>
    </w:p>
    <w:p>
      <w:pPr>
        <w:sectPr>
          <w:pgSz w:w="11880" w:h="15480" w:orient="portrait"/>
          <w:cols w:equalWidth="0" w:num="1">
            <w:col w:w="10480"/>
          </w:cols>
          <w:pgMar w:left="700" w:top="1180" w:right="700" w:bottom="215" w:gutter="0" w:footer="0" w:header="0"/>
        </w:sectPr>
      </w:pP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27</w:t>
      </w:r>
    </w:p>
    <w:p>
      <w:pPr>
        <w:sectPr>
          <w:pgSz w:w="11880" w:h="15480" w:orient="portrait"/>
          <w:cols w:equalWidth="0" w:num="1">
            <w:col w:w="10480"/>
          </w:cols>
          <w:pgMar w:left="700" w:top="1180" w:right="700" w:bottom="215" w:gutter="0" w:footer="0" w:header="0"/>
          <w:type w:val="continuous"/>
        </w:sectPr>
      </w:pPr>
    </w:p>
    <w:bookmarkStart w:id="33" w:name="page34"/>
    <w:bookmarkEnd w:id="33"/>
    <w:p>
      <w:pPr>
        <w:ind w:right="120"/>
        <w:spacing w:after="0" w:line="253" w:lineRule="auto"/>
        <w:rPr>
          <w:sz w:val="20"/>
          <w:szCs w:val="20"/>
          <w:color w:val="auto"/>
        </w:rPr>
      </w:pPr>
      <w:r>
        <w:rPr>
          <w:rFonts w:ascii="Times New Roman" w:cs="Times New Roman" w:eastAsia="Times New Roman" w:hAnsi="Times New Roman"/>
          <w:sz w:val="19"/>
          <w:szCs w:val="19"/>
          <w:color w:val="1E1E1E"/>
        </w:rPr>
        <w:t>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200" w:lineRule="exact"/>
        <w:rPr>
          <w:sz w:val="20"/>
          <w:szCs w:val="20"/>
          <w:color w:val="auto"/>
        </w:rPr>
      </w:pPr>
    </w:p>
    <w:p>
      <w:pPr>
        <w:spacing w:after="0" w:line="203" w:lineRule="exact"/>
        <w:rPr>
          <w:sz w:val="20"/>
          <w:szCs w:val="20"/>
          <w:color w:val="auto"/>
        </w:rPr>
      </w:pPr>
    </w:p>
    <w:p>
      <w:pPr>
        <w:ind w:right="60" w:firstLine="600"/>
        <w:spacing w:after="0" w:line="260" w:lineRule="auto"/>
        <w:rPr>
          <w:sz w:val="20"/>
          <w:szCs w:val="20"/>
          <w:color w:val="auto"/>
        </w:rPr>
      </w:pPr>
      <w:r>
        <w:rPr>
          <w:rFonts w:ascii="Times New Roman" w:cs="Times New Roman" w:eastAsia="Times New Roman" w:hAnsi="Times New Roman"/>
          <w:sz w:val="19"/>
          <w:szCs w:val="19"/>
          <w:color w:val="1E1E1E"/>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69"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9"/>
          <w:szCs w:val="19"/>
          <w:color w:val="1E1E1E"/>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pacing w:after="0" w:line="180"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could incur substantial costs and other harms as a result of any claim of infringement, misappropriation or other violation of another party’s intellectual property or proprietary rights.</w:t>
      </w:r>
    </w:p>
    <w:p>
      <w:pPr>
        <w:spacing w:after="0" w:line="54" w:lineRule="exact"/>
        <w:rPr>
          <w:sz w:val="20"/>
          <w:szCs w:val="20"/>
          <w:color w:val="auto"/>
        </w:rPr>
      </w:pPr>
    </w:p>
    <w:p>
      <w:pPr>
        <w:ind w:right="20" w:firstLine="600"/>
        <w:spacing w:after="0" w:line="250" w:lineRule="auto"/>
        <w:rPr>
          <w:sz w:val="20"/>
          <w:szCs w:val="20"/>
          <w:color w:val="auto"/>
        </w:rPr>
      </w:pPr>
      <w:r>
        <w:rPr>
          <w:rFonts w:ascii="Times New Roman" w:cs="Times New Roman" w:eastAsia="Times New Roman" w:hAnsi="Times New Roman"/>
          <w:sz w:val="19"/>
          <w:szCs w:val="19"/>
          <w:color w:val="1E1E1E"/>
        </w:rPr>
        <w:t>Whether merited or not, we may face claims of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83" w:lineRule="exact"/>
        <w:rPr>
          <w:sz w:val="20"/>
          <w:szCs w:val="20"/>
          <w:color w:val="auto"/>
        </w:rPr>
      </w:pPr>
    </w:p>
    <w:p>
      <w:pPr>
        <w:ind w:firstLine="600"/>
        <w:spacing w:after="0" w:line="247" w:lineRule="auto"/>
        <w:rPr>
          <w:sz w:val="20"/>
          <w:szCs w:val="20"/>
          <w:color w:val="auto"/>
        </w:rPr>
      </w:pPr>
      <w:r>
        <w:rPr>
          <w:rFonts w:ascii="Times New Roman" w:cs="Times New Roman" w:eastAsia="Times New Roman" w:hAnsi="Times New Roman"/>
          <w:sz w:val="19"/>
          <w:szCs w:val="19"/>
          <w:color w:val="1E1E1E"/>
        </w:rPr>
        <w:t>Additionally, in recent years, individuals and groups have begun purchasing intellectual property assets for the purpose of making claims of infringement, misappropriation or other violation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92" w:lineRule="exact"/>
        <w:rPr>
          <w:sz w:val="20"/>
          <w:szCs w:val="20"/>
          <w:color w:val="auto"/>
        </w:rPr>
      </w:pPr>
    </w:p>
    <w:p>
      <w:pPr>
        <w:ind w:right="240" w:firstLine="600"/>
        <w:spacing w:after="0" w:line="245" w:lineRule="auto"/>
        <w:rPr>
          <w:sz w:val="20"/>
          <w:szCs w:val="20"/>
          <w:color w:val="auto"/>
        </w:rPr>
      </w:pPr>
      <w:r>
        <w:rPr>
          <w:rFonts w:ascii="Times New Roman" w:cs="Times New Roman" w:eastAsia="Times New Roman" w:hAnsi="Times New Roman"/>
          <w:sz w:val="19"/>
          <w:szCs w:val="19"/>
          <w:color w:val="1E1E1E"/>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28</w:t>
      </w:r>
    </w:p>
    <w:p>
      <w:pPr>
        <w:sectPr>
          <w:pgSz w:w="11880" w:h="15480" w:orient="portrait"/>
          <w:cols w:equalWidth="0" w:num="1">
            <w:col w:w="10460"/>
          </w:cols>
          <w:pgMar w:left="700" w:top="957" w:right="720" w:bottom="215" w:gutter="0" w:footer="0" w:header="0"/>
        </w:sectPr>
      </w:pPr>
    </w:p>
    <w:bookmarkStart w:id="34" w:name="page35"/>
    <w:bookmarkEnd w:id="34"/>
    <w:p>
      <w:pPr>
        <w:ind w:right="20"/>
        <w:spacing w:after="0" w:line="260" w:lineRule="auto"/>
        <w:rPr>
          <w:sz w:val="20"/>
          <w:szCs w:val="20"/>
          <w:color w:val="auto"/>
        </w:rPr>
      </w:pPr>
      <w:r>
        <w:rPr>
          <w:rFonts w:ascii="Times New Roman" w:cs="Times New Roman" w:eastAsia="Times New Roman" w:hAnsi="Times New Roman"/>
          <w:sz w:val="19"/>
          <w:szCs w:val="19"/>
          <w:color w:val="1E1E1E"/>
        </w:rPr>
        <w:t>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69" w:lineRule="exact"/>
        <w:rPr>
          <w:sz w:val="20"/>
          <w:szCs w:val="20"/>
          <w:color w:val="auto"/>
        </w:rPr>
      </w:pPr>
    </w:p>
    <w:p>
      <w:pPr>
        <w:ind w:right="1280" w:firstLine="600"/>
        <w:spacing w:after="0" w:line="290" w:lineRule="auto"/>
        <w:rPr>
          <w:sz w:val="20"/>
          <w:szCs w:val="20"/>
          <w:color w:val="auto"/>
        </w:rPr>
      </w:pPr>
      <w:r>
        <w:rPr>
          <w:rFonts w:ascii="Times New Roman" w:cs="Times New Roman" w:eastAsia="Times New Roman" w:hAnsi="Times New Roman"/>
          <w:sz w:val="19"/>
          <w:szCs w:val="19"/>
          <w:color w:val="1E1E1E"/>
        </w:rPr>
        <w:t>Any intellectual property litigation to which we might become a party, or for which we are required to provide indemnification, may require us to do one or more of the following:</w:t>
      </w:r>
    </w:p>
    <w:p>
      <w:pPr>
        <w:spacing w:after="0" w:line="49" w:lineRule="exact"/>
        <w:rPr>
          <w:sz w:val="20"/>
          <w:szCs w:val="20"/>
          <w:color w:val="auto"/>
        </w:rPr>
      </w:pPr>
    </w:p>
    <w:p>
      <w:pPr>
        <w:ind w:left="960" w:right="620" w:hanging="485"/>
        <w:spacing w:after="0" w:line="289" w:lineRule="auto"/>
        <w:tabs>
          <w:tab w:leader="none" w:pos="960" w:val="left"/>
        </w:tabs>
        <w:numPr>
          <w:ilvl w:val="0"/>
          <w:numId w:val="21"/>
        </w:numPr>
        <w:rPr>
          <w:rFonts w:ascii="Arial" w:cs="Arial" w:eastAsia="Arial" w:hAnsi="Arial"/>
          <w:sz w:val="19"/>
          <w:szCs w:val="19"/>
          <w:color w:val="1E1E1E"/>
        </w:rPr>
      </w:pPr>
      <w:r>
        <w:rPr>
          <w:rFonts w:ascii="Times New Roman" w:cs="Times New Roman" w:eastAsia="Times New Roman" w:hAnsi="Times New Roman"/>
          <w:sz w:val="19"/>
          <w:szCs w:val="19"/>
          <w:color w:val="1E1E1E"/>
        </w:rPr>
        <w:t>cease selling or using offerings that incorporate or are otherwise covered by the intellectual property rights that we allegedly infringe, misappropriate or otherwise violate;</w:t>
      </w:r>
    </w:p>
    <w:p>
      <w:pPr>
        <w:spacing w:after="0" w:line="49" w:lineRule="exact"/>
        <w:rPr>
          <w:rFonts w:ascii="Arial" w:cs="Arial" w:eastAsia="Arial" w:hAnsi="Arial"/>
          <w:sz w:val="19"/>
          <w:szCs w:val="19"/>
          <w:color w:val="1E1E1E"/>
        </w:rPr>
      </w:pPr>
    </w:p>
    <w:p>
      <w:pPr>
        <w:ind w:left="960" w:right="440" w:hanging="485"/>
        <w:spacing w:after="0" w:line="289" w:lineRule="auto"/>
        <w:tabs>
          <w:tab w:leader="none" w:pos="960" w:val="left"/>
        </w:tabs>
        <w:numPr>
          <w:ilvl w:val="0"/>
          <w:numId w:val="21"/>
        </w:numPr>
        <w:rPr>
          <w:rFonts w:ascii="Arial" w:cs="Arial" w:eastAsia="Arial" w:hAnsi="Arial"/>
          <w:sz w:val="19"/>
          <w:szCs w:val="19"/>
          <w:color w:val="1E1E1E"/>
        </w:rPr>
      </w:pPr>
      <w:r>
        <w:rPr>
          <w:rFonts w:ascii="Times New Roman" w:cs="Times New Roman" w:eastAsia="Times New Roman" w:hAnsi="Times New Roman"/>
          <w:sz w:val="19"/>
          <w:szCs w:val="19"/>
          <w:color w:val="1E1E1E"/>
        </w:rPr>
        <w:t>make substantial payments for legal fees, settlement payments or other costs or damages, including potentially treble damages and attorneys’ fees if we are found liable for willful infringement;</w:t>
      </w:r>
    </w:p>
    <w:p>
      <w:pPr>
        <w:spacing w:after="0" w:line="49" w:lineRule="exact"/>
        <w:rPr>
          <w:rFonts w:ascii="Arial" w:cs="Arial" w:eastAsia="Arial" w:hAnsi="Arial"/>
          <w:sz w:val="19"/>
          <w:szCs w:val="19"/>
          <w:color w:val="1E1E1E"/>
        </w:rPr>
      </w:pPr>
    </w:p>
    <w:p>
      <w:pPr>
        <w:ind w:left="960" w:right="260" w:hanging="485"/>
        <w:spacing w:after="0" w:line="267" w:lineRule="auto"/>
        <w:tabs>
          <w:tab w:leader="none" w:pos="960" w:val="left"/>
        </w:tabs>
        <w:numPr>
          <w:ilvl w:val="0"/>
          <w:numId w:val="21"/>
        </w:numPr>
        <w:rPr>
          <w:rFonts w:ascii="Arial" w:cs="Arial" w:eastAsia="Arial" w:hAnsi="Arial"/>
          <w:sz w:val="19"/>
          <w:szCs w:val="19"/>
          <w:color w:val="1E1E1E"/>
        </w:rPr>
      </w:pPr>
      <w:r>
        <w:rPr>
          <w:rFonts w:ascii="Times New Roman" w:cs="Times New Roman" w:eastAsia="Times New Roman" w:hAnsi="Times New Roman"/>
          <w:sz w:val="19"/>
          <w:szCs w:val="19"/>
          <w:color w:val="1E1E1E"/>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69" w:lineRule="exact"/>
        <w:rPr>
          <w:rFonts w:ascii="Arial" w:cs="Arial" w:eastAsia="Arial" w:hAnsi="Arial"/>
          <w:sz w:val="19"/>
          <w:szCs w:val="19"/>
          <w:color w:val="1E1E1E"/>
        </w:rPr>
      </w:pPr>
    </w:p>
    <w:p>
      <w:pPr>
        <w:ind w:left="960" w:right="1280" w:hanging="485"/>
        <w:spacing w:after="0" w:line="289" w:lineRule="auto"/>
        <w:tabs>
          <w:tab w:leader="none" w:pos="960" w:val="left"/>
        </w:tabs>
        <w:numPr>
          <w:ilvl w:val="0"/>
          <w:numId w:val="21"/>
        </w:numPr>
        <w:rPr>
          <w:rFonts w:ascii="Arial" w:cs="Arial" w:eastAsia="Arial" w:hAnsi="Arial"/>
          <w:sz w:val="19"/>
          <w:szCs w:val="19"/>
          <w:color w:val="1E1E1E"/>
        </w:rPr>
      </w:pPr>
      <w:r>
        <w:rPr>
          <w:rFonts w:ascii="Times New Roman" w:cs="Times New Roman" w:eastAsia="Times New Roman" w:hAnsi="Times New Roman"/>
          <w:sz w:val="19"/>
          <w:szCs w:val="19"/>
          <w:color w:val="1E1E1E"/>
        </w:rPr>
        <w:t>redesign the allegedly infringing, misappropriating or otherwise violating offerings to avoid infringement, misappropriation or other violation, which could be costly, time-consuming or impossible.</w:t>
      </w:r>
    </w:p>
    <w:p>
      <w:pPr>
        <w:spacing w:after="0" w:line="142" w:lineRule="exact"/>
        <w:rPr>
          <w:sz w:val="20"/>
          <w:szCs w:val="20"/>
          <w:color w:val="auto"/>
        </w:rPr>
      </w:pPr>
    </w:p>
    <w:p>
      <w:pPr>
        <w:ind w:right="800" w:firstLine="600"/>
        <w:spacing w:after="0" w:line="290" w:lineRule="auto"/>
        <w:rPr>
          <w:sz w:val="20"/>
          <w:szCs w:val="20"/>
          <w:color w:val="auto"/>
        </w:rPr>
      </w:pPr>
      <w:r>
        <w:rPr>
          <w:rFonts w:ascii="Times New Roman" w:cs="Times New Roman" w:eastAsia="Times New Roman" w:hAnsi="Times New Roman"/>
          <w:sz w:val="19"/>
          <w:szCs w:val="19"/>
          <w:color w:val="1E1E1E"/>
        </w:rPr>
        <w:t>Any of the foregoing could materially and adversely affect our business, prospects,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We may not be able to successfully execute future acquisitions or efficiently manage any acquired business.</w:t>
      </w:r>
    </w:p>
    <w:p>
      <w:pPr>
        <w:spacing w:after="0" w:line="137" w:lineRule="exact"/>
        <w:rPr>
          <w:sz w:val="20"/>
          <w:szCs w:val="20"/>
          <w:color w:val="auto"/>
        </w:rPr>
      </w:pPr>
    </w:p>
    <w:p>
      <w:pPr>
        <w:ind w:right="200" w:firstLine="600"/>
        <w:spacing w:after="0" w:line="256" w:lineRule="auto"/>
        <w:rPr>
          <w:sz w:val="20"/>
          <w:szCs w:val="20"/>
          <w:color w:val="auto"/>
        </w:rPr>
      </w:pPr>
      <w:r>
        <w:rPr>
          <w:rFonts w:ascii="Times New Roman" w:cs="Times New Roman" w:eastAsia="Times New Roman" w:hAnsi="Times New Roman"/>
          <w:sz w:val="19"/>
          <w:szCs w:val="19"/>
          <w:color w:val="1E1E1E"/>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74" w:lineRule="exact"/>
        <w:rPr>
          <w:sz w:val="20"/>
          <w:szCs w:val="20"/>
          <w:color w:val="auto"/>
        </w:rPr>
      </w:pPr>
    </w:p>
    <w:p>
      <w:pPr>
        <w:ind w:firstLine="600"/>
        <w:spacing w:after="0" w:line="248" w:lineRule="auto"/>
        <w:rPr>
          <w:sz w:val="20"/>
          <w:szCs w:val="20"/>
          <w:color w:val="auto"/>
        </w:rPr>
      </w:pPr>
      <w:r>
        <w:rPr>
          <w:rFonts w:ascii="Times New Roman" w:cs="Times New Roman" w:eastAsia="Times New Roman" w:hAnsi="Times New Roman"/>
          <w:sz w:val="19"/>
          <w:szCs w:val="19"/>
          <w:color w:val="1E1E1E"/>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89"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75" w:lineRule="exact"/>
        <w:rPr>
          <w:sz w:val="20"/>
          <w:szCs w:val="20"/>
          <w:color w:val="auto"/>
        </w:rPr>
      </w:pPr>
    </w:p>
    <w:p>
      <w:pPr>
        <w:ind w:right="320" w:firstLine="601"/>
        <w:spacing w:after="0" w:line="267" w:lineRule="auto"/>
        <w:rPr>
          <w:sz w:val="20"/>
          <w:szCs w:val="20"/>
          <w:color w:val="auto"/>
        </w:rPr>
      </w:pPr>
      <w:r>
        <w:rPr>
          <w:rFonts w:ascii="Times New Roman" w:cs="Times New Roman" w:eastAsia="Times New Roman" w:hAnsi="Times New Roman"/>
          <w:sz w:val="19"/>
          <w:szCs w:val="19"/>
          <w:color w:val="1E1E1E"/>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65"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Natural or man-made disasters affecting the manufacturing facilities of our suppliers or of our facilities could materially and adversely affect our business, financial condition, and results of operations.</w:t>
      </w:r>
    </w:p>
    <w:p>
      <w:pPr>
        <w:spacing w:after="0" w:line="54" w:lineRule="exact"/>
        <w:rPr>
          <w:sz w:val="20"/>
          <w:szCs w:val="20"/>
          <w:color w:val="auto"/>
        </w:rPr>
      </w:pPr>
    </w:p>
    <w:p>
      <w:pPr>
        <w:ind w:right="80" w:firstLine="601"/>
        <w:spacing w:after="0" w:line="290" w:lineRule="auto"/>
        <w:rPr>
          <w:sz w:val="20"/>
          <w:szCs w:val="20"/>
          <w:color w:val="auto"/>
        </w:rPr>
      </w:pPr>
      <w:r>
        <w:rPr>
          <w:rFonts w:ascii="Times New Roman" w:cs="Times New Roman" w:eastAsia="Times New Roman" w:hAnsi="Times New Roman"/>
          <w:sz w:val="19"/>
          <w:szCs w:val="19"/>
          <w:color w:val="1E1E1E"/>
        </w:rPr>
        <w:t>Suppliers manufacture orders in a number of geographic locations; however, these facilities and the manufacturing equipment used would be costly to replace and could require substantial lead time to repair or replace. Such facilities and manufacturing</w:t>
      </w:r>
    </w:p>
    <w:p>
      <w:pPr>
        <w:sectPr>
          <w:pgSz w:w="11880" w:h="15480" w:orient="portrait"/>
          <w:cols w:equalWidth="0" w:num="1">
            <w:col w:w="10460"/>
          </w:cols>
          <w:pgMar w:left="700" w:top="957" w:right="720" w:bottom="215" w:gutter="0" w:footer="0" w:header="0"/>
        </w:sectPr>
      </w:pP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29</w:t>
      </w:r>
    </w:p>
    <w:p>
      <w:pPr>
        <w:sectPr>
          <w:pgSz w:w="11880" w:h="15480" w:orient="portrait"/>
          <w:cols w:equalWidth="0" w:num="1">
            <w:col w:w="10460"/>
          </w:cols>
          <w:pgMar w:left="700" w:top="957" w:right="720" w:bottom="215" w:gutter="0" w:footer="0" w:header="0"/>
          <w:type w:val="continuous"/>
        </w:sectPr>
      </w:pPr>
    </w:p>
    <w:bookmarkStart w:id="35" w:name="page36"/>
    <w:bookmarkEnd w:id="35"/>
    <w:p>
      <w:pPr>
        <w:ind w:right="520"/>
        <w:spacing w:after="0" w:line="290" w:lineRule="auto"/>
        <w:rPr>
          <w:sz w:val="20"/>
          <w:szCs w:val="20"/>
          <w:color w:val="auto"/>
        </w:rPr>
      </w:pPr>
      <w:r>
        <w:rPr>
          <w:rFonts w:ascii="Times New Roman" w:cs="Times New Roman" w:eastAsia="Times New Roman" w:hAnsi="Times New Roman"/>
          <w:sz w:val="19"/>
          <w:szCs w:val="19"/>
          <w:color w:val="1E1E1E"/>
        </w:rPr>
        <w:t>equipment may be harmed by natural or man-made disasters, including, without limitation, earthquakes, floods, tornadoes, fires, hurricanes, tsunamis and nuclear disasters.</w:t>
      </w:r>
    </w:p>
    <w:p>
      <w:pPr>
        <w:spacing w:after="0" w:line="14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In the event any of our suppliers’ facilities or manufacturing equipment are affected by a disaster, suppliers may:</w:t>
      </w:r>
    </w:p>
    <w:p>
      <w:pPr>
        <w:spacing w:after="0" w:line="135" w:lineRule="exact"/>
        <w:rPr>
          <w:sz w:val="20"/>
          <w:szCs w:val="20"/>
          <w:color w:val="auto"/>
        </w:rPr>
      </w:pPr>
    </w:p>
    <w:p>
      <w:pPr>
        <w:ind w:left="960" w:hanging="485"/>
        <w:spacing w:after="0"/>
        <w:tabs>
          <w:tab w:leader="none" w:pos="960" w:val="left"/>
        </w:tabs>
        <w:numPr>
          <w:ilvl w:val="0"/>
          <w:numId w:val="22"/>
        </w:numPr>
        <w:rPr>
          <w:rFonts w:ascii="Arial" w:cs="Arial" w:eastAsia="Arial" w:hAnsi="Arial"/>
          <w:sz w:val="19"/>
          <w:szCs w:val="19"/>
          <w:color w:val="1E1E1E"/>
        </w:rPr>
      </w:pPr>
      <w:r>
        <w:rPr>
          <w:rFonts w:ascii="Times New Roman" w:cs="Times New Roman" w:eastAsia="Times New Roman" w:hAnsi="Times New Roman"/>
          <w:sz w:val="19"/>
          <w:szCs w:val="19"/>
          <w:color w:val="1E1E1E"/>
        </w:rPr>
        <w:t>be unable to meet the shipping deadlines of our buyers;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2"/>
        </w:numPr>
        <w:rPr>
          <w:rFonts w:ascii="Arial" w:cs="Arial" w:eastAsia="Arial" w:hAnsi="Arial"/>
          <w:sz w:val="19"/>
          <w:szCs w:val="19"/>
          <w:color w:val="1E1E1E"/>
        </w:rPr>
      </w:pPr>
      <w:r>
        <w:rPr>
          <w:rFonts w:ascii="Times New Roman" w:cs="Times New Roman" w:eastAsia="Times New Roman" w:hAnsi="Times New Roman"/>
          <w:sz w:val="19"/>
          <w:szCs w:val="19"/>
          <w:color w:val="1E1E1E"/>
        </w:rPr>
        <w:t>experience disruptions in our ability to process orders, manufacture and ship orders;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2"/>
        </w:numPr>
        <w:rPr>
          <w:rFonts w:ascii="Arial" w:cs="Arial" w:eastAsia="Arial" w:hAnsi="Arial"/>
          <w:sz w:val="19"/>
          <w:szCs w:val="19"/>
          <w:color w:val="1E1E1E"/>
        </w:rPr>
      </w:pPr>
      <w:r>
        <w:rPr>
          <w:rFonts w:ascii="Times New Roman" w:cs="Times New Roman" w:eastAsia="Times New Roman" w:hAnsi="Times New Roman"/>
          <w:sz w:val="19"/>
          <w:szCs w:val="19"/>
          <w:color w:val="1E1E1E"/>
        </w:rPr>
        <w:t>be forced to rely on third-party manufacturers or otherwise fail to fulfill orders of our buyers; or</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2"/>
        </w:numPr>
        <w:rPr>
          <w:rFonts w:ascii="Arial" w:cs="Arial" w:eastAsia="Arial" w:hAnsi="Arial"/>
          <w:sz w:val="19"/>
          <w:szCs w:val="19"/>
          <w:color w:val="1E1E1E"/>
        </w:rPr>
      </w:pPr>
      <w:r>
        <w:rPr>
          <w:rFonts w:ascii="Times New Roman" w:cs="Times New Roman" w:eastAsia="Times New Roman" w:hAnsi="Times New Roman"/>
          <w:sz w:val="19"/>
          <w:szCs w:val="19"/>
          <w:color w:val="1E1E1E"/>
        </w:rPr>
        <w:t>be unable to source materials required for orders.</w:t>
      </w:r>
    </w:p>
    <w:p>
      <w:pPr>
        <w:spacing w:after="0" w:line="2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In the event of any of our facilities are affected by a disaster, we may:</w:t>
      </w:r>
    </w:p>
    <w:p>
      <w:pPr>
        <w:spacing w:after="0" w:line="135" w:lineRule="exact"/>
        <w:rPr>
          <w:sz w:val="20"/>
          <w:szCs w:val="20"/>
          <w:color w:val="auto"/>
        </w:rPr>
      </w:pPr>
    </w:p>
    <w:p>
      <w:pPr>
        <w:ind w:left="960" w:right="400" w:hanging="485"/>
        <w:spacing w:after="0" w:line="289" w:lineRule="auto"/>
        <w:tabs>
          <w:tab w:leader="none" w:pos="960" w:val="left"/>
        </w:tabs>
        <w:numPr>
          <w:ilvl w:val="0"/>
          <w:numId w:val="23"/>
        </w:numPr>
        <w:rPr>
          <w:rFonts w:ascii="Arial" w:cs="Arial" w:eastAsia="Arial" w:hAnsi="Arial"/>
          <w:sz w:val="19"/>
          <w:szCs w:val="19"/>
          <w:color w:val="1E1E1E"/>
        </w:rPr>
      </w:pPr>
      <w:r>
        <w:rPr>
          <w:rFonts w:ascii="Times New Roman" w:cs="Times New Roman" w:eastAsia="Times New Roman" w:hAnsi="Times New Roman"/>
          <w:sz w:val="19"/>
          <w:szCs w:val="19"/>
          <w:color w:val="1E1E1E"/>
        </w:rPr>
        <w:t>experience disruptions in our ability to process orders, provide sales and marketing support and customer service, and otherwise operate our business, any of which could negatively impact our business; or</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23"/>
        </w:numPr>
        <w:rPr>
          <w:rFonts w:ascii="Arial" w:cs="Arial" w:eastAsia="Arial" w:hAnsi="Arial"/>
          <w:sz w:val="19"/>
          <w:szCs w:val="19"/>
          <w:color w:val="1E1E1E"/>
        </w:rPr>
      </w:pPr>
      <w:r>
        <w:rPr>
          <w:rFonts w:ascii="Times New Roman" w:cs="Times New Roman" w:eastAsia="Times New Roman" w:hAnsi="Times New Roman"/>
          <w:sz w:val="19"/>
          <w:szCs w:val="19"/>
          <w:color w:val="1E1E1E"/>
        </w:rPr>
        <w:t>need to expend significant capital and other resources to address any damage caused by the disaster.</w:t>
      </w:r>
    </w:p>
    <w:p>
      <w:pPr>
        <w:spacing w:after="0" w:line="227" w:lineRule="exact"/>
        <w:rPr>
          <w:sz w:val="20"/>
          <w:szCs w:val="20"/>
          <w:color w:val="auto"/>
        </w:rPr>
      </w:pPr>
    </w:p>
    <w:p>
      <w:pPr>
        <w:ind w:right="300" w:firstLine="600"/>
        <w:spacing w:after="0" w:line="267" w:lineRule="auto"/>
        <w:rPr>
          <w:sz w:val="20"/>
          <w:szCs w:val="20"/>
          <w:color w:val="auto"/>
        </w:rPr>
      </w:pPr>
      <w:r>
        <w:rPr>
          <w:rFonts w:ascii="Times New Roman" w:cs="Times New Roman" w:eastAsia="Times New Roman" w:hAnsi="Times New Roman"/>
          <w:sz w:val="19"/>
          <w:szCs w:val="19"/>
          <w:color w:val="1E1E1E"/>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spacing w:after="0" w:line="163" w:lineRule="exact"/>
        <w:rPr>
          <w:sz w:val="20"/>
          <w:szCs w:val="20"/>
          <w:color w:val="auto"/>
        </w:rPr>
      </w:pPr>
    </w:p>
    <w:p>
      <w:pPr>
        <w:jc w:val="both"/>
        <w:ind w:right="60" w:firstLine="600"/>
        <w:spacing w:after="0" w:line="256" w:lineRule="auto"/>
        <w:rPr>
          <w:sz w:val="20"/>
          <w:szCs w:val="20"/>
          <w:color w:val="auto"/>
        </w:rPr>
      </w:pPr>
      <w:r>
        <w:rPr>
          <w:rFonts w:ascii="Times New Roman" w:cs="Times New Roman" w:eastAsia="Times New Roman" w:hAnsi="Times New Roman"/>
          <w:sz w:val="19"/>
          <w:szCs w:val="19"/>
          <w:color w:val="1E1E1E"/>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spacing w:after="0" w:line="17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depend upon talented employees to grow, operate and improve our business, and if we are unable to retain and motivate our personnel and attract new talent, we may not be able to grow effectively.</w:t>
      </w:r>
    </w:p>
    <w:p>
      <w:pPr>
        <w:spacing w:after="0" w:line="54" w:lineRule="exact"/>
        <w:rPr>
          <w:sz w:val="20"/>
          <w:szCs w:val="20"/>
          <w:color w:val="auto"/>
        </w:rPr>
      </w:pPr>
    </w:p>
    <w:p>
      <w:pPr>
        <w:ind w:right="640" w:firstLine="600"/>
        <w:spacing w:after="0" w:line="267" w:lineRule="auto"/>
        <w:rPr>
          <w:sz w:val="20"/>
          <w:szCs w:val="20"/>
          <w:color w:val="auto"/>
        </w:rPr>
      </w:pPr>
      <w:r>
        <w:rPr>
          <w:rFonts w:ascii="Times New Roman" w:cs="Times New Roman" w:eastAsia="Times New Roman" w:hAnsi="Times New Roman"/>
          <w:sz w:val="19"/>
          <w:szCs w:val="19"/>
          <w:color w:val="1E1E1E"/>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63"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management team has limited experience managing a public company.</w:t>
      </w:r>
    </w:p>
    <w:p>
      <w:pPr>
        <w:spacing w:after="0" w:line="137"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Most members of our management team have limited experience managing a publicly traded company, interacting with public company investors and complying with the increasingly complex laws pertaining to public companies in the United States. It is possible that our management team may experience challenges managing the significant regulatory oversight and reporting obligations under the U.S. federal securities laws and the continuous scrutiny of securities analysts and investors applicable to public companies. These obligations require significant attention from our senior management and could divert their attention away from the day-to-day management of our business, which could adversely affect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Changes in, or in the interpretation of, tax rules and regulations may impact our effective tax rate and future profitability.</w:t>
      </w:r>
    </w:p>
    <w:p>
      <w:pPr>
        <w:spacing w:after="0" w:line="137" w:lineRule="exact"/>
        <w:rPr>
          <w:sz w:val="20"/>
          <w:szCs w:val="20"/>
          <w:color w:val="auto"/>
        </w:rPr>
      </w:pPr>
    </w:p>
    <w:p>
      <w:pPr>
        <w:jc w:val="both"/>
        <w:ind w:right="160" w:firstLine="600"/>
        <w:spacing w:after="0" w:line="267" w:lineRule="auto"/>
        <w:rPr>
          <w:sz w:val="20"/>
          <w:szCs w:val="20"/>
          <w:color w:val="auto"/>
        </w:rPr>
      </w:pPr>
      <w:r>
        <w:rPr>
          <w:rFonts w:ascii="Times New Roman" w:cs="Times New Roman" w:eastAsia="Times New Roman" w:hAnsi="Times New Roman"/>
          <w:sz w:val="19"/>
          <w:szCs w:val="19"/>
          <w:color w:val="1E1E1E"/>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changes in the amount of revenue or earnings in countries with varying</w:t>
      </w:r>
    </w:p>
    <w:p>
      <w:pPr>
        <w:sectPr>
          <w:pgSz w:w="11880" w:h="15480" w:orient="portrait"/>
          <w:cols w:equalWidth="0" w:num="1">
            <w:col w:w="10480"/>
          </w:cols>
          <w:pgMar w:left="700" w:top="957" w:right="700" w:bottom="215"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30</w:t>
      </w:r>
    </w:p>
    <w:p>
      <w:pPr>
        <w:sectPr>
          <w:pgSz w:w="11880" w:h="15480" w:orient="portrait"/>
          <w:cols w:equalWidth="0" w:num="1">
            <w:col w:w="10480"/>
          </w:cols>
          <w:pgMar w:left="700" w:top="957" w:right="700" w:bottom="215" w:gutter="0" w:footer="0" w:header="0"/>
          <w:type w:val="continuous"/>
        </w:sectPr>
      </w:pPr>
    </w:p>
    <w:bookmarkStart w:id="36" w:name="page37"/>
    <w:bookmarkEnd w:id="36"/>
    <w:p>
      <w:pPr>
        <w:ind w:right="120"/>
        <w:spacing w:after="0" w:line="290" w:lineRule="auto"/>
        <w:rPr>
          <w:sz w:val="20"/>
          <w:szCs w:val="20"/>
          <w:color w:val="auto"/>
        </w:rPr>
      </w:pPr>
      <w:r>
        <w:rPr>
          <w:rFonts w:ascii="Times New Roman" w:cs="Times New Roman" w:eastAsia="Times New Roman" w:hAnsi="Times New Roman"/>
          <w:sz w:val="19"/>
          <w:szCs w:val="19"/>
          <w:color w:val="1E1E1E"/>
        </w:rPr>
        <w:t>statutory tax rates, obligations to pay sales, use, value-added, goods and services and similar taxes in jurisdictions in which we do not currently pay such taxes, or changes in the valuation of our deferred tax assets and liabilities.</w:t>
      </w:r>
    </w:p>
    <w:p>
      <w:pPr>
        <w:spacing w:after="0" w:line="141" w:lineRule="exact"/>
        <w:rPr>
          <w:sz w:val="20"/>
          <w:szCs w:val="20"/>
          <w:color w:val="auto"/>
        </w:rPr>
      </w:pPr>
    </w:p>
    <w:p>
      <w:pPr>
        <w:ind w:right="20" w:firstLine="600"/>
        <w:spacing w:after="0" w:line="262" w:lineRule="auto"/>
        <w:rPr>
          <w:sz w:val="20"/>
          <w:szCs w:val="20"/>
          <w:color w:val="auto"/>
        </w:rPr>
      </w:pPr>
      <w:r>
        <w:rPr>
          <w:rFonts w:ascii="Times New Roman" w:cs="Times New Roman" w:eastAsia="Times New Roman" w:hAnsi="Times New Roman"/>
          <w:sz w:val="19"/>
          <w:szCs w:val="19"/>
          <w:color w:val="1E1E1E"/>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ability to use our net operating loss carryforwards and certain other tax attributes may be limited.</w:t>
      </w:r>
    </w:p>
    <w:p>
      <w:pPr>
        <w:spacing w:after="0" w:line="197" w:lineRule="exact"/>
        <w:rPr>
          <w:sz w:val="20"/>
          <w:szCs w:val="20"/>
          <w:color w:val="auto"/>
        </w:rPr>
      </w:pPr>
    </w:p>
    <w:p>
      <w:pPr>
        <w:ind w:right="140" w:firstLine="600"/>
        <w:spacing w:after="0" w:line="249" w:lineRule="auto"/>
        <w:rPr>
          <w:sz w:val="20"/>
          <w:szCs w:val="20"/>
          <w:color w:val="auto"/>
        </w:rPr>
      </w:pPr>
      <w:r>
        <w:rPr>
          <w:rFonts w:ascii="Times New Roman" w:cs="Times New Roman" w:eastAsia="Times New Roman" w:hAnsi="Times New Roman"/>
          <w:sz w:val="19"/>
          <w:szCs w:val="19"/>
          <w:color w:val="1E1E1E"/>
        </w:rPr>
        <w:t>As of December 31, 2023, we have net operating loss (“NOL”) carryforwards for U.S. federal income tax purposes, and similar state amounts, of approximately $228.6 million available to reduce future income subject to income taxes before limitations. Of the total loss carryforward available, approximately $57.2 million of net operating losses were attributable to the acquisition of Thomas.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cumulative change in our ownership by “5 percent stockholders” that exceeds 50 percentage points over a rolling three-year period. Similar rules may apply under state tax laws.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55" w:lineRule="exact"/>
        <w:rPr>
          <w:sz w:val="20"/>
          <w:szCs w:val="20"/>
          <w:color w:val="auto"/>
        </w:rPr>
      </w:pPr>
    </w:p>
    <w:p>
      <w:pPr>
        <w:ind w:firstLine="600"/>
        <w:spacing w:after="0" w:line="248" w:lineRule="auto"/>
        <w:rPr>
          <w:sz w:val="20"/>
          <w:szCs w:val="20"/>
          <w:color w:val="auto"/>
        </w:rPr>
      </w:pPr>
      <w:r>
        <w:rPr>
          <w:rFonts w:ascii="Times New Roman" w:cs="Times New Roman" w:eastAsia="Times New Roman" w:hAnsi="Times New Roman"/>
          <w:sz w:val="19"/>
          <w:szCs w:val="19"/>
          <w:color w:val="1E1E1E"/>
        </w:rPr>
        <w:t>Under the Tax Act, as amended by the Coronavirus Aid, Relief, and Economic Security Act, or the CARES Act, net operating losses arising in taxable years beginning after December 31, 2017 and before January 1, 2021 may be carried back to each of the five taxable years preceding the tax year of such loss, but net operating losses arising in taxable years beginning after December 31, 2020 may not be carried back. Additionally, under the Tax Act, as modified by the CARES Act, net operating losses from tax years that began after December 31, 2017 may offset no more than 80% of current taxable income annually for taxable years beginning after December 31, 2020, but the 80% limitation on the use of net operating losses from tax years that began after December 31, 2017 does not apply for taxable income in tax years beginning before January 1, 2021. NOLs arising in tax years ending after December 31, 2017 can be carried forward indefinitely, but NOLs generated in tax years ending before January 1, 2018 will continue to have a two-year carryback and twenty-year carryforward period. As we maintain an almost full valuation allowance against our U.S. NOLs, these changes will not have a significant impact our balance sheet as of December 31, 2023. However, in future years, if and when a net deferred tax asset is recognized related to our NOLs, the changes in the carryforward and carryback periods as well as the new limitation on use of NOLs may significantly impact our valuation allowance assessments for NOLs generated after December 31, 2020.</w:t>
      </w:r>
    </w:p>
    <w:p>
      <w:pPr>
        <w:spacing w:after="0" w:line="386" w:lineRule="exact"/>
        <w:rPr>
          <w:sz w:val="20"/>
          <w:szCs w:val="20"/>
          <w:color w:val="auto"/>
        </w:rPr>
      </w:pPr>
    </w:p>
    <w:p>
      <w:pPr>
        <w:ind w:right="120" w:firstLine="600"/>
        <w:spacing w:after="0" w:line="254" w:lineRule="auto"/>
        <w:rPr>
          <w:sz w:val="20"/>
          <w:szCs w:val="20"/>
          <w:color w:val="auto"/>
        </w:rPr>
      </w:pPr>
      <w:r>
        <w:rPr>
          <w:rFonts w:ascii="Times New Roman" w:cs="Times New Roman" w:eastAsia="Times New Roman" w:hAnsi="Times New Roman"/>
          <w:sz w:val="19"/>
          <w:szCs w:val="19"/>
          <w:color w:val="1E1E1E"/>
        </w:rPr>
        <w:t>There is also a risk that due to regulatory changes, such as suspensions on the use of NOLs and tax credits by certain jurisdictions, including in order to raise additional revenue to help counter the fiscal impact from the COVID-19 pandemic, possibly with retroactive effect, or other unforeseen reasons, our existing NOLs and tax credits could expire or otherwise be unavailable to offset future income tax liabilities. A temporary suspension of the use of certain NOLs and tax credits has been enacted in California, and other states may enact suspensions as well. For these reasons, we may not be able to realize a tax benefit from the use of our NOLs and tax credits.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Earnings for future periods may be impacted by impairment charges for goodwill and intangible assets.</w:t>
      </w:r>
    </w:p>
    <w:p>
      <w:pPr>
        <w:spacing w:after="0" w:line="197" w:lineRule="exact"/>
        <w:rPr>
          <w:sz w:val="20"/>
          <w:szCs w:val="20"/>
          <w:color w:val="auto"/>
        </w:rPr>
      </w:pPr>
    </w:p>
    <w:p>
      <w:pPr>
        <w:ind w:right="100" w:firstLine="601"/>
        <w:spacing w:after="0" w:line="252" w:lineRule="auto"/>
        <w:rPr>
          <w:sz w:val="20"/>
          <w:szCs w:val="20"/>
          <w:color w:val="auto"/>
        </w:rPr>
      </w:pPr>
      <w:r>
        <w:rPr>
          <w:rFonts w:ascii="Times New Roman" w:cs="Times New Roman" w:eastAsia="Times New Roman" w:hAnsi="Times New Roman"/>
          <w:sz w:val="19"/>
          <w:szCs w:val="19"/>
          <w:color w:val="1E1E1E"/>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2023. If we determine that a significant impairment has occurred in the value of our intangible assets, right of use assets or fixed assets in 2024 or beyond, we could be required to write off a portion of our assets, which could adversely affect our consolidated financial condition or our reported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use of “open source” software could adversely affect our ability to offer our services and subject us to possible litigation.</w:t>
      </w:r>
    </w:p>
    <w:p>
      <w:pPr>
        <w:spacing w:after="0" w:line="120" w:lineRule="exact"/>
        <w:rPr>
          <w:sz w:val="20"/>
          <w:szCs w:val="20"/>
          <w:color w:val="auto"/>
        </w:rPr>
      </w:pPr>
    </w:p>
    <w:p>
      <w:pPr>
        <w:ind w:right="20" w:firstLine="601"/>
        <w:spacing w:after="0" w:line="254" w:lineRule="auto"/>
        <w:rPr>
          <w:sz w:val="20"/>
          <w:szCs w:val="20"/>
          <w:color w:val="auto"/>
        </w:rPr>
      </w:pPr>
      <w:r>
        <w:rPr>
          <w:rFonts w:ascii="Times New Roman" w:cs="Times New Roman" w:eastAsia="Times New Roman" w:hAnsi="Times New Roman"/>
          <w:sz w:val="19"/>
          <w:szCs w:val="19"/>
          <w:color w:val="1E1E1E"/>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w:t>
      </w:r>
    </w:p>
    <w:p>
      <w:pPr>
        <w:sectPr>
          <w:pgSz w:w="11880" w:h="15480" w:orient="portrait"/>
          <w:cols w:equalWidth="0" w:num="1">
            <w:col w:w="10480"/>
          </w:cols>
          <w:pgMar w:left="700" w:top="957" w:right="700" w:bottom="215" w:gutter="0" w:footer="0" w:header="0"/>
        </w:sectPr>
      </w:pP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31</w:t>
      </w:r>
    </w:p>
    <w:p>
      <w:pPr>
        <w:sectPr>
          <w:pgSz w:w="11880" w:h="15480" w:orient="portrait"/>
          <w:cols w:equalWidth="0" w:num="1">
            <w:col w:w="10480"/>
          </w:cols>
          <w:pgMar w:left="700" w:top="957" w:right="700" w:bottom="215" w:gutter="0" w:footer="0" w:header="0"/>
          <w:type w:val="continuous"/>
        </w:sectPr>
      </w:pPr>
    </w:p>
    <w:bookmarkStart w:id="37" w:name="page38"/>
    <w:bookmarkEnd w:id="37"/>
    <w:p>
      <w:pPr>
        <w:spacing w:after="0" w:line="251" w:lineRule="auto"/>
        <w:rPr>
          <w:sz w:val="20"/>
          <w:szCs w:val="20"/>
          <w:color w:val="auto"/>
        </w:rPr>
      </w:pPr>
      <w:r>
        <w:rPr>
          <w:rFonts w:ascii="Times New Roman" w:cs="Times New Roman" w:eastAsia="Times New Roman" w:hAnsi="Times New Roman"/>
          <w:sz w:val="19"/>
          <w:szCs w:val="19"/>
          <w:color w:val="1E1E1E"/>
        </w:rPr>
        <w:t>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51" w:lineRule="exact"/>
        <w:rPr>
          <w:sz w:val="20"/>
          <w:szCs w:val="20"/>
          <w:color w:val="auto"/>
        </w:rPr>
      </w:pPr>
    </w:p>
    <w:p>
      <w:pPr>
        <w:ind w:right="40" w:firstLine="600"/>
        <w:spacing w:after="0" w:line="247" w:lineRule="auto"/>
        <w:rPr>
          <w:sz w:val="20"/>
          <w:szCs w:val="20"/>
          <w:color w:val="auto"/>
        </w:rPr>
      </w:pPr>
      <w:r>
        <w:rPr>
          <w:rFonts w:ascii="Times New Roman" w:cs="Times New Roman" w:eastAsia="Times New Roman" w:hAnsi="Times New Roman"/>
          <w:sz w:val="19"/>
          <w:szCs w:val="19"/>
          <w:color w:val="1E1E1E"/>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6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rely on Amazon Web Services to operate our platform, and any disruption of service from Amazon Web Services or material change to our arrangement with Amazon Web Services could adversely affect our business.</w:t>
      </w:r>
    </w:p>
    <w:p>
      <w:pPr>
        <w:spacing w:after="0" w:line="37" w:lineRule="exact"/>
        <w:rPr>
          <w:sz w:val="20"/>
          <w:szCs w:val="20"/>
          <w:color w:val="auto"/>
        </w:rPr>
      </w:pPr>
    </w:p>
    <w:p>
      <w:pPr>
        <w:ind w:right="40" w:firstLine="601"/>
        <w:spacing w:after="0" w:line="247" w:lineRule="auto"/>
        <w:rPr>
          <w:sz w:val="20"/>
          <w:szCs w:val="20"/>
          <w:color w:val="auto"/>
        </w:rPr>
      </w:pPr>
      <w:r>
        <w:rPr>
          <w:rFonts w:ascii="Times New Roman" w:cs="Times New Roman" w:eastAsia="Times New Roman" w:hAnsi="Times New Roman"/>
          <w:sz w:val="19"/>
          <w:szCs w:val="19"/>
          <w:color w:val="1E1E1E"/>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 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failure to meet our buyers’ price expectations would adversely affect our business and results of operations.</w:t>
      </w:r>
    </w:p>
    <w:p>
      <w:pPr>
        <w:spacing w:after="0" w:line="120" w:lineRule="exact"/>
        <w:rPr>
          <w:sz w:val="20"/>
          <w:szCs w:val="20"/>
          <w:color w:val="auto"/>
        </w:rPr>
      </w:pPr>
    </w:p>
    <w:p>
      <w:pPr>
        <w:ind w:right="140" w:firstLine="601"/>
        <w:spacing w:after="0" w:line="260" w:lineRule="auto"/>
        <w:rPr>
          <w:sz w:val="20"/>
          <w:szCs w:val="20"/>
          <w:color w:val="auto"/>
        </w:rPr>
      </w:pPr>
      <w:r>
        <w:rPr>
          <w:rFonts w:ascii="Times New Roman" w:cs="Times New Roman" w:eastAsia="Times New Roman" w:hAnsi="Times New Roman"/>
          <w:sz w:val="19"/>
          <w:szCs w:val="19"/>
          <w:color w:val="1E1E1E"/>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41"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business depends in part on our ability to process a large volume of new part designs from a diverse group of buyers and successfully identify significant opportunities for our business based on those submissions.</w:t>
      </w:r>
    </w:p>
    <w:p>
      <w:pPr>
        <w:spacing w:after="0" w:line="37" w:lineRule="exact"/>
        <w:rPr>
          <w:sz w:val="20"/>
          <w:szCs w:val="20"/>
          <w:color w:val="auto"/>
        </w:rPr>
      </w:pPr>
    </w:p>
    <w:p>
      <w:pPr>
        <w:ind w:right="120" w:firstLine="601"/>
        <w:spacing w:after="0" w:line="267" w:lineRule="auto"/>
        <w:rPr>
          <w:sz w:val="20"/>
          <w:szCs w:val="20"/>
          <w:color w:val="auto"/>
        </w:rPr>
      </w:pPr>
      <w:r>
        <w:rPr>
          <w:rFonts w:ascii="Times New Roman" w:cs="Times New Roman" w:eastAsia="Times New Roman" w:hAnsi="Times New Roman"/>
          <w:sz w:val="19"/>
          <w:szCs w:val="19"/>
          <w:color w:val="1E1E1E"/>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w:t>
      </w:r>
    </w:p>
    <w:p>
      <w:pPr>
        <w:sectPr>
          <w:pgSz w:w="11880" w:h="15480" w:orient="portrait"/>
          <w:cols w:equalWidth="0" w:num="1">
            <w:col w:w="10480"/>
          </w:cols>
          <w:pgMar w:left="700" w:top="957" w:right="700" w:bottom="215" w:gutter="0" w:footer="0" w:header="0"/>
        </w:sectPr>
      </w:pP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32</w:t>
      </w:r>
    </w:p>
    <w:p>
      <w:pPr>
        <w:sectPr>
          <w:pgSz w:w="11880" w:h="15480" w:orient="portrait"/>
          <w:cols w:equalWidth="0" w:num="1">
            <w:col w:w="10480"/>
          </w:cols>
          <w:pgMar w:left="700" w:top="957" w:right="700" w:bottom="215" w:gutter="0" w:footer="0" w:header="0"/>
          <w:type w:val="continuous"/>
        </w:sectPr>
      </w:pPr>
    </w:p>
    <w:bookmarkStart w:id="38" w:name="page39"/>
    <w:bookmarkEnd w:id="38"/>
    <w:p>
      <w:pPr>
        <w:ind w:right="100"/>
        <w:spacing w:after="0" w:line="256" w:lineRule="auto"/>
        <w:rPr>
          <w:sz w:val="20"/>
          <w:szCs w:val="20"/>
          <w:color w:val="auto"/>
        </w:rPr>
      </w:pPr>
      <w:r>
        <w:rPr>
          <w:rFonts w:ascii="Times New Roman" w:cs="Times New Roman" w:eastAsia="Times New Roman" w:hAnsi="Times New Roman"/>
          <w:sz w:val="19"/>
          <w:szCs w:val="19"/>
          <w:color w:val="1E1E1E"/>
        </w:rPr>
        <w:t>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spacing w:after="0" w:line="146"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our present single or limited source suppliers become unavailable or inadequate, our buyer relationships, results of operations and financial condition may be adversely affected.</w:t>
      </w:r>
    </w:p>
    <w:p>
      <w:pPr>
        <w:spacing w:after="0" w:line="37"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Our reported results of operations may be adversely affected by changes in GAAP.</w:t>
      </w:r>
    </w:p>
    <w:p>
      <w:pPr>
        <w:spacing w:after="0" w:line="120" w:lineRule="exact"/>
        <w:rPr>
          <w:sz w:val="20"/>
          <w:szCs w:val="20"/>
          <w:color w:val="auto"/>
        </w:rPr>
      </w:pPr>
    </w:p>
    <w:p>
      <w:pPr>
        <w:ind w:right="260" w:firstLine="600"/>
        <w:spacing w:after="0" w:line="256" w:lineRule="auto"/>
        <w:rPr>
          <w:sz w:val="20"/>
          <w:szCs w:val="20"/>
          <w:color w:val="auto"/>
        </w:rPr>
      </w:pPr>
      <w:r>
        <w:rPr>
          <w:rFonts w:ascii="Times New Roman" w:cs="Times New Roman" w:eastAsia="Times New Roman" w:hAnsi="Times New Roman"/>
          <w:sz w:val="19"/>
          <w:szCs w:val="19"/>
          <w:color w:val="1E1E1E"/>
        </w:rPr>
        <w:t>GAAP is subject to interpretation by the Financial Accounting Standards Board (“FASB”),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46"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The impact of economic conditions, including the resulting effect on consumer spending, may adversely affect our business, financial condition, and results of operations.</w:t>
      </w:r>
    </w:p>
    <w:p>
      <w:pPr>
        <w:spacing w:after="0" w:line="37"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threats to public health, such as the recent COVID-19 pandemic and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Currency exchange rate fluctuations affect our results of operations, as reported in our financial statements.</w:t>
      </w:r>
    </w:p>
    <w:p>
      <w:pPr>
        <w:spacing w:after="0" w:line="120" w:lineRule="exact"/>
        <w:rPr>
          <w:sz w:val="20"/>
          <w:szCs w:val="20"/>
          <w:color w:val="auto"/>
        </w:rPr>
      </w:pPr>
    </w:p>
    <w:p>
      <w:pPr>
        <w:ind w:right="60" w:firstLine="601"/>
        <w:spacing w:after="0" w:line="250" w:lineRule="auto"/>
        <w:rPr>
          <w:sz w:val="20"/>
          <w:szCs w:val="20"/>
          <w:color w:val="auto"/>
        </w:rPr>
      </w:pPr>
      <w:r>
        <w:rPr>
          <w:rFonts w:ascii="Times New Roman" w:cs="Times New Roman" w:eastAsia="Times New Roman" w:hAnsi="Times New Roman"/>
          <w:sz w:val="19"/>
          <w:szCs w:val="19"/>
          <w:color w:val="1E1E1E"/>
        </w:rPr>
        <w:t>We report our financial results in U.S. dollars. We collect our revenue primarily in U.S. dollars. A portion of our revenue, cost of revenue, sales and marketing, operations and support, product development and general and administrative expenses are in jurisdictions outside the United States are incurred in foreign currencies.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spacing w:after="0" w:line="302" w:lineRule="exact"/>
        <w:rPr>
          <w:sz w:val="20"/>
          <w:szCs w:val="20"/>
          <w:color w:val="auto"/>
        </w:rPr>
      </w:pPr>
    </w:p>
    <w:p>
      <w:pPr>
        <w:ind w:right="2780" w:firstLine="2779"/>
        <w:spacing w:after="0" w:line="438" w:lineRule="auto"/>
        <w:rPr>
          <w:sz w:val="20"/>
          <w:szCs w:val="20"/>
          <w:color w:val="auto"/>
        </w:rPr>
      </w:pPr>
      <w:r>
        <w:rPr>
          <w:rFonts w:ascii="Times New Roman" w:cs="Times New Roman" w:eastAsia="Times New Roman" w:hAnsi="Times New Roman"/>
          <w:sz w:val="19"/>
          <w:szCs w:val="19"/>
          <w:b w:val="1"/>
          <w:bCs w:val="1"/>
          <w:color w:val="1E1E1E"/>
        </w:rPr>
        <w:t xml:space="preserve">Risks Related to Ownership of Our Class A Common Stock </w:t>
      </w:r>
      <w:r>
        <w:rPr>
          <w:rFonts w:ascii="Times New Roman" w:cs="Times New Roman" w:eastAsia="Times New Roman" w:hAnsi="Times New Roman"/>
          <w:sz w:val="19"/>
          <w:szCs w:val="19"/>
          <w:b w:val="1"/>
          <w:bCs w:val="1"/>
          <w:i w:val="1"/>
          <w:iCs w:val="1"/>
          <w:color w:val="1E1E1E"/>
        </w:rPr>
        <w:t>Our stock price may be volatile, and the value of our Class A common stock may decline.</w:t>
      </w:r>
    </w:p>
    <w:p>
      <w:pPr>
        <w:spacing w:after="0" w:line="1" w:lineRule="exact"/>
        <w:rPr>
          <w:sz w:val="20"/>
          <w:szCs w:val="20"/>
          <w:color w:val="auto"/>
        </w:rPr>
      </w:pPr>
    </w:p>
    <w:p>
      <w:pPr>
        <w:ind w:right="80" w:firstLine="601"/>
        <w:spacing w:after="0" w:line="290" w:lineRule="auto"/>
        <w:rPr>
          <w:sz w:val="20"/>
          <w:szCs w:val="20"/>
          <w:color w:val="auto"/>
        </w:rPr>
      </w:pPr>
      <w:r>
        <w:rPr>
          <w:rFonts w:ascii="Times New Roman" w:cs="Times New Roman" w:eastAsia="Times New Roman" w:hAnsi="Times New Roman"/>
          <w:sz w:val="19"/>
          <w:szCs w:val="19"/>
          <w:color w:val="1E1E1E"/>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49" w:lineRule="exact"/>
        <w:rPr>
          <w:sz w:val="20"/>
          <w:szCs w:val="20"/>
          <w:color w:val="auto"/>
        </w:rPr>
      </w:pPr>
    </w:p>
    <w:p>
      <w:pPr>
        <w:ind w:left="960" w:hanging="485"/>
        <w:spacing w:after="0"/>
        <w:tabs>
          <w:tab w:leader="none" w:pos="960" w:val="left"/>
        </w:tabs>
        <w:numPr>
          <w:ilvl w:val="0"/>
          <w:numId w:val="24"/>
        </w:numPr>
        <w:rPr>
          <w:rFonts w:ascii="Arial" w:cs="Arial" w:eastAsia="Arial" w:hAnsi="Arial"/>
          <w:sz w:val="19"/>
          <w:szCs w:val="19"/>
          <w:color w:val="1E1E1E"/>
        </w:rPr>
      </w:pPr>
      <w:r>
        <w:rPr>
          <w:rFonts w:ascii="Times New Roman" w:cs="Times New Roman" w:eastAsia="Times New Roman" w:hAnsi="Times New Roman"/>
          <w:sz w:val="19"/>
          <w:szCs w:val="19"/>
          <w:color w:val="1E1E1E"/>
        </w:rPr>
        <w:t>price and volume fluctuations in the overall stock market from time to time;</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4"/>
        </w:numPr>
        <w:rPr>
          <w:rFonts w:ascii="Arial" w:cs="Arial" w:eastAsia="Arial" w:hAnsi="Arial"/>
          <w:sz w:val="19"/>
          <w:szCs w:val="19"/>
          <w:color w:val="1E1E1E"/>
        </w:rPr>
      </w:pPr>
      <w:r>
        <w:rPr>
          <w:rFonts w:ascii="Times New Roman" w:cs="Times New Roman" w:eastAsia="Times New Roman" w:hAnsi="Times New Roman"/>
          <w:sz w:val="19"/>
          <w:szCs w:val="19"/>
          <w:color w:val="1E1E1E"/>
        </w:rPr>
        <w:t>actual or anticipated fluctuations in our operating results or financial condition;</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4"/>
        </w:numPr>
        <w:rPr>
          <w:rFonts w:ascii="Arial" w:cs="Arial" w:eastAsia="Arial" w:hAnsi="Arial"/>
          <w:sz w:val="19"/>
          <w:szCs w:val="19"/>
          <w:color w:val="1E1E1E"/>
        </w:rPr>
      </w:pPr>
      <w:r>
        <w:rPr>
          <w:rFonts w:ascii="Times New Roman" w:cs="Times New Roman" w:eastAsia="Times New Roman" w:hAnsi="Times New Roman"/>
          <w:sz w:val="19"/>
          <w:szCs w:val="19"/>
          <w:color w:val="1E1E1E"/>
        </w:rPr>
        <w:t>variance in our financial performance from expectations of securities analysts;</w:t>
      </w:r>
    </w:p>
    <w:p>
      <w:pPr>
        <w:sectPr>
          <w:pgSz w:w="11880" w:h="15480" w:orient="portrait"/>
          <w:cols w:equalWidth="0" w:num="1">
            <w:col w:w="10480"/>
          </w:cols>
          <w:pgMar w:left="700" w:top="957" w:right="700" w:bottom="215" w:gutter="0" w:footer="0" w:header="0"/>
        </w:sectPr>
      </w:pP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33</w:t>
      </w:r>
    </w:p>
    <w:p>
      <w:pPr>
        <w:sectPr>
          <w:pgSz w:w="11880" w:h="15480" w:orient="portrait"/>
          <w:cols w:equalWidth="0" w:num="1">
            <w:col w:w="10480"/>
          </w:cols>
          <w:pgMar w:left="700" w:top="957" w:right="700" w:bottom="215" w:gutter="0" w:footer="0" w:header="0"/>
          <w:type w:val="continuous"/>
        </w:sectPr>
      </w:pPr>
    </w:p>
    <w:bookmarkStart w:id="39" w:name="page40"/>
    <w:bookmarkEnd w:id="39"/>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to our pricing model;</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in our projected operating and financial results;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in laws or regulations applicable to our business;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announcements by us or our competitors of significant business developments, acquisitions, or new offerings;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our involvement in any litigation;</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future sales of our Class A common stock by us or our stockholders;</w:t>
      </w:r>
    </w:p>
    <w:p>
      <w:pPr>
        <w:spacing w:after="0" w:line="134" w:lineRule="exact"/>
        <w:rPr>
          <w:rFonts w:ascii="Arial" w:cs="Arial" w:eastAsia="Arial" w:hAnsi="Arial"/>
          <w:sz w:val="19"/>
          <w:szCs w:val="19"/>
          <w:color w:val="1E1E1E"/>
        </w:rPr>
      </w:pPr>
    </w:p>
    <w:p>
      <w:pPr>
        <w:ind w:left="960" w:right="640" w:hanging="485"/>
        <w:spacing w:after="0" w:line="289" w:lineRule="auto"/>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whether our results of operations meet previously announced guidance or the expectations of securities analysts or investors;</w:t>
      </w:r>
    </w:p>
    <w:p>
      <w:pPr>
        <w:spacing w:after="0" w:line="49" w:lineRule="exact"/>
        <w:rPr>
          <w:rFonts w:ascii="Arial" w:cs="Arial" w:eastAsia="Arial" w:hAnsi="Arial"/>
          <w:sz w:val="19"/>
          <w:szCs w:val="19"/>
          <w:color w:val="1E1E1E"/>
        </w:rPr>
      </w:pPr>
    </w:p>
    <w:p>
      <w:pPr>
        <w:ind w:left="960" w:right="580" w:hanging="485"/>
        <w:spacing w:after="0" w:line="289" w:lineRule="auto"/>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actual or perceived data breaches, disruptions or other incidents involving our platform, marketplace or products or services;</w:t>
      </w:r>
    </w:p>
    <w:p>
      <w:pPr>
        <w:spacing w:after="0" w:line="49" w:lineRule="exact"/>
        <w:rPr>
          <w:rFonts w:ascii="Arial" w:cs="Arial" w:eastAsia="Arial" w:hAnsi="Arial"/>
          <w:sz w:val="19"/>
          <w:szCs w:val="19"/>
          <w:color w:val="1E1E1E"/>
        </w:rPr>
      </w:pPr>
    </w:p>
    <w:p>
      <w:pPr>
        <w:ind w:left="960" w:right="680" w:hanging="485"/>
        <w:spacing w:after="0" w:line="289" w:lineRule="auto"/>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developments or disputes concerning our intellectual property or proprietary rights or our solutions, or third-party intellectual or proprietary rights;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in senior management or key personnel;</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the trading volume of our Class A common stock;</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changes in the anticipated future size and growth rate of our market; and</w:t>
      </w:r>
    </w:p>
    <w:p>
      <w:pPr>
        <w:spacing w:after="0" w:line="134" w:lineRule="exact"/>
        <w:rPr>
          <w:rFonts w:ascii="Arial" w:cs="Arial" w:eastAsia="Arial" w:hAnsi="Arial"/>
          <w:sz w:val="19"/>
          <w:szCs w:val="19"/>
          <w:color w:val="1E1E1E"/>
        </w:rPr>
      </w:pPr>
    </w:p>
    <w:p>
      <w:pPr>
        <w:ind w:left="960" w:right="80" w:hanging="485"/>
        <w:spacing w:after="0" w:line="267" w:lineRule="auto"/>
        <w:tabs>
          <w:tab w:leader="none" w:pos="960" w:val="left"/>
        </w:tabs>
        <w:numPr>
          <w:ilvl w:val="0"/>
          <w:numId w:val="25"/>
        </w:numPr>
        <w:rPr>
          <w:rFonts w:ascii="Arial" w:cs="Arial" w:eastAsia="Arial" w:hAnsi="Arial"/>
          <w:sz w:val="19"/>
          <w:szCs w:val="19"/>
          <w:color w:val="1E1E1E"/>
        </w:rPr>
      </w:pPr>
      <w:r>
        <w:rPr>
          <w:rFonts w:ascii="Times New Roman" w:cs="Times New Roman" w:eastAsia="Times New Roman" w:hAnsi="Times New Roman"/>
          <w:sz w:val="19"/>
          <w:szCs w:val="19"/>
          <w:color w:val="1E1E1E"/>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33" w:lineRule="exact"/>
        <w:rPr>
          <w:sz w:val="20"/>
          <w:szCs w:val="20"/>
          <w:color w:val="auto"/>
        </w:rPr>
      </w:pPr>
    </w:p>
    <w:p>
      <w:pPr>
        <w:ind w:right="80" w:firstLine="600"/>
        <w:spacing w:after="0" w:line="250" w:lineRule="auto"/>
        <w:rPr>
          <w:sz w:val="20"/>
          <w:szCs w:val="20"/>
          <w:color w:val="auto"/>
        </w:rPr>
      </w:pPr>
      <w:r>
        <w:rPr>
          <w:rFonts w:ascii="Times New Roman" w:cs="Times New Roman" w:eastAsia="Times New Roman" w:hAnsi="Times New Roman"/>
          <w:sz w:val="19"/>
          <w:szCs w:val="19"/>
          <w:color w:val="1E1E1E"/>
        </w:rPr>
        <w:t>The market for technology stocks or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37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Our issuance of additional capital stock in connection with financings, acquisitions, investments, our equity incentive plans, or otherwise will dilute all other stockholders.</w:t>
      </w:r>
    </w:p>
    <w:p>
      <w:pPr>
        <w:spacing w:after="0" w:line="37"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47"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our operating and financial performance in any given period does not meet the guidance that we provide to the public or the expectations of investment analysts, the market price of our Class A common stock may decline.</w:t>
      </w:r>
    </w:p>
    <w:p>
      <w:pPr>
        <w:spacing w:after="0" w:line="37" w:lineRule="exact"/>
        <w:rPr>
          <w:sz w:val="20"/>
          <w:szCs w:val="20"/>
          <w:color w:val="auto"/>
        </w:rPr>
      </w:pPr>
    </w:p>
    <w:p>
      <w:pPr>
        <w:ind w:right="40" w:firstLine="600"/>
        <w:spacing w:after="0" w:line="251" w:lineRule="auto"/>
        <w:rPr>
          <w:sz w:val="20"/>
          <w:szCs w:val="20"/>
          <w:color w:val="auto"/>
        </w:rPr>
      </w:pPr>
      <w:r>
        <w:rPr>
          <w:rFonts w:ascii="Times New Roman" w:cs="Times New Roman" w:eastAsia="Times New Roman" w:hAnsi="Times New Roman"/>
          <w:sz w:val="19"/>
          <w:szCs w:val="19"/>
          <w:color w:val="1E1E1E"/>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We have in the past failed to meet publicly announced guidance, and our actual results in the future may not always be in line with or exceed any guidance we have provided, especially in times of economic uncertainty, such as the effects of public health crises or other macroeconomic factors and geopolitical tension, which may lead to periods of global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ectPr>
          <w:pgSz w:w="11880" w:h="15480" w:orient="portrait"/>
          <w:cols w:equalWidth="0" w:num="1">
            <w:col w:w="10460"/>
          </w:cols>
          <w:pgMar w:left="700" w:top="970"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34</w:t>
      </w:r>
    </w:p>
    <w:p>
      <w:pPr>
        <w:sectPr>
          <w:pgSz w:w="11880" w:h="15480" w:orient="portrait"/>
          <w:cols w:equalWidth="0" w:num="1">
            <w:col w:w="10460"/>
          </w:cols>
          <w:pgMar w:left="700" w:top="970" w:right="720" w:bottom="215" w:gutter="0" w:footer="0" w:header="0"/>
          <w:type w:val="continuous"/>
        </w:sectPr>
      </w:pPr>
    </w:p>
    <w:bookmarkStart w:id="40" w:name="page41"/>
    <w:bookmarkEnd w:id="40"/>
    <w:p>
      <w:pPr>
        <w:ind w:right="30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securities or industry analysts do not publish research or publish unfavorable or inaccurate research about our business, our stock price and trading volume could decline.</w:t>
      </w:r>
    </w:p>
    <w:p>
      <w:pPr>
        <w:spacing w:after="0" w:line="37" w:lineRule="exact"/>
        <w:rPr>
          <w:sz w:val="20"/>
          <w:szCs w:val="20"/>
          <w:color w:val="auto"/>
        </w:rPr>
      </w:pPr>
    </w:p>
    <w:p>
      <w:pPr>
        <w:ind w:right="100" w:firstLine="600"/>
        <w:spacing w:after="0" w:line="252" w:lineRule="auto"/>
        <w:rPr>
          <w:sz w:val="20"/>
          <w:szCs w:val="20"/>
          <w:color w:val="auto"/>
        </w:rPr>
      </w:pPr>
      <w:r>
        <w:rPr>
          <w:rFonts w:ascii="Times New Roman" w:cs="Times New Roman" w:eastAsia="Times New Roman" w:hAnsi="Times New Roman"/>
          <w:sz w:val="19"/>
          <w:szCs w:val="19"/>
          <w:color w:val="1E1E1E"/>
        </w:rPr>
        <w:t>Our stock price and trading volume is heavily influenced by the way analysts and investors interpret our financial information and other disclosures. Securities and industry analysts do not currently, and may never, publish research on our business.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81"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We may require additional capital to support the growth of our business, and this capital might not be available on acceptable terms, if at all.</w:t>
      </w:r>
    </w:p>
    <w:p>
      <w:pPr>
        <w:spacing w:after="0" w:line="37"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9"/>
          <w:szCs w:val="19"/>
          <w:color w:val="1E1E1E"/>
        </w:rPr>
        <w:t>We have funded our operations since inception primarily through equity and convertible debt financings.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54" w:lineRule="exact"/>
        <w:rPr>
          <w:sz w:val="20"/>
          <w:szCs w:val="20"/>
          <w:color w:val="auto"/>
        </w:rPr>
      </w:pPr>
    </w:p>
    <w:p>
      <w:pPr>
        <w:ind w:right="40" w:firstLine="600"/>
        <w:spacing w:after="0" w:line="256" w:lineRule="auto"/>
        <w:rPr>
          <w:sz w:val="20"/>
          <w:szCs w:val="20"/>
          <w:color w:val="auto"/>
        </w:rPr>
      </w:pPr>
      <w:r>
        <w:rPr>
          <w:rFonts w:ascii="Times New Roman" w:cs="Times New Roman" w:eastAsia="Times New Roman" w:hAnsi="Times New Roman"/>
          <w:sz w:val="19"/>
          <w:szCs w:val="19"/>
          <w:color w:val="1E1E1E"/>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44" w:lineRule="exact"/>
        <w:rPr>
          <w:sz w:val="20"/>
          <w:szCs w:val="20"/>
          <w:color w:val="auto"/>
        </w:rPr>
      </w:pPr>
    </w:p>
    <w:p>
      <w:pPr>
        <w:ind w:firstLine="600"/>
        <w:spacing w:after="0" w:line="252" w:lineRule="auto"/>
        <w:rPr>
          <w:sz w:val="20"/>
          <w:szCs w:val="20"/>
          <w:color w:val="auto"/>
        </w:rPr>
      </w:pPr>
      <w:r>
        <w:rPr>
          <w:rFonts w:ascii="Times New Roman" w:cs="Times New Roman" w:eastAsia="Times New Roman" w:hAnsi="Times New Roman"/>
          <w:sz w:val="19"/>
          <w:szCs w:val="19"/>
          <w:color w:val="1E1E1E"/>
        </w:rPr>
        <w:t>As of December 31, 2023, we had $268.8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5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b w:val="1"/>
          <w:bCs w:val="1"/>
          <w:i w:val="1"/>
          <w:iCs w:val="1"/>
          <w:color w:val="1E1E1E"/>
        </w:rPr>
        <w:t>The dual-class structure of our common stock will have the effect of concentrating voting control with our co-founders, which will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64" w:lineRule="exact"/>
        <w:rPr>
          <w:sz w:val="20"/>
          <w:szCs w:val="20"/>
          <w:color w:val="auto"/>
        </w:rPr>
      </w:pPr>
    </w:p>
    <w:p>
      <w:pPr>
        <w:jc w:val="both"/>
        <w:ind w:right="300" w:firstLine="600"/>
        <w:spacing w:after="0" w:line="267" w:lineRule="auto"/>
        <w:rPr>
          <w:sz w:val="20"/>
          <w:szCs w:val="20"/>
          <w:color w:val="auto"/>
        </w:rPr>
      </w:pPr>
      <w:r>
        <w:rPr>
          <w:rFonts w:ascii="Times New Roman" w:cs="Times New Roman" w:eastAsia="Times New Roman" w:hAnsi="Times New Roman"/>
          <w:sz w:val="19"/>
          <w:szCs w:val="19"/>
          <w:color w:val="1E1E1E"/>
        </w:rPr>
        <w:t>Our Class B common stock has twenty votes per share, whereas our Class A common stock has one vote per share. Our co-founders collectively own Class B common stock representing approximately 54.1% of the voting power of our outstanding capital stock, based on the number of shares outstanding as of December 31, 2023.</w:t>
      </w:r>
    </w:p>
    <w:p>
      <w:pPr>
        <w:spacing w:after="0" w:line="134" w:lineRule="exact"/>
        <w:rPr>
          <w:sz w:val="20"/>
          <w:szCs w:val="20"/>
          <w:color w:val="auto"/>
        </w:rPr>
      </w:pPr>
    </w:p>
    <w:p>
      <w:pPr>
        <w:ind w:right="20" w:firstLine="600"/>
        <w:spacing w:after="0" w:line="252" w:lineRule="auto"/>
        <w:rPr>
          <w:sz w:val="20"/>
          <w:szCs w:val="20"/>
          <w:color w:val="auto"/>
        </w:rPr>
      </w:pPr>
      <w:r>
        <w:rPr>
          <w:rFonts w:ascii="Times New Roman" w:cs="Times New Roman" w:eastAsia="Times New Roman" w:hAnsi="Times New Roman"/>
          <w:sz w:val="19"/>
          <w:szCs w:val="19"/>
          <w:color w:val="1E1E1E"/>
        </w:rPr>
        <w:t>As a result, the holders of our Class B common stock will have the ability to control the outcome of most matters requiring stockholder approval for the foreseeable future, including the election of directors and approval of significant corporate transactions, such as a merger or other sale of our company or our assets, even if their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 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50" w:lineRule="exact"/>
        <w:rPr>
          <w:sz w:val="20"/>
          <w:szCs w:val="20"/>
          <w:color w:val="auto"/>
        </w:rPr>
      </w:pPr>
    </w:p>
    <w:p>
      <w:pPr>
        <w:ind w:right="60" w:firstLine="600"/>
        <w:spacing w:after="0" w:line="252" w:lineRule="auto"/>
        <w:rPr>
          <w:sz w:val="20"/>
          <w:szCs w:val="20"/>
          <w:color w:val="auto"/>
        </w:rPr>
      </w:pPr>
      <w:r>
        <w:rPr>
          <w:rFonts w:ascii="Times New Roman" w:cs="Times New Roman" w:eastAsia="Times New Roman" w:hAnsi="Times New Roman"/>
          <w:sz w:val="19"/>
          <w:szCs w:val="19"/>
          <w:color w:val="1E1E1E"/>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ectPr>
          <w:pgSz w:w="11880" w:h="15480" w:orient="portrait"/>
          <w:cols w:equalWidth="0" w:num="1">
            <w:col w:w="10480"/>
          </w:cols>
          <w:pgMar w:left="700" w:top="958" w:right="700" w:bottom="215" w:gutter="0" w:footer="0" w:header="0"/>
        </w:sectPr>
      </w:pP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35</w:t>
      </w:r>
    </w:p>
    <w:p>
      <w:pPr>
        <w:sectPr>
          <w:pgSz w:w="11880" w:h="15480" w:orient="portrait"/>
          <w:cols w:equalWidth="0" w:num="1">
            <w:col w:w="10480"/>
          </w:cols>
          <w:pgMar w:left="700" w:top="958" w:right="700" w:bottom="215" w:gutter="0" w:footer="0" w:header="0"/>
          <w:type w:val="continuous"/>
        </w:sectPr>
      </w:pPr>
    </w:p>
    <w:bookmarkStart w:id="41" w:name="page42"/>
    <w:bookmarkEnd w:id="41"/>
    <w:p>
      <w:pPr>
        <w:ind w:right="40" w:firstLine="600"/>
        <w:spacing w:after="0" w:line="256" w:lineRule="auto"/>
        <w:rPr>
          <w:sz w:val="20"/>
          <w:szCs w:val="20"/>
          <w:color w:val="auto"/>
        </w:rPr>
      </w:pPr>
      <w:r>
        <w:rPr>
          <w:rFonts w:ascii="Times New Roman" w:cs="Times New Roman" w:eastAsia="Times New Roman" w:hAnsi="Times New Roman"/>
          <w:sz w:val="19"/>
          <w:szCs w:val="19"/>
          <w:color w:val="1E1E1E"/>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4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b w:val="1"/>
          <w:bCs w:val="1"/>
          <w:i w:val="1"/>
          <w:iCs w:val="1"/>
          <w:color w:val="1E1E1E"/>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58" w:lineRule="exact"/>
        <w:rPr>
          <w:sz w:val="20"/>
          <w:szCs w:val="20"/>
          <w:color w:val="auto"/>
        </w:rPr>
      </w:pPr>
    </w:p>
    <w:p>
      <w:pPr>
        <w:jc w:val="both"/>
        <w:ind w:right="160" w:firstLine="600"/>
        <w:spacing w:after="0" w:line="267" w:lineRule="auto"/>
        <w:rPr>
          <w:sz w:val="20"/>
          <w:szCs w:val="20"/>
          <w:color w:val="auto"/>
        </w:rPr>
      </w:pPr>
      <w:r>
        <w:rPr>
          <w:rFonts w:ascii="Times New Roman" w:cs="Times New Roman" w:eastAsia="Times New Roman" w:hAnsi="Times New Roman"/>
          <w:sz w:val="19"/>
          <w:szCs w:val="19"/>
          <w:color w:val="1E1E1E"/>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1" w:lineRule="exact"/>
        <w:rPr>
          <w:sz w:val="20"/>
          <w:szCs w:val="20"/>
          <w:color w:val="auto"/>
        </w:rPr>
      </w:pPr>
    </w:p>
    <w:p>
      <w:pPr>
        <w:jc w:val="both"/>
        <w:ind w:left="96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49" w:lineRule="exact"/>
        <w:rPr>
          <w:rFonts w:ascii="Arial" w:cs="Arial" w:eastAsia="Arial" w:hAnsi="Arial"/>
          <w:sz w:val="19"/>
          <w:szCs w:val="19"/>
          <w:color w:val="1E1E1E"/>
        </w:rPr>
      </w:pPr>
    </w:p>
    <w:p>
      <w:pPr>
        <w:ind w:left="960" w:right="28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require that any action to be taken by our stockholders be effected at a duly called annual or special meeting and not by written consent;</w:t>
      </w:r>
    </w:p>
    <w:p>
      <w:pPr>
        <w:spacing w:after="0" w:line="49" w:lineRule="exact"/>
        <w:rPr>
          <w:rFonts w:ascii="Arial" w:cs="Arial" w:eastAsia="Arial" w:hAnsi="Arial"/>
          <w:sz w:val="19"/>
          <w:szCs w:val="19"/>
          <w:color w:val="1E1E1E"/>
        </w:rPr>
      </w:pPr>
    </w:p>
    <w:p>
      <w:pPr>
        <w:ind w:left="960" w:right="2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specify that special meetings of our stockholders can be called only by our board of directors, the chairperson of our board of directors, or our chief executive officer;</w:t>
      </w:r>
    </w:p>
    <w:p>
      <w:pPr>
        <w:spacing w:after="0" w:line="49" w:lineRule="exact"/>
        <w:rPr>
          <w:rFonts w:ascii="Arial" w:cs="Arial" w:eastAsia="Arial" w:hAnsi="Arial"/>
          <w:sz w:val="19"/>
          <w:szCs w:val="19"/>
          <w:color w:val="1E1E1E"/>
        </w:rPr>
      </w:pPr>
    </w:p>
    <w:p>
      <w:pPr>
        <w:ind w:left="960" w:right="64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establish an advance notice procedure for stockholder proposals to be brought before an annual meeting, including proposed nominations of persons for election to our board of directors;</w:t>
      </w:r>
    </w:p>
    <w:p>
      <w:pPr>
        <w:spacing w:after="0" w:line="49" w:lineRule="exact"/>
        <w:rPr>
          <w:rFonts w:ascii="Arial" w:cs="Arial" w:eastAsia="Arial" w:hAnsi="Arial"/>
          <w:sz w:val="19"/>
          <w:szCs w:val="19"/>
          <w:color w:val="1E1E1E"/>
        </w:rPr>
      </w:pPr>
    </w:p>
    <w:p>
      <w:pPr>
        <w:ind w:left="960" w:hanging="485"/>
        <w:spacing w:after="0"/>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establish that our board of directors is divided into three classes, with each class serving three-year staggered terms;</w:t>
      </w:r>
    </w:p>
    <w:p>
      <w:pPr>
        <w:spacing w:after="0" w:line="134" w:lineRule="exact"/>
        <w:rPr>
          <w:rFonts w:ascii="Arial" w:cs="Arial" w:eastAsia="Arial" w:hAnsi="Arial"/>
          <w:sz w:val="19"/>
          <w:szCs w:val="19"/>
          <w:color w:val="1E1E1E"/>
        </w:rPr>
      </w:pPr>
    </w:p>
    <w:p>
      <w:pPr>
        <w:ind w:left="960" w:hanging="485"/>
        <w:spacing w:after="0"/>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prohibit cumulative voting in the election of directors;</w:t>
      </w:r>
    </w:p>
    <w:p>
      <w:pPr>
        <w:spacing w:after="0" w:line="134" w:lineRule="exact"/>
        <w:rPr>
          <w:rFonts w:ascii="Arial" w:cs="Arial" w:eastAsia="Arial" w:hAnsi="Arial"/>
          <w:sz w:val="19"/>
          <w:szCs w:val="19"/>
          <w:color w:val="1E1E1E"/>
        </w:rPr>
      </w:pPr>
    </w:p>
    <w:p>
      <w:pPr>
        <w:ind w:left="960" w:right="20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provide that our directors may be removed for cause only upon the vote of sixty-six and two-thirds percent (66 2/3%) of our outstanding shares of our voting common stock;</w:t>
      </w:r>
    </w:p>
    <w:p>
      <w:pPr>
        <w:spacing w:after="0" w:line="49" w:lineRule="exact"/>
        <w:rPr>
          <w:rFonts w:ascii="Arial" w:cs="Arial" w:eastAsia="Arial" w:hAnsi="Arial"/>
          <w:sz w:val="19"/>
          <w:szCs w:val="19"/>
          <w:color w:val="1E1E1E"/>
        </w:rPr>
      </w:pPr>
    </w:p>
    <w:p>
      <w:pPr>
        <w:ind w:left="960" w:right="20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provide that vacancies on our board of directors may be filled only by a majority of directors then in office, even though less than a quorum; and</w:t>
      </w:r>
    </w:p>
    <w:p>
      <w:pPr>
        <w:spacing w:after="0" w:line="49" w:lineRule="exact"/>
        <w:rPr>
          <w:rFonts w:ascii="Arial" w:cs="Arial" w:eastAsia="Arial" w:hAnsi="Arial"/>
          <w:sz w:val="19"/>
          <w:szCs w:val="19"/>
          <w:color w:val="1E1E1E"/>
        </w:rPr>
      </w:pPr>
    </w:p>
    <w:p>
      <w:pPr>
        <w:ind w:left="960" w:right="240" w:hanging="485"/>
        <w:spacing w:after="0" w:line="289" w:lineRule="auto"/>
        <w:tabs>
          <w:tab w:leader="none" w:pos="960" w:val="left"/>
        </w:tabs>
        <w:numPr>
          <w:ilvl w:val="0"/>
          <w:numId w:val="26"/>
        </w:numPr>
        <w:rPr>
          <w:rFonts w:ascii="Arial" w:cs="Arial" w:eastAsia="Arial" w:hAnsi="Arial"/>
          <w:sz w:val="19"/>
          <w:szCs w:val="19"/>
          <w:color w:val="1E1E1E"/>
        </w:rPr>
      </w:pPr>
      <w:r>
        <w:rPr>
          <w:rFonts w:ascii="Times New Roman" w:cs="Times New Roman" w:eastAsia="Times New Roman" w:hAnsi="Times New Roman"/>
          <w:sz w:val="19"/>
          <w:szCs w:val="19"/>
          <w:color w:val="1E1E1E"/>
        </w:rPr>
        <w:t>require the approval of our board of directors or the holders of at least sixty-six and two-thirds percent (66 2/3%) of our outstanding shares of common stock to amend our bylaws and certain provisions of our certificate of incorporation.</w:t>
      </w:r>
    </w:p>
    <w:p>
      <w:pPr>
        <w:spacing w:after="0" w:line="113" w:lineRule="exact"/>
        <w:rPr>
          <w:sz w:val="20"/>
          <w:szCs w:val="20"/>
          <w:color w:val="auto"/>
        </w:rPr>
      </w:pPr>
    </w:p>
    <w:p>
      <w:pPr>
        <w:ind w:right="20" w:firstLine="600"/>
        <w:spacing w:after="0" w:line="251" w:lineRule="auto"/>
        <w:rPr>
          <w:sz w:val="20"/>
          <w:szCs w:val="20"/>
          <w:color w:val="auto"/>
        </w:rPr>
      </w:pPr>
      <w:r>
        <w:rPr>
          <w:rFonts w:ascii="Times New Roman" w:cs="Times New Roman" w:eastAsia="Times New Roman" w:hAnsi="Times New Roman"/>
          <w:sz w:val="19"/>
          <w:szCs w:val="19"/>
          <w:color w:val="1E1E1E"/>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15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9"/>
          <w:szCs w:val="19"/>
          <w:b w:val="1"/>
          <w:bCs w:val="1"/>
          <w:i w:val="1"/>
          <w:iCs w:val="1"/>
          <w:color w:val="1E1E1E"/>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64"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9"/>
          <w:szCs w:val="19"/>
          <w:color w:val="1E1E1E"/>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ectPr>
          <w:pgSz w:w="11880" w:h="15480" w:orient="portrait"/>
          <w:cols w:equalWidth="0" w:num="1">
            <w:col w:w="10480"/>
          </w:cols>
          <w:pgMar w:left="700" w:top="957" w:right="700" w:bottom="215"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36</w:t>
      </w:r>
    </w:p>
    <w:p>
      <w:pPr>
        <w:sectPr>
          <w:pgSz w:w="11880" w:h="15480" w:orient="portrait"/>
          <w:cols w:equalWidth="0" w:num="1">
            <w:col w:w="10480"/>
          </w:cols>
          <w:pgMar w:left="700" w:top="957" w:right="700" w:bottom="215" w:gutter="0" w:footer="0" w:header="0"/>
          <w:type w:val="continuous"/>
        </w:sectPr>
      </w:pPr>
    </w:p>
    <w:bookmarkStart w:id="42" w:name="page43"/>
    <w:bookmarkEnd w:id="42"/>
    <w:p>
      <w:pPr>
        <w:ind w:right="120" w:firstLine="600"/>
        <w:spacing w:after="0" w:line="254" w:lineRule="auto"/>
        <w:rPr>
          <w:sz w:val="20"/>
          <w:szCs w:val="20"/>
          <w:color w:val="auto"/>
        </w:rPr>
      </w:pPr>
      <w:r>
        <w:rPr>
          <w:rFonts w:ascii="Times New Roman" w:cs="Times New Roman" w:eastAsia="Times New Roman" w:hAnsi="Times New Roman"/>
          <w:sz w:val="19"/>
          <w:szCs w:val="19"/>
          <w:color w:val="1E1E1E"/>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5" w:lineRule="exact"/>
        <w:rPr>
          <w:sz w:val="20"/>
          <w:szCs w:val="20"/>
          <w:color w:val="auto"/>
        </w:rPr>
      </w:pPr>
    </w:p>
    <w:p>
      <w:pPr>
        <w:ind w:right="20" w:firstLine="600"/>
        <w:spacing w:after="0" w:line="249" w:lineRule="auto"/>
        <w:rPr>
          <w:sz w:val="20"/>
          <w:szCs w:val="20"/>
          <w:color w:val="auto"/>
        </w:rPr>
      </w:pPr>
      <w:r>
        <w:rPr>
          <w:rFonts w:ascii="Times New Roman" w:cs="Times New Roman" w:eastAsia="Times New Roman" w:hAnsi="Times New Roman"/>
          <w:sz w:val="19"/>
          <w:szCs w:val="19"/>
          <w:color w:val="1E1E1E"/>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Risks Related to our Convertible Notes</w:t>
      </w:r>
    </w:p>
    <w:p>
      <w:pPr>
        <w:spacing w:after="0" w:line="203"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Servicing our debt requires a significant amount of cash, and we may not have sufficient cash flow from our business to pay our substantial debt.</w:t>
      </w:r>
    </w:p>
    <w:p>
      <w:pPr>
        <w:spacing w:after="0" w:line="114" w:lineRule="exact"/>
        <w:rPr>
          <w:sz w:val="20"/>
          <w:szCs w:val="20"/>
          <w:color w:val="auto"/>
        </w:rPr>
      </w:pPr>
    </w:p>
    <w:p>
      <w:pPr>
        <w:ind w:firstLine="600"/>
        <w:spacing w:after="0" w:line="250" w:lineRule="auto"/>
        <w:rPr>
          <w:sz w:val="20"/>
          <w:szCs w:val="20"/>
          <w:color w:val="auto"/>
        </w:rPr>
      </w:pPr>
      <w:r>
        <w:rPr>
          <w:rFonts w:ascii="Times New Roman" w:cs="Times New Roman" w:eastAsia="Times New Roman" w:hAnsi="Times New Roman"/>
          <w:sz w:val="19"/>
          <w:szCs w:val="19"/>
          <w:color w:val="1E1E1E"/>
        </w:rPr>
        <w:t>Our ability to make scheduled payments of the principal of, to pay interest on or to refinance our indebtedness, including the $287.5 million aggregate principal amount of 1.00% Convertible Senior Notes due 2027 (the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Notes, which would materially and adversely impact our business, financial condition and operating results.</w:t>
      </w:r>
    </w:p>
    <w:p>
      <w:pPr>
        <w:spacing w:after="0" w:line="15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Conversion of the Notes may dilute the ownership interest of our stockholders or may otherwise depress the price of our common stock.</w:t>
      </w:r>
    </w:p>
    <w:p>
      <w:pPr>
        <w:spacing w:after="0" w:line="114" w:lineRule="exact"/>
        <w:rPr>
          <w:sz w:val="20"/>
          <w:szCs w:val="20"/>
          <w:color w:val="auto"/>
        </w:rPr>
      </w:pPr>
    </w:p>
    <w:p>
      <w:pPr>
        <w:ind w:right="140" w:firstLine="600"/>
        <w:spacing w:after="0" w:line="252" w:lineRule="auto"/>
        <w:rPr>
          <w:sz w:val="20"/>
          <w:szCs w:val="20"/>
          <w:color w:val="auto"/>
        </w:rPr>
      </w:pPr>
      <w:r>
        <w:rPr>
          <w:rFonts w:ascii="Times New Roman" w:cs="Times New Roman" w:eastAsia="Times New Roman" w:hAnsi="Times New Roman"/>
          <w:sz w:val="19"/>
          <w:szCs w:val="19"/>
          <w:color w:val="1E1E1E"/>
        </w:rPr>
        <w:t>The conversion of some or all of the Notes may dilute the ownership interests of our stockholders. Upon conversion of the Notes,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Notes may encourage short selling by market participants because the conversion of the Notes could be used to satisfy short positions, or anticipated conversion of the Notes into shares of our common stock could depress the price of our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Certain provisions in the indenture governing the Notes may delay or prevent an otherwise beneficial takeover attempt of us.</w:t>
      </w:r>
    </w:p>
    <w:p>
      <w:pPr>
        <w:spacing w:after="0" w:line="197" w:lineRule="exact"/>
        <w:rPr>
          <w:sz w:val="20"/>
          <w:szCs w:val="20"/>
          <w:color w:val="auto"/>
        </w:rPr>
      </w:pPr>
    </w:p>
    <w:p>
      <w:pPr>
        <w:ind w:right="20" w:firstLine="600"/>
        <w:spacing w:after="0" w:line="252" w:lineRule="auto"/>
        <w:rPr>
          <w:sz w:val="20"/>
          <w:szCs w:val="20"/>
          <w:color w:val="auto"/>
        </w:rPr>
      </w:pPr>
      <w:r>
        <w:rPr>
          <w:rFonts w:ascii="Times New Roman" w:cs="Times New Roman" w:eastAsia="Times New Roman" w:hAnsi="Times New Roman"/>
          <w:sz w:val="19"/>
          <w:szCs w:val="19"/>
          <w:color w:val="1E1E1E"/>
        </w:rPr>
        <w:t>Certain provisions in the indenture governing the Notes may make it more difficult or expensive for a third party to acquire us. For example, the indenture governing the Notes will require us, except as described in the indenture, to repurchase the notes for cash upon the occurrence of a "fundamental change" (as defined in the indenture) and, in certain circumstances, to increase the conversion rate for a holder that converts its Notes in connection with a "make-whole fundamental change" (as defined in the indenture). A takeover of us may trigger the requirement that we repurchase the Notes and/or increase the conversion rate, which could make it costlier for a potential acquirer to engage in such takeover. Such additional costs may have the effect of delaying or preventing a takeover of us that would otherwise be beneficial to investors.</w:t>
      </w:r>
    </w:p>
    <w:p>
      <w:pPr>
        <w:sectPr>
          <w:pgSz w:w="11880" w:h="15480" w:orient="portrait"/>
          <w:cols w:equalWidth="0" w:num="1">
            <w:col w:w="10460"/>
          </w:cols>
          <w:pgMar w:left="700" w:top="957"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37</w:t>
      </w:r>
    </w:p>
    <w:p>
      <w:pPr>
        <w:sectPr>
          <w:pgSz w:w="11880" w:h="15480" w:orient="portrait"/>
          <w:cols w:equalWidth="0" w:num="1">
            <w:col w:w="10460"/>
          </w:cols>
          <w:pgMar w:left="700" w:top="957" w:right="720" w:bottom="215"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9"/>
          <w:szCs w:val="19"/>
          <w:b w:val="1"/>
          <w:bCs w:val="1"/>
          <w:color w:val="1E1E1E"/>
        </w:rPr>
        <w:t>General Risk Factors</w:t>
      </w:r>
    </w:p>
    <w:p>
      <w:pPr>
        <w:spacing w:after="0" w:line="242" w:lineRule="exact"/>
        <w:rPr>
          <w:sz w:val="20"/>
          <w:szCs w:val="20"/>
          <w:color w:val="auto"/>
        </w:rPr>
      </w:pPr>
    </w:p>
    <w:p>
      <w:pPr>
        <w:ind w:right="68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we fail to retain and motivate members of our management team or other key personnel, our business and future growth prospects would be harmed.</w:t>
      </w:r>
    </w:p>
    <w:p>
      <w:pPr>
        <w:spacing w:after="0" w:line="37" w:lineRule="exact"/>
        <w:rPr>
          <w:sz w:val="20"/>
          <w:szCs w:val="20"/>
          <w:color w:val="auto"/>
        </w:rPr>
      </w:pPr>
    </w:p>
    <w:p>
      <w:pPr>
        <w:ind w:right="120" w:firstLine="600"/>
        <w:spacing w:after="0" w:line="254" w:lineRule="auto"/>
        <w:rPr>
          <w:sz w:val="20"/>
          <w:szCs w:val="20"/>
          <w:color w:val="auto"/>
        </w:rPr>
      </w:pPr>
      <w:r>
        <w:rPr>
          <w:rFonts w:ascii="Times New Roman" w:cs="Times New Roman" w:eastAsia="Times New Roman" w:hAnsi="Times New Roman"/>
          <w:sz w:val="19"/>
          <w:szCs w:val="19"/>
          <w:color w:val="1E1E1E"/>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Litigation or legal proceedings could expose us to significant liabilities and have a negative impact on our reputation or business.</w:t>
      </w:r>
    </w:p>
    <w:p>
      <w:pPr>
        <w:spacing w:after="0" w:line="120" w:lineRule="exact"/>
        <w:rPr>
          <w:sz w:val="20"/>
          <w:szCs w:val="20"/>
          <w:color w:val="auto"/>
        </w:rPr>
      </w:pPr>
    </w:p>
    <w:p>
      <w:pPr>
        <w:ind w:right="360" w:firstLine="600"/>
        <w:spacing w:after="0" w:line="256" w:lineRule="auto"/>
        <w:rPr>
          <w:sz w:val="20"/>
          <w:szCs w:val="20"/>
          <w:color w:val="auto"/>
        </w:rPr>
      </w:pPr>
      <w:r>
        <w:rPr>
          <w:rFonts w:ascii="Times New Roman" w:cs="Times New Roman" w:eastAsia="Times New Roman" w:hAnsi="Times New Roman"/>
          <w:sz w:val="19"/>
          <w:szCs w:val="19"/>
          <w:color w:val="1E1E1E"/>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67" w:lineRule="exact"/>
        <w:rPr>
          <w:sz w:val="20"/>
          <w:szCs w:val="20"/>
          <w:color w:val="auto"/>
        </w:rPr>
      </w:pPr>
    </w:p>
    <w:p>
      <w:pPr>
        <w:ind w:right="20" w:firstLine="600"/>
        <w:spacing w:after="0" w:line="249" w:lineRule="auto"/>
        <w:rPr>
          <w:sz w:val="20"/>
          <w:szCs w:val="20"/>
          <w:color w:val="auto"/>
        </w:rPr>
      </w:pPr>
      <w:r>
        <w:rPr>
          <w:rFonts w:ascii="Times New Roman" w:cs="Times New Roman" w:eastAsia="Times New Roman" w:hAnsi="Times New Roman"/>
          <w:sz w:val="19"/>
          <w:szCs w:val="19"/>
          <w:color w:val="1E1E1E"/>
        </w:rPr>
        <w:t>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55" w:lineRule="exact"/>
        <w:rPr>
          <w:sz w:val="20"/>
          <w:szCs w:val="20"/>
          <w:color w:val="auto"/>
        </w:rPr>
      </w:pPr>
    </w:p>
    <w:p>
      <w:pPr>
        <w:ind w:right="20" w:firstLine="600"/>
        <w:spacing w:after="0" w:line="254" w:lineRule="auto"/>
        <w:rPr>
          <w:sz w:val="20"/>
          <w:szCs w:val="20"/>
          <w:color w:val="auto"/>
        </w:rPr>
      </w:pPr>
      <w:r>
        <w:rPr>
          <w:rFonts w:ascii="Times New Roman" w:cs="Times New Roman" w:eastAsia="Times New Roman" w:hAnsi="Times New Roman"/>
          <w:sz w:val="19"/>
          <w:szCs w:val="19"/>
          <w:color w:val="1E1E1E"/>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377" w:lineRule="exact"/>
        <w:rPr>
          <w:sz w:val="20"/>
          <w:szCs w:val="20"/>
          <w:color w:val="auto"/>
        </w:rPr>
      </w:pPr>
    </w:p>
    <w:p>
      <w:pPr>
        <w:ind w:right="80" w:firstLine="600"/>
        <w:spacing w:after="0" w:line="260" w:lineRule="auto"/>
        <w:rPr>
          <w:sz w:val="20"/>
          <w:szCs w:val="20"/>
          <w:color w:val="auto"/>
        </w:rPr>
      </w:pPr>
      <w:r>
        <w:rPr>
          <w:rFonts w:ascii="Times New Roman" w:cs="Times New Roman" w:eastAsia="Times New Roman" w:hAnsi="Times New Roman"/>
          <w:sz w:val="19"/>
          <w:szCs w:val="19"/>
          <w:color w:val="1E1E1E"/>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Changes in tax laws may materially adversely affect our business, prospects, financial condition and operating results.</w:t>
      </w:r>
    </w:p>
    <w:p>
      <w:pPr>
        <w:spacing w:after="0" w:line="120" w:lineRule="exact"/>
        <w:rPr>
          <w:sz w:val="20"/>
          <w:szCs w:val="20"/>
          <w:color w:val="auto"/>
        </w:rPr>
      </w:pPr>
    </w:p>
    <w:p>
      <w:pPr>
        <w:ind w:right="60" w:firstLine="600"/>
        <w:spacing w:after="0" w:line="252" w:lineRule="auto"/>
        <w:rPr>
          <w:sz w:val="20"/>
          <w:szCs w:val="20"/>
          <w:color w:val="auto"/>
        </w:rPr>
      </w:pPr>
      <w:r>
        <w:rPr>
          <w:rFonts w:ascii="Times New Roman" w:cs="Times New Roman" w:eastAsia="Times New Roman" w:hAnsi="Times New Roman"/>
          <w:sz w:val="19"/>
          <w:szCs w:val="19"/>
          <w:color w:val="1E1E1E"/>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(“IRS”), with respect to the Tax Act may affect us, and certain aspects of the Tax Act could be repealed or modified in future legislation. The Coronavirus Aid, Relief, and Economic Security Act (“CARES Act”), has already modified certain provisions of the Tax Act. In addition, it is uncertain if and to what extent various states will conform to the Tax Act, the CARES Act or any newly enacted federal tax legislation.</w:t>
      </w:r>
    </w:p>
    <w:p>
      <w:pPr>
        <w:spacing w:after="0" w:line="15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9"/>
          <w:szCs w:val="19"/>
          <w:b w:val="1"/>
          <w:bCs w:val="1"/>
          <w:i w:val="1"/>
          <w:iCs w:val="1"/>
          <w:color w:val="1E1E1E"/>
        </w:rPr>
        <w:t>If we fail to maintain an effective system of disclosure controls and internal control over financial reporting, our ability to produce timely and accurate financial statements or comply with applicable regulations could be impaired.</w:t>
      </w:r>
    </w:p>
    <w:p>
      <w:pPr>
        <w:spacing w:after="0" w:line="37" w:lineRule="exact"/>
        <w:rPr>
          <w:sz w:val="20"/>
          <w:szCs w:val="20"/>
          <w:color w:val="auto"/>
        </w:rPr>
      </w:pPr>
    </w:p>
    <w:p>
      <w:pPr>
        <w:ind w:firstLine="600"/>
        <w:spacing w:after="0" w:line="254" w:lineRule="auto"/>
        <w:rPr>
          <w:sz w:val="20"/>
          <w:szCs w:val="20"/>
          <w:color w:val="auto"/>
        </w:rPr>
      </w:pPr>
      <w:r>
        <w:rPr>
          <w:rFonts w:ascii="Times New Roman" w:cs="Times New Roman" w:eastAsia="Times New Roman" w:hAnsi="Times New Roman"/>
          <w:sz w:val="19"/>
          <w:szCs w:val="19"/>
          <w:color w:val="1E1E1E"/>
        </w:rPr>
        <w:t>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In addition, pursuant to Section 404 of the Sarbanes Oxley-Act, we are required to perform system and process evaluation and testing of our internal control over financial</w:t>
      </w:r>
    </w:p>
    <w:p>
      <w:pPr>
        <w:sectPr>
          <w:pgSz w:w="11880" w:h="15480" w:orient="portrait"/>
          <w:cols w:equalWidth="0" w:num="1">
            <w:col w:w="10480"/>
          </w:cols>
          <w:pgMar w:left="700" w:top="953" w:right="700" w:bottom="215" w:gutter="0" w:footer="0" w:header="0"/>
        </w:sectPr>
      </w:pP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38</w:t>
      </w:r>
    </w:p>
    <w:p>
      <w:pPr>
        <w:sectPr>
          <w:pgSz w:w="11880" w:h="15480" w:orient="portrait"/>
          <w:cols w:equalWidth="0" w:num="1">
            <w:col w:w="10480"/>
          </w:cols>
          <w:pgMar w:left="700" w:top="953" w:right="700" w:bottom="215" w:gutter="0" w:footer="0" w:header="0"/>
          <w:type w:val="continuous"/>
        </w:sectPr>
      </w:pPr>
    </w:p>
    <w:bookmarkStart w:id="44" w:name="page45"/>
    <w:bookmarkEnd w:id="44"/>
    <w:p>
      <w:pPr>
        <w:ind w:right="160"/>
        <w:spacing w:after="0" w:line="267" w:lineRule="auto"/>
        <w:rPr>
          <w:sz w:val="20"/>
          <w:szCs w:val="20"/>
          <w:color w:val="auto"/>
        </w:rPr>
      </w:pPr>
      <w:r>
        <w:rPr>
          <w:rFonts w:ascii="Times New Roman" w:cs="Times New Roman" w:eastAsia="Times New Roman" w:hAnsi="Times New Roman"/>
          <w:sz w:val="19"/>
          <w:szCs w:val="19"/>
          <w:color w:val="1E1E1E"/>
        </w:rPr>
        <w:t>reporting to allow our management to furnish a report on, among other things, the effectiveness of our internal control over financial reporting for the fiscal year covered by this Annual Report, and we are also required to have our independent registered public accounting firm issue an opinion on the effectiveness of our internal control over financial reporting on an annual basis.</w:t>
      </w:r>
    </w:p>
    <w:p>
      <w:pPr>
        <w:spacing w:after="0" w:line="57" w:lineRule="exact"/>
        <w:rPr>
          <w:sz w:val="20"/>
          <w:szCs w:val="20"/>
          <w:color w:val="auto"/>
        </w:rPr>
      </w:pPr>
    </w:p>
    <w:p>
      <w:pPr>
        <w:ind w:firstLine="600"/>
        <w:spacing w:after="0" w:line="260" w:lineRule="auto"/>
        <w:rPr>
          <w:sz w:val="20"/>
          <w:szCs w:val="20"/>
          <w:color w:val="auto"/>
        </w:rPr>
      </w:pPr>
      <w:r>
        <w:rPr>
          <w:rFonts w:ascii="Times New Roman" w:cs="Times New Roman" w:eastAsia="Times New Roman" w:hAnsi="Times New Roman"/>
          <w:sz w:val="19"/>
          <w:szCs w:val="19"/>
          <w:color w:val="1E1E1E"/>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62" w:lineRule="exact"/>
        <w:rPr>
          <w:sz w:val="20"/>
          <w:szCs w:val="20"/>
          <w:color w:val="auto"/>
        </w:rPr>
      </w:pPr>
    </w:p>
    <w:p>
      <w:pPr>
        <w:ind w:right="80" w:firstLine="600"/>
        <w:spacing w:after="0" w:line="250" w:lineRule="auto"/>
        <w:rPr>
          <w:sz w:val="20"/>
          <w:szCs w:val="20"/>
          <w:color w:val="auto"/>
        </w:rPr>
      </w:pPr>
      <w:r>
        <w:rPr>
          <w:rFonts w:ascii="Times New Roman" w:cs="Times New Roman" w:eastAsia="Times New Roman" w:hAnsi="Times New Roman"/>
          <w:sz w:val="19"/>
          <w:szCs w:val="19"/>
          <w:color w:val="1E1E1E"/>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previously experienced a material weakness in our internal control over financial reporting related to our inability to design and operate effective process-level controls as of December 31, 2022 following our acquisition of Thomas. In light of the material weakness, we performed remediation actions during the year ended December 31, 2023, and management has concluded that our internal control over financial reporting was effective as of December 31, 2023. However, we cannot assure you that there will not be material weaknesses in our internal control over financial reporting in the future, and our testing, or the subsequent testing by our independent public accounting firm, may reveal deficiencies in our internal control over financial reporting that are deemed to be material weaknesses.</w:t>
      </w:r>
    </w:p>
    <w:p>
      <w:pPr>
        <w:spacing w:after="0" w:line="154" w:lineRule="exact"/>
        <w:rPr>
          <w:sz w:val="20"/>
          <w:szCs w:val="20"/>
          <w:color w:val="auto"/>
        </w:rPr>
      </w:pPr>
    </w:p>
    <w:p>
      <w:pPr>
        <w:ind w:right="60" w:firstLine="600"/>
        <w:spacing w:after="0" w:line="249" w:lineRule="auto"/>
        <w:rPr>
          <w:sz w:val="20"/>
          <w:szCs w:val="20"/>
          <w:color w:val="auto"/>
        </w:rPr>
      </w:pPr>
      <w:r>
        <w:rPr>
          <w:rFonts w:ascii="Times New Roman" w:cs="Times New Roman" w:eastAsia="Times New Roman" w:hAnsi="Times New Roman"/>
          <w:sz w:val="19"/>
          <w:szCs w:val="19"/>
          <w:color w:val="1E1E1E"/>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55" w:lineRule="exact"/>
        <w:rPr>
          <w:sz w:val="20"/>
          <w:szCs w:val="20"/>
          <w:color w:val="auto"/>
        </w:rPr>
      </w:pPr>
    </w:p>
    <w:p>
      <w:pPr>
        <w:ind w:right="160" w:firstLine="600"/>
        <w:spacing w:after="0" w:line="254" w:lineRule="auto"/>
        <w:rPr>
          <w:sz w:val="20"/>
          <w:szCs w:val="20"/>
          <w:color w:val="auto"/>
        </w:rPr>
      </w:pPr>
      <w:r>
        <w:rPr>
          <w:rFonts w:ascii="Times New Roman" w:cs="Times New Roman" w:eastAsia="Times New Roman" w:hAnsi="Times New Roman"/>
          <w:sz w:val="19"/>
          <w:szCs w:val="19"/>
          <w:color w:val="1E1E1E"/>
        </w:rPr>
        <w:t>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common shares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1B. Unresolved Staff Comments.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Not applicable.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1C. Cybersecurity.</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Risk Management and Strategy</w:t>
      </w:r>
    </w:p>
    <w:p>
      <w:pPr>
        <w:spacing w:after="0" w:line="124" w:lineRule="exact"/>
        <w:rPr>
          <w:sz w:val="20"/>
          <w:szCs w:val="20"/>
          <w:color w:val="auto"/>
        </w:rPr>
      </w:pPr>
    </w:p>
    <w:p>
      <w:pPr>
        <w:ind w:right="40" w:firstLine="600"/>
        <w:spacing w:after="0" w:line="260" w:lineRule="auto"/>
        <w:rPr>
          <w:sz w:val="20"/>
          <w:szCs w:val="20"/>
          <w:color w:val="auto"/>
        </w:rPr>
      </w:pPr>
      <w:r>
        <w:rPr>
          <w:rFonts w:ascii="Times New Roman" w:cs="Times New Roman" w:eastAsia="Times New Roman" w:hAnsi="Times New Roman"/>
          <w:sz w:val="19"/>
          <w:szCs w:val="19"/>
          <w:color w:val="1E1E1E"/>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customer’s confidential information (“Information Systems and Data”).</w:t>
      </w:r>
    </w:p>
    <w:p>
      <w:pPr>
        <w:spacing w:after="0" w:line="62" w:lineRule="exact"/>
        <w:rPr>
          <w:sz w:val="20"/>
          <w:szCs w:val="20"/>
          <w:color w:val="auto"/>
        </w:rPr>
      </w:pPr>
    </w:p>
    <w:p>
      <w:pPr>
        <w:ind w:right="80" w:firstLine="600"/>
        <w:spacing w:after="0" w:line="257" w:lineRule="auto"/>
        <w:rPr>
          <w:sz w:val="20"/>
          <w:szCs w:val="20"/>
          <w:color w:val="auto"/>
        </w:rPr>
      </w:pPr>
      <w:r>
        <w:rPr>
          <w:rFonts w:ascii="Times New Roman" w:cs="Times New Roman" w:eastAsia="Times New Roman" w:hAnsi="Times New Roman"/>
          <w:sz w:val="19"/>
          <w:szCs w:val="19"/>
          <w:color w:val="1E1E1E"/>
        </w:rPr>
        <w:t>Our information security function, which is led by our Chief Technology Officer (“CTO”), helps identify, assess, and manage our cybersecurity threats and risks. We identify and assess risks from cybersecurity threats by monitoring and evaluating our threat environment using various methods including using manual and automated tools, analyzing reports of threats and actors, evaluating our risk profile, conducting audits, conducting threat and vulnerability assessments, and performing tabletop incident response exercises.</w:t>
      </w:r>
    </w:p>
    <w:p>
      <w:pPr>
        <w:spacing w:after="0" w:line="296" w:lineRule="exact"/>
        <w:rPr>
          <w:sz w:val="20"/>
          <w:szCs w:val="20"/>
          <w:color w:val="auto"/>
        </w:rPr>
      </w:pPr>
    </w:p>
    <w:p>
      <w:pPr>
        <w:ind w:right="300" w:firstLine="600"/>
        <w:spacing w:after="0" w:line="256" w:lineRule="auto"/>
        <w:rPr>
          <w:sz w:val="20"/>
          <w:szCs w:val="20"/>
          <w:color w:val="auto"/>
        </w:rPr>
      </w:pPr>
      <w:r>
        <w:rPr>
          <w:rFonts w:ascii="Times New Roman" w:cs="Times New Roman" w:eastAsia="Times New Roman" w:hAnsi="Times New Roman"/>
          <w:sz w:val="19"/>
          <w:szCs w:val="19"/>
          <w:color w:val="1E1E1E"/>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incident detection and response, a vulnerability management policy, business continuity plans, risk assessments, encryption of certain data, access controls, employee training, penetration testing, cybersecurity insurance, systems monitoring and dedicated cybersecurity staff.</w:t>
      </w:r>
    </w:p>
    <w:p>
      <w:pPr>
        <w:sectPr>
          <w:pgSz w:w="11880" w:h="15480" w:orient="portrait"/>
          <w:cols w:equalWidth="0" w:num="1">
            <w:col w:w="10460"/>
          </w:cols>
          <w:pgMar w:left="700" w:top="957" w:right="720" w:bottom="215"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39</w:t>
      </w:r>
    </w:p>
    <w:p>
      <w:pPr>
        <w:sectPr>
          <w:pgSz w:w="11880" w:h="15480" w:orient="portrait"/>
          <w:cols w:equalWidth="0" w:num="1">
            <w:col w:w="10460"/>
          </w:cols>
          <w:pgMar w:left="700" w:top="957" w:right="720" w:bottom="215" w:gutter="0" w:footer="0" w:header="0"/>
          <w:type w:val="continuous"/>
        </w:sectPr>
      </w:pPr>
    </w:p>
    <w:bookmarkStart w:id="45" w:name="page46"/>
    <w:bookmarkEnd w:id="45"/>
    <w:p>
      <w:pPr>
        <w:jc w:val="both"/>
        <w:ind w:right="160" w:firstLine="600"/>
        <w:spacing w:after="0" w:line="267" w:lineRule="auto"/>
        <w:rPr>
          <w:sz w:val="20"/>
          <w:szCs w:val="20"/>
          <w:color w:val="auto"/>
        </w:rPr>
      </w:pPr>
      <w:r>
        <w:rPr>
          <w:rFonts w:ascii="Times New Roman" w:cs="Times New Roman" w:eastAsia="Times New Roman" w:hAnsi="Times New Roman"/>
          <w:sz w:val="19"/>
          <w:szCs w:val="19"/>
          <w:color w:val="1E1E1E"/>
        </w:rPr>
        <w:t>Our assessment and management of material risks from cybersecurity threats are integrated into our overall risk management processes. Certain information about our assessment and management of material risks from cybersecurity threats is included in risk management reports, as applicable, to senior leadership and the Audit Committee.</w:t>
      </w:r>
    </w:p>
    <w:p>
      <w:pPr>
        <w:spacing w:after="0" w:line="57" w:lineRule="exact"/>
        <w:rPr>
          <w:sz w:val="20"/>
          <w:szCs w:val="20"/>
          <w:color w:val="auto"/>
        </w:rPr>
      </w:pPr>
    </w:p>
    <w:p>
      <w:pPr>
        <w:ind w:right="200" w:firstLine="600"/>
        <w:spacing w:after="0" w:line="267" w:lineRule="auto"/>
        <w:rPr>
          <w:sz w:val="20"/>
          <w:szCs w:val="20"/>
          <w:color w:val="auto"/>
        </w:rPr>
      </w:pPr>
      <w:r>
        <w:rPr>
          <w:rFonts w:ascii="Times New Roman" w:cs="Times New Roman" w:eastAsia="Times New Roman" w:hAnsi="Times New Roman"/>
          <w:sz w:val="19"/>
          <w:szCs w:val="19"/>
          <w:color w:val="1E1E1E"/>
        </w:rPr>
        <w:t>We use third-party service providers to assist us from time to time to identify, assess, and manage material risks from cybersecurity threats, including for example, professional services firms, cybersecurity consultants and software providers, managed cybersecurity service providers, penetrating testing firms, and forensic investigators.</w:t>
      </w:r>
    </w:p>
    <w:p>
      <w:pPr>
        <w:spacing w:after="0" w:line="57" w:lineRule="exact"/>
        <w:rPr>
          <w:sz w:val="20"/>
          <w:szCs w:val="20"/>
          <w:color w:val="auto"/>
        </w:rPr>
      </w:pPr>
    </w:p>
    <w:p>
      <w:pPr>
        <w:ind w:right="160" w:firstLine="600"/>
        <w:spacing w:after="0" w:line="256" w:lineRule="auto"/>
        <w:rPr>
          <w:sz w:val="20"/>
          <w:szCs w:val="20"/>
          <w:color w:val="auto"/>
        </w:rPr>
      </w:pPr>
      <w:r>
        <w:rPr>
          <w:rFonts w:ascii="Times New Roman" w:cs="Times New Roman" w:eastAsia="Times New Roman" w:hAnsi="Times New Roman"/>
          <w:sz w:val="19"/>
          <w:szCs w:val="19"/>
          <w:color w:val="1E1E1E"/>
        </w:rPr>
        <w:t>We use third-party service providers to perform a variety of functions throughout our business, such as application providers, hosting companies, and third-party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(such as by reviewing certain vendor’s security assessments or reports) and impose contractual obligations related to cybersecurity on the provider.</w:t>
      </w:r>
    </w:p>
    <w:p>
      <w:pPr>
        <w:spacing w:after="0" w:line="67" w:lineRule="exact"/>
        <w:rPr>
          <w:sz w:val="20"/>
          <w:szCs w:val="20"/>
          <w:color w:val="auto"/>
        </w:rPr>
      </w:pPr>
    </w:p>
    <w:p>
      <w:pPr>
        <w:ind w:right="240" w:firstLine="600"/>
        <w:spacing w:after="0" w:line="256" w:lineRule="auto"/>
        <w:rPr>
          <w:sz w:val="20"/>
          <w:szCs w:val="20"/>
          <w:color w:val="auto"/>
        </w:rPr>
      </w:pPr>
      <w:r>
        <w:rPr>
          <w:rFonts w:ascii="Times New Roman" w:cs="Times New Roman" w:eastAsia="Times New Roman" w:hAnsi="Times New Roman"/>
          <w:sz w:val="19"/>
          <w:szCs w:val="19"/>
          <w:color w:val="1E1E1E"/>
        </w:rPr>
        <w:t xml:space="preserve">For a description of the risks from cybersecurity threats that may materially affect us and how they may do so, see our risk factors under Part 1. Item 1A. Risk Factors in this Annual Report on Form 10-K, including the risk factor titled </w:t>
      </w:r>
      <w:r>
        <w:rPr>
          <w:rFonts w:ascii="Times New Roman" w:cs="Times New Roman" w:eastAsia="Times New Roman" w:hAnsi="Times New Roman"/>
          <w:sz w:val="19"/>
          <w:szCs w:val="19"/>
          <w:b w:val="1"/>
          <w:bCs w:val="1"/>
          <w:i w:val="1"/>
          <w:iCs w:val="1"/>
          <w:color w:val="1E1E1E"/>
        </w:rPr>
        <w:t>“If our information</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b w:val="1"/>
          <w:bCs w:val="1"/>
          <w:i w:val="1"/>
          <w:iCs w:val="1"/>
          <w:color w:val="1E1E1E"/>
        </w:rPr>
        <w:t>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Governance</w:t>
      </w:r>
    </w:p>
    <w:p>
      <w:pPr>
        <w:spacing w:after="0" w:line="124" w:lineRule="exact"/>
        <w:rPr>
          <w:sz w:val="20"/>
          <w:szCs w:val="20"/>
          <w:color w:val="auto"/>
        </w:rPr>
      </w:pPr>
    </w:p>
    <w:p>
      <w:pPr>
        <w:ind w:right="220" w:firstLine="600"/>
        <w:spacing w:after="0" w:line="267" w:lineRule="auto"/>
        <w:rPr>
          <w:sz w:val="20"/>
          <w:szCs w:val="20"/>
          <w:color w:val="auto"/>
        </w:rPr>
      </w:pPr>
      <w:r>
        <w:rPr>
          <w:rFonts w:ascii="Times New Roman" w:cs="Times New Roman" w:eastAsia="Times New Roman" w:hAnsi="Times New Roman"/>
          <w:sz w:val="19"/>
          <w:szCs w:val="19"/>
          <w:color w:val="1E1E1E"/>
        </w:rPr>
        <w:t>Our board of directors addresses our cybersecurity risk management as part of its general oversight function. The Audit Committee of our board of directors is responsible for overseeing our cybersecurity risk management processes, including oversight and mitigation of risks from cybersecurity threats.</w:t>
      </w:r>
    </w:p>
    <w:p>
      <w:pPr>
        <w:spacing w:after="0" w:line="57" w:lineRule="exact"/>
        <w:rPr>
          <w:sz w:val="20"/>
          <w:szCs w:val="20"/>
          <w:color w:val="auto"/>
        </w:rPr>
      </w:pPr>
    </w:p>
    <w:p>
      <w:pPr>
        <w:ind w:right="40" w:firstLine="600"/>
        <w:spacing w:after="0" w:line="256" w:lineRule="auto"/>
        <w:rPr>
          <w:sz w:val="20"/>
          <w:szCs w:val="20"/>
          <w:color w:val="auto"/>
        </w:rPr>
      </w:pPr>
      <w:r>
        <w:rPr>
          <w:rFonts w:ascii="Times New Roman" w:cs="Times New Roman" w:eastAsia="Times New Roman" w:hAnsi="Times New Roman"/>
          <w:sz w:val="19"/>
          <w:szCs w:val="19"/>
          <w:color w:val="1E1E1E"/>
        </w:rPr>
        <w:t>Our cybersecurity risk assessment and management processes are implemented and maintained by certain members of management, including (i) our CTO, Mr. Leibel, who has previously served as the Senior Director of Engineering at various large technology companies and holds a Master of Information Technology degree from Virginia Tech; and (ii) our Vice President of Information Technology and Security, Mr. Brendan Hamilton, who has previously worked as a Vice President at an international bank with supervisory responsibility for cybersecurity issues and is a Certified Information Systems Security Professional.</w:t>
      </w:r>
    </w:p>
    <w:p>
      <w:pPr>
        <w:spacing w:after="0" w:line="67" w:lineRule="exact"/>
        <w:rPr>
          <w:sz w:val="20"/>
          <w:szCs w:val="20"/>
          <w:color w:val="auto"/>
        </w:rPr>
      </w:pPr>
    </w:p>
    <w:p>
      <w:pPr>
        <w:ind w:right="140" w:firstLine="600"/>
        <w:spacing w:after="0" w:line="260" w:lineRule="auto"/>
        <w:rPr>
          <w:sz w:val="20"/>
          <w:szCs w:val="20"/>
          <w:color w:val="auto"/>
        </w:rPr>
      </w:pPr>
      <w:r>
        <w:rPr>
          <w:rFonts w:ascii="Times New Roman" w:cs="Times New Roman" w:eastAsia="Times New Roman" w:hAnsi="Times New Roman"/>
          <w:sz w:val="19"/>
          <w:szCs w:val="19"/>
          <w:color w:val="1E1E1E"/>
        </w:rPr>
        <w:t>Our Chief People Officer, CTO and recruiting personnel are responsible for hiring appropriate personnel, helping to integrate cybersecurity risk considerations into our overall risk management strategy, and communicating key priorities to relevant personnel. Our management, including our CTO and Chief Financial Officer, is responsible for approving budgets, helping prepare for cybersecurity incidents, approving cybersecurity processes, and reviewing security assessments and other security-related reports.</w:t>
      </w:r>
    </w:p>
    <w:p>
      <w:pPr>
        <w:spacing w:after="0" w:line="62" w:lineRule="exact"/>
        <w:rPr>
          <w:sz w:val="20"/>
          <w:szCs w:val="20"/>
          <w:color w:val="auto"/>
        </w:rPr>
      </w:pPr>
    </w:p>
    <w:p>
      <w:pPr>
        <w:ind w:firstLine="600"/>
        <w:spacing w:after="0" w:line="256" w:lineRule="auto"/>
        <w:rPr>
          <w:sz w:val="20"/>
          <w:szCs w:val="20"/>
          <w:color w:val="auto"/>
        </w:rPr>
      </w:pPr>
      <w:r>
        <w:rPr>
          <w:rFonts w:ascii="Times New Roman" w:cs="Times New Roman" w:eastAsia="Times New Roman" w:hAnsi="Times New Roman"/>
          <w:sz w:val="19"/>
          <w:szCs w:val="19"/>
          <w:color w:val="1E1E1E"/>
        </w:rPr>
        <w:t>Our cybersecurity incident response processes are designed to escalate certain cybersecurity incidents to members of management depending on the circumstances, including our Chief Executive Officer, CTO, Chief Financial Officer, and General Counsel, who works with our incident response team to help mitigate and remediate cybersecurity incidents of which they are notified. In addition, our incident response processes include reporting to the Audit Committee of the board of directors for certain cybersecurity incidents.</w:t>
      </w:r>
    </w:p>
    <w:p>
      <w:pPr>
        <w:spacing w:after="0" w:line="67" w:lineRule="exact"/>
        <w:rPr>
          <w:sz w:val="20"/>
          <w:szCs w:val="20"/>
          <w:color w:val="auto"/>
        </w:rPr>
      </w:pPr>
    </w:p>
    <w:p>
      <w:pPr>
        <w:ind w:right="40" w:firstLine="600"/>
        <w:spacing w:after="0" w:line="260" w:lineRule="auto"/>
        <w:rPr>
          <w:sz w:val="20"/>
          <w:szCs w:val="20"/>
          <w:color w:val="auto"/>
        </w:rPr>
      </w:pPr>
      <w:r>
        <w:rPr>
          <w:rFonts w:ascii="Times New Roman" w:cs="Times New Roman" w:eastAsia="Times New Roman" w:hAnsi="Times New Roman"/>
          <w:sz w:val="19"/>
          <w:szCs w:val="19"/>
          <w:color w:val="1E1E1E"/>
        </w:rPr>
        <w:t>The Audit Committee receives periodic reports from the CTO concerning our significant cybersecurity threats and risk and the processes we have implemented to address them. Our board of directors receives such reports periodically from the Audit Committee and from our CTO. The board of directors also receive various reports, summaries or presentations related to cybersecurity threats, risk, and mitigation.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2. Properties.</w:t>
      </w:r>
    </w:p>
    <w:p>
      <w:pPr>
        <w:spacing w:after="0" w:line="124" w:lineRule="exact"/>
        <w:rPr>
          <w:sz w:val="20"/>
          <w:szCs w:val="20"/>
          <w:color w:val="auto"/>
        </w:rPr>
      </w:pPr>
    </w:p>
    <w:p>
      <w:pPr>
        <w:jc w:val="both"/>
        <w:ind w:right="20" w:firstLine="600"/>
        <w:spacing w:after="0" w:line="253" w:lineRule="auto"/>
        <w:rPr>
          <w:sz w:val="20"/>
          <w:szCs w:val="20"/>
          <w:color w:val="auto"/>
        </w:rPr>
      </w:pPr>
      <w:r>
        <w:rPr>
          <w:rFonts w:ascii="Times New Roman" w:cs="Times New Roman" w:eastAsia="Times New Roman" w:hAnsi="Times New Roman"/>
          <w:sz w:val="19"/>
          <w:szCs w:val="19"/>
          <w:color w:val="1E1E1E"/>
        </w:rPr>
        <w:t>We believe that our facilities are well maintained and are generally suitable to meet our needs. All of our offices are leased and we do not own any real property. Our operating leases range in expiration from 2024 to 2029. We have leased offices and/or facilities in the following locations: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680" w:type="dxa"/>
            <w:vAlign w:val="bottom"/>
            <w:tcBorders>
              <w:bottom w:val="single" w:sz="8" w:color="1E1E1E"/>
            </w:tcBorders>
          </w:tcPr>
          <w:p>
            <w:pPr>
              <w:spacing w:after="0"/>
              <w:rPr>
                <w:sz w:val="21"/>
                <w:szCs w:val="21"/>
                <w:color w:val="auto"/>
              </w:rPr>
            </w:pPr>
          </w:p>
        </w:tc>
        <w:tc>
          <w:tcPr>
            <w:tcW w:w="5880" w:type="dxa"/>
            <w:vAlign w:val="bottom"/>
            <w:tcBorders>
              <w:bottom w:val="single" w:sz="8" w:color="1E1E1E"/>
            </w:tcBorders>
          </w:tcPr>
          <w:p>
            <w:pPr>
              <w:jc w:val="right"/>
              <w:ind w:right="3803"/>
              <w:spacing w:after="0"/>
              <w:rPr>
                <w:sz w:val="20"/>
                <w:szCs w:val="20"/>
                <w:color w:val="auto"/>
              </w:rPr>
            </w:pPr>
            <w:r>
              <w:rPr>
                <w:rFonts w:ascii="Times New Roman" w:cs="Times New Roman" w:eastAsia="Times New Roman" w:hAnsi="Times New Roman"/>
                <w:sz w:val="19"/>
                <w:szCs w:val="19"/>
                <w:color w:val="1E1E1E"/>
              </w:rPr>
              <w:t>U.S. Operating Leases</w:t>
            </w:r>
          </w:p>
        </w:tc>
        <w:tc>
          <w:tcPr>
            <w:tcW w:w="920" w:type="dxa"/>
            <w:vAlign w:val="bottom"/>
            <w:tcBorders>
              <w:bottom w:val="single" w:sz="8" w:color="1E1E1E"/>
            </w:tcBorders>
          </w:tcPr>
          <w:p>
            <w:pPr>
              <w:spacing w:after="0"/>
              <w:rPr>
                <w:sz w:val="21"/>
                <w:szCs w:val="21"/>
                <w:color w:val="auto"/>
              </w:rPr>
            </w:pPr>
          </w:p>
        </w:tc>
      </w:tr>
      <w:tr>
        <w:trPr>
          <w:trHeight w:val="213"/>
        </w:trPr>
        <w:tc>
          <w:tcPr>
            <w:tcW w:w="3680" w:type="dxa"/>
            <w:vAlign w:val="bottom"/>
            <w:tcBorders>
              <w:bottom w:val="single" w:sz="8" w:color="1E1E1E"/>
            </w:tcBorders>
          </w:tcPr>
          <w:p>
            <w:pPr>
              <w:ind w:left="2640"/>
              <w:spacing w:after="0" w:line="213" w:lineRule="exact"/>
              <w:rPr>
                <w:sz w:val="20"/>
                <w:szCs w:val="20"/>
                <w:color w:val="auto"/>
              </w:rPr>
            </w:pPr>
            <w:r>
              <w:rPr>
                <w:rFonts w:ascii="Times New Roman" w:cs="Times New Roman" w:eastAsia="Times New Roman" w:hAnsi="Times New Roman"/>
                <w:sz w:val="19"/>
                <w:szCs w:val="19"/>
                <w:color w:val="1E1E1E"/>
              </w:rPr>
              <w:t>City, State</w:t>
            </w:r>
          </w:p>
        </w:tc>
        <w:tc>
          <w:tcPr>
            <w:tcW w:w="5880" w:type="dxa"/>
            <w:vAlign w:val="bottom"/>
            <w:tcBorders>
              <w:bottom w:val="single" w:sz="8" w:color="1E1E1E"/>
            </w:tcBorders>
          </w:tcPr>
          <w:p>
            <w:pPr>
              <w:jc w:val="right"/>
              <w:ind w:right="563"/>
              <w:spacing w:after="0" w:line="213" w:lineRule="exact"/>
              <w:rPr>
                <w:sz w:val="20"/>
                <w:szCs w:val="20"/>
                <w:color w:val="auto"/>
              </w:rPr>
            </w:pPr>
            <w:r>
              <w:rPr>
                <w:rFonts w:ascii="Times New Roman" w:cs="Times New Roman" w:eastAsia="Times New Roman" w:hAnsi="Times New Roman"/>
                <w:sz w:val="19"/>
                <w:szCs w:val="19"/>
                <w:color w:val="1E1E1E"/>
              </w:rPr>
              <w:t>Square Footage</w:t>
            </w:r>
          </w:p>
        </w:tc>
        <w:tc>
          <w:tcPr>
            <w:tcW w:w="920" w:type="dxa"/>
            <w:vAlign w:val="bottom"/>
            <w:tcBorders>
              <w:bottom w:val="single" w:sz="8" w:color="1E1E1E"/>
            </w:tcBorders>
          </w:tcPr>
          <w:p>
            <w:pPr>
              <w:spacing w:after="0"/>
              <w:rPr>
                <w:sz w:val="18"/>
                <w:szCs w:val="18"/>
                <w:color w:val="auto"/>
              </w:rPr>
            </w:pPr>
          </w:p>
        </w:tc>
      </w:tr>
      <w:tr>
        <w:trPr>
          <w:trHeight w:val="213"/>
        </w:trPr>
        <w:tc>
          <w:tcPr>
            <w:tcW w:w="36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North Bethesda, MD</w:t>
            </w:r>
          </w:p>
        </w:tc>
        <w:tc>
          <w:tcPr>
            <w:tcW w:w="588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28,068</w:t>
            </w:r>
          </w:p>
        </w:tc>
        <w:tc>
          <w:tcPr>
            <w:tcW w:w="920" w:type="dxa"/>
            <w:vAlign w:val="bottom"/>
            <w:shd w:val="clear" w:color="auto" w:fill="E4E4E4"/>
          </w:tcPr>
          <w:p>
            <w:pPr>
              <w:spacing w:after="0"/>
              <w:rPr>
                <w:sz w:val="18"/>
                <w:szCs w:val="18"/>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1E1E1E"/>
              </w:rPr>
              <w:t>New York, NY</w:t>
            </w:r>
          </w:p>
        </w:tc>
        <w:tc>
          <w:tcPr>
            <w:tcW w:w="5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93,072</w:t>
            </w:r>
          </w:p>
        </w:tc>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1E1E1E"/>
              </w:rPr>
              <w:t>(1)(3)</w:t>
            </w:r>
          </w:p>
        </w:tc>
      </w:tr>
      <w:tr>
        <w:trPr>
          <w:trHeight w:val="223"/>
        </w:trPr>
        <w:tc>
          <w:tcPr>
            <w:tcW w:w="3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Horsham, PA</w:t>
            </w:r>
          </w:p>
        </w:tc>
        <w:tc>
          <w:tcPr>
            <w:tcW w:w="5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24,377</w:t>
            </w:r>
          </w:p>
        </w:tc>
        <w:tc>
          <w:tcPr>
            <w:tcW w:w="920" w:type="dxa"/>
            <w:vAlign w:val="bottom"/>
            <w:shd w:val="clear" w:color="auto" w:fill="E4E4E4"/>
          </w:tcPr>
          <w:p>
            <w:pPr>
              <w:ind w:left="140"/>
              <w:spacing w:after="0"/>
              <w:rPr>
                <w:sz w:val="20"/>
                <w:szCs w:val="20"/>
                <w:color w:val="auto"/>
              </w:rPr>
            </w:pPr>
            <w:r>
              <w:rPr>
                <w:rFonts w:ascii="Times New Roman" w:cs="Times New Roman" w:eastAsia="Times New Roman" w:hAnsi="Times New Roman"/>
                <w:sz w:val="13"/>
                <w:szCs w:val="13"/>
                <w:color w:val="1E1E1E"/>
              </w:rPr>
              <w:t>(3)</w:t>
            </w: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1E1E1E"/>
              </w:rPr>
              <w:t>Gaithersburg, MD</w:t>
            </w:r>
          </w:p>
        </w:tc>
        <w:tc>
          <w:tcPr>
            <w:tcW w:w="5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21,529</w:t>
            </w:r>
          </w:p>
        </w:tc>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1E1E1E"/>
              </w:rPr>
              <w:t>(3)</w:t>
            </w:r>
          </w:p>
        </w:tc>
      </w:tr>
      <w:tr>
        <w:trPr>
          <w:trHeight w:val="223"/>
        </w:trPr>
        <w:tc>
          <w:tcPr>
            <w:tcW w:w="3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Lexington, KY</w:t>
            </w:r>
          </w:p>
        </w:tc>
        <w:tc>
          <w:tcPr>
            <w:tcW w:w="5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10,109</w:t>
            </w:r>
          </w:p>
        </w:tc>
        <w:tc>
          <w:tcPr>
            <w:tcW w:w="920" w:type="dxa"/>
            <w:vAlign w:val="bottom"/>
            <w:shd w:val="clear" w:color="auto" w:fill="E4E4E4"/>
          </w:tcPr>
          <w:p>
            <w:pPr>
              <w:spacing w:after="0"/>
              <w:rPr>
                <w:sz w:val="19"/>
                <w:szCs w:val="19"/>
                <w:color w:val="auto"/>
              </w:rPr>
            </w:pP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1E1E1E"/>
              </w:rPr>
              <w:t>Bethesda, MD</w:t>
            </w:r>
          </w:p>
        </w:tc>
        <w:tc>
          <w:tcPr>
            <w:tcW w:w="5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6,781</w:t>
            </w:r>
          </w:p>
        </w:tc>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1E1E1E"/>
              </w:rPr>
              <w:t>(2)</w:t>
            </w:r>
          </w:p>
        </w:tc>
      </w:tr>
      <w:tr>
        <w:trPr>
          <w:trHeight w:val="223"/>
        </w:trPr>
        <w:tc>
          <w:tcPr>
            <w:tcW w:w="3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Doraville, GA</w:t>
            </w:r>
          </w:p>
        </w:tc>
        <w:tc>
          <w:tcPr>
            <w:tcW w:w="5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5,975</w:t>
            </w:r>
          </w:p>
        </w:tc>
        <w:tc>
          <w:tcPr>
            <w:tcW w:w="920" w:type="dxa"/>
            <w:vAlign w:val="bottom"/>
            <w:shd w:val="clear" w:color="auto" w:fill="E4E4E4"/>
          </w:tcPr>
          <w:p>
            <w:pPr>
              <w:ind w:left="140"/>
              <w:spacing w:after="0"/>
              <w:rPr>
                <w:sz w:val="20"/>
                <w:szCs w:val="20"/>
                <w:color w:val="auto"/>
              </w:rPr>
            </w:pPr>
            <w:r>
              <w:rPr>
                <w:rFonts w:ascii="Times New Roman" w:cs="Times New Roman" w:eastAsia="Times New Roman" w:hAnsi="Times New Roman"/>
                <w:sz w:val="13"/>
                <w:szCs w:val="13"/>
                <w:color w:val="1E1E1E"/>
              </w:rPr>
              <w:t>(3)</w:t>
            </w:r>
          </w:p>
        </w:tc>
      </w:tr>
      <w:tr>
        <w:trPr>
          <w:trHeight w:val="260"/>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1E1E1E"/>
              </w:rPr>
              <w:t>Culver City, CA</w:t>
            </w:r>
          </w:p>
        </w:tc>
        <w:tc>
          <w:tcPr>
            <w:tcW w:w="5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5,838</w:t>
            </w:r>
          </w:p>
        </w:tc>
        <w:tc>
          <w:tcPr>
            <w:tcW w:w="920" w:type="dxa"/>
            <w:vAlign w:val="bottom"/>
          </w:tcPr>
          <w:p>
            <w:pPr>
              <w:ind w:left="140"/>
              <w:spacing w:after="0"/>
              <w:rPr>
                <w:sz w:val="20"/>
                <w:szCs w:val="20"/>
                <w:color w:val="auto"/>
              </w:rPr>
            </w:pPr>
            <w:r>
              <w:rPr>
                <w:rFonts w:ascii="Times New Roman" w:cs="Times New Roman" w:eastAsia="Times New Roman" w:hAnsi="Times New Roman"/>
                <w:sz w:val="13"/>
                <w:szCs w:val="13"/>
                <w:color w:val="1E1E1E"/>
              </w:rPr>
              <w:t>(3)</w:t>
            </w:r>
          </w:p>
        </w:tc>
      </w:tr>
    </w:tbl>
    <w:p>
      <w:pPr>
        <w:spacing w:after="0" w:line="200" w:lineRule="exact"/>
        <w:rPr>
          <w:sz w:val="20"/>
          <w:szCs w:val="20"/>
          <w:color w:val="auto"/>
        </w:rPr>
      </w:pPr>
    </w:p>
    <w:p>
      <w:pPr>
        <w:sectPr>
          <w:pgSz w:w="11880" w:h="15480" w:orient="portrait"/>
          <w:cols w:equalWidth="0" w:num="1">
            <w:col w:w="10480"/>
          </w:cols>
          <w:pgMar w:left="700" w:top="957" w:right="700" w:bottom="215"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40</w:t>
      </w:r>
    </w:p>
    <w:p>
      <w:pPr>
        <w:sectPr>
          <w:pgSz w:w="11880" w:h="15480" w:orient="portrait"/>
          <w:cols w:equalWidth="0" w:num="1">
            <w:col w:w="10480"/>
          </w:cols>
          <w:pgMar w:left="700" w:top="957" w:right="700" w:bottom="215"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44"/>
        </w:trPr>
        <w:tc>
          <w:tcPr>
            <w:tcW w:w="3580" w:type="dxa"/>
            <w:vAlign w:val="bottom"/>
            <w:tcBorders>
              <w:bottom w:val="single" w:sz="8" w:color="1E1E1E"/>
            </w:tcBorders>
          </w:tcPr>
          <w:p>
            <w:pPr>
              <w:spacing w:after="0"/>
              <w:rPr>
                <w:sz w:val="21"/>
                <w:szCs w:val="21"/>
                <w:color w:val="auto"/>
              </w:rPr>
            </w:pPr>
          </w:p>
        </w:tc>
        <w:tc>
          <w:tcPr>
            <w:tcW w:w="5980" w:type="dxa"/>
            <w:vAlign w:val="bottom"/>
            <w:tcBorders>
              <w:bottom w:val="single" w:sz="8" w:color="1E1E1E"/>
            </w:tcBorders>
          </w:tcPr>
          <w:p>
            <w:pPr>
              <w:jc w:val="right"/>
              <w:ind w:right="3483"/>
              <w:spacing w:after="0"/>
              <w:rPr>
                <w:sz w:val="20"/>
                <w:szCs w:val="20"/>
                <w:color w:val="auto"/>
              </w:rPr>
            </w:pPr>
            <w:r>
              <w:rPr>
                <w:rFonts w:ascii="Times New Roman" w:cs="Times New Roman" w:eastAsia="Times New Roman" w:hAnsi="Times New Roman"/>
                <w:sz w:val="19"/>
                <w:szCs w:val="19"/>
                <w:color w:val="1E1E1E"/>
              </w:rPr>
              <w:t>International Operating Leases</w:t>
            </w:r>
          </w:p>
        </w:tc>
        <w:tc>
          <w:tcPr>
            <w:tcW w:w="100" w:type="dxa"/>
            <w:vAlign w:val="bottom"/>
            <w:tcBorders>
              <w:bottom w:val="single" w:sz="8" w:color="1E1E1E"/>
            </w:tcBorders>
          </w:tcPr>
          <w:p>
            <w:pPr>
              <w:spacing w:after="0"/>
              <w:rPr>
                <w:sz w:val="21"/>
                <w:szCs w:val="21"/>
                <w:color w:val="auto"/>
              </w:rPr>
            </w:pPr>
          </w:p>
        </w:tc>
        <w:tc>
          <w:tcPr>
            <w:tcW w:w="820" w:type="dxa"/>
            <w:vAlign w:val="bottom"/>
            <w:tcBorders>
              <w:bottom w:val="single" w:sz="8" w:color="1E1E1E"/>
            </w:tcBorders>
          </w:tcPr>
          <w:p>
            <w:pPr>
              <w:spacing w:after="0"/>
              <w:rPr>
                <w:sz w:val="21"/>
                <w:szCs w:val="21"/>
                <w:color w:val="auto"/>
              </w:rPr>
            </w:pPr>
          </w:p>
        </w:tc>
      </w:tr>
      <w:tr>
        <w:trPr>
          <w:trHeight w:val="213"/>
        </w:trPr>
        <w:tc>
          <w:tcPr>
            <w:tcW w:w="3580" w:type="dxa"/>
            <w:vAlign w:val="bottom"/>
            <w:tcBorders>
              <w:bottom w:val="single" w:sz="8" w:color="1E1E1E"/>
            </w:tcBorders>
          </w:tcPr>
          <w:p>
            <w:pPr>
              <w:ind w:left="2520"/>
              <w:spacing w:after="0" w:line="213" w:lineRule="exact"/>
              <w:rPr>
                <w:sz w:val="20"/>
                <w:szCs w:val="20"/>
                <w:color w:val="auto"/>
              </w:rPr>
            </w:pPr>
            <w:r>
              <w:rPr>
                <w:rFonts w:ascii="Times New Roman" w:cs="Times New Roman" w:eastAsia="Times New Roman" w:hAnsi="Times New Roman"/>
                <w:sz w:val="19"/>
                <w:szCs w:val="19"/>
                <w:color w:val="1E1E1E"/>
                <w:w w:val="99"/>
              </w:rPr>
              <w:t>City, Country</w:t>
            </w:r>
          </w:p>
        </w:tc>
        <w:tc>
          <w:tcPr>
            <w:tcW w:w="5980" w:type="dxa"/>
            <w:vAlign w:val="bottom"/>
            <w:tcBorders>
              <w:bottom w:val="single" w:sz="8" w:color="1E1E1E"/>
            </w:tcBorders>
          </w:tcPr>
          <w:p>
            <w:pPr>
              <w:jc w:val="right"/>
              <w:ind w:right="563"/>
              <w:spacing w:after="0" w:line="213" w:lineRule="exact"/>
              <w:rPr>
                <w:sz w:val="20"/>
                <w:szCs w:val="20"/>
                <w:color w:val="auto"/>
              </w:rPr>
            </w:pPr>
            <w:r>
              <w:rPr>
                <w:rFonts w:ascii="Times New Roman" w:cs="Times New Roman" w:eastAsia="Times New Roman" w:hAnsi="Times New Roman"/>
                <w:sz w:val="19"/>
                <w:szCs w:val="19"/>
                <w:color w:val="1E1E1E"/>
              </w:rPr>
              <w:t>Square Footage</w:t>
            </w:r>
          </w:p>
        </w:tc>
        <w:tc>
          <w:tcPr>
            <w:tcW w:w="10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r>
      <w:tr>
        <w:trPr>
          <w:trHeight w:val="213"/>
        </w:trPr>
        <w:tc>
          <w:tcPr>
            <w:tcW w:w="35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Ottobrunn, Germany</w:t>
            </w:r>
          </w:p>
        </w:tc>
        <w:tc>
          <w:tcPr>
            <w:tcW w:w="598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21,129</w:t>
            </w:r>
          </w:p>
        </w:tc>
        <w:tc>
          <w:tcPr>
            <w:tcW w:w="100" w:type="dxa"/>
            <w:vAlign w:val="bottom"/>
            <w:shd w:val="clear" w:color="auto" w:fill="E4E4E4"/>
          </w:tcPr>
          <w:p>
            <w:pPr>
              <w:spacing w:after="0"/>
              <w:rPr>
                <w:sz w:val="18"/>
                <w:szCs w:val="18"/>
                <w:color w:val="auto"/>
              </w:rPr>
            </w:pPr>
          </w:p>
        </w:tc>
        <w:tc>
          <w:tcPr>
            <w:tcW w:w="820" w:type="dxa"/>
            <w:vAlign w:val="bottom"/>
            <w:tcBorders>
              <w:bottom w:val="single" w:sz="8" w:color="E4E4E4"/>
            </w:tcBorders>
            <w:shd w:val="clear" w:color="auto" w:fill="E4E4E4"/>
          </w:tcPr>
          <w:p>
            <w:pPr>
              <w:spacing w:after="0"/>
              <w:rPr>
                <w:sz w:val="18"/>
                <w:szCs w:val="18"/>
                <w:color w:val="auto"/>
              </w:rPr>
            </w:pPr>
          </w:p>
        </w:tc>
      </w:tr>
      <w:tr>
        <w:trPr>
          <w:trHeight w:val="203"/>
        </w:trPr>
        <w:tc>
          <w:tcPr>
            <w:tcW w:w="3580" w:type="dxa"/>
            <w:vAlign w:val="bottom"/>
          </w:tcPr>
          <w:p>
            <w:pPr>
              <w:spacing w:after="0" w:line="204" w:lineRule="exact"/>
              <w:rPr>
                <w:sz w:val="20"/>
                <w:szCs w:val="20"/>
                <w:color w:val="auto"/>
              </w:rPr>
            </w:pPr>
            <w:r>
              <w:rPr>
                <w:rFonts w:ascii="Times New Roman" w:cs="Times New Roman" w:eastAsia="Times New Roman" w:hAnsi="Times New Roman"/>
                <w:sz w:val="19"/>
                <w:szCs w:val="19"/>
                <w:color w:val="1E1E1E"/>
              </w:rPr>
              <w:t>Istanbul, Turkey</w:t>
            </w:r>
          </w:p>
        </w:tc>
        <w:tc>
          <w:tcPr>
            <w:tcW w:w="598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color w:val="1E1E1E"/>
              </w:rPr>
              <w:t>11,840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3"/>
        </w:trPr>
        <w:tc>
          <w:tcPr>
            <w:tcW w:w="35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Chelmsford, England</w:t>
            </w:r>
          </w:p>
        </w:tc>
        <w:tc>
          <w:tcPr>
            <w:tcW w:w="5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3,304</w:t>
            </w: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r>
      <w:tr>
        <w:trPr>
          <w:trHeight w:val="223"/>
        </w:trPr>
        <w:tc>
          <w:tcPr>
            <w:tcW w:w="3580" w:type="dxa"/>
            <w:vAlign w:val="bottom"/>
          </w:tcPr>
          <w:p>
            <w:pPr>
              <w:spacing w:after="0"/>
              <w:rPr>
                <w:sz w:val="20"/>
                <w:szCs w:val="20"/>
                <w:color w:val="auto"/>
              </w:rPr>
            </w:pPr>
            <w:r>
              <w:rPr>
                <w:rFonts w:ascii="Times New Roman" w:cs="Times New Roman" w:eastAsia="Times New Roman" w:hAnsi="Times New Roman"/>
                <w:sz w:val="19"/>
                <w:szCs w:val="19"/>
                <w:color w:val="1E1E1E"/>
              </w:rPr>
              <w:t>Lyon, France</w:t>
            </w:r>
          </w:p>
        </w:tc>
        <w:tc>
          <w:tcPr>
            <w:tcW w:w="5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1,172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5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Shenzhen, China</w:t>
            </w:r>
          </w:p>
        </w:tc>
        <w:tc>
          <w:tcPr>
            <w:tcW w:w="59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3,983</w:t>
            </w:r>
          </w:p>
        </w:tc>
        <w:tc>
          <w:tcPr>
            <w:tcW w:w="10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r>
      <w:tr>
        <w:trPr>
          <w:trHeight w:val="260"/>
        </w:trPr>
        <w:tc>
          <w:tcPr>
            <w:tcW w:w="3580" w:type="dxa"/>
            <w:vAlign w:val="bottom"/>
          </w:tcPr>
          <w:p>
            <w:pPr>
              <w:spacing w:after="0"/>
              <w:rPr>
                <w:sz w:val="20"/>
                <w:szCs w:val="20"/>
                <w:color w:val="auto"/>
              </w:rPr>
            </w:pPr>
            <w:r>
              <w:rPr>
                <w:rFonts w:ascii="Times New Roman" w:cs="Times New Roman" w:eastAsia="Times New Roman" w:hAnsi="Times New Roman"/>
                <w:sz w:val="19"/>
                <w:szCs w:val="19"/>
                <w:color w:val="1E1E1E"/>
              </w:rPr>
              <w:t>Shanghai, China</w:t>
            </w:r>
          </w:p>
        </w:tc>
        <w:tc>
          <w:tcPr>
            <w:tcW w:w="59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760</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61" w:lineRule="exact"/>
        <w:rPr>
          <w:sz w:val="20"/>
          <w:szCs w:val="20"/>
          <w:color w:val="auto"/>
        </w:rPr>
      </w:pPr>
    </w:p>
    <w:p>
      <w:pPr>
        <w:ind w:left="240" w:hanging="239"/>
        <w:spacing w:after="0"/>
        <w:tabs>
          <w:tab w:leader="none" w:pos="240" w:val="left"/>
        </w:tabs>
        <w:numPr>
          <w:ilvl w:val="0"/>
          <w:numId w:val="27"/>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50,478 square feet of this office has been sublet.</w:t>
      </w:r>
    </w:p>
    <w:p>
      <w:pPr>
        <w:spacing w:after="0" w:line="5" w:lineRule="exact"/>
        <w:rPr>
          <w:rFonts w:ascii="Times New Roman" w:cs="Times New Roman" w:eastAsia="Times New Roman" w:hAnsi="Times New Roman"/>
          <w:sz w:val="17"/>
          <w:szCs w:val="17"/>
          <w:color w:val="1E1E1E"/>
        </w:rPr>
      </w:pPr>
    </w:p>
    <w:p>
      <w:pPr>
        <w:ind w:left="240" w:hanging="239"/>
        <w:spacing w:after="0"/>
        <w:tabs>
          <w:tab w:leader="none" w:pos="240" w:val="left"/>
        </w:tabs>
        <w:numPr>
          <w:ilvl w:val="0"/>
          <w:numId w:val="27"/>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All 6,781 square feet of this office has been sublet.</w:t>
      </w:r>
    </w:p>
    <w:p>
      <w:pPr>
        <w:spacing w:after="0" w:line="5" w:lineRule="exact"/>
        <w:rPr>
          <w:rFonts w:ascii="Times New Roman" w:cs="Times New Roman" w:eastAsia="Times New Roman" w:hAnsi="Times New Roman"/>
          <w:sz w:val="17"/>
          <w:szCs w:val="17"/>
          <w:color w:val="1E1E1E"/>
        </w:rPr>
      </w:pPr>
    </w:p>
    <w:p>
      <w:pPr>
        <w:ind w:left="240" w:hanging="239"/>
        <w:spacing w:after="0"/>
        <w:tabs>
          <w:tab w:leader="none" w:pos="240" w:val="left"/>
        </w:tabs>
        <w:numPr>
          <w:ilvl w:val="0"/>
          <w:numId w:val="27"/>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All or a portion of these offices are not used by the Company.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3. Legal Proceedings.</w:t>
      </w:r>
    </w:p>
    <w:p>
      <w:pPr>
        <w:spacing w:after="0" w:line="124" w:lineRule="exact"/>
        <w:rPr>
          <w:sz w:val="20"/>
          <w:szCs w:val="20"/>
          <w:color w:val="auto"/>
        </w:rPr>
      </w:pPr>
    </w:p>
    <w:p>
      <w:pPr>
        <w:ind w:right="40" w:firstLine="600"/>
        <w:spacing w:after="0" w:line="256" w:lineRule="auto"/>
        <w:rPr>
          <w:sz w:val="20"/>
          <w:szCs w:val="20"/>
          <w:color w:val="auto"/>
        </w:rPr>
      </w:pPr>
      <w:r>
        <w:rPr>
          <w:rFonts w:ascii="Times New Roman" w:cs="Times New Roman" w:eastAsia="Times New Roman" w:hAnsi="Times New Roman"/>
          <w:sz w:val="19"/>
          <w:szCs w:val="19"/>
          <w:color w:val="1E1E1E"/>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4. Mine Safety Disclosures.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Not applicable.</w:t>
      </w:r>
    </w:p>
    <w:p>
      <w:pPr>
        <w:sectPr>
          <w:pgSz w:w="11880" w:h="15480" w:orient="portrait"/>
          <w:cols w:equalWidth="0" w:num="1">
            <w:col w:w="10480"/>
          </w:cols>
          <w:pgMar w:left="700" w:top="979"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41</w:t>
      </w:r>
    </w:p>
    <w:p>
      <w:pPr>
        <w:sectPr>
          <w:pgSz w:w="11880" w:h="15480" w:orient="portrait"/>
          <w:cols w:equalWidth="0" w:num="1">
            <w:col w:w="10480"/>
          </w:cols>
          <w:pgMar w:left="700" w:top="979" w:right="700" w:bottom="215" w:gutter="0" w:footer="0" w:header="0"/>
          <w:type w:val="continuous"/>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PART II</w:t>
      </w:r>
    </w:p>
    <w:p>
      <w:pPr>
        <w:spacing w:after="0" w:line="238" w:lineRule="exact"/>
        <w:rPr>
          <w:sz w:val="20"/>
          <w:szCs w:val="20"/>
          <w:color w:val="auto"/>
        </w:rPr>
      </w:pPr>
    </w:p>
    <w:p>
      <w:pPr>
        <w:ind w:right="420"/>
        <w:spacing w:after="0" w:line="393" w:lineRule="auto"/>
        <w:rPr>
          <w:sz w:val="20"/>
          <w:szCs w:val="20"/>
          <w:color w:val="auto"/>
        </w:rPr>
      </w:pPr>
      <w:r>
        <w:rPr>
          <w:rFonts w:ascii="Times New Roman" w:cs="Times New Roman" w:eastAsia="Times New Roman" w:hAnsi="Times New Roman"/>
          <w:sz w:val="19"/>
          <w:szCs w:val="19"/>
          <w:b w:val="1"/>
          <w:bCs w:val="1"/>
          <w:color w:val="1E1E1E"/>
        </w:rPr>
        <w:t>Item 5. Market for Registrant’s Common Equity, Related Stockholder Matters and Issuer Purchases of Equity Securities. Market Information for Common Stock</w:t>
      </w:r>
    </w:p>
    <w:p>
      <w:pPr>
        <w:spacing w:after="0" w:line="2" w:lineRule="exact"/>
        <w:rPr>
          <w:sz w:val="20"/>
          <w:szCs w:val="20"/>
          <w:color w:val="auto"/>
        </w:rPr>
      </w:pPr>
    </w:p>
    <w:p>
      <w:pPr>
        <w:ind w:right="120" w:firstLine="600"/>
        <w:spacing w:after="0" w:line="290" w:lineRule="auto"/>
        <w:rPr>
          <w:sz w:val="20"/>
          <w:szCs w:val="20"/>
          <w:color w:val="auto"/>
        </w:rPr>
      </w:pPr>
      <w:r>
        <w:rPr>
          <w:rFonts w:ascii="Times New Roman" w:cs="Times New Roman" w:eastAsia="Times New Roman" w:hAnsi="Times New Roman"/>
          <w:sz w:val="19"/>
          <w:szCs w:val="19"/>
          <w:color w:val="1E1E1E"/>
        </w:rPr>
        <w:t>Our Class A common stock has been listed on the NASDAQ Global Select Market under the symbol “XMTR” since June 30, 2021. Prior to that date, there was no public trading market for our Class A common stock.</w:t>
      </w:r>
    </w:p>
    <w:p>
      <w:pPr>
        <w:spacing w:after="0" w:line="141" w:lineRule="exact"/>
        <w:rPr>
          <w:sz w:val="20"/>
          <w:szCs w:val="20"/>
          <w:color w:val="auto"/>
        </w:rPr>
      </w:pPr>
    </w:p>
    <w:p>
      <w:pPr>
        <w:ind w:right="60" w:firstLine="600"/>
        <w:spacing w:after="0" w:line="267" w:lineRule="auto"/>
        <w:rPr>
          <w:sz w:val="20"/>
          <w:szCs w:val="20"/>
          <w:color w:val="auto"/>
        </w:rPr>
      </w:pPr>
      <w:r>
        <w:rPr>
          <w:rFonts w:ascii="Times New Roman" w:cs="Times New Roman" w:eastAsia="Times New Roman" w:hAnsi="Times New Roman"/>
          <w:sz w:val="19"/>
          <w:szCs w:val="19"/>
          <w:color w:val="1E1E1E"/>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Holders of Record</w:t>
      </w:r>
    </w:p>
    <w:p>
      <w:pPr>
        <w:spacing w:after="0" w:line="142" w:lineRule="exact"/>
        <w:rPr>
          <w:sz w:val="20"/>
          <w:szCs w:val="20"/>
          <w:color w:val="auto"/>
        </w:rPr>
      </w:pPr>
    </w:p>
    <w:p>
      <w:pPr>
        <w:ind w:right="20" w:firstLine="600"/>
        <w:spacing w:after="0" w:line="267" w:lineRule="auto"/>
        <w:rPr>
          <w:sz w:val="20"/>
          <w:szCs w:val="20"/>
          <w:color w:val="auto"/>
        </w:rPr>
      </w:pPr>
      <w:r>
        <w:rPr>
          <w:rFonts w:ascii="Times New Roman" w:cs="Times New Roman" w:eastAsia="Times New Roman" w:hAnsi="Times New Roman"/>
          <w:sz w:val="19"/>
          <w:szCs w:val="19"/>
          <w:color w:val="1E1E1E"/>
        </w:rPr>
        <w:t>As of February 16, 2024, there were 108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As of February 16, 2024, there were two holders of record of our Class B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Dividend Policy</w:t>
      </w:r>
    </w:p>
    <w:p>
      <w:pPr>
        <w:spacing w:after="0" w:line="142" w:lineRule="exact"/>
        <w:rPr>
          <w:sz w:val="20"/>
          <w:szCs w:val="20"/>
          <w:color w:val="auto"/>
        </w:rPr>
      </w:pPr>
    </w:p>
    <w:p>
      <w:pPr>
        <w:ind w:firstLine="600"/>
        <w:spacing w:after="0" w:line="256" w:lineRule="auto"/>
        <w:rPr>
          <w:sz w:val="20"/>
          <w:szCs w:val="20"/>
          <w:color w:val="auto"/>
        </w:rPr>
      </w:pPr>
      <w:r>
        <w:rPr>
          <w:rFonts w:ascii="Times New Roman" w:cs="Times New Roman" w:eastAsia="Times New Roman" w:hAnsi="Times New Roman"/>
          <w:sz w:val="19"/>
          <w:szCs w:val="19"/>
          <w:color w:val="1E1E1E"/>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42</w:t>
      </w:r>
    </w:p>
    <w:p>
      <w:pPr>
        <w:sectPr>
          <w:pgSz w:w="11880" w:h="15480" w:orient="portrait"/>
          <w:cols w:equalWidth="0" w:num="1">
            <w:col w:w="10480"/>
          </w:cols>
          <w:pgMar w:left="700" w:top="953" w:right="700" w:bottom="215"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color w:val="1E1E1E"/>
        </w:rPr>
        <w:t>Performance Graph</w:t>
      </w:r>
    </w:p>
    <w:p>
      <w:pPr>
        <w:spacing w:after="0" w:line="231" w:lineRule="exact"/>
        <w:rPr>
          <w:sz w:val="20"/>
          <w:szCs w:val="20"/>
          <w:color w:val="auto"/>
        </w:rPr>
      </w:pPr>
    </w:p>
    <w:p>
      <w:pPr>
        <w:ind w:right="120" w:firstLine="597"/>
        <w:spacing w:after="0" w:line="267" w:lineRule="auto"/>
        <w:rPr>
          <w:sz w:val="20"/>
          <w:szCs w:val="20"/>
          <w:color w:val="auto"/>
        </w:rPr>
      </w:pPr>
      <w:r>
        <w:rPr>
          <w:rFonts w:ascii="Times New Roman" w:cs="Times New Roman" w:eastAsia="Times New Roman" w:hAnsi="Times New Roman"/>
          <w:sz w:val="19"/>
          <w:szCs w:val="19"/>
          <w:color w:val="1E1E1E"/>
        </w:rPr>
        <w:t>The following performance graph shows a comparison from June 30, 2021 (the date our Class A common stock commenced trading on the Nasdaq Global Select Market) through December 31, 2023, of the cumulative total return for our Class A common stock, the Nasdaq Composite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-24130</wp:posOffset>
            </wp:positionV>
            <wp:extent cx="6522085" cy="4885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22085" cy="488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00"/>
        <w:spacing w:after="0" w:line="260" w:lineRule="auto"/>
        <w:rPr>
          <w:sz w:val="20"/>
          <w:szCs w:val="20"/>
          <w:color w:val="auto"/>
        </w:rPr>
      </w:pPr>
      <w:r>
        <w:rPr>
          <w:rFonts w:ascii="Times New Roman" w:cs="Times New Roman" w:eastAsia="Times New Roman" w:hAnsi="Times New Roman"/>
          <w:sz w:val="19"/>
          <w:szCs w:val="19"/>
          <w:color w:val="1E1E1E"/>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ectPr>
          <w:pgSz w:w="11880" w:h="15480" w:orient="portrait"/>
          <w:cols w:equalWidth="0" w:num="1">
            <w:col w:w="11220"/>
          </w:cols>
          <w:pgMar w:left="280" w:top="1429" w:right="38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1E1E1E"/>
        </w:rPr>
        <w:t>43</w:t>
      </w:r>
    </w:p>
    <w:p>
      <w:pPr>
        <w:sectPr>
          <w:pgSz w:w="11880" w:h="15480" w:orient="portrait"/>
          <w:cols w:equalWidth="0" w:num="1">
            <w:col w:w="11220"/>
          </w:cols>
          <w:pgMar w:left="280" w:top="1429" w:right="380" w:bottom="215"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i w:val="1"/>
          <w:iCs w:val="1"/>
          <w:color w:val="1E1E1E"/>
        </w:rPr>
        <w:t>Recent Sales of Unregistered Securities</w:t>
      </w:r>
    </w:p>
    <w:p>
      <w:pPr>
        <w:spacing w:after="0" w:line="1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None.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Use of Proceeds</w:t>
      </w:r>
    </w:p>
    <w:p>
      <w:pPr>
        <w:spacing w:after="0" w:line="226" w:lineRule="exact"/>
        <w:rPr>
          <w:sz w:val="20"/>
          <w:szCs w:val="20"/>
          <w:color w:val="auto"/>
        </w:rPr>
      </w:pPr>
    </w:p>
    <w:p>
      <w:pPr>
        <w:ind w:firstLine="600"/>
        <w:spacing w:after="0" w:line="260" w:lineRule="auto"/>
        <w:rPr>
          <w:sz w:val="20"/>
          <w:szCs w:val="20"/>
          <w:color w:val="auto"/>
        </w:rPr>
      </w:pPr>
      <w:r>
        <w:rPr>
          <w:rFonts w:ascii="Times New Roman" w:cs="Times New Roman" w:eastAsia="Times New Roman" w:hAnsi="Times New Roman"/>
          <w:sz w:val="19"/>
          <w:szCs w:val="19"/>
          <w:color w:val="1E1E1E"/>
        </w:rPr>
        <w:t>On July 2, 2021, we closed our IPO, in which we sold 7,906,250 shares of our common stock at a price of $44.00 per share. The offer and sale of the shares in the IPO were registered under the Securities Act pursuant to a registration statement on Form S-1 (File No. 333-256769), which was declared effective by the SEC on June 30, 2021. We raised approximately $325.3 million in net proceeds after deducting underwriting discounts and commissions. As of December 31, 2023, we have used all proceeds from the IPO.</w:t>
      </w:r>
    </w:p>
    <w:p>
      <w:pPr>
        <w:spacing w:after="0" w:line="1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b w:val="1"/>
          <w:bCs w:val="1"/>
          <w:color w:val="1E1E1E"/>
        </w:rPr>
        <w:t>Item 6. [Reserved].</w:t>
      </w:r>
    </w:p>
    <w:p>
      <w:pPr>
        <w:sectPr>
          <w:pgSz w:w="11880" w:h="15480" w:orient="portrait"/>
          <w:cols w:equalWidth="0" w:num="1">
            <w:col w:w="10480"/>
          </w:cols>
          <w:pgMar w:left="700" w:top="958"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44</w:t>
      </w:r>
    </w:p>
    <w:p>
      <w:pPr>
        <w:sectPr>
          <w:pgSz w:w="11880" w:h="15480" w:orient="portrait"/>
          <w:cols w:equalWidth="0" w:num="1">
            <w:col w:w="10480"/>
          </w:cols>
          <w:pgMar w:left="700" w:top="958" w:right="700" w:bottom="215"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9"/>
          <w:szCs w:val="19"/>
          <w:b w:val="1"/>
          <w:bCs w:val="1"/>
          <w:color w:val="1E1E1E"/>
        </w:rPr>
        <w:t>Item 7. Management’s Discussion and Analysis of Financial Condition and Results of Operations.</w:t>
      </w:r>
    </w:p>
    <w:p>
      <w:pPr>
        <w:spacing w:after="0" w:line="124" w:lineRule="exact"/>
        <w:rPr>
          <w:sz w:val="20"/>
          <w:szCs w:val="20"/>
          <w:color w:val="auto"/>
        </w:rPr>
      </w:pPr>
    </w:p>
    <w:p>
      <w:pPr>
        <w:ind w:right="200" w:firstLine="600"/>
        <w:spacing w:after="0" w:line="254" w:lineRule="auto"/>
        <w:rPr>
          <w:sz w:val="20"/>
          <w:szCs w:val="20"/>
          <w:color w:val="auto"/>
        </w:rPr>
      </w:pPr>
      <w:r>
        <w:rPr>
          <w:rFonts w:ascii="Times New Roman" w:cs="Times New Roman" w:eastAsia="Times New Roman" w:hAnsi="Times New Roman"/>
          <w:sz w:val="19"/>
          <w:szCs w:val="19"/>
          <w:color w:val="1E1E1E"/>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Overview</w:t>
      </w:r>
    </w:p>
    <w:p>
      <w:pPr>
        <w:spacing w:after="0" w:line="241" w:lineRule="exact"/>
        <w:rPr>
          <w:sz w:val="20"/>
          <w:szCs w:val="20"/>
          <w:color w:val="auto"/>
        </w:rPr>
      </w:pPr>
    </w:p>
    <w:p>
      <w:pPr>
        <w:ind w:right="160" w:firstLine="600"/>
        <w:spacing w:after="0" w:line="254" w:lineRule="auto"/>
        <w:rPr>
          <w:sz w:val="20"/>
          <w:szCs w:val="20"/>
          <w:color w:val="auto"/>
        </w:rPr>
      </w:pPr>
      <w:r>
        <w:rPr>
          <w:rFonts w:ascii="Times New Roman" w:cs="Times New Roman" w:eastAsia="Times New Roman" w:hAnsi="Times New Roman"/>
          <w:sz w:val="19"/>
          <w:szCs w:val="19"/>
          <w:color w:val="1E1E1E"/>
        </w:rPr>
        <w:t>Xometry Inc. (“Xometry”, “Company”, “our” or “we”)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145"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45" w:lineRule="exact"/>
        <w:rPr>
          <w:sz w:val="20"/>
          <w:szCs w:val="20"/>
          <w:color w:val="auto"/>
        </w:rPr>
      </w:pPr>
    </w:p>
    <w:p>
      <w:pPr>
        <w:ind w:right="40" w:firstLine="600"/>
        <w:spacing w:after="0" w:line="260" w:lineRule="auto"/>
        <w:rPr>
          <w:sz w:val="20"/>
          <w:szCs w:val="20"/>
          <w:color w:val="auto"/>
        </w:rPr>
      </w:pPr>
      <w:r>
        <w:rPr>
          <w:rFonts w:ascii="Times New Roman" w:cs="Times New Roman" w:eastAsia="Times New Roman" w:hAnsi="Times New Roman"/>
          <w:sz w:val="19"/>
          <w:szCs w:val="19"/>
          <w:color w:val="1E1E1E"/>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40" w:lineRule="exact"/>
        <w:rPr>
          <w:sz w:val="20"/>
          <w:szCs w:val="20"/>
          <w:color w:val="auto"/>
        </w:rPr>
      </w:pPr>
    </w:p>
    <w:p>
      <w:pPr>
        <w:ind w:right="60" w:firstLine="600"/>
        <w:spacing w:after="0" w:line="267" w:lineRule="auto"/>
        <w:rPr>
          <w:sz w:val="20"/>
          <w:szCs w:val="20"/>
          <w:color w:val="auto"/>
        </w:rPr>
      </w:pPr>
      <w:r>
        <w:rPr>
          <w:rFonts w:ascii="Times New Roman" w:cs="Times New Roman" w:eastAsia="Times New Roman" w:hAnsi="Times New Roman"/>
          <w:sz w:val="19"/>
          <w:szCs w:val="19"/>
          <w:color w:val="1E1E1E"/>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34" w:lineRule="exact"/>
        <w:rPr>
          <w:sz w:val="20"/>
          <w:szCs w:val="20"/>
          <w:color w:val="auto"/>
        </w:rPr>
      </w:pPr>
    </w:p>
    <w:p>
      <w:pPr>
        <w:ind w:right="120" w:firstLine="600"/>
        <w:spacing w:after="0" w:line="256" w:lineRule="auto"/>
        <w:rPr>
          <w:sz w:val="20"/>
          <w:szCs w:val="20"/>
          <w:color w:val="auto"/>
        </w:rPr>
      </w:pPr>
      <w:r>
        <w:rPr>
          <w:rFonts w:ascii="Times New Roman" w:cs="Times New Roman" w:eastAsia="Times New Roman" w:hAnsi="Times New Roman"/>
          <w:sz w:val="19"/>
          <w:szCs w:val="19"/>
          <w:color w:val="1E1E1E"/>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44" w:lineRule="exact"/>
        <w:rPr>
          <w:sz w:val="20"/>
          <w:szCs w:val="20"/>
          <w:color w:val="auto"/>
        </w:rPr>
      </w:pPr>
    </w:p>
    <w:p>
      <w:pPr>
        <w:ind w:firstLine="600"/>
        <w:spacing w:after="0" w:line="252" w:lineRule="auto"/>
        <w:rPr>
          <w:sz w:val="20"/>
          <w:szCs w:val="20"/>
          <w:color w:val="auto"/>
        </w:rPr>
      </w:pPr>
      <w:r>
        <w:rPr>
          <w:rFonts w:ascii="Times New Roman" w:cs="Times New Roman" w:eastAsia="Times New Roman" w:hAnsi="Times New Roman"/>
          <w:sz w:val="19"/>
          <w:szCs w:val="19"/>
          <w:color w:val="1E1E1E"/>
        </w:rPr>
        <w:t>We define “buyers” as individuals who have placed an order to purchase custom-manufactured, on-demand parts or assemblies on our marketplace. Our buyers include engineers, product designers, procurement and supply chain personnel, inventors, entrepreneurs and business owners from businesses of a variety of sizes, ranging from self-funded start-ups to Fortune 100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platform for a buyer or have utilized our supplier services, including our financial services or the purchase of supplies.</w:t>
      </w:r>
    </w:p>
    <w:p>
      <w:pPr>
        <w:spacing w:after="0" w:line="150" w:lineRule="exact"/>
        <w:rPr>
          <w:sz w:val="20"/>
          <w:szCs w:val="20"/>
          <w:color w:val="auto"/>
        </w:rPr>
      </w:pPr>
    </w:p>
    <w:p>
      <w:pPr>
        <w:ind w:right="100" w:firstLine="600"/>
        <w:spacing w:after="0" w:line="250" w:lineRule="auto"/>
        <w:rPr>
          <w:sz w:val="20"/>
          <w:szCs w:val="20"/>
          <w:color w:val="auto"/>
        </w:rPr>
      </w:pPr>
      <w:r>
        <w:rPr>
          <w:rFonts w:ascii="Times New Roman" w:cs="Times New Roman" w:eastAsia="Times New Roman" w:hAnsi="Times New Roman"/>
          <w:sz w:val="19"/>
          <w:szCs w:val="19"/>
          <w:color w:val="1E1E1E"/>
        </w:rPr>
        <w:t>The majority of our revenue is derived from the sale of part(s) and assemblies to our customers on our marketplace, which we refer to as marketplace revenue. The suppliers on our platform offer a diversified and expanding mix of manufacturing processes. 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Healthcare, Robotics, Industrial, Defense, Energy, Automotive, Government, Education and Consumer Goods.</w:t>
      </w:r>
    </w:p>
    <w:p>
      <w:pPr>
        <w:spacing w:after="0" w:line="154" w:lineRule="exact"/>
        <w:rPr>
          <w:sz w:val="20"/>
          <w:szCs w:val="20"/>
          <w:color w:val="auto"/>
        </w:rPr>
      </w:pPr>
    </w:p>
    <w:p>
      <w:pPr>
        <w:ind w:right="180" w:firstLine="600"/>
        <w:spacing w:after="0" w:line="267" w:lineRule="auto"/>
        <w:rPr>
          <w:sz w:val="20"/>
          <w:szCs w:val="20"/>
          <w:color w:val="auto"/>
        </w:rPr>
      </w:pPr>
      <w:r>
        <w:rPr>
          <w:rFonts w:ascii="Times New Roman" w:cs="Times New Roman" w:eastAsia="Times New Roman" w:hAnsi="Times New Roman"/>
          <w:sz w:val="19"/>
          <w:szCs w:val="19"/>
          <w:color w:val="1E1E1E"/>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w:t>
      </w:r>
    </w:p>
    <w:p>
      <w:pPr>
        <w:sectPr>
          <w:pgSz w:w="11880" w:h="15480" w:orient="portrait"/>
          <w:cols w:equalWidth="0" w:num="1">
            <w:col w:w="10480"/>
          </w:cols>
          <w:pgMar w:left="700" w:top="953" w:right="700" w:bottom="215" w:gutter="0" w:footer="0" w:header="0"/>
        </w:sectPr>
      </w:pP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45</w:t>
      </w:r>
    </w:p>
    <w:p>
      <w:pPr>
        <w:sectPr>
          <w:pgSz w:w="11880" w:h="15480" w:orient="portrait"/>
          <w:cols w:equalWidth="0" w:num="1">
            <w:col w:w="10480"/>
          </w:cols>
          <w:pgMar w:left="700" w:top="953" w:right="700" w:bottom="215" w:gutter="0" w:footer="0" w:header="0"/>
          <w:type w:val="continuous"/>
        </w:sectPr>
      </w:pPr>
    </w:p>
    <w:bookmarkStart w:id="51" w:name="page52"/>
    <w:bookmarkEnd w:id="51"/>
    <w:p>
      <w:pPr>
        <w:spacing w:after="0" w:line="290" w:lineRule="auto"/>
        <w:rPr>
          <w:sz w:val="20"/>
          <w:szCs w:val="20"/>
          <w:color w:val="auto"/>
        </w:rPr>
      </w:pPr>
      <w:r>
        <w:rPr>
          <w:rFonts w:ascii="Times New Roman" w:cs="Times New Roman" w:eastAsia="Times New Roman" w:hAnsi="Times New Roman"/>
          <w:sz w:val="19"/>
          <w:szCs w:val="19"/>
          <w:color w:val="1E1E1E"/>
        </w:rPr>
        <w:t>services and data solutions on Thomasnet. In addition, our suite of supplier services includes financial service products to stabilize and enhance cash flow and a cloud-based manufacturing execution system (“Workcenter”) to help suppliers optimize their productivity.</w:t>
      </w:r>
    </w:p>
    <w:p>
      <w:pPr>
        <w:spacing w:after="0" w:line="112" w:lineRule="exact"/>
        <w:rPr>
          <w:sz w:val="20"/>
          <w:szCs w:val="20"/>
          <w:color w:val="auto"/>
        </w:rPr>
      </w:pPr>
    </w:p>
    <w:p>
      <w:pPr>
        <w:ind w:right="380" w:firstLine="600"/>
        <w:spacing w:after="0" w:line="267" w:lineRule="auto"/>
        <w:rPr>
          <w:sz w:val="20"/>
          <w:szCs w:val="20"/>
          <w:color w:val="auto"/>
        </w:rPr>
      </w:pPr>
      <w:r>
        <w:rPr>
          <w:rFonts w:ascii="Times New Roman" w:cs="Times New Roman" w:eastAsia="Times New Roman" w:hAnsi="Times New Roman"/>
          <w:sz w:val="19"/>
          <w:szCs w:val="19"/>
          <w:color w:val="1E1E1E"/>
        </w:rPr>
        <w:t>In 2021, we acquired Thomas Publishing Company and its subsidiaries (collectively, “Thomas”) and Fusiform, Inc. (d/b/a FactoryFour) (“FactoryFour”), expanding our basket of supplier services to include advertising and marketing services and Workcenter to help suppliers optimize their productivity. Our revenue from Thomas is primarily advertising revenue.</w:t>
      </w:r>
    </w:p>
    <w:p>
      <w:pPr>
        <w:spacing w:after="0" w:line="134" w:lineRule="exact"/>
        <w:rPr>
          <w:sz w:val="20"/>
          <w:szCs w:val="20"/>
          <w:color w:val="auto"/>
        </w:rPr>
      </w:pPr>
    </w:p>
    <w:p>
      <w:pPr>
        <w:ind w:right="260" w:firstLine="600"/>
        <w:spacing w:after="0" w:line="267" w:lineRule="auto"/>
        <w:rPr>
          <w:sz w:val="20"/>
          <w:szCs w:val="20"/>
          <w:color w:val="auto"/>
        </w:rPr>
      </w:pPr>
      <w:r>
        <w:rPr>
          <w:rFonts w:ascii="Times New Roman" w:cs="Times New Roman" w:eastAsia="Times New Roman" w:hAnsi="Times New Roman"/>
          <w:sz w:val="19"/>
          <w:szCs w:val="19"/>
          <w:color w:val="1E1E1E"/>
        </w:rPr>
        <w:t>On January 2, 2023, the Company acquired Tridi Teknoloj A.S. (“Tridi”) located in Istanbul, Türkiye pursuant to a Share Purchase Agreement. The acquisition of Tridi extends our marketplace capabilities in Europe and provides us access to the Turkish market.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Factors Affecting Our Performance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Continued Growth in Active Buyers</w:t>
      </w:r>
    </w:p>
    <w:p>
      <w:pPr>
        <w:spacing w:after="0" w:line="124" w:lineRule="exact"/>
        <w:rPr>
          <w:sz w:val="20"/>
          <w:szCs w:val="20"/>
          <w:color w:val="auto"/>
        </w:rPr>
      </w:pPr>
    </w:p>
    <w:p>
      <w:pPr>
        <w:ind w:right="20" w:firstLine="600"/>
        <w:spacing w:after="0" w:line="249" w:lineRule="auto"/>
        <w:rPr>
          <w:sz w:val="20"/>
          <w:szCs w:val="20"/>
          <w:color w:val="auto"/>
        </w:rPr>
      </w:pPr>
      <w:r>
        <w:rPr>
          <w:rFonts w:ascii="Times New Roman" w:cs="Times New Roman" w:eastAsia="Times New Roman" w:hAnsi="Times New Roman"/>
          <w:sz w:val="19"/>
          <w:szCs w:val="19"/>
          <w:color w:val="1E1E1E"/>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55,458 as of December 31, 2023, up 36% from 40,664 as of December 31, 2022.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Continued Growth in Our Broad Base of Suppliers</w:t>
      </w:r>
    </w:p>
    <w:p>
      <w:pPr>
        <w:spacing w:after="0" w:line="124" w:lineRule="exact"/>
        <w:rPr>
          <w:sz w:val="20"/>
          <w:szCs w:val="20"/>
          <w:color w:val="auto"/>
        </w:rPr>
      </w:pPr>
    </w:p>
    <w:p>
      <w:pPr>
        <w:ind w:firstLine="600"/>
        <w:spacing w:after="0" w:line="249" w:lineRule="auto"/>
        <w:rPr>
          <w:sz w:val="20"/>
          <w:szCs w:val="20"/>
          <w:color w:val="auto"/>
        </w:rPr>
      </w:pPr>
      <w:r>
        <w:rPr>
          <w:rFonts w:ascii="Times New Roman" w:cs="Times New Roman" w:eastAsia="Times New Roman" w:hAnsi="Times New Roman"/>
          <w:sz w:val="19"/>
          <w:szCs w:val="19"/>
          <w:color w:val="1E1E1E"/>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or buy tools or supplies, has grown 36% from 2,529</w:t>
      </w:r>
      <w:r>
        <w:rPr>
          <w:rFonts w:ascii="Times New Roman" w:cs="Times New Roman" w:eastAsia="Times New Roman" w:hAnsi="Times New Roman"/>
          <w:sz w:val="12"/>
          <w:szCs w:val="12"/>
          <w:color w:val="1E1E1E"/>
        </w:rPr>
        <w:t>1</w:t>
      </w:r>
      <w:r>
        <w:rPr>
          <w:rFonts w:ascii="Times New Roman" w:cs="Times New Roman" w:eastAsia="Times New Roman" w:hAnsi="Times New Roman"/>
          <w:sz w:val="19"/>
          <w:szCs w:val="19"/>
          <w:color w:val="1E1E1E"/>
        </w:rPr>
        <w:t xml:space="preserve"> for the year ended December 31, 2022 to 3,429 for the year ended December 31, 2023. As we add to our supplier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Investments in Technology and Expansion of Our Platform</w:t>
      </w:r>
    </w:p>
    <w:p>
      <w:pPr>
        <w:spacing w:after="0" w:line="124" w:lineRule="exact"/>
        <w:rPr>
          <w:sz w:val="20"/>
          <w:szCs w:val="20"/>
          <w:color w:val="auto"/>
        </w:rPr>
      </w:pPr>
    </w:p>
    <w:p>
      <w:pPr>
        <w:ind w:right="200" w:firstLine="600"/>
        <w:spacing w:after="0" w:line="252" w:lineRule="auto"/>
        <w:rPr>
          <w:sz w:val="20"/>
          <w:szCs w:val="20"/>
          <w:color w:val="auto"/>
        </w:rPr>
      </w:pPr>
      <w:r>
        <w:rPr>
          <w:rFonts w:ascii="Times New Roman" w:cs="Times New Roman" w:eastAsia="Times New Roman" w:hAnsi="Times New Roman"/>
          <w:sz w:val="19"/>
          <w:szCs w:val="19"/>
          <w:color w:val="1E1E1E"/>
        </w:rPr>
        <w:t>We have invested, and intend to continue to invest, in developing technology, tools, features, and products that provide targeted and useful solutions for our buyers and suppliers.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Expansion of Our International Operations</w:t>
      </w:r>
    </w:p>
    <w:p>
      <w:pPr>
        <w:spacing w:after="0" w:line="124" w:lineRule="exact"/>
        <w:rPr>
          <w:sz w:val="20"/>
          <w:szCs w:val="20"/>
          <w:color w:val="auto"/>
        </w:rPr>
      </w:pPr>
    </w:p>
    <w:p>
      <w:pPr>
        <w:ind w:firstLine="600"/>
        <w:spacing w:after="0" w:line="251" w:lineRule="auto"/>
        <w:rPr>
          <w:sz w:val="20"/>
          <w:szCs w:val="20"/>
          <w:color w:val="auto"/>
        </w:rPr>
      </w:pPr>
      <w:r>
        <w:rPr>
          <w:rFonts w:ascii="Times New Roman" w:cs="Times New Roman" w:eastAsia="Times New Roman" w:hAnsi="Times New Roman"/>
          <w:sz w:val="19"/>
          <w:szCs w:val="19"/>
          <w:color w:val="1E1E1E"/>
        </w:rPr>
        <w:t>In 2019, we launched Xometry in Europe, followed by Xometry Asia in 2022 and Xometry United Kingdom in 2023. We believe there is significant opportunity in the global manufacturing ecosystem for our marketplace. With operations throughout the majority of the contiguous United States and customers in Europe and Asia, we have established footholds in major markets around the world. As we have expanded our physical presence, we have also added new language functionality to our platform to reach a wider customer base. As of December 31, 2023, customers can access our platform in 14 languages.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E1E1E"/>
        </w:rPr>
        <w:t>(1) We adjusted the number of our 2022 active suppliers in 2023 to reflect an immaterial correction.</w:t>
      </w:r>
    </w:p>
    <w:p>
      <w:pPr>
        <w:sectPr>
          <w:pgSz w:w="11880" w:h="15480" w:orient="portrait"/>
          <w:cols w:equalWidth="0" w:num="1">
            <w:col w:w="10460"/>
          </w:cols>
          <w:pgMar w:left="700" w:top="957" w:right="720" w:bottom="215" w:gutter="0" w:footer="0" w:header="0"/>
        </w:sectPr>
      </w:pP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46</w:t>
      </w:r>
    </w:p>
    <w:p>
      <w:pPr>
        <w:sectPr>
          <w:pgSz w:w="11880" w:h="15480" w:orient="portrait"/>
          <w:cols w:equalWidth="0" w:num="1">
            <w:col w:w="10460"/>
          </w:cols>
          <w:pgMar w:left="700" w:top="957" w:right="720" w:bottom="215"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9"/>
          <w:szCs w:val="19"/>
          <w:b w:val="1"/>
          <w:bCs w:val="1"/>
          <w:color w:val="1E1E1E"/>
        </w:rPr>
        <w:t>Expansion of Our Financial Products and Services</w:t>
      </w:r>
    </w:p>
    <w:p>
      <w:pPr>
        <w:spacing w:after="0" w:line="124" w:lineRule="exact"/>
        <w:rPr>
          <w:sz w:val="20"/>
          <w:szCs w:val="20"/>
          <w:color w:val="auto"/>
        </w:rPr>
      </w:pPr>
    </w:p>
    <w:p>
      <w:pPr>
        <w:ind w:firstLine="649"/>
        <w:spacing w:after="0" w:line="250" w:lineRule="auto"/>
        <w:rPr>
          <w:sz w:val="20"/>
          <w:szCs w:val="20"/>
          <w:color w:val="auto"/>
        </w:rPr>
      </w:pPr>
      <w:r>
        <w:rPr>
          <w:rFonts w:ascii="Times New Roman" w:cs="Times New Roman" w:eastAsia="Times New Roman" w:hAnsi="Times New Roman"/>
          <w:sz w:val="19"/>
          <w:szCs w:val="19"/>
          <w:color w:val="1E1E1E"/>
        </w:rPr>
        <w:t>In 2020, we launched a suite of financial products and services to help our suppliers manage cash flow at all stages of job production. These services help suppliers manage their business more efficiently, even on jobs that they source outside of our platform. In December 2021, we acquired Thomas which significantly expanded our supplier services to include digital advertising, marketing services and data solutions for our suppliers. Our suite of marketing and data services provided by Thomas help suppliers grow and more efficiently run their business. We offer suppliers a full slate of marketing services, including website building, search-engine optimization ("SEO") and targeted advertising to buyers, which are resources that will help them further grow their business. In November 2021, we acquired FactoryFour a cloud-based manufacturing execution system. We provide this order management system to our supplier community which allows shops and shop owners to digitize and automate their operations so they can focus on growing their business. In addition to being able to manage existing orders, Workcenter is designed to integrate seamlessly with the AI-driven Xometry marketplace, giving suppliers a one-stop view into all of their orders.</w:t>
      </w:r>
    </w:p>
    <w:p>
      <w:pPr>
        <w:spacing w:after="0" w:line="72" w:lineRule="exact"/>
        <w:rPr>
          <w:sz w:val="20"/>
          <w:szCs w:val="20"/>
          <w:color w:val="auto"/>
        </w:rPr>
      </w:pPr>
    </w:p>
    <w:p>
      <w:pPr>
        <w:ind w:right="160" w:firstLine="600"/>
        <w:spacing w:after="0" w:line="253" w:lineRule="auto"/>
        <w:rPr>
          <w:sz w:val="20"/>
          <w:szCs w:val="20"/>
          <w:color w:val="auto"/>
        </w:rPr>
      </w:pPr>
      <w:r>
        <w:rPr>
          <w:rFonts w:ascii="Times New Roman" w:cs="Times New Roman" w:eastAsia="Times New Roman" w:hAnsi="Times New Roman"/>
          <w:sz w:val="19"/>
          <w:szCs w:val="19"/>
          <w:color w:val="1E1E1E"/>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 Active Paying Suppliers has grown over time. The number of Active Paying Suppliers on our platform reached 7,271 as of December 31, 2023, down 6% from 7,715 as of December 31, 2022. The decline during the quarter ended December 31, 2023 is due to our exit from the supplies business. Excluding the supplies business, Active Paying Suppliers on our platform remained flat year-over-year.</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Macroeconomic Conditions</w:t>
      </w:r>
    </w:p>
    <w:p>
      <w:pPr>
        <w:spacing w:after="0" w:line="124" w:lineRule="exact"/>
        <w:rPr>
          <w:sz w:val="20"/>
          <w:szCs w:val="20"/>
          <w:color w:val="auto"/>
        </w:rPr>
      </w:pPr>
    </w:p>
    <w:p>
      <w:pPr>
        <w:ind w:right="80" w:firstLine="600"/>
        <w:spacing w:after="0" w:line="256" w:lineRule="auto"/>
        <w:rPr>
          <w:sz w:val="20"/>
          <w:szCs w:val="20"/>
          <w:color w:val="auto"/>
        </w:rPr>
      </w:pPr>
      <w:r>
        <w:rPr>
          <w:rFonts w:ascii="Times New Roman" w:cs="Times New Roman" w:eastAsia="Times New Roman" w:hAnsi="Times New Roman"/>
          <w:sz w:val="19"/>
          <w:szCs w:val="19"/>
          <w:color w:val="1E1E1E"/>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67" w:lineRule="exact"/>
        <w:rPr>
          <w:sz w:val="20"/>
          <w:szCs w:val="20"/>
          <w:color w:val="auto"/>
        </w:rPr>
      </w:pPr>
    </w:p>
    <w:p>
      <w:pPr>
        <w:ind w:right="220" w:firstLine="600"/>
        <w:spacing w:after="0" w:line="260" w:lineRule="auto"/>
        <w:rPr>
          <w:sz w:val="20"/>
          <w:szCs w:val="20"/>
          <w:color w:val="auto"/>
        </w:rPr>
      </w:pPr>
      <w:r>
        <w:rPr>
          <w:rFonts w:ascii="Times New Roman" w:cs="Times New Roman" w:eastAsia="Times New Roman" w:hAnsi="Times New Roman"/>
          <w:sz w:val="19"/>
          <w:szCs w:val="19"/>
          <w:color w:val="1E1E1E"/>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1E1E1E"/>
        </w:rPr>
        <w:t>Restructurings</w:t>
      </w:r>
    </w:p>
    <w:p>
      <w:pPr>
        <w:spacing w:after="0" w:line="124" w:lineRule="exact"/>
        <w:rPr>
          <w:sz w:val="20"/>
          <w:szCs w:val="20"/>
          <w:color w:val="auto"/>
        </w:rPr>
      </w:pPr>
    </w:p>
    <w:p>
      <w:pPr>
        <w:ind w:right="200" w:firstLine="649"/>
        <w:spacing w:after="0" w:line="256" w:lineRule="auto"/>
        <w:rPr>
          <w:sz w:val="20"/>
          <w:szCs w:val="20"/>
          <w:color w:val="auto"/>
        </w:rPr>
      </w:pPr>
      <w:r>
        <w:rPr>
          <w:rFonts w:ascii="Times New Roman" w:cs="Times New Roman" w:eastAsia="Times New Roman" w:hAnsi="Times New Roman"/>
          <w:sz w:val="19"/>
          <w:szCs w:val="19"/>
          <w:color w:val="1E1E1E"/>
        </w:rPr>
        <w:t>In May 2023 and December 2022</w:t>
      </w:r>
      <w:r>
        <w:rPr>
          <w:rFonts w:ascii="Times New Roman" w:cs="Times New Roman" w:eastAsia="Times New Roman" w:hAnsi="Times New Roman"/>
          <w:sz w:val="19"/>
          <w:szCs w:val="19"/>
          <w:i w:val="1"/>
          <w:iCs w:val="1"/>
          <w:color w:val="1E1E1E"/>
        </w:rPr>
        <w:t>,</w:t>
      </w:r>
      <w:r>
        <w:rPr>
          <w:rFonts w:ascii="Times New Roman" w:cs="Times New Roman" w:eastAsia="Times New Roman" w:hAnsi="Times New Roman"/>
          <w:sz w:val="19"/>
          <w:szCs w:val="19"/>
          <w:color w:val="1E1E1E"/>
        </w:rPr>
        <w:t xml:space="preserve"> we initiated restructuring actions to help manage our operating expenses by reducing our workforce by approximately 10%. The workforce reduction focused on realigning our staffing levels to help us meet the current and future objectives of our business. For the years ended December 31, 2023 and 2022, we incurred $0.7 million and $1.5 million, respectively for employee termination costs related to our restructuring. Refer to Note 12, </w:t>
      </w:r>
      <w:r>
        <w:rPr>
          <w:rFonts w:ascii="Times New Roman" w:cs="Times New Roman" w:eastAsia="Times New Roman" w:hAnsi="Times New Roman"/>
          <w:sz w:val="19"/>
          <w:szCs w:val="19"/>
          <w:i w:val="1"/>
          <w:iCs w:val="1"/>
          <w:color w:val="1E1E1E"/>
        </w:rPr>
        <w:t>Debt and Commitments and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Contingencies—Restructuring </w:t>
      </w:r>
      <w:r>
        <w:rPr>
          <w:rFonts w:ascii="Times New Roman" w:cs="Times New Roman" w:eastAsia="Times New Roman" w:hAnsi="Times New Roman"/>
          <w:sz w:val="19"/>
          <w:szCs w:val="19"/>
          <w:color w:val="1E1E1E"/>
        </w:rPr>
        <w:t>to of our consolidated financial statements included elsewhere in this Annual Report on Form 10-K.</w:t>
      </w:r>
    </w:p>
    <w:p>
      <w:pPr>
        <w:sectPr>
          <w:pgSz w:w="11880" w:h="15480" w:orient="portrait"/>
          <w:cols w:equalWidth="0" w:num="1">
            <w:col w:w="10460"/>
          </w:cols>
          <w:pgMar w:left="700" w:top="953"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47</w:t>
      </w:r>
    </w:p>
    <w:p>
      <w:pPr>
        <w:sectPr>
          <w:pgSz w:w="11880" w:h="15480" w:orient="portrait"/>
          <w:cols w:equalWidth="0" w:num="1">
            <w:col w:w="10460"/>
          </w:cols>
          <w:pgMar w:left="700" w:top="953" w:right="720" w:bottom="215" w:gutter="0" w:footer="0" w:header="0"/>
          <w:type w:val="continuous"/>
        </w:sectPr>
      </w:pPr>
    </w:p>
    <w:bookmarkStart w:id="53" w:name="page54"/>
    <w:bookmarkEnd w:id="53"/>
    <w:p>
      <w:pPr>
        <w:jc w:val="center"/>
        <w:ind w:right="-259"/>
        <w:spacing w:after="0"/>
        <w:rPr>
          <w:sz w:val="20"/>
          <w:szCs w:val="20"/>
          <w:color w:val="auto"/>
        </w:rPr>
      </w:pPr>
      <w:r>
        <w:rPr>
          <w:rFonts w:ascii="Times New Roman" w:cs="Times New Roman" w:eastAsia="Times New Roman" w:hAnsi="Times New Roman"/>
          <w:sz w:val="19"/>
          <w:szCs w:val="19"/>
          <w:b w:val="1"/>
          <w:bCs w:val="1"/>
          <w:color w:val="1E1E1E"/>
        </w:rPr>
        <w:t>Key Operational and Business Metrics</w:t>
      </w:r>
    </w:p>
    <w:p>
      <w:pPr>
        <w:spacing w:after="0" w:line="241" w:lineRule="exact"/>
        <w:rPr>
          <w:sz w:val="20"/>
          <w:szCs w:val="20"/>
          <w:color w:val="auto"/>
        </w:rPr>
      </w:pPr>
    </w:p>
    <w:p>
      <w:pPr>
        <w:jc w:val="both"/>
        <w:ind w:right="80" w:firstLine="594"/>
        <w:spacing w:after="0" w:line="267" w:lineRule="auto"/>
        <w:rPr>
          <w:sz w:val="20"/>
          <w:szCs w:val="20"/>
          <w:color w:val="auto"/>
        </w:rPr>
      </w:pPr>
      <w:r>
        <w:rPr>
          <w:rFonts w:ascii="Times New Roman" w:cs="Times New Roman" w:eastAsia="Times New Roman" w:hAnsi="Times New Roman"/>
          <w:sz w:val="19"/>
          <w:szCs w:val="19"/>
          <w:color w:val="1E1E1E"/>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Active Buyers</w:t>
      </w:r>
    </w:p>
    <w:p>
      <w:pPr>
        <w:spacing w:after="0" w:line="120" w:lineRule="exact"/>
        <w:rPr>
          <w:sz w:val="20"/>
          <w:szCs w:val="20"/>
          <w:color w:val="auto"/>
        </w:rPr>
      </w:pPr>
    </w:p>
    <w:p>
      <w:pPr>
        <w:ind w:firstLine="594"/>
        <w:spacing w:after="0" w:line="267" w:lineRule="auto"/>
        <w:rPr>
          <w:sz w:val="20"/>
          <w:szCs w:val="20"/>
          <w:color w:val="auto"/>
        </w:rPr>
      </w:pPr>
      <w:r>
        <w:rPr>
          <w:rFonts w:ascii="Times New Roman" w:cs="Times New Roman" w:eastAsia="Times New Roman" w:hAnsi="Times New Roman"/>
          <w:sz w:val="19"/>
          <w:szCs w:val="19"/>
          <w:color w:val="1E1E1E"/>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34" w:lineRule="exact"/>
        <w:rPr>
          <w:sz w:val="20"/>
          <w:szCs w:val="20"/>
          <w:color w:val="auto"/>
        </w:rPr>
      </w:pPr>
    </w:p>
    <w:p>
      <w:pPr>
        <w:ind w:right="40" w:firstLine="600"/>
        <w:spacing w:after="0" w:line="267" w:lineRule="auto"/>
        <w:rPr>
          <w:sz w:val="20"/>
          <w:szCs w:val="20"/>
          <w:color w:val="auto"/>
        </w:rPr>
      </w:pPr>
      <w:r>
        <w:rPr>
          <w:rFonts w:ascii="Times New Roman" w:cs="Times New Roman" w:eastAsia="Times New Roman" w:hAnsi="Times New Roman"/>
          <w:sz w:val="19"/>
          <w:szCs w:val="19"/>
          <w:color w:val="1E1E1E"/>
        </w:rPr>
        <w:t>Active Buyers has consistently grown over time. The number of Active Buyers on our platform reached 55,458 as of December 31, 2023, up 36% from 40,664 as of December 31, 2022.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-24130</wp:posOffset>
            </wp:positionV>
            <wp:extent cx="5184140" cy="4636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4140" cy="4636770"/>
                    </a:xfrm>
                    <a:prstGeom prst="rect">
                      <a:avLst/>
                    </a:prstGeom>
                    <a:noFill/>
                  </pic:spPr>
                </pic:pic>
              </a:graphicData>
            </a:graphic>
          </wp:anchor>
        </w:drawing>
      </w:r>
    </w:p>
    <w:p>
      <w:pPr>
        <w:sectPr>
          <w:pgSz w:w="11880" w:h="15480" w:orient="portrait"/>
          <w:cols w:equalWidth="0" w:num="1">
            <w:col w:w="10220"/>
          </w:cols>
          <w:pgMar w:left="700" w:top="953" w:right="9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9"/>
          <w:szCs w:val="19"/>
          <w:color w:val="1E1E1E"/>
        </w:rPr>
        <w:t>48</w:t>
      </w:r>
    </w:p>
    <w:p>
      <w:pPr>
        <w:sectPr>
          <w:pgSz w:w="11880" w:h="15480" w:orient="portrait"/>
          <w:cols w:equalWidth="0" w:num="1">
            <w:col w:w="10220"/>
          </w:cols>
          <w:pgMar w:left="700" w:top="953" w:right="960" w:bottom="215"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9"/>
          <w:szCs w:val="19"/>
          <w:b w:val="1"/>
          <w:bCs w:val="1"/>
          <w:i w:val="1"/>
          <w:iCs w:val="1"/>
          <w:color w:val="1E1E1E"/>
        </w:rPr>
        <w:t>Percentage of Revenue from Existing Accounts</w:t>
      </w:r>
    </w:p>
    <w:p>
      <w:pPr>
        <w:spacing w:after="0" w:line="120" w:lineRule="exact"/>
        <w:rPr>
          <w:sz w:val="20"/>
          <w:szCs w:val="20"/>
          <w:color w:val="auto"/>
        </w:rPr>
      </w:pPr>
    </w:p>
    <w:p>
      <w:pPr>
        <w:ind w:firstLine="594"/>
        <w:spacing w:after="0" w:line="252" w:lineRule="auto"/>
        <w:rPr>
          <w:sz w:val="20"/>
          <w:szCs w:val="20"/>
          <w:color w:val="auto"/>
        </w:rPr>
      </w:pPr>
      <w:r>
        <w:rPr>
          <w:rFonts w:ascii="Times New Roman" w:cs="Times New Roman" w:eastAsia="Times New Roman" w:hAnsi="Times New Roman"/>
          <w:sz w:val="19"/>
          <w:szCs w:val="19"/>
          <w:color w:val="1E1E1E"/>
        </w:rPr>
        <w:t>We define an existing account as an account where at least one buyer has made a purchase on our marketplace. We believe the efficiency and transparency of our business model leads to increasing account loyalty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loyalty with an account.</w:t>
      </w:r>
    </w:p>
    <w:p>
      <w:pPr>
        <w:spacing w:after="0" w:line="150" w:lineRule="exact"/>
        <w:rPr>
          <w:sz w:val="20"/>
          <w:szCs w:val="20"/>
          <w:color w:val="auto"/>
        </w:rPr>
      </w:pPr>
    </w:p>
    <w:p>
      <w:pPr>
        <w:ind w:right="240" w:firstLine="600"/>
        <w:spacing w:after="0" w:line="267" w:lineRule="auto"/>
        <w:rPr>
          <w:sz w:val="20"/>
          <w:szCs w:val="20"/>
          <w:color w:val="auto"/>
        </w:rPr>
      </w:pPr>
      <w:r>
        <w:rPr>
          <w:rFonts w:ascii="Times New Roman" w:cs="Times New Roman" w:eastAsia="Times New Roman" w:hAnsi="Times New Roman"/>
          <w:sz w:val="19"/>
          <w:szCs w:val="19"/>
          <w:color w:val="1E1E1E"/>
        </w:rPr>
        <w:t>For the quarter ended December 31, 2023, 96%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6653530" cy="3622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53530" cy="3622675"/>
                    </a:xfrm>
                    <a:prstGeom prst="rect">
                      <a:avLst/>
                    </a:prstGeom>
                    <a:noFill/>
                  </pic:spPr>
                </pic:pic>
              </a:graphicData>
            </a:graphic>
          </wp:anchor>
        </w:drawing>
      </w:r>
    </w:p>
    <w:p>
      <w:pPr>
        <w:sectPr>
          <w:pgSz w:w="11880" w:h="15480" w:orient="portrait"/>
          <w:cols w:equalWidth="0" w:num="1">
            <w:col w:w="10460"/>
          </w:cols>
          <w:pgMar w:left="700" w:top="958"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49</w:t>
      </w:r>
    </w:p>
    <w:p>
      <w:pPr>
        <w:sectPr>
          <w:pgSz w:w="11880" w:h="15480" w:orient="portrait"/>
          <w:cols w:equalWidth="0" w:num="1">
            <w:col w:w="10460"/>
          </w:cols>
          <w:pgMar w:left="700" w:top="958" w:right="720" w:bottom="215"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9"/>
          <w:szCs w:val="19"/>
          <w:b w:val="1"/>
          <w:bCs w:val="1"/>
          <w:i w:val="1"/>
          <w:iCs w:val="1"/>
          <w:color w:val="1E1E1E"/>
        </w:rPr>
        <w:t>Accounts with Last Twelve-Month Spend of At Least $50,000</w:t>
      </w:r>
    </w:p>
    <w:p>
      <w:pPr>
        <w:spacing w:after="0" w:line="120" w:lineRule="exact"/>
        <w:rPr>
          <w:sz w:val="20"/>
          <w:szCs w:val="20"/>
          <w:color w:val="auto"/>
        </w:rPr>
      </w:pPr>
    </w:p>
    <w:p>
      <w:pPr>
        <w:ind w:right="20" w:firstLine="600"/>
        <w:spacing w:after="0" w:line="256" w:lineRule="auto"/>
        <w:rPr>
          <w:sz w:val="20"/>
          <w:szCs w:val="20"/>
          <w:color w:val="auto"/>
        </w:rPr>
      </w:pPr>
      <w:r>
        <w:rPr>
          <w:rFonts w:ascii="Times New Roman" w:cs="Times New Roman" w:eastAsia="Times New Roman" w:hAnsi="Times New Roman"/>
          <w:sz w:val="19"/>
          <w:szCs w:val="19"/>
          <w:color w:val="1E1E1E"/>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1,331 as of December 31, 2023, up 30% from 1,027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165735</wp:posOffset>
            </wp:positionV>
            <wp:extent cx="5378450" cy="4922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78450" cy="492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Active Paying Suppliers</w:t>
      </w:r>
    </w:p>
    <w:p>
      <w:pPr>
        <w:spacing w:after="0" w:line="197" w:lineRule="exact"/>
        <w:rPr>
          <w:sz w:val="20"/>
          <w:szCs w:val="20"/>
          <w:color w:val="auto"/>
        </w:rPr>
      </w:pPr>
    </w:p>
    <w:p>
      <w:pPr>
        <w:ind w:right="180" w:firstLine="594"/>
        <w:spacing w:after="0" w:line="267" w:lineRule="auto"/>
        <w:rPr>
          <w:sz w:val="20"/>
          <w:szCs w:val="20"/>
          <w:color w:val="auto"/>
        </w:rPr>
      </w:pPr>
      <w:r>
        <w:rPr>
          <w:rFonts w:ascii="Times New Roman" w:cs="Times New Roman" w:eastAsia="Times New Roman" w:hAnsi="Times New Roman"/>
          <w:sz w:val="19"/>
          <w:szCs w:val="19"/>
          <w:color w:val="1E1E1E"/>
        </w:rPr>
        <w:t>We define Active Paying Suppliers as individuals or businesses who have purchased one or more of our supplier services, including digital marketing services, data services, financial services or supplies on our platforms during the last twelve months. An increase or decrease in the number of Active Paying Suppliers is a key indicator of our ability to engage suppliers on our platform.</w:t>
      </w:r>
    </w:p>
    <w:p>
      <w:pPr>
        <w:spacing w:after="0" w:line="134" w:lineRule="exact"/>
        <w:rPr>
          <w:sz w:val="20"/>
          <w:szCs w:val="20"/>
          <w:color w:val="auto"/>
        </w:rPr>
      </w:pPr>
    </w:p>
    <w:p>
      <w:pPr>
        <w:ind w:firstLine="594"/>
        <w:spacing w:after="0" w:line="256" w:lineRule="auto"/>
        <w:rPr>
          <w:sz w:val="20"/>
          <w:szCs w:val="20"/>
          <w:color w:val="auto"/>
        </w:rPr>
      </w:pPr>
      <w:r>
        <w:rPr>
          <w:rFonts w:ascii="Times New Roman" w:cs="Times New Roman" w:eastAsia="Times New Roman" w:hAnsi="Times New Roman"/>
          <w:sz w:val="19"/>
          <w:szCs w:val="19"/>
          <w:color w:val="1E1E1E"/>
        </w:rPr>
        <w:t>Active Paying Suppliers has grown over time. The number of Active Paying Suppliers on our platform reached 7,271 as of December 31, 2023, down 6% from 7,715 as of December 31, 2022. The key drivers of Active Paying Suppliers are continued supplier engagement and the success of our strategy to attract new suppliers. The decline during the quarter ended December 31, 2023 is due to our exit from the supplies business. Excluding the supplies business, Active Paying Suppliers on our platform remained flat year-over-year.</w:t>
      </w:r>
    </w:p>
    <w:p>
      <w:pPr>
        <w:sectPr>
          <w:pgSz w:w="11880" w:h="15480" w:orient="portrait"/>
          <w:cols w:equalWidth="0" w:num="1">
            <w:col w:w="10420"/>
          </w:cols>
          <w:pgMar w:left="700" w:top="958" w:right="7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1E1E1E"/>
        </w:rPr>
        <w:t>50</w:t>
      </w:r>
    </w:p>
    <w:p>
      <w:pPr>
        <w:sectPr>
          <w:pgSz w:w="11880" w:h="15480" w:orient="portrait"/>
          <w:cols w:equalWidth="0" w:num="1">
            <w:col w:w="10420"/>
          </w:cols>
          <w:pgMar w:left="700" w:top="958" w:right="760" w:bottom="215"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9"/>
          <w:szCs w:val="19"/>
          <w:b w:val="1"/>
          <w:bCs w:val="1"/>
          <w:i w:val="1"/>
          <w:iCs w:val="1"/>
          <w:color w:val="1E1E1E"/>
        </w:rPr>
        <w:t>Adjusted EBITDA</w:t>
      </w:r>
    </w:p>
    <w:p>
      <w:pPr>
        <w:spacing w:after="0" w:line="197" w:lineRule="exact"/>
        <w:rPr>
          <w:sz w:val="20"/>
          <w:szCs w:val="20"/>
          <w:color w:val="auto"/>
        </w:rPr>
      </w:pPr>
    </w:p>
    <w:p>
      <w:pPr>
        <w:ind w:right="20" w:firstLine="594"/>
        <w:spacing w:after="0" w:line="251" w:lineRule="auto"/>
        <w:rPr>
          <w:sz w:val="20"/>
          <w:szCs w:val="20"/>
          <w:color w:val="auto"/>
        </w:rPr>
      </w:pPr>
      <w:r>
        <w:rPr>
          <w:rFonts w:ascii="Times New Roman" w:cs="Times New Roman" w:eastAsia="Times New Roman" w:hAnsi="Times New Roman"/>
          <w:sz w:val="19"/>
          <w:szCs w:val="19"/>
          <w:color w:val="1E1E1E"/>
        </w:rPr>
        <w:t>We define Adjusted EBITDA as net loss, adjusted for interest expense, interest and dividend income and other expenses, income tax provision (benefit), and certain other non-cash or non-recurring items impacting net loss from time to time, principally comprised of depreciation and amortization, amortization of lease intangible, stock-based compensation, charitable contributions of common stock, income from an unconsolidated joint venture, impairment of assets, lease abandonment, restructuring charges, costs to exit the supplies business and acquisition and other adjustments not reflective of our ongoing business, such as adjustments related to purchase accounting, the revaluation of contingent consideration and transaction costs.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151" w:lineRule="exact"/>
        <w:rPr>
          <w:sz w:val="20"/>
          <w:szCs w:val="20"/>
          <w:color w:val="auto"/>
        </w:rPr>
      </w:pPr>
    </w:p>
    <w:p>
      <w:pPr>
        <w:jc w:val="both"/>
        <w:ind w:right="240" w:firstLine="594"/>
        <w:spacing w:after="0" w:line="267" w:lineRule="auto"/>
        <w:rPr>
          <w:sz w:val="20"/>
          <w:szCs w:val="20"/>
          <w:color w:val="auto"/>
        </w:rPr>
      </w:pPr>
      <w:r>
        <w:rPr>
          <w:rFonts w:ascii="Times New Roman" w:cs="Times New Roman" w:eastAsia="Times New Roman" w:hAnsi="Times New Roman"/>
          <w:sz w:val="19"/>
          <w:szCs w:val="19"/>
          <w:color w:val="1E1E1E"/>
        </w:rPr>
        <w:t>For the year ended December 31, 2023, Adjusted EBITDA loss was $(27.5) million, compared to Adjusted EBITDA loss of $(44.8) million in 2022. For the year ended December 31, 2023, Adjusted EBITDA decreased to (5.9)% of revenue, as compared to (11.8)% of revenue in 2022, driven primarily by increased operating efficiencies as we continue to scale our business.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780" w:type="dxa"/>
            <w:vAlign w:val="bottom"/>
            <w:tcBorders>
              <w:bottom w:val="single" w:sz="8" w:color="1E1E1E"/>
            </w:tcBorders>
            <w:gridSpan w:val="5"/>
          </w:tcPr>
          <w:p>
            <w:pPr>
              <w:jc w:val="right"/>
              <w:ind w:right="16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640" w:type="dxa"/>
            <w:vAlign w:val="bottom"/>
            <w:tcBorders>
              <w:bottom w:val="single" w:sz="8" w:color="1E1E1E"/>
            </w:tcBorders>
          </w:tcPr>
          <w:p>
            <w:pPr>
              <w:spacing w:after="0"/>
              <w:rPr>
                <w:sz w:val="17"/>
                <w:szCs w:val="17"/>
                <w:color w:val="auto"/>
              </w:rPr>
            </w:pPr>
          </w:p>
        </w:tc>
        <w:tc>
          <w:tcPr>
            <w:tcW w:w="100" w:type="dxa"/>
            <w:vAlign w:val="bottom"/>
          </w:tcPr>
          <w:p>
            <w:pPr>
              <w:spacing w:after="0"/>
              <w:rPr>
                <w:sz w:val="17"/>
                <w:szCs w:val="17"/>
                <w:color w:val="auto"/>
              </w:rPr>
            </w:pPr>
          </w:p>
        </w:tc>
      </w:tr>
      <w:tr>
        <w:trPr>
          <w:trHeight w:val="168"/>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3"/>
        </w:trPr>
        <w:tc>
          <w:tcPr>
            <w:tcW w:w="668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Net loss</w:t>
            </w:r>
            <w:r>
              <w:rPr>
                <w:rFonts w:ascii="Times New Roman" w:cs="Times New Roman" w:eastAsia="Times New Roman" w:hAnsi="Times New Roman"/>
                <w:sz w:val="24"/>
                <w:szCs w:val="24"/>
                <w:color w:val="1E1E1E"/>
                <w:vertAlign w:val="superscript"/>
              </w:rPr>
              <w:t>(1)</w:t>
            </w:r>
          </w:p>
        </w:tc>
        <w:tc>
          <w:tcPr>
            <w:tcW w:w="18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shd w:val="clear" w:color="auto" w:fill="E4E4E4"/>
              </w:rPr>
              <w:t>$</w:t>
            </w:r>
          </w:p>
        </w:tc>
        <w:tc>
          <w:tcPr>
            <w:tcW w:w="880" w:type="dxa"/>
            <w:vAlign w:val="bottom"/>
            <w:tcBorders>
              <w:top w:val="single" w:sz="8" w:color="1E1E1E"/>
            </w:tcBorders>
            <w:shd w:val="clear" w:color="auto" w:fill="E4E4E4"/>
          </w:tcPr>
          <w:p>
            <w:pPr>
              <w:spacing w:after="0"/>
              <w:rPr>
                <w:sz w:val="18"/>
                <w:szCs w:val="18"/>
                <w:color w:val="auto"/>
              </w:rPr>
            </w:pPr>
          </w:p>
        </w:tc>
        <w:tc>
          <w:tcPr>
            <w:tcW w:w="6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95"/>
              </w:rPr>
              <w:t>(67,465)</w:t>
            </w:r>
          </w:p>
        </w:tc>
        <w:tc>
          <w:tcPr>
            <w:tcW w:w="16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980" w:type="dxa"/>
            <w:vAlign w:val="bottom"/>
            <w:tcBorders>
              <w:top w:val="single" w:sz="8" w:color="1E1E1E"/>
            </w:tcBorders>
            <w:shd w:val="clear" w:color="auto" w:fill="E4E4E4"/>
          </w:tcPr>
          <w:p>
            <w:pPr>
              <w:jc w:val="right"/>
              <w:ind w:right="78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6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95"/>
              </w:rPr>
              <w:t>(79,043)</w:t>
            </w:r>
          </w:p>
        </w:tc>
        <w:tc>
          <w:tcPr>
            <w:tcW w:w="100" w:type="dxa"/>
            <w:vAlign w:val="bottom"/>
            <w:tcBorders>
              <w:top w:val="single" w:sz="8" w:color="E4E4E4"/>
            </w:tcBorders>
            <w:shd w:val="clear" w:color="auto" w:fill="E4E4E4"/>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Add (deduct)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Interest expense, interest and dividend income and other expenses</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(5,312)</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2,486</w:t>
            </w:r>
          </w:p>
        </w:tc>
        <w:tc>
          <w:tcPr>
            <w:tcW w:w="100" w:type="dxa"/>
            <w:vAlign w:val="bottom"/>
            <w:shd w:val="clear" w:color="auto" w:fill="E4E4E4"/>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Depreciation and amortization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10,738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7,819</w:t>
            </w:r>
          </w:p>
        </w:tc>
        <w:tc>
          <w:tcPr>
            <w:tcW w:w="100" w:type="dxa"/>
            <w:vAlign w:val="bottom"/>
          </w:tcPr>
          <w:p>
            <w:pPr>
              <w:spacing w:after="0"/>
              <w:rPr>
                <w:sz w:val="19"/>
                <w:szCs w:val="19"/>
                <w:color w:val="auto"/>
              </w:rPr>
            </w:pP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Amortization of lease intangible</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950</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1,332</w:t>
            </w:r>
          </w:p>
        </w:tc>
        <w:tc>
          <w:tcPr>
            <w:tcW w:w="100" w:type="dxa"/>
            <w:vAlign w:val="bottom"/>
            <w:shd w:val="clear" w:color="auto" w:fill="E4E4E4"/>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Provision (benefit) for income taxes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(353)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36</w:t>
            </w:r>
          </w:p>
        </w:tc>
        <w:tc>
          <w:tcPr>
            <w:tcW w:w="100" w:type="dxa"/>
            <w:vAlign w:val="bottom"/>
          </w:tcPr>
          <w:p>
            <w:pPr>
              <w:spacing w:after="0"/>
              <w:rPr>
                <w:sz w:val="19"/>
                <w:szCs w:val="19"/>
                <w:color w:val="auto"/>
              </w:rPr>
            </w:pP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Stock based compensation</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22,118</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19,172</w:t>
            </w:r>
          </w:p>
        </w:tc>
        <w:tc>
          <w:tcPr>
            <w:tcW w:w="100" w:type="dxa"/>
            <w:vAlign w:val="bottom"/>
            <w:shd w:val="clear" w:color="auto" w:fill="E4E4E4"/>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Lease abandonment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8,706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Acquisition and other</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824</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(676)</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Charitable contribution of common stock</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1,029</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2,272</w:t>
            </w:r>
          </w:p>
        </w:tc>
        <w:tc>
          <w:tcPr>
            <w:tcW w:w="100" w:type="dxa"/>
            <w:vAlign w:val="bottom"/>
          </w:tcPr>
          <w:p>
            <w:pPr>
              <w:spacing w:after="0"/>
              <w:rPr>
                <w:sz w:val="19"/>
                <w:szCs w:val="19"/>
                <w:color w:val="auto"/>
              </w:rPr>
            </w:pP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Income from unconsolidated joint venture</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(446)</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(570)</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Impairment of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397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824</w:t>
            </w:r>
          </w:p>
        </w:tc>
        <w:tc>
          <w:tcPr>
            <w:tcW w:w="100" w:type="dxa"/>
            <w:vAlign w:val="bottom"/>
          </w:tcPr>
          <w:p>
            <w:pPr>
              <w:spacing w:after="0"/>
              <w:rPr>
                <w:sz w:val="19"/>
                <w:szCs w:val="19"/>
                <w:color w:val="auto"/>
              </w:rPr>
            </w:pPr>
          </w:p>
        </w:tc>
      </w:tr>
      <w:tr>
        <w:trPr>
          <w:trHeight w:val="223"/>
        </w:trPr>
        <w:tc>
          <w:tcPr>
            <w:tcW w:w="6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Restructuring charge</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738</w:t>
            </w:r>
          </w:p>
        </w:tc>
        <w:tc>
          <w:tcPr>
            <w:tcW w:w="12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6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1,549</w:t>
            </w:r>
          </w:p>
        </w:tc>
        <w:tc>
          <w:tcPr>
            <w:tcW w:w="100" w:type="dxa"/>
            <w:vAlign w:val="bottom"/>
            <w:shd w:val="clear" w:color="auto" w:fill="E4E4E4"/>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9"/>
                <w:szCs w:val="19"/>
                <w:color w:val="1E1E1E"/>
              </w:rPr>
              <w:t>Costs to exit the supplies business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586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668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Adjusted EBITDA</w:t>
            </w:r>
          </w:p>
        </w:tc>
        <w:tc>
          <w:tcPr>
            <w:tcW w:w="18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tcBorders>
              <w:top w:val="single" w:sz="8" w:color="1E1E1E"/>
              <w:bottom w:val="single" w:sz="8" w:color="1E1E1E"/>
            </w:tcBorders>
            <w:shd w:val="clear" w:color="auto" w:fill="E4E4E4"/>
          </w:tcPr>
          <w:p>
            <w:pPr>
              <w:spacing w:after="0"/>
              <w:rPr>
                <w:sz w:val="18"/>
                <w:szCs w:val="18"/>
                <w:color w:val="auto"/>
              </w:rPr>
            </w:pPr>
          </w:p>
        </w:tc>
        <w:tc>
          <w:tcPr>
            <w:tcW w:w="6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95"/>
              </w:rPr>
              <w:t>(27,490)</w:t>
            </w:r>
          </w:p>
        </w:tc>
        <w:tc>
          <w:tcPr>
            <w:tcW w:w="16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980" w:type="dxa"/>
            <w:vAlign w:val="bottom"/>
            <w:tcBorders>
              <w:top w:val="single" w:sz="8" w:color="1E1E1E"/>
              <w:bottom w:val="single" w:sz="8" w:color="1E1E1E"/>
            </w:tcBorders>
            <w:shd w:val="clear" w:color="auto" w:fill="E4E4E4"/>
          </w:tcPr>
          <w:p>
            <w:pPr>
              <w:jc w:val="right"/>
              <w:ind w:right="78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6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95"/>
              </w:rPr>
              <w:t>(44,799)</w:t>
            </w:r>
          </w:p>
        </w:tc>
        <w:tc>
          <w:tcPr>
            <w:tcW w:w="100" w:type="dxa"/>
            <w:vAlign w:val="bottom"/>
            <w:tcBorders>
              <w:top w:val="single" w:sz="8" w:color="E4E4E4"/>
            </w:tcBorders>
            <w:shd w:val="clear" w:color="auto" w:fill="E4E4E4"/>
          </w:tcPr>
          <w:p>
            <w:pPr>
              <w:spacing w:after="0"/>
              <w:rPr>
                <w:sz w:val="18"/>
                <w:szCs w:val="18"/>
                <w:color w:val="auto"/>
              </w:rPr>
            </w:pPr>
          </w:p>
        </w:tc>
      </w:tr>
    </w:tbl>
    <w:p>
      <w:pPr>
        <w:spacing w:after="0" w:line="8" w:lineRule="exact"/>
        <w:rPr>
          <w:sz w:val="20"/>
          <w:szCs w:val="20"/>
          <w:color w:val="auto"/>
        </w:rPr>
      </w:pPr>
    </w:p>
    <w:p>
      <w:pPr>
        <w:ind w:right="100" w:firstLine="1"/>
        <w:spacing w:after="0" w:line="267" w:lineRule="auto"/>
        <w:tabs>
          <w:tab w:leader="none" w:pos="275" w:val="left"/>
        </w:tabs>
        <w:numPr>
          <w:ilvl w:val="0"/>
          <w:numId w:val="28"/>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xml:space="preserve">Net loss for the year ended December 31, 2022 increased by $3.0 million as a result of an immaterial correction of errors. Refer to Note 2, Summary of Significant Accounting Policies, </w:t>
      </w:r>
      <w:r>
        <w:rPr>
          <w:rFonts w:ascii="Times New Roman" w:cs="Times New Roman" w:eastAsia="Times New Roman" w:hAnsi="Times New Roman"/>
          <w:sz w:val="19"/>
          <w:szCs w:val="19"/>
          <w:i w:val="1"/>
          <w:iCs w:val="1"/>
          <w:color w:val="1E1E1E"/>
        </w:rPr>
        <w:t>Principles of Consolidation and Basis of Presentation</w:t>
      </w:r>
      <w:r>
        <w:rPr>
          <w:rFonts w:ascii="Times New Roman" w:cs="Times New Roman" w:eastAsia="Times New Roman" w:hAnsi="Times New Roman"/>
          <w:sz w:val="19"/>
          <w:szCs w:val="19"/>
          <w:color w:val="1E1E1E"/>
        </w:rPr>
        <w:t>, included elsewhere in this Form 10-K for more information regarding immaterial corrections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-458470</wp:posOffset>
            </wp:positionV>
            <wp:extent cx="22358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5835" cy="952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Non-GAAP Net Loss</w:t>
      </w:r>
    </w:p>
    <w:p>
      <w:pPr>
        <w:spacing w:after="0" w:line="197" w:lineRule="exact"/>
        <w:rPr>
          <w:sz w:val="20"/>
          <w:szCs w:val="20"/>
          <w:color w:val="auto"/>
        </w:rPr>
      </w:pPr>
    </w:p>
    <w:p>
      <w:pPr>
        <w:ind w:right="20" w:firstLine="594"/>
        <w:spacing w:after="0" w:line="256" w:lineRule="auto"/>
        <w:rPr>
          <w:sz w:val="20"/>
          <w:szCs w:val="20"/>
          <w:color w:val="auto"/>
        </w:rPr>
      </w:pPr>
      <w:r>
        <w:rPr>
          <w:rFonts w:ascii="Times New Roman" w:cs="Times New Roman" w:eastAsia="Times New Roman" w:hAnsi="Times New Roman"/>
          <w:sz w:val="19"/>
          <w:szCs w:val="19"/>
          <w:color w:val="1E1E1E"/>
        </w:rPr>
        <w:t>We define Non-GAAP net loss, as net loss adjusted for depreciation and amortization, stock-based compensation, amortization of lease intangible, amortization of deferred costs on convertible notes, loss on marketable securities, loss on sale of property and equipment, charitable contributions of common stock, impairment of assets, lease abandonment and termination, restructuring charges, costs to exit the supplies business and acquisition and other adjustments not reflective of our ongoing business, such as adjustments related to purchase accounting, the revaluation of contingent consideration and transaction costs.</w:t>
      </w:r>
    </w:p>
    <w:p>
      <w:pPr>
        <w:sectPr>
          <w:pgSz w:w="11880" w:h="15480" w:orient="portrait"/>
          <w:cols w:equalWidth="0" w:num="1">
            <w:col w:w="10480"/>
          </w:cols>
          <w:pgMar w:left="700" w:top="958"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51</w:t>
      </w:r>
    </w:p>
    <w:p>
      <w:pPr>
        <w:sectPr>
          <w:pgSz w:w="11880" w:h="15480" w:orient="portrait"/>
          <w:cols w:equalWidth="0" w:num="1">
            <w:col w:w="10480"/>
          </w:cols>
          <w:pgMar w:left="700" w:top="958" w:right="700" w:bottom="215" w:gutter="0" w:footer="0" w:header="0"/>
          <w:type w:val="continuous"/>
        </w:sectPr>
      </w:pPr>
    </w:p>
    <w:bookmarkStart w:id="57" w:name="page58"/>
    <w:bookmarkEnd w:id="57"/>
    <w:p>
      <w:pPr>
        <w:jc w:val="center"/>
        <w:ind w:left="6900"/>
        <w:spacing w:after="0"/>
        <w:rPr>
          <w:sz w:val="20"/>
          <w:szCs w:val="20"/>
          <w:color w:val="auto"/>
        </w:rPr>
      </w:pPr>
      <w:r>
        <w:rPr>
          <w:rFonts w:ascii="Times New Roman" w:cs="Times New Roman" w:eastAsia="Times New Roman" w:hAnsi="Times New Roman"/>
          <w:sz w:val="19"/>
          <w:szCs w:val="19"/>
          <w:b w:val="1"/>
          <w:bCs w:val="1"/>
          <w:color w:val="1E1E1E"/>
        </w:rPr>
        <w:t>For the Year</w:t>
      </w:r>
    </w:p>
    <w:p>
      <w:pPr>
        <w:spacing w:after="0" w:line="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9"/>
          <w:szCs w:val="19"/>
          <w:b w:val="1"/>
          <w:bCs w:val="1"/>
          <w:color w:val="1E1E1E"/>
        </w:rPr>
        <w:t>Ended December 31,</w:t>
      </w:r>
    </w:p>
    <w:tbl>
      <w:tblPr>
        <w:tblLayout w:type="fixed"/>
        <w:tblInd w:w="0" w:type="dxa"/>
        <w:tblCellMar>
          <w:top w:w="0" w:type="dxa"/>
          <w:left w:w="0" w:type="dxa"/>
          <w:bottom w:w="0" w:type="dxa"/>
          <w:right w:w="0" w:type="dxa"/>
        </w:tblCellMar>
      </w:tblPr>
      <w:tr>
        <w:trPr>
          <w:trHeight w:val="241"/>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Non-GAAP Net Loss:</w:t>
            </w:r>
          </w:p>
        </w:tc>
        <w:tc>
          <w:tcPr>
            <w:tcW w:w="100" w:type="dxa"/>
            <w:vAlign w:val="bottom"/>
          </w:tcPr>
          <w:p>
            <w:pPr>
              <w:spacing w:after="0"/>
              <w:rPr>
                <w:sz w:val="20"/>
                <w:szCs w:val="20"/>
                <w:color w:val="auto"/>
              </w:rPr>
            </w:pPr>
          </w:p>
        </w:tc>
        <w:tc>
          <w:tcPr>
            <w:tcW w:w="120" w:type="dxa"/>
            <w:vAlign w:val="bottom"/>
            <w:tcBorders>
              <w:top w:val="single" w:sz="8" w:color="1E1E1E"/>
              <w:bottom w:val="single" w:sz="8" w:color="1E1E1E"/>
            </w:tcBorders>
          </w:tcPr>
          <w:p>
            <w:pPr>
              <w:spacing w:after="0"/>
              <w:rPr>
                <w:sz w:val="20"/>
                <w:szCs w:val="20"/>
                <w:color w:val="auto"/>
              </w:rPr>
            </w:pPr>
          </w:p>
        </w:tc>
        <w:tc>
          <w:tcPr>
            <w:tcW w:w="1460" w:type="dxa"/>
            <w:vAlign w:val="bottom"/>
            <w:tcBorders>
              <w:top w:val="single" w:sz="8" w:color="1E1E1E"/>
              <w:bottom w:val="single" w:sz="8" w:color="1E1E1E"/>
            </w:tcBorders>
          </w:tcPr>
          <w:p>
            <w:pPr>
              <w:jc w:val="right"/>
              <w:ind w:right="503"/>
              <w:spacing w:after="0"/>
              <w:rPr>
                <w:sz w:val="20"/>
                <w:szCs w:val="20"/>
                <w:color w:val="auto"/>
              </w:rPr>
            </w:pPr>
            <w:r>
              <w:rPr>
                <w:rFonts w:ascii="Times New Roman" w:cs="Times New Roman" w:eastAsia="Times New Roman" w:hAnsi="Times New Roman"/>
                <w:sz w:val="19"/>
                <w:szCs w:val="19"/>
                <w:b w:val="1"/>
                <w:bCs w:val="1"/>
                <w:color w:val="1E1E1E"/>
              </w:rPr>
              <w:t>2023</w:t>
            </w:r>
          </w:p>
        </w:tc>
        <w:tc>
          <w:tcPr>
            <w:tcW w:w="220" w:type="dxa"/>
            <w:vAlign w:val="bottom"/>
            <w:tcBorders>
              <w:top w:val="single" w:sz="8" w:color="1E1E1E"/>
            </w:tcBorders>
          </w:tcPr>
          <w:p>
            <w:pPr>
              <w:spacing w:after="0"/>
              <w:rPr>
                <w:sz w:val="20"/>
                <w:szCs w:val="20"/>
                <w:color w:val="auto"/>
              </w:rPr>
            </w:pPr>
          </w:p>
        </w:tc>
        <w:tc>
          <w:tcPr>
            <w:tcW w:w="340" w:type="dxa"/>
            <w:vAlign w:val="bottom"/>
            <w:tcBorders>
              <w:top w:val="single" w:sz="8" w:color="1E1E1E"/>
              <w:bottom w:val="single" w:sz="8" w:color="1E1E1E"/>
            </w:tcBorders>
          </w:tcPr>
          <w:p>
            <w:pPr>
              <w:spacing w:after="0"/>
              <w:rPr>
                <w:sz w:val="20"/>
                <w:szCs w:val="20"/>
                <w:color w:val="auto"/>
              </w:rPr>
            </w:pPr>
          </w:p>
        </w:tc>
        <w:tc>
          <w:tcPr>
            <w:tcW w:w="1240" w:type="dxa"/>
            <w:vAlign w:val="bottom"/>
            <w:tcBorders>
              <w:top w:val="single" w:sz="8" w:color="1E1E1E"/>
              <w:bottom w:val="single" w:sz="8" w:color="1E1E1E"/>
            </w:tcBorders>
          </w:tcPr>
          <w:p>
            <w:pPr>
              <w:jc w:val="right"/>
              <w:ind w:right="503"/>
              <w:spacing w:after="0"/>
              <w:rPr>
                <w:sz w:val="20"/>
                <w:szCs w:val="20"/>
                <w:color w:val="auto"/>
              </w:rPr>
            </w:pPr>
            <w:r>
              <w:rPr>
                <w:rFonts w:ascii="Times New Roman" w:cs="Times New Roman" w:eastAsia="Times New Roman" w:hAnsi="Times New Roman"/>
                <w:sz w:val="19"/>
                <w:szCs w:val="19"/>
                <w:b w:val="1"/>
                <w:bCs w:val="1"/>
                <w:color w:val="1E1E1E"/>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0" w:type="dxa"/>
            <w:vAlign w:val="bottom"/>
            <w:tcBorders>
              <w:top w:val="single" w:sz="8" w:color="1E1E1E"/>
            </w:tcBorders>
            <w:shd w:val="clear" w:color="auto" w:fill="E4E4E4"/>
          </w:tcPr>
          <w:p>
            <w:pPr>
              <w:spacing w:after="0" w:line="223" w:lineRule="exact"/>
              <w:rPr>
                <w:sz w:val="20"/>
                <w:szCs w:val="20"/>
                <w:color w:val="auto"/>
              </w:rPr>
            </w:pPr>
            <w:r>
              <w:rPr>
                <w:rFonts w:ascii="Times New Roman" w:cs="Times New Roman" w:eastAsia="Times New Roman" w:hAnsi="Times New Roman"/>
                <w:sz w:val="19"/>
                <w:szCs w:val="19"/>
                <w:color w:val="1E1E1E"/>
              </w:rPr>
              <w:t>Net loss</w:t>
            </w:r>
            <w:r>
              <w:rPr>
                <w:rFonts w:ascii="Times New Roman" w:cs="Times New Roman" w:eastAsia="Times New Roman" w:hAnsi="Times New Roman"/>
                <w:sz w:val="25"/>
                <w:szCs w:val="25"/>
                <w:color w:val="1E1E1E"/>
                <w:vertAlign w:val="superscript"/>
              </w:rPr>
              <w:t>(1)</w:t>
            </w:r>
          </w:p>
        </w:tc>
        <w:tc>
          <w:tcPr>
            <w:tcW w:w="5100" w:type="dxa"/>
            <w:vAlign w:val="bottom"/>
            <w:shd w:val="clear" w:color="auto" w:fill="E4E4E4"/>
          </w:tcPr>
          <w:p>
            <w:pPr>
              <w:spacing w:after="0"/>
              <w:rPr>
                <w:sz w:val="19"/>
                <w:szCs w:val="19"/>
                <w:color w:val="auto"/>
              </w:rPr>
            </w:pPr>
          </w:p>
        </w:tc>
        <w:tc>
          <w:tcPr>
            <w:tcW w:w="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8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(67,465)</w:t>
            </w:r>
          </w:p>
        </w:tc>
        <w:tc>
          <w:tcPr>
            <w:tcW w:w="340" w:type="dxa"/>
            <w:vAlign w:val="bottom"/>
            <w:shd w:val="clear" w:color="auto" w:fill="E4E4E4"/>
          </w:tcPr>
          <w:p>
            <w:pPr>
              <w:jc w:val="right"/>
              <w:ind w:right="174"/>
              <w:spacing w:after="0"/>
              <w:rPr>
                <w:sz w:val="20"/>
                <w:szCs w:val="20"/>
                <w:color w:val="auto"/>
              </w:rPr>
            </w:pPr>
            <w:r>
              <w:rPr>
                <w:rFonts w:ascii="Times New Roman" w:cs="Times New Roman" w:eastAsia="Times New Roman" w:hAnsi="Times New Roman"/>
                <w:sz w:val="17"/>
                <w:szCs w:val="17"/>
                <w:color w:val="1E1E1E"/>
                <w:w w:val="70"/>
              </w:rPr>
              <w:t>$</w:t>
            </w:r>
          </w:p>
        </w:tc>
        <w:tc>
          <w:tcPr>
            <w:tcW w:w="13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(79,043)</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Add (deduct):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Depreciation and amortization</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10,738</w:t>
            </w:r>
          </w:p>
        </w:tc>
        <w:tc>
          <w:tcPr>
            <w:tcW w:w="34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7,819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Stock-based compensation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22,118</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Amortization of lease intangible</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950</w:t>
            </w:r>
          </w:p>
        </w:tc>
        <w:tc>
          <w:tcPr>
            <w:tcW w:w="34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1,332</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Amortization of deferred costs on convertible notes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1,860</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 on marketable securities</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34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1,855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Acquisition and 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824</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(676)</w:t>
            </w: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 on sale of property and equipment</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92</w:t>
            </w:r>
          </w:p>
        </w:tc>
        <w:tc>
          <w:tcPr>
            <w:tcW w:w="34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Charitable contribution of 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1,029</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Lease abandonment and termination</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8,778</w:t>
            </w:r>
          </w:p>
        </w:tc>
        <w:tc>
          <w:tcPr>
            <w:tcW w:w="3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Impairment of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397</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Restructuring charge</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68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738</w:t>
            </w:r>
          </w:p>
        </w:tc>
        <w:tc>
          <w:tcPr>
            <w:tcW w:w="34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1,549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9"/>
                <w:szCs w:val="19"/>
                <w:color w:val="1E1E1E"/>
              </w:rPr>
              <w:t>Costs to exit the supplies business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586</w:t>
            </w: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13"/>
        </w:trPr>
        <w:tc>
          <w:tcPr>
            <w:tcW w:w="6900" w:type="dxa"/>
            <w:vAlign w:val="bottom"/>
            <w:tcBorders>
              <w:top w:val="single" w:sz="8" w:color="E4E4E4"/>
            </w:tcBorders>
            <w:gridSpan w:val="2"/>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Non-GAAP Net Loss</w:t>
            </w:r>
          </w:p>
        </w:tc>
        <w:tc>
          <w:tcPr>
            <w:tcW w:w="10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shd w:val="clear" w:color="auto" w:fill="E4E4E4"/>
              </w:rPr>
              <w:t>$</w:t>
            </w:r>
          </w:p>
        </w:tc>
        <w:tc>
          <w:tcPr>
            <w:tcW w:w="14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(19,355)</w:t>
            </w:r>
          </w:p>
        </w:tc>
        <w:tc>
          <w:tcPr>
            <w:tcW w:w="220" w:type="dxa"/>
            <w:vAlign w:val="bottom"/>
            <w:tcBorders>
              <w:top w:val="single" w:sz="8" w:color="E4E4E4"/>
            </w:tcBorders>
            <w:shd w:val="clear" w:color="auto" w:fill="E4E4E4"/>
          </w:tcPr>
          <w:p>
            <w:pPr>
              <w:spacing w:after="0"/>
              <w:rPr>
                <w:sz w:val="18"/>
                <w:szCs w:val="18"/>
                <w:color w:val="auto"/>
              </w:rPr>
            </w:pPr>
          </w:p>
        </w:tc>
        <w:tc>
          <w:tcPr>
            <w:tcW w:w="340" w:type="dxa"/>
            <w:vAlign w:val="bottom"/>
            <w:tcBorders>
              <w:top w:val="single" w:sz="8" w:color="1E1E1E"/>
              <w:bottom w:val="single" w:sz="8" w:color="1E1E1E"/>
            </w:tcBorders>
            <w:shd w:val="clear" w:color="auto" w:fill="E4E4E4"/>
          </w:tcPr>
          <w:p>
            <w:pPr>
              <w:jc w:val="right"/>
              <w:ind w:right="174"/>
              <w:spacing w:after="0"/>
              <w:rPr>
                <w:sz w:val="20"/>
                <w:szCs w:val="20"/>
                <w:color w:val="auto"/>
              </w:rPr>
            </w:pPr>
            <w:r>
              <w:rPr>
                <w:rFonts w:ascii="Times New Roman" w:cs="Times New Roman" w:eastAsia="Times New Roman" w:hAnsi="Times New Roman"/>
                <w:sz w:val="17"/>
                <w:szCs w:val="17"/>
                <w:color w:val="1E1E1E"/>
                <w:w w:val="70"/>
              </w:rPr>
              <w:t>$</w:t>
            </w:r>
          </w:p>
        </w:tc>
        <w:tc>
          <w:tcPr>
            <w:tcW w:w="12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(43,131)</w:t>
            </w:r>
          </w:p>
        </w:tc>
        <w:tc>
          <w:tcPr>
            <w:tcW w:w="10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right="100" w:firstLine="1"/>
        <w:spacing w:after="0" w:line="267" w:lineRule="auto"/>
        <w:tabs>
          <w:tab w:leader="none" w:pos="275" w:val="left"/>
        </w:tabs>
        <w:numPr>
          <w:ilvl w:val="0"/>
          <w:numId w:val="2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xml:space="preserve">Net loss for the year ended December 31, 2022 increased by $3.0 million as a result of an immaterial correction of errors. Refer to Note 2, Summary of Significant Accounting Policies, </w:t>
      </w:r>
      <w:r>
        <w:rPr>
          <w:rFonts w:ascii="Times New Roman" w:cs="Times New Roman" w:eastAsia="Times New Roman" w:hAnsi="Times New Roman"/>
          <w:sz w:val="19"/>
          <w:szCs w:val="19"/>
          <w:i w:val="1"/>
          <w:iCs w:val="1"/>
          <w:color w:val="1E1E1E"/>
        </w:rPr>
        <w:t>Principles of Consolidation and Basis of Presentation</w:t>
      </w:r>
      <w:r>
        <w:rPr>
          <w:rFonts w:ascii="Times New Roman" w:cs="Times New Roman" w:eastAsia="Times New Roman" w:hAnsi="Times New Roman"/>
          <w:sz w:val="19"/>
          <w:szCs w:val="19"/>
          <w:color w:val="1E1E1E"/>
        </w:rPr>
        <w:t>, included elsewhere in this Form 10-K for more information regarding immaterial corrections to the prior year.</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For the year ended December 31, 2023, Non-GAAP net loss was $(19.4) million, as compared to Non-GAAP net loss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$(43.1) million for the same period in 2022. For the year ended December 31, 2023, Non-GAAP net loss was (4.2)% of revenue, 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compared to (11.3)% of revenue for the same period in 2022.</w:t>
      </w:r>
    </w:p>
    <w:p>
      <w:pPr>
        <w:spacing w:after="0" w:line="121" w:lineRule="exact"/>
        <w:rPr>
          <w:sz w:val="20"/>
          <w:szCs w:val="20"/>
          <w:color w:val="auto"/>
        </w:rPr>
      </w:pPr>
    </w:p>
    <w:p>
      <w:pPr>
        <w:ind w:right="100" w:firstLine="594"/>
        <w:spacing w:after="0" w:line="251" w:lineRule="auto"/>
        <w:rPr>
          <w:sz w:val="20"/>
          <w:szCs w:val="20"/>
          <w:color w:val="auto"/>
        </w:rPr>
      </w:pPr>
      <w:r>
        <w:rPr>
          <w:rFonts w:ascii="Times New Roman" w:cs="Times New Roman" w:eastAsia="Times New Roman" w:hAnsi="Times New Roman"/>
          <w:sz w:val="19"/>
          <w:szCs w:val="19"/>
          <w:color w:val="1E1E1E"/>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52</w:t>
      </w:r>
    </w:p>
    <w:p>
      <w:pPr>
        <w:sectPr>
          <w:pgSz w:w="11880" w:h="15480" w:orient="portrait"/>
          <w:cols w:equalWidth="0" w:num="1">
            <w:col w:w="10480"/>
          </w:cols>
          <w:pgMar w:left="700" w:top="953" w:right="700" w:bottom="215"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9"/>
          <w:szCs w:val="19"/>
          <w:b w:val="1"/>
          <w:bCs w:val="1"/>
          <w:color w:val="1E1E1E"/>
        </w:rPr>
        <w:t>Components of 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Revenue</w:t>
      </w:r>
    </w:p>
    <w:p>
      <w:pPr>
        <w:spacing w:after="0" w:line="120" w:lineRule="exact"/>
        <w:rPr>
          <w:sz w:val="20"/>
          <w:szCs w:val="20"/>
          <w:color w:val="auto"/>
        </w:rPr>
      </w:pPr>
    </w:p>
    <w:p>
      <w:pPr>
        <w:jc w:val="both"/>
        <w:ind w:right="200" w:firstLine="594"/>
        <w:spacing w:after="0" w:line="260" w:lineRule="auto"/>
        <w:rPr>
          <w:sz w:val="20"/>
          <w:szCs w:val="20"/>
          <w:color w:val="auto"/>
        </w:rPr>
      </w:pPr>
      <w:r>
        <w:rPr>
          <w:rFonts w:ascii="Times New Roman" w:cs="Times New Roman" w:eastAsia="Times New Roman" w:hAnsi="Times New Roman"/>
          <w:sz w:val="19"/>
          <w:szCs w:val="19"/>
          <w:color w:val="1E1E1E"/>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62" w:lineRule="exact"/>
        <w:rPr>
          <w:sz w:val="20"/>
          <w:szCs w:val="20"/>
          <w:color w:val="auto"/>
        </w:rPr>
      </w:pPr>
    </w:p>
    <w:p>
      <w:pPr>
        <w:ind w:right="560" w:firstLine="594"/>
        <w:spacing w:after="0" w:line="290" w:lineRule="auto"/>
        <w:rPr>
          <w:sz w:val="20"/>
          <w:szCs w:val="20"/>
          <w:color w:val="auto"/>
        </w:rPr>
      </w:pPr>
      <w:r>
        <w:rPr>
          <w:rFonts w:ascii="Times New Roman" w:cs="Times New Roman" w:eastAsia="Times New Roman" w:hAnsi="Times New Roman"/>
          <w:sz w:val="19"/>
          <w:szCs w:val="19"/>
          <w:color w:val="1E1E1E"/>
        </w:rPr>
        <w:t>Supplier services revenue includes the sale of marketing and advertising services, and to a lesser extent financial service products, SaaS-based solutions and the sale of supplies which was discontinued during the second quarter of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Cost of Revenue</w:t>
      </w:r>
    </w:p>
    <w:p>
      <w:pPr>
        <w:spacing w:after="0" w:line="120" w:lineRule="exact"/>
        <w:rPr>
          <w:sz w:val="20"/>
          <w:szCs w:val="20"/>
          <w:color w:val="auto"/>
        </w:rPr>
      </w:pPr>
    </w:p>
    <w:p>
      <w:pPr>
        <w:ind w:right="60" w:firstLine="594"/>
        <w:spacing w:after="0" w:line="256" w:lineRule="auto"/>
        <w:rPr>
          <w:sz w:val="20"/>
          <w:szCs w:val="20"/>
          <w:color w:val="auto"/>
        </w:rPr>
      </w:pPr>
      <w:r>
        <w:rPr>
          <w:rFonts w:ascii="Times New Roman" w:cs="Times New Roman" w:eastAsia="Times New Roman" w:hAnsi="Times New Roman"/>
          <w:sz w:val="19"/>
          <w:szCs w:val="19"/>
          <w:color w:val="1E1E1E"/>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67" w:lineRule="exact"/>
        <w:rPr>
          <w:sz w:val="20"/>
          <w:szCs w:val="20"/>
          <w:color w:val="auto"/>
        </w:rPr>
      </w:pPr>
    </w:p>
    <w:p>
      <w:pPr>
        <w:ind w:right="780" w:firstLine="594"/>
        <w:spacing w:after="0" w:line="415" w:lineRule="auto"/>
        <w:rPr>
          <w:sz w:val="20"/>
          <w:szCs w:val="20"/>
          <w:color w:val="auto"/>
        </w:rPr>
      </w:pPr>
      <w:r>
        <w:rPr>
          <w:rFonts w:ascii="Times New Roman" w:cs="Times New Roman" w:eastAsia="Times New Roman" w:hAnsi="Times New Roman"/>
          <w:sz w:val="19"/>
          <w:szCs w:val="19"/>
          <w:color w:val="1E1E1E"/>
        </w:rPr>
        <w:t xml:space="preserve">Cost of revenue for supplier services primarily consists of internal and external production costs and website hosting. </w:t>
      </w:r>
      <w:r>
        <w:rPr>
          <w:rFonts w:ascii="Times New Roman" w:cs="Times New Roman" w:eastAsia="Times New Roman" w:hAnsi="Times New Roman"/>
          <w:sz w:val="19"/>
          <w:szCs w:val="19"/>
          <w:b w:val="1"/>
          <w:bCs w:val="1"/>
          <w:i w:val="1"/>
          <w:iCs w:val="1"/>
          <w:color w:val="1E1E1E"/>
        </w:rPr>
        <w:t>Gross Profit</w:t>
      </w:r>
    </w:p>
    <w:p>
      <w:pPr>
        <w:spacing w:after="0" w:line="1" w:lineRule="exact"/>
        <w:rPr>
          <w:sz w:val="20"/>
          <w:szCs w:val="20"/>
          <w:color w:val="auto"/>
        </w:rPr>
      </w:pPr>
    </w:p>
    <w:p>
      <w:pPr>
        <w:ind w:right="200" w:firstLine="594"/>
        <w:spacing w:after="0" w:line="267" w:lineRule="auto"/>
        <w:rPr>
          <w:sz w:val="20"/>
          <w:szCs w:val="20"/>
          <w:color w:val="auto"/>
        </w:rPr>
      </w:pPr>
      <w:r>
        <w:rPr>
          <w:rFonts w:ascii="Times New Roman" w:cs="Times New Roman" w:eastAsia="Times New Roman" w:hAnsi="Times New Roman"/>
          <w:sz w:val="19"/>
          <w:szCs w:val="19"/>
          <w:color w:val="1E1E1E"/>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Operating Expenses</w:t>
      </w:r>
    </w:p>
    <w:p>
      <w:pPr>
        <w:spacing w:after="0" w:line="120" w:lineRule="exact"/>
        <w:rPr>
          <w:sz w:val="20"/>
          <w:szCs w:val="20"/>
          <w:color w:val="auto"/>
        </w:rPr>
      </w:pPr>
    </w:p>
    <w:p>
      <w:pPr>
        <w:ind w:right="780" w:firstLine="594"/>
        <w:spacing w:after="0" w:line="290" w:lineRule="auto"/>
        <w:rPr>
          <w:sz w:val="20"/>
          <w:szCs w:val="20"/>
          <w:color w:val="auto"/>
        </w:rPr>
      </w:pPr>
      <w:r>
        <w:rPr>
          <w:rFonts w:ascii="Times New Roman" w:cs="Times New Roman" w:eastAsia="Times New Roman" w:hAnsi="Times New Roman"/>
          <w:sz w:val="19"/>
          <w:szCs w:val="19"/>
          <w:color w:val="1E1E1E"/>
        </w:rPr>
        <w:t>Our operating expenses consist of sales and marketing, operations and support, product development and general and administrative functions.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Sales and Marketing</w:t>
      </w:r>
    </w:p>
    <w:p>
      <w:pPr>
        <w:spacing w:after="0" w:line="120" w:lineRule="exact"/>
        <w:rPr>
          <w:sz w:val="20"/>
          <w:szCs w:val="20"/>
          <w:color w:val="auto"/>
        </w:rPr>
      </w:pPr>
    </w:p>
    <w:p>
      <w:pPr>
        <w:ind w:firstLine="594"/>
        <w:spacing w:after="0" w:line="252" w:lineRule="auto"/>
        <w:rPr>
          <w:sz w:val="20"/>
          <w:szCs w:val="20"/>
          <w:color w:val="auto"/>
        </w:rPr>
      </w:pPr>
      <w:r>
        <w:rPr>
          <w:rFonts w:ascii="Times New Roman" w:cs="Times New Roman" w:eastAsia="Times New Roman" w:hAnsi="Times New Roman"/>
          <w:sz w:val="19"/>
          <w:szCs w:val="19"/>
          <w:color w:val="1E1E1E"/>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Operations and Support</w:t>
      </w:r>
    </w:p>
    <w:p>
      <w:pPr>
        <w:spacing w:after="0" w:line="120" w:lineRule="exact"/>
        <w:rPr>
          <w:sz w:val="20"/>
          <w:szCs w:val="20"/>
          <w:color w:val="auto"/>
        </w:rPr>
      </w:pPr>
    </w:p>
    <w:p>
      <w:pPr>
        <w:ind w:right="180" w:firstLine="594"/>
        <w:spacing w:after="0" w:line="252" w:lineRule="auto"/>
        <w:rPr>
          <w:sz w:val="20"/>
          <w:szCs w:val="20"/>
          <w:color w:val="auto"/>
        </w:rPr>
      </w:pPr>
      <w:r>
        <w:rPr>
          <w:rFonts w:ascii="Times New Roman" w:cs="Times New Roman" w:eastAsia="Times New Roman" w:hAnsi="Times New Roman"/>
          <w:sz w:val="19"/>
          <w:szCs w:val="19"/>
          <w:color w:val="1E1E1E"/>
        </w:rPr>
        <w:t>Operations and support expenses are the costs we incur in support of the buyers and suppliers on our platform which are provided by phone, email and chat for purposes of resolving buyer and suppliers 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Product Development</w:t>
      </w:r>
    </w:p>
    <w:p>
      <w:pPr>
        <w:spacing w:after="0" w:line="120" w:lineRule="exact"/>
        <w:rPr>
          <w:sz w:val="20"/>
          <w:szCs w:val="20"/>
          <w:color w:val="auto"/>
        </w:rPr>
      </w:pPr>
    </w:p>
    <w:p>
      <w:pPr>
        <w:ind w:right="20" w:firstLine="594"/>
        <w:spacing w:after="0" w:line="256" w:lineRule="auto"/>
        <w:rPr>
          <w:sz w:val="20"/>
          <w:szCs w:val="20"/>
          <w:color w:val="auto"/>
        </w:rPr>
      </w:pPr>
      <w:r>
        <w:rPr>
          <w:rFonts w:ascii="Times New Roman" w:cs="Times New Roman" w:eastAsia="Times New Roman" w:hAnsi="Times New Roman"/>
          <w:sz w:val="19"/>
          <w:szCs w:val="19"/>
          <w:color w:val="1E1E1E"/>
        </w:rPr>
        <w:t>Product development costs that are not eligible for capitalization are expensed as incurred. This account also includes compensation expenses, including stock-based compensation expenses to our employees performing these functions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General and Administrative</w:t>
      </w:r>
    </w:p>
    <w:p>
      <w:pPr>
        <w:spacing w:after="0" w:line="120" w:lineRule="exact"/>
        <w:rPr>
          <w:sz w:val="20"/>
          <w:szCs w:val="20"/>
          <w:color w:val="auto"/>
        </w:rPr>
      </w:pPr>
    </w:p>
    <w:p>
      <w:pPr>
        <w:ind w:right="540" w:firstLine="594"/>
        <w:spacing w:after="0" w:line="266" w:lineRule="auto"/>
        <w:rPr>
          <w:sz w:val="20"/>
          <w:szCs w:val="20"/>
          <w:color w:val="auto"/>
        </w:rPr>
      </w:pPr>
      <w:r>
        <w:rPr>
          <w:rFonts w:ascii="Times New Roman" w:cs="Times New Roman" w:eastAsia="Times New Roman" w:hAnsi="Times New Roman"/>
          <w:sz w:val="19"/>
          <w:szCs w:val="19"/>
          <w:color w:val="1E1E1E"/>
        </w:rPr>
        <w:t>General and administrative expenses primarily consist of compensation expenses, including stock-based compensation expenses, for executive, finance, legal and other administrative personnel, professional service fees and certain depreciation and amortization expense. We expect general and administrative expenses to fluctuate as a result of operating as a public company.</w:t>
      </w:r>
    </w:p>
    <w:p>
      <w:pPr>
        <w:sectPr>
          <w:pgSz w:w="11880" w:h="15480" w:orient="portrait"/>
          <w:cols w:equalWidth="0" w:num="1">
            <w:col w:w="10480"/>
          </w:cols>
          <w:pgMar w:left="700" w:top="953" w:right="700" w:bottom="215" w:gutter="0" w:footer="0" w:header="0"/>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53</w:t>
      </w:r>
    </w:p>
    <w:p>
      <w:pPr>
        <w:sectPr>
          <w:pgSz w:w="11880" w:h="15480" w:orient="portrait"/>
          <w:cols w:equalWidth="0" w:num="1">
            <w:col w:w="10480"/>
          </w:cols>
          <w:pgMar w:left="700" w:top="953" w:right="700" w:bottom="215"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9"/>
          <w:szCs w:val="19"/>
          <w:b w:val="1"/>
          <w:bCs w:val="1"/>
          <w:i w:val="1"/>
          <w:iCs w:val="1"/>
          <w:color w:val="1E1E1E"/>
        </w:rPr>
        <w:t>Other Income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Expense</w:t>
      </w:r>
    </w:p>
    <w:p>
      <w:pPr>
        <w:spacing w:after="0" w:line="118" w:lineRule="exact"/>
        <w:rPr>
          <w:sz w:val="20"/>
          <w:szCs w:val="20"/>
          <w:color w:val="auto"/>
        </w:rPr>
      </w:pPr>
    </w:p>
    <w:p>
      <w:pPr>
        <w:jc w:val="both"/>
        <w:ind w:right="220" w:firstLine="594"/>
        <w:spacing w:after="0" w:line="267" w:lineRule="auto"/>
        <w:rPr>
          <w:sz w:val="20"/>
          <w:szCs w:val="20"/>
          <w:color w:val="auto"/>
        </w:rPr>
      </w:pPr>
      <w:r>
        <w:rPr>
          <w:rFonts w:ascii="Times New Roman" w:cs="Times New Roman" w:eastAsia="Times New Roman" w:hAnsi="Times New Roman"/>
          <w:sz w:val="19"/>
          <w:szCs w:val="19"/>
          <w:color w:val="1E1E1E"/>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and Dividend Income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Interest and dividend income consists of interest and dividends on our cash, cash equivalents and marketable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Other Expenses</w:t>
      </w:r>
    </w:p>
    <w:p>
      <w:pPr>
        <w:spacing w:after="0" w:line="118" w:lineRule="exact"/>
        <w:rPr>
          <w:sz w:val="20"/>
          <w:szCs w:val="20"/>
          <w:color w:val="auto"/>
        </w:rPr>
      </w:pPr>
    </w:p>
    <w:p>
      <w:pPr>
        <w:ind w:right="80" w:firstLine="594"/>
        <w:spacing w:after="0" w:line="290" w:lineRule="auto"/>
        <w:rPr>
          <w:sz w:val="20"/>
          <w:szCs w:val="20"/>
          <w:color w:val="auto"/>
        </w:rPr>
      </w:pPr>
      <w:r>
        <w:rPr>
          <w:rFonts w:ascii="Times New Roman" w:cs="Times New Roman" w:eastAsia="Times New Roman" w:hAnsi="Times New Roman"/>
          <w:sz w:val="19"/>
          <w:szCs w:val="19"/>
          <w:color w:val="1E1E1E"/>
        </w:rPr>
        <w:t>Other expenses consist primarily of realized and/or unrealized losses on marketable securities, losses on the extinguishment of debt and other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Income from Unconsolidated Joint Venture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Income from unconsolidated joint venture consists of our share of the joint venture's income.</w:t>
      </w:r>
    </w:p>
    <w:p>
      <w:pPr>
        <w:spacing w:after="0" w:line="1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9"/>
          <w:szCs w:val="19"/>
          <w:b w:val="1"/>
          <w:bCs w:val="1"/>
          <w:color w:val="1E1E1E"/>
        </w:rPr>
        <w:t>Results of Operations</w:t>
      </w:r>
    </w:p>
    <w:p>
      <w:pPr>
        <w:spacing w:after="0" w:line="124" w:lineRule="exact"/>
        <w:rPr>
          <w:sz w:val="20"/>
          <w:szCs w:val="20"/>
          <w:color w:val="auto"/>
        </w:rPr>
      </w:pPr>
    </w:p>
    <w:p>
      <w:pPr>
        <w:ind w:right="460" w:firstLine="600"/>
        <w:spacing w:after="0" w:line="256" w:lineRule="auto"/>
        <w:rPr>
          <w:sz w:val="20"/>
          <w:szCs w:val="20"/>
          <w:color w:val="auto"/>
        </w:rPr>
      </w:pPr>
      <w:r>
        <w:rPr>
          <w:rFonts w:ascii="Times New Roman" w:cs="Times New Roman" w:eastAsia="Times New Roman" w:hAnsi="Times New Roman"/>
          <w:sz w:val="19"/>
          <w:szCs w:val="19"/>
          <w:color w:val="1E1E1E"/>
        </w:rPr>
        <w:t xml:space="preserve">Our historical results for the year ended December 31, 2022 have been revised to reflect immaterial corrections related to revenue, cost of revenue, sales and marketing, operations and support and general and administrative. These revisions ensure comparability across all periods reflected herein. Refer to Note 2, Summary of Significant Accounting Policies, </w:t>
      </w:r>
      <w:r>
        <w:rPr>
          <w:rFonts w:ascii="Times New Roman" w:cs="Times New Roman" w:eastAsia="Times New Roman" w:hAnsi="Times New Roman"/>
          <w:sz w:val="19"/>
          <w:szCs w:val="19"/>
          <w:i w:val="1"/>
          <w:iCs w:val="1"/>
          <w:color w:val="1E1E1E"/>
        </w:rPr>
        <w:t>Principles of</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Consolidation and Basis of Presentation</w:t>
      </w:r>
      <w:r>
        <w:rPr>
          <w:rFonts w:ascii="Times New Roman" w:cs="Times New Roman" w:eastAsia="Times New Roman" w:hAnsi="Times New Roman"/>
          <w:sz w:val="19"/>
          <w:szCs w:val="19"/>
          <w:color w:val="1E1E1E"/>
        </w:rPr>
        <w:t>, included elsewhere in this Form 10-K for more information regarding the immaterial</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corrections to our results for the prior year.</w:t>
      </w:r>
    </w:p>
    <w:p>
      <w:pPr>
        <w:spacing w:after="0" w:line="67" w:lineRule="exact"/>
        <w:rPr>
          <w:sz w:val="20"/>
          <w:szCs w:val="20"/>
          <w:color w:val="auto"/>
        </w:rPr>
      </w:pPr>
    </w:p>
    <w:p>
      <w:pPr>
        <w:ind w:right="40" w:firstLine="600"/>
        <w:spacing w:after="0" w:line="290" w:lineRule="auto"/>
        <w:rPr>
          <w:sz w:val="20"/>
          <w:szCs w:val="20"/>
          <w:color w:val="auto"/>
        </w:rPr>
      </w:pPr>
      <w:r>
        <w:rPr>
          <w:rFonts w:ascii="Times New Roman" w:cs="Times New Roman" w:eastAsia="Times New Roman" w:hAnsi="Times New Roman"/>
          <w:sz w:val="19"/>
          <w:szCs w:val="19"/>
          <w:color w:val="1E1E1E"/>
        </w:rPr>
        <w:t>The following is our discussion of the consolidated results of operations for the year ended December 31, 2023 as compared to the year ended December 31, 2022.</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following table sets forth our statement of operations data for the years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1E1E1E"/>
              <w:bottom w:val="single" w:sz="8" w:color="1E1E1E"/>
            </w:tcBorders>
          </w:tcPr>
          <w:p>
            <w:pPr>
              <w:spacing w:after="0"/>
              <w:rPr>
                <w:sz w:val="14"/>
                <w:szCs w:val="14"/>
                <w:color w:val="auto"/>
              </w:rPr>
            </w:pPr>
          </w:p>
        </w:tc>
        <w:tc>
          <w:tcPr>
            <w:tcW w:w="1120" w:type="dxa"/>
            <w:vAlign w:val="bottom"/>
            <w:tcBorders>
              <w:top w:val="single" w:sz="8" w:color="1E1E1E"/>
              <w:bottom w:val="single" w:sz="8" w:color="1E1E1E"/>
            </w:tcBorders>
          </w:tcPr>
          <w:p>
            <w:pPr>
              <w:jc w:val="right"/>
              <w:ind w:right="466"/>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280" w:type="dxa"/>
            <w:vAlign w:val="bottom"/>
            <w:tcBorders>
              <w:top w:val="single" w:sz="8" w:color="1E1E1E"/>
            </w:tcBorders>
          </w:tcPr>
          <w:p>
            <w:pPr>
              <w:spacing w:after="0"/>
              <w:rPr>
                <w:sz w:val="14"/>
                <w:szCs w:val="14"/>
                <w:color w:val="auto"/>
              </w:rPr>
            </w:pPr>
          </w:p>
        </w:tc>
        <w:tc>
          <w:tcPr>
            <w:tcW w:w="460" w:type="dxa"/>
            <w:vAlign w:val="bottom"/>
            <w:tcBorders>
              <w:top w:val="single" w:sz="8" w:color="1E1E1E"/>
              <w:bottom w:val="single" w:sz="8" w:color="1E1E1E"/>
            </w:tcBorders>
          </w:tcPr>
          <w:p>
            <w:pPr>
              <w:spacing w:after="0"/>
              <w:rPr>
                <w:sz w:val="14"/>
                <w:szCs w:val="14"/>
                <w:color w:val="auto"/>
              </w:rPr>
            </w:pPr>
          </w:p>
        </w:tc>
        <w:tc>
          <w:tcPr>
            <w:tcW w:w="1000" w:type="dxa"/>
            <w:vAlign w:val="bottom"/>
            <w:tcBorders>
              <w:top w:val="single" w:sz="8" w:color="1E1E1E"/>
              <w:bottom w:val="single" w:sz="8" w:color="1E1E1E"/>
            </w:tcBorders>
          </w:tcPr>
          <w:p>
            <w:pPr>
              <w:jc w:val="right"/>
              <w:ind w:right="484"/>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14"/>
                <w:szCs w:val="14"/>
                <w:color w:val="auto"/>
              </w:rPr>
            </w:pP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6"/>
              <w:spacing w:after="0" w:line="168" w:lineRule="exact"/>
              <w:rPr>
                <w:sz w:val="20"/>
                <w:szCs w:val="20"/>
                <w:color w:val="auto"/>
              </w:rPr>
            </w:pPr>
            <w:r>
              <w:rPr>
                <w:rFonts w:ascii="Times New Roman" w:cs="Times New Roman" w:eastAsia="Times New Roman" w:hAnsi="Times New Roman"/>
                <w:sz w:val="16"/>
                <w:szCs w:val="16"/>
                <w:b w:val="1"/>
                <w:bCs w:val="1"/>
                <w:color w:val="1E1E1E"/>
              </w:rPr>
              <w:t>(in</w:t>
            </w:r>
          </w:p>
        </w:tc>
        <w:tc>
          <w:tcPr>
            <w:tcW w:w="740" w:type="dxa"/>
            <w:vAlign w:val="bottom"/>
            <w:gridSpan w:val="2"/>
          </w:tcPr>
          <w:p>
            <w:pPr>
              <w:jc w:val="center"/>
              <w:ind w:right="23"/>
              <w:spacing w:after="0" w:line="168" w:lineRule="exact"/>
              <w:rPr>
                <w:sz w:val="20"/>
                <w:szCs w:val="20"/>
                <w:color w:val="auto"/>
              </w:rPr>
            </w:pPr>
            <w:r>
              <w:rPr>
                <w:rFonts w:ascii="Times New Roman" w:cs="Times New Roman" w:eastAsia="Times New Roman" w:hAnsi="Times New Roman"/>
                <w:sz w:val="16"/>
                <w:szCs w:val="16"/>
                <w:b w:val="1"/>
                <w:bCs w:val="1"/>
                <w:color w:val="1E1E1E"/>
                <w:w w:val="82"/>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0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500" w:type="dxa"/>
            <w:vAlign w:val="bottom"/>
            <w:gridSpan w:val="3"/>
            <w:shd w:val="clear" w:color="auto" w:fill="E4E4E4"/>
          </w:tcPr>
          <w:p>
            <w:pPr>
              <w:jc w:val="right"/>
              <w:ind w:right="186"/>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463,406</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jc w:val="center"/>
              <w:ind w:right="263"/>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380,921</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285,147</w:t>
            </w:r>
          </w:p>
        </w:tc>
        <w:tc>
          <w:tcPr>
            <w:tcW w:w="280" w:type="dxa"/>
            <w:vAlign w:val="bottom"/>
            <w:tcBorders>
              <w:bottom w:val="single" w:sz="8" w:color="E4E4E4"/>
            </w:tcBorders>
          </w:tcPr>
          <w:p>
            <w:pPr>
              <w:spacing w:after="0"/>
              <w:rPr>
                <w:sz w:val="19"/>
                <w:szCs w:val="19"/>
                <w:color w:val="auto"/>
              </w:rPr>
            </w:pPr>
          </w:p>
        </w:tc>
        <w:tc>
          <w:tcPr>
            <w:tcW w:w="4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234,930</w:t>
            </w:r>
          </w:p>
        </w:tc>
        <w:tc>
          <w:tcPr>
            <w:tcW w:w="100" w:type="dxa"/>
            <w:vAlign w:val="bottom"/>
            <w:tcBorders>
              <w:bottom w:val="single" w:sz="8" w:color="E4E4E4"/>
            </w:tcBorders>
          </w:tcPr>
          <w:p>
            <w:pPr>
              <w:spacing w:after="0"/>
              <w:rPr>
                <w:sz w:val="19"/>
                <w:szCs w:val="19"/>
                <w:color w:val="auto"/>
              </w:rPr>
            </w:pPr>
          </w:p>
        </w:tc>
      </w:tr>
      <w:tr>
        <w:trPr>
          <w:trHeight w:val="213"/>
        </w:trPr>
        <w:tc>
          <w:tcPr>
            <w:tcW w:w="70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1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178,259</w:t>
            </w:r>
          </w:p>
        </w:tc>
        <w:tc>
          <w:tcPr>
            <w:tcW w:w="2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0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145,991</w:t>
            </w:r>
          </w:p>
        </w:tc>
        <w:tc>
          <w:tcPr>
            <w:tcW w:w="100" w:type="dxa"/>
            <w:vAlign w:val="bottom"/>
            <w:shd w:val="clear" w:color="auto" w:fill="E4E4E4"/>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9"/>
                <w:szCs w:val="19"/>
                <w:color w:val="1E1E1E"/>
              </w:rPr>
              <w:t>Operating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Sales and marketing</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93,688</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84,371</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Operations and support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52,372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48,628</w:t>
            </w: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Product development</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34,462</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31,013</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70,916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58,246</w:t>
            </w:r>
          </w:p>
        </w:tc>
        <w:tc>
          <w:tcPr>
            <w:tcW w:w="100" w:type="dxa"/>
            <w:vAlign w:val="bottom"/>
          </w:tcPr>
          <w:p>
            <w:pPr>
              <w:spacing w:after="0"/>
              <w:rPr>
                <w:sz w:val="19"/>
                <w:szCs w:val="19"/>
                <w:color w:val="auto"/>
              </w:rPr>
            </w:pPr>
          </w:p>
        </w:tc>
      </w:tr>
      <w:tr>
        <w:trPr>
          <w:trHeight w:val="243"/>
        </w:trPr>
        <w:tc>
          <w:tcPr>
            <w:tcW w:w="702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Impairment of assets</w:t>
            </w:r>
          </w:p>
        </w:tc>
        <w:tc>
          <w:tcPr>
            <w:tcW w:w="18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1E1E1E"/>
            </w:tcBorders>
            <w:shd w:val="clear" w:color="auto" w:fill="E4E4E4"/>
          </w:tcPr>
          <w:p>
            <w:pPr>
              <w:spacing w:after="0"/>
              <w:rPr>
                <w:sz w:val="21"/>
                <w:szCs w:val="21"/>
                <w:color w:val="auto"/>
              </w:rPr>
            </w:pPr>
          </w:p>
        </w:tc>
        <w:tc>
          <w:tcPr>
            <w:tcW w:w="11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397</w:t>
            </w:r>
          </w:p>
        </w:tc>
        <w:tc>
          <w:tcPr>
            <w:tcW w:w="28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1E1E1E"/>
            </w:tcBorders>
            <w:shd w:val="clear" w:color="auto" w:fill="E4E4E4"/>
          </w:tcPr>
          <w:p>
            <w:pPr>
              <w:spacing w:after="0"/>
              <w:rPr>
                <w:sz w:val="21"/>
                <w:szCs w:val="21"/>
                <w:color w:val="auto"/>
              </w:rPr>
            </w:pPr>
          </w:p>
        </w:tc>
        <w:tc>
          <w:tcPr>
            <w:tcW w:w="10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824</w:t>
            </w:r>
          </w:p>
        </w:tc>
        <w:tc>
          <w:tcPr>
            <w:tcW w:w="100" w:type="dxa"/>
            <w:vAlign w:val="bottom"/>
            <w:tcBorders>
              <w:bottom w:val="single" w:sz="8" w:color="E4E4E4"/>
            </w:tcBorders>
            <w:shd w:val="clear" w:color="auto" w:fill="E4E4E4"/>
          </w:tcPr>
          <w:p>
            <w:pPr>
              <w:spacing w:after="0"/>
              <w:rPr>
                <w:sz w:val="21"/>
                <w:szCs w:val="21"/>
                <w:color w:val="auto"/>
              </w:rPr>
            </w:pPr>
          </w:p>
        </w:tc>
      </w:tr>
      <w:tr>
        <w:trPr>
          <w:trHeight w:val="193"/>
        </w:trPr>
        <w:tc>
          <w:tcPr>
            <w:tcW w:w="7020" w:type="dxa"/>
            <w:vAlign w:val="bottom"/>
            <w:tcBorders>
              <w:bottom w:val="single" w:sz="8" w:color="E4E4E4"/>
            </w:tcBorders>
          </w:tcPr>
          <w:p>
            <w:pPr>
              <w:ind w:left="380"/>
              <w:spacing w:after="0" w:line="193" w:lineRule="exact"/>
              <w:rPr>
                <w:sz w:val="20"/>
                <w:szCs w:val="20"/>
                <w:color w:val="auto"/>
              </w:rPr>
            </w:pPr>
            <w:r>
              <w:rPr>
                <w:rFonts w:ascii="Times New Roman" w:cs="Times New Roman" w:eastAsia="Times New Roman" w:hAnsi="Times New Roman"/>
                <w:sz w:val="19"/>
                <w:szCs w:val="19"/>
                <w:color w:val="1E1E1E"/>
              </w:rPr>
              <w:t>Total operating expenses</w:t>
            </w:r>
          </w:p>
        </w:tc>
        <w:tc>
          <w:tcPr>
            <w:tcW w:w="180" w:type="dxa"/>
            <w:vAlign w:val="bottom"/>
            <w:tcBorders>
              <w:bottom w:val="single" w:sz="8" w:color="E4E4E4"/>
            </w:tcBorders>
          </w:tcPr>
          <w:p>
            <w:pPr>
              <w:spacing w:after="0"/>
              <w:rPr>
                <w:sz w:val="16"/>
                <w:szCs w:val="16"/>
                <w:color w:val="auto"/>
              </w:rPr>
            </w:pPr>
          </w:p>
        </w:tc>
        <w:tc>
          <w:tcPr>
            <w:tcW w:w="20" w:type="dxa"/>
            <w:vAlign w:val="bottom"/>
            <w:tcBorders>
              <w:bottom w:val="single" w:sz="8" w:color="E4E4E4"/>
            </w:tcBorders>
          </w:tcPr>
          <w:p>
            <w:pPr>
              <w:spacing w:after="0"/>
              <w:rPr>
                <w:sz w:val="16"/>
                <w:szCs w:val="16"/>
                <w:color w:val="auto"/>
              </w:rPr>
            </w:pPr>
          </w:p>
        </w:tc>
        <w:tc>
          <w:tcPr>
            <w:tcW w:w="300" w:type="dxa"/>
            <w:vAlign w:val="bottom"/>
            <w:tcBorders>
              <w:bottom w:val="single" w:sz="8" w:color="1E1E1E"/>
            </w:tcBorders>
          </w:tcPr>
          <w:p>
            <w:pPr>
              <w:spacing w:after="0"/>
              <w:rPr>
                <w:sz w:val="16"/>
                <w:szCs w:val="16"/>
                <w:color w:val="auto"/>
              </w:rPr>
            </w:pPr>
          </w:p>
        </w:tc>
        <w:tc>
          <w:tcPr>
            <w:tcW w:w="112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251,835</w:t>
            </w:r>
          </w:p>
        </w:tc>
        <w:tc>
          <w:tcPr>
            <w:tcW w:w="280" w:type="dxa"/>
            <w:vAlign w:val="bottom"/>
            <w:tcBorders>
              <w:bottom w:val="single" w:sz="8" w:color="E4E4E4"/>
            </w:tcBorders>
          </w:tcPr>
          <w:p>
            <w:pPr>
              <w:spacing w:after="0"/>
              <w:rPr>
                <w:sz w:val="16"/>
                <w:szCs w:val="16"/>
                <w:color w:val="auto"/>
              </w:rPr>
            </w:pPr>
          </w:p>
        </w:tc>
        <w:tc>
          <w:tcPr>
            <w:tcW w:w="460" w:type="dxa"/>
            <w:vAlign w:val="bottom"/>
            <w:tcBorders>
              <w:bottom w:val="single" w:sz="8" w:color="1E1E1E"/>
            </w:tcBorders>
          </w:tcPr>
          <w:p>
            <w:pPr>
              <w:spacing w:after="0"/>
              <w:rPr>
                <w:sz w:val="16"/>
                <w:szCs w:val="16"/>
                <w:color w:val="auto"/>
              </w:rPr>
            </w:pPr>
          </w:p>
        </w:tc>
        <w:tc>
          <w:tcPr>
            <w:tcW w:w="100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223,082</w:t>
            </w:r>
          </w:p>
        </w:tc>
        <w:tc>
          <w:tcPr>
            <w:tcW w:w="100" w:type="dxa"/>
            <w:vAlign w:val="bottom"/>
            <w:tcBorders>
              <w:bottom w:val="single" w:sz="8" w:color="E4E4E4"/>
            </w:tcBorders>
          </w:tcPr>
          <w:p>
            <w:pPr>
              <w:spacing w:after="0"/>
              <w:rPr>
                <w:sz w:val="16"/>
                <w:szCs w:val="16"/>
                <w:color w:val="auto"/>
              </w:rPr>
            </w:pPr>
          </w:p>
        </w:tc>
      </w:tr>
      <w:tr>
        <w:trPr>
          <w:trHeight w:val="213"/>
        </w:trPr>
        <w:tc>
          <w:tcPr>
            <w:tcW w:w="70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Loss from operations</w:t>
            </w: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1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(73,576)</w:t>
            </w:r>
          </w:p>
        </w:tc>
        <w:tc>
          <w:tcPr>
            <w:tcW w:w="2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0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(77,091)</w:t>
            </w:r>
          </w:p>
        </w:tc>
        <w:tc>
          <w:tcPr>
            <w:tcW w:w="100" w:type="dxa"/>
            <w:vAlign w:val="bottom"/>
            <w:shd w:val="clear" w:color="auto" w:fill="E4E4E4"/>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9"/>
                <w:szCs w:val="19"/>
                <w:color w:val="1E1E1E"/>
              </w:rPr>
              <w:t>Other income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Interest expense</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22"/>
              <w:spacing w:after="0"/>
              <w:rPr>
                <w:sz w:val="20"/>
                <w:szCs w:val="20"/>
                <w:color w:val="auto"/>
              </w:rPr>
            </w:pPr>
            <w:r>
              <w:rPr>
                <w:rFonts w:ascii="Times New Roman" w:cs="Times New Roman" w:eastAsia="Times New Roman" w:hAnsi="Times New Roman"/>
                <w:sz w:val="19"/>
                <w:szCs w:val="19"/>
                <w:color w:val="1E1E1E"/>
              </w:rPr>
              <w:t>(4,784)</w:t>
            </w: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(4,418)</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Interest and dividend income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11,607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4,115</w:t>
            </w: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Other expenses</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22"/>
              <w:spacing w:after="0"/>
              <w:rPr>
                <w:sz w:val="20"/>
                <w:szCs w:val="20"/>
                <w:color w:val="auto"/>
              </w:rPr>
            </w:pPr>
            <w:r>
              <w:rPr>
                <w:rFonts w:ascii="Times New Roman" w:cs="Times New Roman" w:eastAsia="Times New Roman" w:hAnsi="Times New Roman"/>
                <w:sz w:val="19"/>
                <w:szCs w:val="19"/>
                <w:color w:val="1E1E1E"/>
              </w:rPr>
              <w:t>(1,511)</w:t>
            </w: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(2,183)</w:t>
            </w:r>
          </w:p>
        </w:tc>
      </w:tr>
      <w:tr>
        <w:trPr>
          <w:trHeight w:val="223"/>
        </w:trPr>
        <w:tc>
          <w:tcPr>
            <w:tcW w:w="70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19"/>
                <w:szCs w:val="19"/>
                <w:color w:val="1E1E1E"/>
              </w:rPr>
              <w:t>Income from unconsolidated joint venture</w:t>
            </w: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446</w:t>
            </w:r>
          </w:p>
        </w:tc>
        <w:tc>
          <w:tcPr>
            <w:tcW w:w="280" w:type="dxa"/>
            <w:vAlign w:val="bottom"/>
            <w:tcBorders>
              <w:bottom w:val="single" w:sz="8" w:color="E4E4E4"/>
            </w:tcBorders>
          </w:tcPr>
          <w:p>
            <w:pPr>
              <w:spacing w:after="0"/>
              <w:rPr>
                <w:sz w:val="19"/>
                <w:szCs w:val="19"/>
                <w:color w:val="auto"/>
              </w:rPr>
            </w:pPr>
          </w:p>
        </w:tc>
        <w:tc>
          <w:tcPr>
            <w:tcW w:w="4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570</w:t>
            </w:r>
          </w:p>
        </w:tc>
        <w:tc>
          <w:tcPr>
            <w:tcW w:w="100" w:type="dxa"/>
            <w:vAlign w:val="bottom"/>
            <w:tcBorders>
              <w:bottom w:val="single" w:sz="8" w:color="E4E4E4"/>
            </w:tcBorders>
          </w:tcPr>
          <w:p>
            <w:pPr>
              <w:spacing w:after="0"/>
              <w:rPr>
                <w:sz w:val="19"/>
                <w:szCs w:val="19"/>
                <w:color w:val="auto"/>
              </w:rPr>
            </w:pPr>
          </w:p>
        </w:tc>
      </w:tr>
      <w:tr>
        <w:trPr>
          <w:trHeight w:val="233"/>
        </w:trPr>
        <w:tc>
          <w:tcPr>
            <w:tcW w:w="7020" w:type="dxa"/>
            <w:vAlign w:val="bottom"/>
            <w:tcBorders>
              <w:bottom w:val="single" w:sz="8" w:color="E4E4E4"/>
            </w:tcBorders>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other income (expenses)</w:t>
            </w:r>
          </w:p>
        </w:tc>
        <w:tc>
          <w:tcPr>
            <w:tcW w:w="18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1E1E1E"/>
            </w:tcBorders>
            <w:shd w:val="clear" w:color="auto" w:fill="E4E4E4"/>
          </w:tcPr>
          <w:p>
            <w:pPr>
              <w:spacing w:after="0"/>
              <w:rPr>
                <w:sz w:val="20"/>
                <w:szCs w:val="20"/>
                <w:color w:val="auto"/>
              </w:rPr>
            </w:pPr>
          </w:p>
        </w:tc>
        <w:tc>
          <w:tcPr>
            <w:tcW w:w="11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5,758</w:t>
            </w:r>
          </w:p>
        </w:tc>
        <w:tc>
          <w:tcPr>
            <w:tcW w:w="2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1E1E1E"/>
            </w:tcBorders>
            <w:shd w:val="clear" w:color="auto" w:fill="E4E4E4"/>
          </w:tcPr>
          <w:p>
            <w:pPr>
              <w:spacing w:after="0"/>
              <w:rPr>
                <w:sz w:val="20"/>
                <w:szCs w:val="20"/>
                <w:color w:val="auto"/>
              </w:rPr>
            </w:pPr>
          </w:p>
        </w:tc>
        <w:tc>
          <w:tcPr>
            <w:tcW w:w="10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(1,916)</w:t>
            </w:r>
          </w:p>
        </w:tc>
        <w:tc>
          <w:tcPr>
            <w:tcW w:w="100" w:type="dxa"/>
            <w:vAlign w:val="bottom"/>
            <w:tcBorders>
              <w:bottom w:val="single" w:sz="8" w:color="E4E4E4"/>
            </w:tcBorders>
            <w:shd w:val="clear" w:color="auto" w:fill="E4E4E4"/>
          </w:tcPr>
          <w:p>
            <w:pPr>
              <w:spacing w:after="0"/>
              <w:rPr>
                <w:sz w:val="20"/>
                <w:szCs w:val="20"/>
                <w:color w:val="auto"/>
              </w:rPr>
            </w:pPr>
          </w:p>
        </w:tc>
      </w:tr>
      <w:tr>
        <w:trPr>
          <w:trHeight w:val="193"/>
        </w:trPr>
        <w:tc>
          <w:tcPr>
            <w:tcW w:w="7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1E1E1E"/>
              </w:rPr>
              <w:t>Loss before income taxes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1E1E1E"/>
              </w:rPr>
              <w:t>(67,818)</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1E1E1E"/>
              </w:rPr>
              <w:t>(79,007)</w:t>
            </w:r>
          </w:p>
        </w:tc>
        <w:tc>
          <w:tcPr>
            <w:tcW w:w="100" w:type="dxa"/>
            <w:vAlign w:val="bottom"/>
          </w:tcPr>
          <w:p>
            <w:pPr>
              <w:spacing w:after="0"/>
              <w:rPr>
                <w:sz w:val="16"/>
                <w:szCs w:val="16"/>
                <w:color w:val="auto"/>
              </w:rPr>
            </w:pPr>
          </w:p>
        </w:tc>
      </w:tr>
      <w:tr>
        <w:trPr>
          <w:trHeight w:val="243"/>
        </w:trPr>
        <w:tc>
          <w:tcPr>
            <w:tcW w:w="702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Benefit (provision) for income taxes</w:t>
            </w:r>
          </w:p>
        </w:tc>
        <w:tc>
          <w:tcPr>
            <w:tcW w:w="180" w:type="dxa"/>
            <w:vAlign w:val="bottom"/>
            <w:shd w:val="clear" w:color="auto" w:fill="E4E4E4"/>
          </w:tcPr>
          <w:p>
            <w:pPr>
              <w:spacing w:after="0"/>
              <w:rPr>
                <w:sz w:val="21"/>
                <w:szCs w:val="21"/>
                <w:color w:val="auto"/>
              </w:rPr>
            </w:pPr>
          </w:p>
        </w:tc>
        <w:tc>
          <w:tcPr>
            <w:tcW w:w="20" w:type="dxa"/>
            <w:vAlign w:val="bottom"/>
            <w:shd w:val="clear" w:color="auto" w:fill="E4E4E4"/>
          </w:tcPr>
          <w:p>
            <w:pPr>
              <w:spacing w:after="0"/>
              <w:rPr>
                <w:sz w:val="21"/>
                <w:szCs w:val="21"/>
                <w:color w:val="auto"/>
              </w:rPr>
            </w:pPr>
          </w:p>
        </w:tc>
        <w:tc>
          <w:tcPr>
            <w:tcW w:w="300" w:type="dxa"/>
            <w:vAlign w:val="bottom"/>
            <w:shd w:val="clear" w:color="auto" w:fill="E4E4E4"/>
          </w:tcPr>
          <w:p>
            <w:pPr>
              <w:spacing w:after="0"/>
              <w:rPr>
                <w:sz w:val="21"/>
                <w:szCs w:val="21"/>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353</w:t>
            </w:r>
          </w:p>
        </w:tc>
        <w:tc>
          <w:tcPr>
            <w:tcW w:w="280" w:type="dxa"/>
            <w:vAlign w:val="bottom"/>
            <w:shd w:val="clear" w:color="auto" w:fill="E4E4E4"/>
          </w:tcPr>
          <w:p>
            <w:pPr>
              <w:spacing w:after="0"/>
              <w:rPr>
                <w:sz w:val="21"/>
                <w:szCs w:val="21"/>
                <w:color w:val="auto"/>
              </w:rPr>
            </w:pPr>
          </w:p>
        </w:tc>
        <w:tc>
          <w:tcPr>
            <w:tcW w:w="460" w:type="dxa"/>
            <w:vAlign w:val="bottom"/>
            <w:shd w:val="clear" w:color="auto" w:fill="E4E4E4"/>
          </w:tcPr>
          <w:p>
            <w:pPr>
              <w:spacing w:after="0"/>
              <w:rPr>
                <w:sz w:val="21"/>
                <w:szCs w:val="21"/>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(36)</w:t>
            </w:r>
          </w:p>
        </w:tc>
      </w:tr>
      <w:tr>
        <w:trPr>
          <w:trHeight w:val="193"/>
        </w:trPr>
        <w:tc>
          <w:tcPr>
            <w:tcW w:w="7020" w:type="dxa"/>
            <w:vAlign w:val="bottom"/>
            <w:tcBorders>
              <w:top w:val="single" w:sz="8" w:color="E4E4E4"/>
            </w:tcBorders>
          </w:tcPr>
          <w:p>
            <w:pPr>
              <w:spacing w:after="0" w:line="193" w:lineRule="exact"/>
              <w:rPr>
                <w:sz w:val="20"/>
                <w:szCs w:val="20"/>
                <w:color w:val="auto"/>
              </w:rPr>
            </w:pPr>
            <w:r>
              <w:rPr>
                <w:rFonts w:ascii="Times New Roman" w:cs="Times New Roman" w:eastAsia="Times New Roman" w:hAnsi="Times New Roman"/>
                <w:sz w:val="19"/>
                <w:szCs w:val="19"/>
                <w:color w:val="1E1E1E"/>
              </w:rPr>
              <w:t>Net loss</w:t>
            </w:r>
          </w:p>
        </w:tc>
        <w:tc>
          <w:tcPr>
            <w:tcW w:w="180" w:type="dxa"/>
            <w:vAlign w:val="bottom"/>
            <w:tcBorders>
              <w:top w:val="single" w:sz="8" w:color="E4E4E4"/>
            </w:tcBorders>
          </w:tcPr>
          <w:p>
            <w:pPr>
              <w:spacing w:after="0"/>
              <w:rPr>
                <w:sz w:val="16"/>
                <w:szCs w:val="16"/>
                <w:color w:val="auto"/>
              </w:rPr>
            </w:pPr>
          </w:p>
        </w:tc>
        <w:tc>
          <w:tcPr>
            <w:tcW w:w="20" w:type="dxa"/>
            <w:vAlign w:val="bottom"/>
            <w:tcBorders>
              <w:top w:val="single" w:sz="8" w:color="E4E4E4"/>
            </w:tcBorders>
          </w:tcPr>
          <w:p>
            <w:pPr>
              <w:spacing w:after="0"/>
              <w:rPr>
                <w:sz w:val="16"/>
                <w:szCs w:val="16"/>
                <w:color w:val="auto"/>
              </w:rPr>
            </w:pPr>
          </w:p>
        </w:tc>
        <w:tc>
          <w:tcPr>
            <w:tcW w:w="300" w:type="dxa"/>
            <w:vAlign w:val="bottom"/>
            <w:tcBorders>
              <w:top w:val="single" w:sz="8" w:color="1E1E1E"/>
            </w:tcBorders>
          </w:tcPr>
          <w:p>
            <w:pPr>
              <w:spacing w:after="0"/>
              <w:rPr>
                <w:sz w:val="16"/>
                <w:szCs w:val="16"/>
                <w:color w:val="auto"/>
              </w:rPr>
            </w:pPr>
          </w:p>
        </w:tc>
        <w:tc>
          <w:tcPr>
            <w:tcW w:w="112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(67,465)</w:t>
            </w:r>
          </w:p>
        </w:tc>
        <w:tc>
          <w:tcPr>
            <w:tcW w:w="280" w:type="dxa"/>
            <w:vAlign w:val="bottom"/>
            <w:tcBorders>
              <w:top w:val="single" w:sz="8" w:color="E4E4E4"/>
            </w:tcBorders>
          </w:tcPr>
          <w:p>
            <w:pPr>
              <w:spacing w:after="0"/>
              <w:rPr>
                <w:sz w:val="16"/>
                <w:szCs w:val="16"/>
                <w:color w:val="auto"/>
              </w:rPr>
            </w:pPr>
          </w:p>
        </w:tc>
        <w:tc>
          <w:tcPr>
            <w:tcW w:w="460" w:type="dxa"/>
            <w:vAlign w:val="bottom"/>
            <w:tcBorders>
              <w:top w:val="single" w:sz="8" w:color="1E1E1E"/>
            </w:tcBorders>
          </w:tcPr>
          <w:p>
            <w:pPr>
              <w:spacing w:after="0"/>
              <w:rPr>
                <w:sz w:val="16"/>
                <w:szCs w:val="16"/>
                <w:color w:val="auto"/>
              </w:rPr>
            </w:pPr>
          </w:p>
        </w:tc>
        <w:tc>
          <w:tcPr>
            <w:tcW w:w="100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(79,043)</w:t>
            </w:r>
          </w:p>
        </w:tc>
        <w:tc>
          <w:tcPr>
            <w:tcW w:w="100" w:type="dxa"/>
            <w:vAlign w:val="bottom"/>
            <w:tcBorders>
              <w:top w:val="single" w:sz="8" w:color="E4E4E4"/>
            </w:tcBorders>
          </w:tcPr>
          <w:p>
            <w:pPr>
              <w:spacing w:after="0"/>
              <w:rPr>
                <w:sz w:val="16"/>
                <w:szCs w:val="16"/>
                <w:color w:val="auto"/>
              </w:rPr>
            </w:pPr>
          </w:p>
        </w:tc>
      </w:tr>
      <w:tr>
        <w:trPr>
          <w:trHeight w:val="243"/>
        </w:trPr>
        <w:tc>
          <w:tcPr>
            <w:tcW w:w="702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Net income attributable to noncontrolling interest</w:t>
            </w:r>
          </w:p>
        </w:tc>
        <w:tc>
          <w:tcPr>
            <w:tcW w:w="18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300" w:type="dxa"/>
            <w:vAlign w:val="bottom"/>
            <w:tcBorders>
              <w:bottom w:val="single" w:sz="8" w:color="1E1E1E"/>
            </w:tcBorders>
            <w:shd w:val="clear" w:color="auto" w:fill="E4E4E4"/>
          </w:tcPr>
          <w:p>
            <w:pPr>
              <w:spacing w:after="0"/>
              <w:rPr>
                <w:sz w:val="21"/>
                <w:szCs w:val="21"/>
                <w:color w:val="auto"/>
              </w:rPr>
            </w:pPr>
          </w:p>
        </w:tc>
        <w:tc>
          <w:tcPr>
            <w:tcW w:w="11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w:t>
            </w:r>
          </w:p>
        </w:tc>
        <w:tc>
          <w:tcPr>
            <w:tcW w:w="28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1E1E1E"/>
            </w:tcBorders>
            <w:shd w:val="clear" w:color="auto" w:fill="E4E4E4"/>
          </w:tcPr>
          <w:p>
            <w:pPr>
              <w:spacing w:after="0"/>
              <w:rPr>
                <w:sz w:val="21"/>
                <w:szCs w:val="21"/>
                <w:color w:val="auto"/>
              </w:rPr>
            </w:pPr>
          </w:p>
        </w:tc>
        <w:tc>
          <w:tcPr>
            <w:tcW w:w="10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16</w:t>
            </w:r>
          </w:p>
        </w:tc>
        <w:tc>
          <w:tcPr>
            <w:tcW w:w="100" w:type="dxa"/>
            <w:vAlign w:val="bottom"/>
            <w:tcBorders>
              <w:bottom w:val="single" w:sz="8" w:color="E4E4E4"/>
            </w:tcBorders>
            <w:shd w:val="clear" w:color="auto" w:fill="E4E4E4"/>
          </w:tcPr>
          <w:p>
            <w:pPr>
              <w:spacing w:after="0"/>
              <w:rPr>
                <w:sz w:val="21"/>
                <w:szCs w:val="21"/>
                <w:color w:val="auto"/>
              </w:rPr>
            </w:pPr>
          </w:p>
        </w:tc>
      </w:tr>
      <w:tr>
        <w:trPr>
          <w:trHeight w:val="193"/>
        </w:trPr>
        <w:tc>
          <w:tcPr>
            <w:tcW w:w="7020" w:type="dxa"/>
            <w:vAlign w:val="bottom"/>
          </w:tcPr>
          <w:p>
            <w:pPr>
              <w:spacing w:after="0" w:line="193" w:lineRule="exact"/>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1E1E1E"/>
            </w:tcBorders>
          </w:tcPr>
          <w:p>
            <w:pPr>
              <w:jc w:val="right"/>
              <w:ind w:right="186"/>
              <w:spacing w:after="0"/>
              <w:rPr>
                <w:sz w:val="20"/>
                <w:szCs w:val="20"/>
                <w:color w:val="auto"/>
              </w:rPr>
            </w:pPr>
            <w:r>
              <w:rPr>
                <w:rFonts w:ascii="Times New Roman" w:cs="Times New Roman" w:eastAsia="Times New Roman" w:hAnsi="Times New Roman"/>
                <w:sz w:val="11"/>
                <w:szCs w:val="11"/>
                <w:color w:val="1E1E1E"/>
                <w:w w:val="71"/>
              </w:rPr>
              <w:t>$</w:t>
            </w:r>
          </w:p>
        </w:tc>
        <w:tc>
          <w:tcPr>
            <w:tcW w:w="112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(67,472)</w:t>
            </w:r>
          </w:p>
        </w:tc>
        <w:tc>
          <w:tcPr>
            <w:tcW w:w="280" w:type="dxa"/>
            <w:vAlign w:val="bottom"/>
          </w:tcPr>
          <w:p>
            <w:pPr>
              <w:spacing w:after="0"/>
              <w:rPr>
                <w:sz w:val="16"/>
                <w:szCs w:val="16"/>
                <w:color w:val="auto"/>
              </w:rPr>
            </w:pPr>
          </w:p>
        </w:tc>
        <w:tc>
          <w:tcPr>
            <w:tcW w:w="460" w:type="dxa"/>
            <w:vAlign w:val="bottom"/>
            <w:tcBorders>
              <w:bottom w:val="single" w:sz="8" w:color="1E1E1E"/>
            </w:tcBorders>
          </w:tcPr>
          <w:p>
            <w:pPr>
              <w:jc w:val="center"/>
              <w:ind w:right="263"/>
              <w:spacing w:after="0" w:line="193" w:lineRule="exact"/>
              <w:rPr>
                <w:sz w:val="20"/>
                <w:szCs w:val="20"/>
                <w:color w:val="auto"/>
              </w:rPr>
            </w:pPr>
            <w:r>
              <w:rPr>
                <w:rFonts w:ascii="Times New Roman" w:cs="Times New Roman" w:eastAsia="Times New Roman" w:hAnsi="Times New Roman"/>
                <w:sz w:val="19"/>
                <w:szCs w:val="19"/>
                <w:color w:val="1E1E1E"/>
              </w:rPr>
              <w:t>$</w:t>
            </w:r>
          </w:p>
        </w:tc>
        <w:tc>
          <w:tcPr>
            <w:tcW w:w="100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(79,059)</w:t>
            </w:r>
          </w:p>
        </w:tc>
        <w:tc>
          <w:tcPr>
            <w:tcW w:w="100" w:type="dxa"/>
            <w:vAlign w:val="bottom"/>
          </w:tcPr>
          <w:p>
            <w:pPr>
              <w:spacing w:after="0"/>
              <w:rPr>
                <w:sz w:val="16"/>
                <w:szCs w:val="16"/>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958"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54</w:t>
      </w:r>
    </w:p>
    <w:p>
      <w:pPr>
        <w:sectPr>
          <w:pgSz w:w="11880" w:h="15480" w:orient="portrait"/>
          <w:cols w:equalWidth="0" w:num="1">
            <w:col w:w="10480"/>
          </w:cols>
          <w:pgMar w:left="700" w:top="958" w:right="700" w:bottom="215" w:gutter="0" w:footer="0" w:header="0"/>
          <w:type w:val="continuous"/>
        </w:sectPr>
      </w:pPr>
    </w:p>
    <w:bookmarkStart w:id="60" w:name="page61"/>
    <w:bookmarkEnd w:id="60"/>
    <w:p>
      <w:pPr>
        <w:spacing w:after="0" w:line="18" w:lineRule="exact"/>
        <w:rPr>
          <w:sz w:val="20"/>
          <w:szCs w:val="20"/>
          <w:color w:val="auto"/>
        </w:rPr>
      </w:pPr>
    </w:p>
    <w:p>
      <w:pPr>
        <w:ind w:right="720" w:firstLine="594"/>
        <w:spacing w:after="0" w:line="290" w:lineRule="auto"/>
        <w:rPr>
          <w:sz w:val="20"/>
          <w:szCs w:val="20"/>
          <w:color w:val="auto"/>
        </w:rPr>
      </w:pPr>
      <w:r>
        <w:rPr>
          <w:rFonts w:ascii="Times New Roman" w:cs="Times New Roman" w:eastAsia="Times New Roman" w:hAnsi="Times New Roman"/>
          <w:sz w:val="19"/>
          <w:szCs w:val="19"/>
          <w:color w:val="1E1E1E"/>
        </w:rPr>
        <w:t>The following table sets forth our statement of operations data expressed as a percentage of total revenue for the years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2600" w:type="dxa"/>
            <w:vAlign w:val="bottom"/>
            <w:tcBorders>
              <w:bottom w:val="single" w:sz="8" w:color="1E1E1E"/>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80" w:type="dxa"/>
            <w:vAlign w:val="bottom"/>
            <w:tcBorders>
              <w:bottom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72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40" w:type="dxa"/>
            <w:vAlign w:val="bottom"/>
          </w:tcPr>
          <w:p>
            <w:pPr>
              <w:spacing w:after="0"/>
              <w:rPr>
                <w:sz w:val="14"/>
                <w:szCs w:val="14"/>
                <w:color w:val="auto"/>
              </w:rPr>
            </w:pPr>
          </w:p>
        </w:tc>
        <w:tc>
          <w:tcPr>
            <w:tcW w:w="880" w:type="dxa"/>
            <w:vAlign w:val="bottom"/>
            <w:tcBorders>
              <w:top w:val="single" w:sz="8" w:color="1E1E1E"/>
            </w:tcBorders>
          </w:tcPr>
          <w:p>
            <w:pPr>
              <w:spacing w:after="0"/>
              <w:rPr>
                <w:sz w:val="14"/>
                <w:szCs w:val="14"/>
                <w:color w:val="auto"/>
              </w:rPr>
            </w:pPr>
          </w:p>
        </w:tc>
        <w:tc>
          <w:tcPr>
            <w:tcW w:w="480" w:type="dxa"/>
            <w:vAlign w:val="bottom"/>
            <w:tcBorders>
              <w:top w:val="single" w:sz="8" w:color="1E1E1E"/>
            </w:tcBorders>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top w:val="single" w:sz="8" w:color="1E1E1E"/>
            </w:tcBorders>
          </w:tcPr>
          <w:p>
            <w:pPr>
              <w:spacing w:after="0"/>
              <w:rPr>
                <w:sz w:val="14"/>
                <w:szCs w:val="14"/>
                <w:color w:val="auto"/>
              </w:rPr>
            </w:pPr>
          </w:p>
        </w:tc>
        <w:tc>
          <w:tcPr>
            <w:tcW w:w="480" w:type="dxa"/>
            <w:vAlign w:val="bottom"/>
            <w:tcBorders>
              <w:top w:val="single" w:sz="8" w:color="1E1E1E"/>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100.0%</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100.0%</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8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61.5%</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61.7%</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19"/>
                <w:szCs w:val="19"/>
                <w:color w:val="1E1E1E"/>
              </w:rPr>
              <w:t>Gross profit</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38.5%</w:t>
            </w:r>
          </w:p>
        </w:tc>
        <w:tc>
          <w:tcPr>
            <w:tcW w:w="860" w:type="dxa"/>
            <w:vAlign w:val="bottom"/>
          </w:tcPr>
          <w:p>
            <w:pPr>
              <w:spacing w:after="0"/>
              <w:rPr>
                <w:sz w:val="18"/>
                <w:szCs w:val="18"/>
                <w:color w:val="auto"/>
              </w:rPr>
            </w:pPr>
          </w:p>
        </w:tc>
        <w:tc>
          <w:tcPr>
            <w:tcW w:w="74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9"/>
                <w:szCs w:val="19"/>
                <w:color w:val="1E1E1E"/>
              </w:rPr>
              <w:t>38.3%</w:t>
            </w:r>
          </w:p>
        </w:tc>
        <w:tc>
          <w:tcPr>
            <w:tcW w:w="0" w:type="dxa"/>
            <w:vAlign w:val="bottom"/>
          </w:tcPr>
          <w:p>
            <w:pPr>
              <w:spacing w:after="0"/>
              <w:rPr>
                <w:sz w:val="1"/>
                <w:szCs w:val="1"/>
                <w:color w:val="auto"/>
              </w:rPr>
            </w:pPr>
          </w:p>
        </w:tc>
      </w:tr>
      <w:tr>
        <w:trPr>
          <w:trHeight w:val="213"/>
        </w:trPr>
        <w:tc>
          <w:tcPr>
            <w:tcW w:w="71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Operating expenses:</w:t>
            </w:r>
          </w:p>
        </w:tc>
        <w:tc>
          <w:tcPr>
            <w:tcW w:w="880" w:type="dxa"/>
            <w:vAlign w:val="bottom"/>
            <w:tcBorders>
              <w:top w:val="single" w:sz="8" w:color="1E1E1E"/>
            </w:tcBorders>
          </w:tcPr>
          <w:p>
            <w:pPr>
              <w:spacing w:after="0"/>
              <w:rPr>
                <w:sz w:val="18"/>
                <w:szCs w:val="18"/>
                <w:color w:val="auto"/>
              </w:rPr>
            </w:pPr>
          </w:p>
        </w:tc>
        <w:tc>
          <w:tcPr>
            <w:tcW w:w="480" w:type="dxa"/>
            <w:vAlign w:val="bottom"/>
            <w:tcBorders>
              <w:top w:val="single" w:sz="8" w:color="1E1E1E"/>
            </w:tcBorders>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top w:val="single" w:sz="8" w:color="1E1E1E"/>
            </w:tcBorders>
          </w:tcPr>
          <w:p>
            <w:pPr>
              <w:spacing w:after="0"/>
              <w:rPr>
                <w:sz w:val="18"/>
                <w:szCs w:val="18"/>
                <w:color w:val="auto"/>
              </w:rPr>
            </w:pPr>
          </w:p>
        </w:tc>
        <w:tc>
          <w:tcPr>
            <w:tcW w:w="480" w:type="dxa"/>
            <w:vAlign w:val="bottom"/>
            <w:tcBorders>
              <w:top w:val="single" w:sz="8" w:color="1E1E1E"/>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Sales and marketing</w:t>
            </w: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20.2%</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22.1%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Operations and support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11.3%</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12.8%</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Product development</w:t>
            </w: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7.4%</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8.1%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15.3%</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15.3%</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Impairment of assets</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0.1%</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0.2%</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1E1E1E"/>
              </w:rPr>
              <w:t>Total operating expenses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54.3%</w:t>
            </w:r>
          </w:p>
        </w:tc>
        <w:tc>
          <w:tcPr>
            <w:tcW w:w="860" w:type="dxa"/>
            <w:vAlign w:val="bottom"/>
          </w:tcPr>
          <w:p>
            <w:pPr>
              <w:spacing w:after="0"/>
              <w:rPr>
                <w:sz w:val="18"/>
                <w:szCs w:val="18"/>
                <w:color w:val="auto"/>
              </w:rPr>
            </w:pPr>
          </w:p>
        </w:tc>
        <w:tc>
          <w:tcPr>
            <w:tcW w:w="74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9"/>
                <w:szCs w:val="19"/>
                <w:color w:val="1E1E1E"/>
              </w:rPr>
              <w:t>58.5%</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 from operations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(15.8)%</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(20.2)%</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9"/>
                <w:szCs w:val="19"/>
                <w:color w:val="1E1E1E"/>
              </w:rPr>
              <w:t>Other income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Interest expense</w:t>
            </w:r>
          </w:p>
        </w:tc>
        <w:tc>
          <w:tcPr>
            <w:tcW w:w="86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(1.0)%</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(1.2)%</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Interest and dividend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2.5%</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1.1%</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Other expenses</w:t>
            </w:r>
          </w:p>
        </w:tc>
        <w:tc>
          <w:tcPr>
            <w:tcW w:w="86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(0.3)%</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(0.6)%</w:t>
            </w:r>
          </w:p>
        </w:tc>
        <w:tc>
          <w:tcPr>
            <w:tcW w:w="0" w:type="dxa"/>
            <w:vAlign w:val="bottom"/>
          </w:tcPr>
          <w:p>
            <w:pPr>
              <w:spacing w:after="0"/>
              <w:rPr>
                <w:sz w:val="1"/>
                <w:szCs w:val="1"/>
                <w:color w:val="auto"/>
              </w:rPr>
            </w:pPr>
          </w:p>
        </w:tc>
      </w:tr>
      <w:tr>
        <w:trPr>
          <w:trHeight w:val="223"/>
        </w:trPr>
        <w:tc>
          <w:tcPr>
            <w:tcW w:w="714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Income from unconsolidated joint venture</w:t>
            </w:r>
          </w:p>
        </w:tc>
        <w:tc>
          <w:tcPr>
            <w:tcW w:w="8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0.1%</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0.1%</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Total other income (expenses)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1.3%</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(0.6)%</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Loss before income taxes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(14.5)%</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(20.8)%</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Benefit (provision) for income taxes</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0.1%</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Net loss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(14.4)%</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(20.8)%</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Net income attributable to noncontrolling interest</w:t>
            </w:r>
          </w:p>
        </w:tc>
        <w:tc>
          <w:tcPr>
            <w:tcW w:w="880" w:type="dxa"/>
            <w:vAlign w:val="bottom"/>
            <w:shd w:val="clear" w:color="auto" w:fill="E4E4E4"/>
          </w:tcPr>
          <w:p>
            <w:pPr>
              <w:spacing w:after="0"/>
              <w:rPr>
                <w:sz w:val="19"/>
                <w:szCs w:val="19"/>
                <w:color w:val="auto"/>
              </w:rPr>
            </w:pPr>
          </w:p>
        </w:tc>
        <w:tc>
          <w:tcPr>
            <w:tcW w:w="1720" w:type="dxa"/>
            <w:vAlign w:val="bottom"/>
            <w:gridSpan w:val="3"/>
            <w:shd w:val="clear" w:color="auto" w:fill="E4E4E4"/>
          </w:tcPr>
          <w:p>
            <w:pPr>
              <w:jc w:val="right"/>
              <w:ind w:right="1080"/>
              <w:spacing w:after="0"/>
              <w:rPr>
                <w:sz w:val="20"/>
                <w:szCs w:val="20"/>
                <w:color w:val="auto"/>
              </w:rPr>
            </w:pPr>
            <w:r>
              <w:rPr>
                <w:rFonts w:ascii="Times New Roman" w:cs="Times New Roman" w:eastAsia="Times New Roman" w:hAnsi="Times New Roman"/>
                <w:sz w:val="19"/>
                <w:szCs w:val="19"/>
                <w:color w:val="1E1E1E"/>
              </w:rPr>
              <w:t>—%</w:t>
            </w: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(14.4)%</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(20.8)%</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-2910205</wp:posOffset>
            </wp:positionV>
            <wp:extent cx="2119630"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19630" cy="1479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-1758315</wp:posOffset>
            </wp:positionV>
            <wp:extent cx="1955800" cy="147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800" cy="1479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-901700</wp:posOffset>
            </wp:positionV>
            <wp:extent cx="1955800"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800" cy="147955"/>
                    </a:xfrm>
                    <a:prstGeom prst="rect">
                      <a:avLst/>
                    </a:prstGeom>
                    <a:noFill/>
                  </pic:spPr>
                </pic:pic>
              </a:graphicData>
            </a:graphic>
          </wp:anchor>
        </w:drawing>
      </w:r>
    </w:p>
    <w:p>
      <w:pPr>
        <w:spacing w:after="0" w:line="344" w:lineRule="exact"/>
        <w:rPr>
          <w:sz w:val="20"/>
          <w:szCs w:val="20"/>
          <w:color w:val="auto"/>
        </w:rPr>
      </w:pPr>
    </w:p>
    <w:p>
      <w:pPr>
        <w:ind w:right="120" w:firstLine="594"/>
        <w:spacing w:after="0" w:line="267" w:lineRule="auto"/>
        <w:rPr>
          <w:sz w:val="20"/>
          <w:szCs w:val="20"/>
          <w:color w:val="auto"/>
        </w:rPr>
      </w:pPr>
      <w:r>
        <w:rPr>
          <w:rFonts w:ascii="Times New Roman" w:cs="Times New Roman" w:eastAsia="Times New Roman" w:hAnsi="Times New Roman"/>
          <w:sz w:val="19"/>
          <w:szCs w:val="19"/>
          <w:color w:val="1E1E1E"/>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supplies.</w:t>
      </w:r>
    </w:p>
    <w:p>
      <w:pPr>
        <w:spacing w:after="0" w:line="57" w:lineRule="exact"/>
        <w:rPr>
          <w:sz w:val="20"/>
          <w:szCs w:val="20"/>
          <w:color w:val="auto"/>
        </w:rPr>
      </w:pPr>
    </w:p>
    <w:p>
      <w:pPr>
        <w:ind w:right="760" w:firstLine="594"/>
        <w:spacing w:after="0" w:line="290" w:lineRule="auto"/>
        <w:rPr>
          <w:sz w:val="20"/>
          <w:szCs w:val="20"/>
          <w:color w:val="auto"/>
        </w:rPr>
      </w:pPr>
      <w:r>
        <w:rPr>
          <w:rFonts w:ascii="Times New Roman" w:cs="Times New Roman" w:eastAsia="Times New Roman" w:hAnsi="Times New Roman"/>
          <w:sz w:val="19"/>
          <w:szCs w:val="19"/>
          <w:color w:val="1E1E1E"/>
        </w:rPr>
        <w:t>Revenue and cost of revenue is presented in the following tables for the years ended December 31, 2023 and 2022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360" w:type="dxa"/>
            <w:vAlign w:val="bottom"/>
            <w:gridSpan w:val="3"/>
          </w:tcPr>
          <w:p>
            <w:pPr>
              <w:jc w:val="right"/>
              <w:ind w:right="603"/>
              <w:spacing w:after="0"/>
              <w:rPr>
                <w:sz w:val="20"/>
                <w:szCs w:val="20"/>
                <w:color w:val="auto"/>
              </w:rPr>
            </w:pPr>
            <w:r>
              <w:rPr>
                <w:rFonts w:ascii="Times New Roman" w:cs="Times New Roman" w:eastAsia="Times New Roman" w:hAnsi="Times New Roman"/>
                <w:sz w:val="19"/>
                <w:szCs w:val="19"/>
                <w:b w:val="1"/>
                <w:bCs w:val="1"/>
                <w:color w:val="1E1E1E"/>
              </w:rPr>
              <w:t>For the Year</w:t>
            </w: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Borders>
              <w:bottom w:val="single" w:sz="8" w:color="1E1E1E"/>
            </w:tcBorders>
          </w:tcPr>
          <w:p>
            <w:pPr>
              <w:spacing w:after="0"/>
              <w:rPr>
                <w:sz w:val="21"/>
                <w:szCs w:val="21"/>
                <w:color w:val="auto"/>
              </w:rPr>
            </w:pPr>
          </w:p>
        </w:tc>
        <w:tc>
          <w:tcPr>
            <w:tcW w:w="2360" w:type="dxa"/>
            <w:vAlign w:val="bottom"/>
            <w:tcBorders>
              <w:bottom w:val="single" w:sz="8" w:color="1E1E1E"/>
            </w:tcBorders>
            <w:gridSpan w:val="3"/>
          </w:tcPr>
          <w:p>
            <w:pPr>
              <w:jc w:val="right"/>
              <w:ind w:right="263"/>
              <w:spacing w:after="0"/>
              <w:rPr>
                <w:sz w:val="20"/>
                <w:szCs w:val="20"/>
                <w:color w:val="auto"/>
              </w:rPr>
            </w:pPr>
            <w:r>
              <w:rPr>
                <w:rFonts w:ascii="Times New Roman" w:cs="Times New Roman" w:eastAsia="Times New Roman" w:hAnsi="Times New Roman"/>
                <w:sz w:val="19"/>
                <w:szCs w:val="19"/>
                <w:b w:val="1"/>
                <w:bCs w:val="1"/>
                <w:color w:val="1E1E1E"/>
              </w:rPr>
              <w:t>Ended December 31,</w:t>
            </w:r>
          </w:p>
        </w:tc>
        <w:tc>
          <w:tcPr>
            <w:tcW w:w="2040" w:type="dxa"/>
            <w:vAlign w:val="bottom"/>
            <w:tcBorders>
              <w:bottom w:val="single" w:sz="8" w:color="1E1E1E"/>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5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Marketplace</w:t>
            </w:r>
          </w:p>
        </w:tc>
        <w:tc>
          <w:tcPr>
            <w:tcW w:w="220" w:type="dxa"/>
            <w:vAlign w:val="bottom"/>
          </w:tcPr>
          <w:p>
            <w:pPr>
              <w:spacing w:after="0"/>
              <w:rPr>
                <w:sz w:val="18"/>
                <w:szCs w:val="18"/>
                <w:color w:val="auto"/>
              </w:rPr>
            </w:pPr>
          </w:p>
        </w:tc>
        <w:tc>
          <w:tcPr>
            <w:tcW w:w="2120" w:type="dxa"/>
            <w:vAlign w:val="bottom"/>
            <w:tcBorders>
              <w:bottom w:val="single" w:sz="8" w:color="1E1E1E"/>
            </w:tcBorders>
          </w:tcPr>
          <w:p>
            <w:pPr>
              <w:jc w:val="right"/>
              <w:ind w:right="203"/>
              <w:spacing w:after="0" w:line="213" w:lineRule="exact"/>
              <w:rPr>
                <w:sz w:val="20"/>
                <w:szCs w:val="20"/>
                <w:color w:val="auto"/>
              </w:rPr>
            </w:pPr>
            <w:r>
              <w:rPr>
                <w:rFonts w:ascii="Times New Roman" w:cs="Times New Roman" w:eastAsia="Times New Roman" w:hAnsi="Times New Roman"/>
                <w:sz w:val="19"/>
                <w:szCs w:val="19"/>
                <w:b w:val="1"/>
                <w:bCs w:val="1"/>
                <w:color w:val="1E1E1E"/>
              </w:rPr>
              <w:t>2023</w:t>
            </w:r>
          </w:p>
        </w:tc>
        <w:tc>
          <w:tcPr>
            <w:tcW w:w="1160" w:type="dxa"/>
            <w:vAlign w:val="bottom"/>
            <w:tcBorders>
              <w:bottom w:val="single" w:sz="8" w:color="1E1E1E"/>
            </w:tcBorders>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Borders>
              <w:bottom w:val="single" w:sz="8" w:color="1E1E1E"/>
            </w:tcBorders>
          </w:tcPr>
          <w:p>
            <w:pPr>
              <w:spacing w:after="0"/>
              <w:rPr>
                <w:sz w:val="18"/>
                <w:szCs w:val="18"/>
                <w:color w:val="auto"/>
              </w:rPr>
            </w:pPr>
          </w:p>
        </w:tc>
        <w:tc>
          <w:tcPr>
            <w:tcW w:w="2040" w:type="dxa"/>
            <w:vAlign w:val="bottom"/>
            <w:tcBorders>
              <w:bottom w:val="single" w:sz="8" w:color="1E1E1E"/>
            </w:tcBorders>
          </w:tcPr>
          <w:p>
            <w:pPr>
              <w:jc w:val="right"/>
              <w:ind w:right="1163"/>
              <w:spacing w:after="0" w:line="213" w:lineRule="exact"/>
              <w:rPr>
                <w:sz w:val="20"/>
                <w:szCs w:val="20"/>
                <w:color w:val="auto"/>
              </w:rPr>
            </w:pPr>
            <w:r>
              <w:rPr>
                <w:rFonts w:ascii="Times New Roman" w:cs="Times New Roman" w:eastAsia="Times New Roman" w:hAnsi="Times New Roman"/>
                <w:sz w:val="19"/>
                <w:szCs w:val="19"/>
                <w:b w:val="1"/>
                <w:bCs w:val="1"/>
                <w:color w:val="1E1E1E"/>
              </w:rPr>
              <w:t>2022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2340" w:type="dxa"/>
            <w:vAlign w:val="bottom"/>
            <w:gridSpan w:val="2"/>
            <w:shd w:val="clear" w:color="auto" w:fill="E4E4E4"/>
          </w:tcPr>
          <w:p>
            <w:pPr>
              <w:jc w:val="right"/>
              <w:ind w:right="1923"/>
              <w:spacing w:after="0"/>
              <w:rPr>
                <w:sz w:val="20"/>
                <w:szCs w:val="20"/>
                <w:color w:val="auto"/>
              </w:rPr>
            </w:pPr>
            <w:r>
              <w:rPr>
                <w:rFonts w:ascii="Times New Roman" w:cs="Times New Roman" w:eastAsia="Times New Roman" w:hAnsi="Times New Roman"/>
                <w:sz w:val="19"/>
                <w:szCs w:val="19"/>
                <w:color w:val="1E1E1E"/>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394,754</w:t>
            </w:r>
          </w:p>
        </w:tc>
        <w:tc>
          <w:tcPr>
            <w:tcW w:w="320" w:type="dxa"/>
            <w:vAlign w:val="bottom"/>
            <w:shd w:val="clear" w:color="auto" w:fill="E4E4E4"/>
          </w:tcPr>
          <w:p>
            <w:pPr>
              <w:spacing w:after="0"/>
              <w:rPr>
                <w:sz w:val="19"/>
                <w:szCs w:val="19"/>
                <w:color w:val="auto"/>
              </w:rPr>
            </w:pPr>
          </w:p>
        </w:tc>
        <w:tc>
          <w:tcPr>
            <w:tcW w:w="880" w:type="dxa"/>
            <w:vAlign w:val="bottom"/>
            <w:shd w:val="clear" w:color="auto" w:fill="E4E4E4"/>
          </w:tcPr>
          <w:p>
            <w:pPr>
              <w:jc w:val="right"/>
              <w:ind w:right="683"/>
              <w:spacing w:after="0"/>
              <w:rPr>
                <w:sz w:val="20"/>
                <w:szCs w:val="20"/>
                <w:color w:val="auto"/>
              </w:rPr>
            </w:pPr>
            <w:r>
              <w:rPr>
                <w:rFonts w:ascii="Times New Roman" w:cs="Times New Roman" w:eastAsia="Times New Roman" w:hAnsi="Times New Roman"/>
                <w:sz w:val="19"/>
                <w:szCs w:val="19"/>
                <w:color w:val="1E1E1E"/>
                <w:w w:val="83"/>
              </w:rPr>
              <w:t>$</w:t>
            </w:r>
          </w:p>
        </w:tc>
        <w:tc>
          <w:tcPr>
            <w:tcW w:w="22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303,223</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273,264</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217,779</w:t>
            </w:r>
          </w:p>
        </w:tc>
        <w:tc>
          <w:tcPr>
            <w:tcW w:w="0" w:type="dxa"/>
            <w:vAlign w:val="bottom"/>
          </w:tcPr>
          <w:p>
            <w:pPr>
              <w:spacing w:after="0"/>
              <w:rPr>
                <w:sz w:val="1"/>
                <w:szCs w:val="1"/>
                <w:color w:val="auto"/>
              </w:rPr>
            </w:pPr>
          </w:p>
        </w:tc>
      </w:tr>
      <w:tr>
        <w:trPr>
          <w:trHeight w:val="213"/>
        </w:trPr>
        <w:tc>
          <w:tcPr>
            <w:tcW w:w="356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220" w:type="dxa"/>
            <w:vAlign w:val="bottom"/>
            <w:tcBorders>
              <w:top w:val="single" w:sz="8" w:color="E4E4E4"/>
            </w:tcBorders>
            <w:shd w:val="clear" w:color="auto" w:fill="E4E4E4"/>
          </w:tcPr>
          <w:p>
            <w:pPr>
              <w:spacing w:after="0"/>
              <w:rPr>
                <w:sz w:val="18"/>
                <w:szCs w:val="18"/>
                <w:color w:val="auto"/>
              </w:rPr>
            </w:pPr>
          </w:p>
        </w:tc>
        <w:tc>
          <w:tcPr>
            <w:tcW w:w="2120" w:type="dxa"/>
            <w:vAlign w:val="bottom"/>
            <w:tcBorders>
              <w:top w:val="single" w:sz="8" w:color="1E1E1E"/>
              <w:bottom w:val="single" w:sz="8" w:color="1E1E1E"/>
            </w:tcBorders>
            <w:shd w:val="clear" w:color="auto" w:fill="E4E4E4"/>
          </w:tcPr>
          <w:p>
            <w:pPr>
              <w:jc w:val="right"/>
              <w:ind w:right="19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121,490</w:t>
            </w:r>
          </w:p>
        </w:tc>
        <w:tc>
          <w:tcPr>
            <w:tcW w:w="320" w:type="dxa"/>
            <w:vAlign w:val="bottom"/>
            <w:tcBorders>
              <w:top w:val="single" w:sz="8" w:color="E4E4E4"/>
            </w:tcBorders>
            <w:shd w:val="clear" w:color="auto" w:fill="E4E4E4"/>
          </w:tcPr>
          <w:p>
            <w:pPr>
              <w:spacing w:after="0"/>
              <w:rPr>
                <w:sz w:val="18"/>
                <w:szCs w:val="18"/>
                <w:color w:val="auto"/>
              </w:rPr>
            </w:pPr>
          </w:p>
        </w:tc>
        <w:tc>
          <w:tcPr>
            <w:tcW w:w="880" w:type="dxa"/>
            <w:vAlign w:val="bottom"/>
            <w:tcBorders>
              <w:top w:val="single" w:sz="8" w:color="1E1E1E"/>
              <w:bottom w:val="single" w:sz="8" w:color="1E1E1E"/>
            </w:tcBorders>
            <w:shd w:val="clear" w:color="auto" w:fill="E4E4E4"/>
          </w:tcPr>
          <w:p>
            <w:pPr>
              <w:jc w:val="right"/>
              <w:ind w:right="68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85,444</w:t>
            </w:r>
          </w:p>
        </w:tc>
        <w:tc>
          <w:tcPr>
            <w:tcW w:w="1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Gross Margin</w:t>
            </w:r>
          </w:p>
        </w:tc>
        <w:tc>
          <w:tcPr>
            <w:tcW w:w="220" w:type="dxa"/>
            <w:vAlign w:val="bottom"/>
          </w:tcPr>
          <w:p>
            <w:pPr>
              <w:spacing w:after="0" w:line="20" w:lineRule="exact"/>
              <w:rPr>
                <w:sz w:val="1"/>
                <w:szCs w:val="1"/>
                <w:color w:val="auto"/>
              </w:rPr>
            </w:pPr>
          </w:p>
        </w:tc>
        <w:tc>
          <w:tcPr>
            <w:tcW w:w="212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04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9"/>
                <w:szCs w:val="19"/>
                <w:color w:val="1E1E1E"/>
              </w:rPr>
              <w:t>30.8%</w:t>
            </w:r>
          </w:p>
        </w:tc>
        <w:tc>
          <w:tcPr>
            <w:tcW w:w="880" w:type="dxa"/>
            <w:vAlign w:val="bottom"/>
          </w:tcPr>
          <w:p>
            <w:pPr>
              <w:spacing w:after="0"/>
              <w:rPr>
                <w:sz w:val="21"/>
                <w:szCs w:val="21"/>
                <w:color w:val="auto"/>
              </w:rPr>
            </w:pPr>
          </w:p>
        </w:tc>
        <w:tc>
          <w:tcPr>
            <w:tcW w:w="2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28.2%</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b w:val="1"/>
                <w:bCs w:val="1"/>
                <w:color w:val="1E1E1E"/>
              </w:rPr>
              <w:t>Supplier services</w:t>
            </w:r>
          </w:p>
        </w:tc>
        <w:tc>
          <w:tcPr>
            <w:tcW w:w="220" w:type="dxa"/>
            <w:vAlign w:val="bottom"/>
            <w:shd w:val="clear" w:color="auto" w:fill="E4E4E4"/>
          </w:tcPr>
          <w:p>
            <w:pPr>
              <w:spacing w:after="0"/>
              <w:rPr>
                <w:sz w:val="19"/>
                <w:szCs w:val="19"/>
                <w:color w:val="auto"/>
              </w:rPr>
            </w:pPr>
          </w:p>
        </w:tc>
        <w:tc>
          <w:tcPr>
            <w:tcW w:w="212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204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9"/>
                <w:szCs w:val="19"/>
                <w:color w:val="1E1E1E"/>
              </w:rPr>
              <w:t>Revenue</w:t>
            </w:r>
          </w:p>
        </w:tc>
        <w:tc>
          <w:tcPr>
            <w:tcW w:w="2340" w:type="dxa"/>
            <w:vAlign w:val="bottom"/>
            <w:gridSpan w:val="2"/>
          </w:tcPr>
          <w:p>
            <w:pPr>
              <w:jc w:val="right"/>
              <w:ind w:right="1923"/>
              <w:spacing w:after="0"/>
              <w:rPr>
                <w:sz w:val="20"/>
                <w:szCs w:val="20"/>
                <w:color w:val="auto"/>
              </w:rPr>
            </w:pPr>
            <w:r>
              <w:rPr>
                <w:rFonts w:ascii="Times New Roman" w:cs="Times New Roman" w:eastAsia="Times New Roman" w:hAnsi="Times New Roman"/>
                <w:sz w:val="19"/>
                <w:szCs w:val="19"/>
                <w:color w:val="1E1E1E"/>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68,652</w:t>
            </w:r>
          </w:p>
        </w:tc>
        <w:tc>
          <w:tcPr>
            <w:tcW w:w="320" w:type="dxa"/>
            <w:vAlign w:val="bottom"/>
          </w:tcPr>
          <w:p>
            <w:pPr>
              <w:spacing w:after="0"/>
              <w:rPr>
                <w:sz w:val="19"/>
                <w:szCs w:val="19"/>
                <w:color w:val="auto"/>
              </w:rPr>
            </w:pPr>
          </w:p>
        </w:tc>
        <w:tc>
          <w:tcPr>
            <w:tcW w:w="880" w:type="dxa"/>
            <w:vAlign w:val="bottom"/>
          </w:tcPr>
          <w:p>
            <w:pPr>
              <w:jc w:val="right"/>
              <w:ind w:right="683"/>
              <w:spacing w:after="0"/>
              <w:rPr>
                <w:sz w:val="20"/>
                <w:szCs w:val="20"/>
                <w:color w:val="auto"/>
              </w:rPr>
            </w:pPr>
            <w:r>
              <w:rPr>
                <w:rFonts w:ascii="Times New Roman" w:cs="Times New Roman" w:eastAsia="Times New Roman" w:hAnsi="Times New Roman"/>
                <w:sz w:val="19"/>
                <w:szCs w:val="19"/>
                <w:color w:val="1E1E1E"/>
                <w:w w:val="83"/>
              </w:rPr>
              <w:t>$</w:t>
            </w: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77,698</w:t>
            </w:r>
          </w:p>
        </w:tc>
        <w:tc>
          <w:tcPr>
            <w:tcW w:w="0" w:type="dxa"/>
            <w:vAlign w:val="bottom"/>
          </w:tcPr>
          <w:p>
            <w:pPr>
              <w:spacing w:after="0"/>
              <w:rPr>
                <w:sz w:val="1"/>
                <w:szCs w:val="1"/>
                <w:color w:val="auto"/>
              </w:rPr>
            </w:pPr>
          </w:p>
        </w:tc>
      </w:tr>
      <w:tr>
        <w:trPr>
          <w:trHeight w:val="223"/>
        </w:trPr>
        <w:tc>
          <w:tcPr>
            <w:tcW w:w="35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220" w:type="dxa"/>
            <w:vAlign w:val="bottom"/>
            <w:shd w:val="clear" w:color="auto" w:fill="E4E4E4"/>
          </w:tcPr>
          <w:p>
            <w:pPr>
              <w:spacing w:after="0"/>
              <w:rPr>
                <w:sz w:val="19"/>
                <w:szCs w:val="19"/>
                <w:color w:val="auto"/>
              </w:rPr>
            </w:pPr>
          </w:p>
        </w:tc>
        <w:tc>
          <w:tcPr>
            <w:tcW w:w="212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11,883</w:t>
            </w:r>
          </w:p>
        </w:tc>
        <w:tc>
          <w:tcPr>
            <w:tcW w:w="3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22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17,151</w:t>
            </w:r>
          </w:p>
        </w:tc>
        <w:tc>
          <w:tcPr>
            <w:tcW w:w="0" w:type="dxa"/>
            <w:vAlign w:val="bottom"/>
          </w:tcPr>
          <w:p>
            <w:pPr>
              <w:spacing w:after="0"/>
              <w:rPr>
                <w:sz w:val="1"/>
                <w:szCs w:val="1"/>
                <w:color w:val="auto"/>
              </w:rPr>
            </w:pPr>
          </w:p>
        </w:tc>
      </w:tr>
      <w:tr>
        <w:trPr>
          <w:trHeight w:val="253"/>
        </w:trPr>
        <w:tc>
          <w:tcPr>
            <w:tcW w:w="3560" w:type="dxa"/>
            <w:vAlign w:val="bottom"/>
            <w:tcBorders>
              <w:bottom w:val="single" w:sz="8" w:color="E4E4E4"/>
            </w:tcBorders>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220" w:type="dxa"/>
            <w:vAlign w:val="bottom"/>
            <w:tcBorders>
              <w:bottom w:val="single" w:sz="8" w:color="E4E4E4"/>
            </w:tcBorders>
          </w:tcPr>
          <w:p>
            <w:pPr>
              <w:spacing w:after="0"/>
              <w:rPr>
                <w:sz w:val="21"/>
                <w:szCs w:val="21"/>
                <w:color w:val="auto"/>
              </w:rPr>
            </w:pPr>
          </w:p>
        </w:tc>
        <w:tc>
          <w:tcPr>
            <w:tcW w:w="2120" w:type="dxa"/>
            <w:vAlign w:val="bottom"/>
            <w:tcBorders>
              <w:top w:val="single" w:sz="8" w:color="1E1E1E"/>
              <w:bottom w:val="single" w:sz="8" w:color="1E1E1E"/>
            </w:tcBorders>
          </w:tcPr>
          <w:p>
            <w:pPr>
              <w:jc w:val="right"/>
              <w:ind w:right="19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56,769</w:t>
            </w:r>
          </w:p>
        </w:tc>
        <w:tc>
          <w:tcPr>
            <w:tcW w:w="320" w:type="dxa"/>
            <w:vAlign w:val="bottom"/>
          </w:tcPr>
          <w:p>
            <w:pPr>
              <w:spacing w:after="0"/>
              <w:rPr>
                <w:sz w:val="21"/>
                <w:szCs w:val="21"/>
                <w:color w:val="auto"/>
              </w:rPr>
            </w:pPr>
          </w:p>
        </w:tc>
        <w:tc>
          <w:tcPr>
            <w:tcW w:w="880" w:type="dxa"/>
            <w:vAlign w:val="bottom"/>
            <w:tcBorders>
              <w:top w:val="single" w:sz="8" w:color="1E1E1E"/>
              <w:bottom w:val="single" w:sz="8" w:color="1E1E1E"/>
            </w:tcBorders>
          </w:tcPr>
          <w:p>
            <w:pPr>
              <w:jc w:val="right"/>
              <w:ind w:right="68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0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60,547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560" w:type="dxa"/>
            <w:vAlign w:val="bottom"/>
            <w:shd w:val="clear" w:color="auto" w:fill="E4E4E4"/>
          </w:tcPr>
          <w:p>
            <w:pPr>
              <w:spacing w:after="0" w:line="207" w:lineRule="exact"/>
              <w:rPr>
                <w:sz w:val="20"/>
                <w:szCs w:val="20"/>
                <w:color w:val="auto"/>
              </w:rPr>
            </w:pPr>
            <w:r>
              <w:rPr>
                <w:rFonts w:ascii="Times New Roman" w:cs="Times New Roman" w:eastAsia="Times New Roman" w:hAnsi="Times New Roman"/>
                <w:sz w:val="19"/>
                <w:szCs w:val="19"/>
                <w:color w:val="1E1E1E"/>
              </w:rPr>
              <w:t>Gross Margin</w:t>
            </w:r>
          </w:p>
        </w:tc>
        <w:tc>
          <w:tcPr>
            <w:tcW w:w="220" w:type="dxa"/>
            <w:vAlign w:val="bottom"/>
            <w:shd w:val="clear" w:color="auto" w:fill="E4E4E4"/>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gridSpan w:val="2"/>
          </w:tcPr>
          <w:p>
            <w:pPr>
              <w:jc w:val="right"/>
              <w:ind w:right="160"/>
              <w:spacing w:after="0" w:line="207" w:lineRule="exact"/>
              <w:rPr>
                <w:sz w:val="20"/>
                <w:szCs w:val="20"/>
                <w:color w:val="auto"/>
              </w:rPr>
            </w:pPr>
            <w:r>
              <w:rPr>
                <w:rFonts w:ascii="Times New Roman" w:cs="Times New Roman" w:eastAsia="Times New Roman" w:hAnsi="Times New Roman"/>
                <w:sz w:val="19"/>
                <w:szCs w:val="19"/>
                <w:color w:val="1E1E1E"/>
              </w:rPr>
              <w:t>82.7%</w:t>
            </w:r>
          </w:p>
        </w:tc>
        <w:tc>
          <w:tcPr>
            <w:tcW w:w="880" w:type="dxa"/>
            <w:vAlign w:val="bottom"/>
          </w:tcPr>
          <w:p>
            <w:pPr>
              <w:spacing w:after="0"/>
              <w:rPr>
                <w:sz w:val="17"/>
                <w:szCs w:val="17"/>
                <w:color w:val="auto"/>
              </w:rPr>
            </w:pPr>
          </w:p>
        </w:tc>
        <w:tc>
          <w:tcPr>
            <w:tcW w:w="222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19"/>
                <w:szCs w:val="19"/>
                <w:color w:val="1E1E1E"/>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-168910</wp:posOffset>
            </wp:positionV>
            <wp:extent cx="4139565" cy="169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39565" cy="169545"/>
                    </a:xfrm>
                    <a:prstGeom prst="rect">
                      <a:avLst/>
                    </a:prstGeom>
                    <a:noFill/>
                  </pic:spPr>
                </pic:pic>
              </a:graphicData>
            </a:graphic>
          </wp:anchor>
        </w:drawing>
      </w:r>
    </w:p>
    <w:p>
      <w:pPr>
        <w:sectPr>
          <w:pgSz w:w="11880" w:h="15480" w:orient="portrait"/>
          <w:cols w:equalWidth="0" w:num="1">
            <w:col w:w="10480"/>
          </w:cols>
          <w:pgMar w:left="700" w:top="1440"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55</w:t>
      </w:r>
    </w:p>
    <w:p>
      <w:pPr>
        <w:sectPr>
          <w:pgSz w:w="11880" w:h="15480" w:orient="portrait"/>
          <w:cols w:equalWidth="0" w:num="1">
            <w:col w:w="10480"/>
          </w:cols>
          <w:pgMar w:left="700" w:top="1440" w:right="700" w:bottom="215" w:gutter="0" w:footer="0" w:header="0"/>
          <w:type w:val="continuous"/>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9"/>
          <w:szCs w:val="19"/>
          <w:b w:val="1"/>
          <w:bCs w:val="1"/>
          <w:color w:val="1E1E1E"/>
        </w:rPr>
        <w:t>Comparison of the Years Ended December 31, 2023 and 2022</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Revenue</w:t>
      </w:r>
    </w:p>
    <w:p>
      <w:pPr>
        <w:spacing w:after="0" w:line="197" w:lineRule="exact"/>
        <w:rPr>
          <w:sz w:val="20"/>
          <w:szCs w:val="20"/>
          <w:color w:val="auto"/>
        </w:rPr>
      </w:pPr>
    </w:p>
    <w:p>
      <w:pPr>
        <w:ind w:right="100" w:firstLine="600"/>
        <w:spacing w:after="0" w:line="256" w:lineRule="auto"/>
        <w:rPr>
          <w:sz w:val="20"/>
          <w:szCs w:val="20"/>
          <w:color w:val="auto"/>
        </w:rPr>
      </w:pPr>
      <w:r>
        <w:rPr>
          <w:rFonts w:ascii="Times New Roman" w:cs="Times New Roman" w:eastAsia="Times New Roman" w:hAnsi="Times New Roman"/>
          <w:sz w:val="19"/>
          <w:szCs w:val="19"/>
          <w:color w:val="1E1E1E"/>
        </w:rPr>
        <w:t>Total revenue increased $82.5 million, or 22%, from $380.9 million for the year ended December 31, 2022 to $463.4 million for the year ended December 31, 2023. This growth was a result of an increase in marketplace revenue, partially offset by a decrease in supplier services revenue. Marketplace revenue increased $91.5 million, or 30% from $303.2 million for the year ended December 31, 2022 to $394.8 million for the year ended December 31, 2023. The increase in marketplace revenue was primarily due to increased buyers activity on the platform for the year ended December 31, 2023, as compared to the prior year period.</w:t>
      </w:r>
    </w:p>
    <w:p>
      <w:pPr>
        <w:spacing w:after="0" w:line="144" w:lineRule="exact"/>
        <w:rPr>
          <w:sz w:val="20"/>
          <w:szCs w:val="20"/>
          <w:color w:val="auto"/>
        </w:rPr>
      </w:pPr>
    </w:p>
    <w:p>
      <w:pPr>
        <w:ind w:firstLine="600"/>
        <w:spacing w:after="0" w:line="267" w:lineRule="auto"/>
        <w:rPr>
          <w:sz w:val="20"/>
          <w:szCs w:val="20"/>
          <w:color w:val="auto"/>
        </w:rPr>
      </w:pPr>
      <w:r>
        <w:rPr>
          <w:rFonts w:ascii="Times New Roman" w:cs="Times New Roman" w:eastAsia="Times New Roman" w:hAnsi="Times New Roman"/>
          <w:sz w:val="19"/>
          <w:szCs w:val="19"/>
          <w:color w:val="1E1E1E"/>
        </w:rPr>
        <w:t>Supplier services revenue decreased $9.0 million, or 12% from $77.7 million for the year ended December 31, 2022 to $68.7 million for the year ended December 31, 2023. The decrease in revenue was primarily due to our exit from the supplies business in the U.S. during the second quarter of 2023.</w:t>
      </w:r>
    </w:p>
    <w:p>
      <w:pPr>
        <w:spacing w:after="0" w:line="134" w:lineRule="exact"/>
        <w:rPr>
          <w:sz w:val="20"/>
          <w:szCs w:val="20"/>
          <w:color w:val="auto"/>
        </w:rPr>
      </w:pPr>
    </w:p>
    <w:p>
      <w:pPr>
        <w:ind w:right="260" w:firstLine="600"/>
        <w:spacing w:after="0" w:line="290" w:lineRule="auto"/>
        <w:rPr>
          <w:sz w:val="20"/>
          <w:szCs w:val="20"/>
          <w:color w:val="auto"/>
        </w:rPr>
      </w:pPr>
      <w:r>
        <w:rPr>
          <w:rFonts w:ascii="Times New Roman" w:cs="Times New Roman" w:eastAsia="Times New Roman" w:hAnsi="Times New Roman"/>
          <w:sz w:val="19"/>
          <w:szCs w:val="19"/>
          <w:color w:val="1E1E1E"/>
        </w:rPr>
        <w:t>Total revenue for the year ended December 31, 2023 and 2022 was $403.3 million and $347.7 million, respectively, for the U.S. operating segment, and $60.1 million and $33.2 million, respectively, for the International operating segment.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Cost of Revenue</w:t>
      </w:r>
    </w:p>
    <w:p>
      <w:pPr>
        <w:spacing w:after="0" w:line="197" w:lineRule="exact"/>
        <w:rPr>
          <w:sz w:val="20"/>
          <w:szCs w:val="20"/>
          <w:color w:val="auto"/>
        </w:rPr>
      </w:pPr>
    </w:p>
    <w:p>
      <w:pPr>
        <w:ind w:firstLine="600"/>
        <w:spacing w:after="0" w:line="256" w:lineRule="auto"/>
        <w:rPr>
          <w:sz w:val="20"/>
          <w:szCs w:val="20"/>
          <w:color w:val="auto"/>
        </w:rPr>
      </w:pPr>
      <w:r>
        <w:rPr>
          <w:rFonts w:ascii="Times New Roman" w:cs="Times New Roman" w:eastAsia="Times New Roman" w:hAnsi="Times New Roman"/>
          <w:sz w:val="19"/>
          <w:szCs w:val="19"/>
          <w:color w:val="1E1E1E"/>
        </w:rPr>
        <w:t>Total cost of revenue increased $50.2 million, or 21%, from $234.9 million for the year ended December 31, 2022 to $285.1 million for the year ended December 31, 2023. This increase was the result of an increase in marketplace cost of revenue offset by a decrease in supplier services costs of revenue. Total cost of revenue from marketplace and supplier services for the year ended December 31, 2023 was $273.3 million and $11.9 million, respectively, as compared to $217.8 million and $17.2 million, respectively for the year ended December 31, 2022.</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Marketplace cost of revenue was driven by order growth and increased activity on our marketplace.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Gross Profit and Margin</w:t>
      </w:r>
    </w:p>
    <w:p>
      <w:pPr>
        <w:spacing w:after="0" w:line="197" w:lineRule="exact"/>
        <w:rPr>
          <w:sz w:val="20"/>
          <w:szCs w:val="20"/>
          <w:color w:val="auto"/>
        </w:rPr>
      </w:pPr>
    </w:p>
    <w:p>
      <w:pPr>
        <w:ind w:firstLine="600"/>
        <w:spacing w:after="0" w:line="267" w:lineRule="auto"/>
        <w:rPr>
          <w:sz w:val="20"/>
          <w:szCs w:val="20"/>
          <w:color w:val="auto"/>
        </w:rPr>
      </w:pPr>
      <w:r>
        <w:rPr>
          <w:rFonts w:ascii="Times New Roman" w:cs="Times New Roman" w:eastAsia="Times New Roman" w:hAnsi="Times New Roman"/>
          <w:sz w:val="19"/>
          <w:szCs w:val="19"/>
          <w:color w:val="1E1E1E"/>
        </w:rPr>
        <w:t>Gross profit increased $32.3 million, or 22%, from $146.0 million for the year ended December 31, 2022 to $178.3 million for the year ended December 31, 2023. The increase in gross profit was primarily due to increases in revenue from marketplace and improved marketplace gross margins as compared to the prior year period.</w:t>
      </w:r>
    </w:p>
    <w:p>
      <w:pPr>
        <w:spacing w:after="0" w:line="134" w:lineRule="exact"/>
        <w:rPr>
          <w:sz w:val="20"/>
          <w:szCs w:val="20"/>
          <w:color w:val="auto"/>
        </w:rPr>
      </w:pPr>
    </w:p>
    <w:p>
      <w:pPr>
        <w:ind w:right="60" w:firstLine="600"/>
        <w:spacing w:after="0" w:line="251" w:lineRule="auto"/>
        <w:rPr>
          <w:sz w:val="20"/>
          <w:szCs w:val="20"/>
          <w:color w:val="auto"/>
        </w:rPr>
      </w:pPr>
      <w:r>
        <w:rPr>
          <w:rFonts w:ascii="Times New Roman" w:cs="Times New Roman" w:eastAsia="Times New Roman" w:hAnsi="Times New Roman"/>
          <w:sz w:val="19"/>
          <w:szCs w:val="19"/>
          <w:color w:val="1E1E1E"/>
        </w:rPr>
        <w:t>Gross margin for marketplace was 30.8% for the year ended December 31, 2023, as compared to 28.2% for the year ended December 31, 2022. The improvement over the prior year period was due in part to our AI-driven models and increasing supplier selection.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improved to 82.7% for the year ended December 31, 2023, as compared to 77.9% for the year ended December 31, 2022. The increase in gross margin for supplier services is primarily due to a higher mix of marketing services revenue and the exit from the lower margin supplies business. As marketplace revenue continues to grow faster than supplier services, our aggregate gross margin will fluctuate.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Sales and Marketing</w:t>
      </w:r>
    </w:p>
    <w:p>
      <w:pPr>
        <w:spacing w:after="0" w:line="120" w:lineRule="exact"/>
        <w:rPr>
          <w:sz w:val="20"/>
          <w:szCs w:val="20"/>
          <w:color w:val="auto"/>
        </w:rPr>
      </w:pPr>
    </w:p>
    <w:p>
      <w:pPr>
        <w:ind w:right="120" w:firstLine="594"/>
        <w:spacing w:after="0" w:line="256" w:lineRule="auto"/>
        <w:rPr>
          <w:sz w:val="20"/>
          <w:szCs w:val="20"/>
          <w:color w:val="auto"/>
        </w:rPr>
      </w:pPr>
      <w:r>
        <w:rPr>
          <w:rFonts w:ascii="Times New Roman" w:cs="Times New Roman" w:eastAsia="Times New Roman" w:hAnsi="Times New Roman"/>
          <w:sz w:val="19"/>
          <w:szCs w:val="19"/>
          <w:color w:val="1E1E1E"/>
        </w:rPr>
        <w:t>Sales and marketing expense increased $9.3 million, or 11%, from $84.4 million for year ended December 31, 2022 to $93.7 million for the year ended December 31, 2023, the increase was primarily due to increases in commissions expense and additional sales and marketing employees and compensation costs, including stock-based compensation. These increases were offset by a reduction to our advertising costs. As a percent of total revenue, sales and marketing expenses decreased to 20.2% for the year ended December 31, 2023 from 22.1% for the year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Operations and Support</w:t>
      </w:r>
    </w:p>
    <w:p>
      <w:pPr>
        <w:spacing w:after="0" w:line="120" w:lineRule="exact"/>
        <w:rPr>
          <w:sz w:val="20"/>
          <w:szCs w:val="20"/>
          <w:color w:val="auto"/>
        </w:rPr>
      </w:pPr>
    </w:p>
    <w:p>
      <w:pPr>
        <w:ind w:right="160" w:firstLine="594"/>
        <w:spacing w:after="0" w:line="256" w:lineRule="auto"/>
        <w:rPr>
          <w:sz w:val="20"/>
          <w:szCs w:val="20"/>
          <w:color w:val="auto"/>
        </w:rPr>
      </w:pPr>
      <w:r>
        <w:rPr>
          <w:rFonts w:ascii="Times New Roman" w:cs="Times New Roman" w:eastAsia="Times New Roman" w:hAnsi="Times New Roman"/>
          <w:sz w:val="19"/>
          <w:szCs w:val="19"/>
          <w:color w:val="1E1E1E"/>
        </w:rPr>
        <w:t>Operations and support increased $3.7 million, or 8%, from $48.6 million for the year ended December 31, 2022 to $52.4 million for the year ended December 31, 2023, primarily due to hiring of additional operations and support employees and their compensation costs, including stock-based compensation, consulting costs and expenses incurred as part of the Company's restructuring and exit from the supplies business. As a percent of total revenue, operations and support expenses decreased to 11.3% for the year ended December 31, 2023 from 12.8% for the year ended December 31, 2022.</w:t>
      </w:r>
    </w:p>
    <w:p>
      <w:pPr>
        <w:sectPr>
          <w:pgSz w:w="11880" w:h="15480" w:orient="portrait"/>
          <w:cols w:equalWidth="0" w:num="1">
            <w:col w:w="10440"/>
          </w:cols>
          <w:pgMar w:left="700" w:top="953" w:right="74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56</w:t>
      </w:r>
    </w:p>
    <w:p>
      <w:pPr>
        <w:sectPr>
          <w:pgSz w:w="11880" w:h="15480" w:orient="portrait"/>
          <w:cols w:equalWidth="0" w:num="1">
            <w:col w:w="10440"/>
          </w:cols>
          <w:pgMar w:left="700" w:top="953" w:right="740" w:bottom="215"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9"/>
          <w:szCs w:val="19"/>
          <w:b w:val="1"/>
          <w:bCs w:val="1"/>
          <w:i w:val="1"/>
          <w:iCs w:val="1"/>
          <w:color w:val="1E1E1E"/>
        </w:rPr>
        <w:t>Product Development</w:t>
      </w:r>
    </w:p>
    <w:p>
      <w:pPr>
        <w:spacing w:after="0" w:line="120" w:lineRule="exact"/>
        <w:rPr>
          <w:sz w:val="20"/>
          <w:szCs w:val="20"/>
          <w:color w:val="auto"/>
        </w:rPr>
      </w:pPr>
    </w:p>
    <w:p>
      <w:pPr>
        <w:ind w:firstLine="594"/>
        <w:spacing w:after="0" w:line="254" w:lineRule="auto"/>
        <w:rPr>
          <w:sz w:val="20"/>
          <w:szCs w:val="20"/>
          <w:color w:val="auto"/>
        </w:rPr>
      </w:pPr>
      <w:r>
        <w:rPr>
          <w:rFonts w:ascii="Times New Roman" w:cs="Times New Roman" w:eastAsia="Times New Roman" w:hAnsi="Times New Roman"/>
          <w:sz w:val="19"/>
          <w:szCs w:val="19"/>
          <w:color w:val="1E1E1E"/>
        </w:rPr>
        <w:t>Product development expense increased $3.4 million, or 11%, from $31.0 million for the year ended December 31, 2022 to $34.5 million for the year ended December 31, 2023, primarily as result of increases in depreciation expense related to capitalized internal-use software development costs, hiring additional product development employees and their compensation, including stock-based compensation and additional software and maintenance costs. Offsetting these costs were decreases in consulting expenses. As a percent of total revenue, product development decreased to 7.4% for the year ended December 31, 2023 from 8.1% for the year ended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General and Administrative</w:t>
      </w:r>
    </w:p>
    <w:p>
      <w:pPr>
        <w:spacing w:after="0" w:line="120" w:lineRule="exact"/>
        <w:rPr>
          <w:sz w:val="20"/>
          <w:szCs w:val="20"/>
          <w:color w:val="auto"/>
        </w:rPr>
      </w:pPr>
    </w:p>
    <w:p>
      <w:pPr>
        <w:ind w:right="60" w:firstLine="594"/>
        <w:spacing w:after="0" w:line="253" w:lineRule="auto"/>
        <w:rPr>
          <w:sz w:val="20"/>
          <w:szCs w:val="20"/>
          <w:color w:val="auto"/>
        </w:rPr>
      </w:pPr>
      <w:r>
        <w:rPr>
          <w:rFonts w:ascii="Times New Roman" w:cs="Times New Roman" w:eastAsia="Times New Roman" w:hAnsi="Times New Roman"/>
          <w:sz w:val="19"/>
          <w:szCs w:val="19"/>
          <w:color w:val="1E1E1E"/>
        </w:rPr>
        <w:t>General and administrative expense increased $12.7 million, or 22%, from $58.2 million for the year ended December 31, 2022 to $70.9 million for the year ended December 31, 2023. The increase was primarily due to the abandonment of multiple company leases resulting in a one-time $8.7 million increase in operating lease expense. In addition, there were higher consulting expenses, software and maintenance costs, professional fees related to accounting and legal services, reserves for bad debt and compensation cost. These increases were partially offset by a reduction in non-cash charitable contributions of Class A common stock and insurance costs. As a percent of total revenue, general and administrative expenses remained flat at 15.3% for the year ended December 31, 2023 and 2022.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Impairment of assets</w:t>
      </w:r>
    </w:p>
    <w:p>
      <w:pPr>
        <w:spacing w:after="0" w:line="120" w:lineRule="exact"/>
        <w:rPr>
          <w:sz w:val="20"/>
          <w:szCs w:val="20"/>
          <w:color w:val="auto"/>
        </w:rPr>
      </w:pPr>
    </w:p>
    <w:p>
      <w:pPr>
        <w:ind w:right="100" w:firstLine="594"/>
        <w:spacing w:after="0" w:line="267" w:lineRule="auto"/>
        <w:rPr>
          <w:sz w:val="20"/>
          <w:szCs w:val="20"/>
          <w:color w:val="auto"/>
        </w:rPr>
      </w:pPr>
      <w:r>
        <w:rPr>
          <w:rFonts w:ascii="Times New Roman" w:cs="Times New Roman" w:eastAsia="Times New Roman" w:hAnsi="Times New Roman"/>
          <w:sz w:val="19"/>
          <w:szCs w:val="19"/>
          <w:color w:val="1E1E1E"/>
        </w:rPr>
        <w:t>Impairment of assets decreased $0.4 million, or 52%, from $0.8 million for the year ended December 31, 2022 to $0.4 million for the year ended December 31, 2023. As a percent of total revenue, impairments of assets decreased to 0.1% for the year ended December 31, 2023 from 0.2% for the year ended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Other (Expenses) Income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Expense</w:t>
      </w:r>
    </w:p>
    <w:p>
      <w:pPr>
        <w:spacing w:after="0" w:line="118" w:lineRule="exact"/>
        <w:rPr>
          <w:sz w:val="20"/>
          <w:szCs w:val="20"/>
          <w:color w:val="auto"/>
        </w:rPr>
      </w:pPr>
    </w:p>
    <w:p>
      <w:pPr>
        <w:ind w:right="80" w:firstLine="594"/>
        <w:spacing w:after="0" w:line="290" w:lineRule="auto"/>
        <w:rPr>
          <w:sz w:val="20"/>
          <w:szCs w:val="20"/>
          <w:color w:val="auto"/>
        </w:rPr>
      </w:pPr>
      <w:r>
        <w:rPr>
          <w:rFonts w:ascii="Times New Roman" w:cs="Times New Roman" w:eastAsia="Times New Roman" w:hAnsi="Times New Roman"/>
          <w:sz w:val="19"/>
          <w:szCs w:val="19"/>
          <w:color w:val="1E1E1E"/>
        </w:rPr>
        <w:t>Interest expense increased by $0.4 million, or 8%, from $4.4 million for the year ended December 31, 2022 to $4.8 million for the year ended December 31, 2023, primarily as a result of the interest on the 2027 convertible notes issued in February 2022.</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and dividend income</w:t>
      </w:r>
    </w:p>
    <w:p>
      <w:pPr>
        <w:spacing w:after="0" w:line="118" w:lineRule="exact"/>
        <w:rPr>
          <w:sz w:val="20"/>
          <w:szCs w:val="20"/>
          <w:color w:val="auto"/>
        </w:rPr>
      </w:pPr>
    </w:p>
    <w:p>
      <w:pPr>
        <w:ind w:right="140" w:firstLine="594"/>
        <w:spacing w:after="0" w:line="290" w:lineRule="auto"/>
        <w:rPr>
          <w:sz w:val="20"/>
          <w:szCs w:val="20"/>
          <w:color w:val="auto"/>
        </w:rPr>
      </w:pPr>
      <w:r>
        <w:rPr>
          <w:rFonts w:ascii="Times New Roman" w:cs="Times New Roman" w:eastAsia="Times New Roman" w:hAnsi="Times New Roman"/>
          <w:sz w:val="19"/>
          <w:szCs w:val="19"/>
          <w:color w:val="1E1E1E"/>
        </w:rPr>
        <w:t>Interest and dividend income increased by $7.5 million, or 182%, from $4.1 million for the year ended December 31, 2022 to $11.6 million for the year ended December 31, 2023, primarily due to dividend income from our marketable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Other Expenses</w:t>
      </w:r>
    </w:p>
    <w:p>
      <w:pPr>
        <w:spacing w:after="0" w:line="118" w:lineRule="exact"/>
        <w:rPr>
          <w:sz w:val="20"/>
          <w:szCs w:val="20"/>
          <w:color w:val="auto"/>
        </w:rPr>
      </w:pPr>
    </w:p>
    <w:p>
      <w:pPr>
        <w:ind w:firstLine="594"/>
        <w:spacing w:after="0" w:line="290" w:lineRule="auto"/>
        <w:rPr>
          <w:sz w:val="20"/>
          <w:szCs w:val="20"/>
          <w:color w:val="auto"/>
        </w:rPr>
      </w:pPr>
      <w:r>
        <w:rPr>
          <w:rFonts w:ascii="Times New Roman" w:cs="Times New Roman" w:eastAsia="Times New Roman" w:hAnsi="Times New Roman"/>
          <w:sz w:val="19"/>
          <w:szCs w:val="19"/>
          <w:color w:val="1E1E1E"/>
        </w:rPr>
        <w:t>Other expenses decreased by $0.7 million, or 31%, from $2.2 million for the year ended December 31, 2022 to $1.5 million for the year ended December 31, 2023, primarily as a result of decreases in unrealized loss on marketable securities.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Income from Unconsolidated Joint Venture</w:t>
      </w:r>
    </w:p>
    <w:p>
      <w:pPr>
        <w:spacing w:after="0" w:line="118" w:lineRule="exact"/>
        <w:rPr>
          <w:sz w:val="20"/>
          <w:szCs w:val="20"/>
          <w:color w:val="auto"/>
        </w:rPr>
      </w:pPr>
    </w:p>
    <w:p>
      <w:pPr>
        <w:ind w:right="80" w:firstLine="594"/>
        <w:spacing w:after="0" w:line="267" w:lineRule="auto"/>
        <w:rPr>
          <w:sz w:val="20"/>
          <w:szCs w:val="20"/>
          <w:color w:val="auto"/>
        </w:rPr>
      </w:pPr>
      <w:r>
        <w:rPr>
          <w:rFonts w:ascii="Times New Roman" w:cs="Times New Roman" w:eastAsia="Times New Roman" w:hAnsi="Times New Roman"/>
          <w:sz w:val="19"/>
          <w:szCs w:val="19"/>
          <w:color w:val="1E1E1E"/>
        </w:rPr>
        <w:t>Income from unconsolidated joint venture decreased $0.1 million, or 22%, from $0.6 million for the year ended December 31, 2022 to $0.4 million for the year ended December 31, 2023, primarily due to a decrease in the income from our 50% interest in Industrial Media, LLC.</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Benefit (Provision) for Income Taxes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Benefit (provision) for income taxes changed by $0.4 million due to a reduction in state income tax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Additional Segment Considerations</w:t>
      </w:r>
    </w:p>
    <w:p>
      <w:pPr>
        <w:spacing w:after="0" w:line="120" w:lineRule="exact"/>
        <w:rPr>
          <w:sz w:val="20"/>
          <w:szCs w:val="20"/>
          <w:color w:val="auto"/>
        </w:rPr>
      </w:pPr>
    </w:p>
    <w:p>
      <w:pPr>
        <w:jc w:val="both"/>
        <w:ind w:right="160" w:firstLine="594"/>
        <w:spacing w:after="0" w:line="267" w:lineRule="auto"/>
        <w:rPr>
          <w:sz w:val="20"/>
          <w:szCs w:val="20"/>
          <w:color w:val="auto"/>
        </w:rPr>
      </w:pPr>
      <w:r>
        <w:rPr>
          <w:rFonts w:ascii="Times New Roman" w:cs="Times New Roman" w:eastAsia="Times New Roman" w:hAnsi="Times New Roman"/>
          <w:sz w:val="19"/>
          <w:szCs w:val="19"/>
          <w:color w:val="1E1E1E"/>
        </w:rPr>
        <w:t>Total segment loss from our U.S. operating segment for the year ended December 31, 2023 and 2022, was $49.7 million and $61.8 million, respectively. Total segment loss from our International operating segment for the years ended December 31, 2023 and 2022, was $17.8 million and $17.3 million, respectively.</w:t>
      </w:r>
    </w:p>
    <w:p>
      <w:pPr>
        <w:spacing w:after="0" w:line="57" w:lineRule="exact"/>
        <w:rPr>
          <w:sz w:val="20"/>
          <w:szCs w:val="20"/>
          <w:color w:val="auto"/>
        </w:rPr>
      </w:pPr>
    </w:p>
    <w:p>
      <w:pPr>
        <w:jc w:val="both"/>
        <w:ind w:right="220" w:firstLine="594"/>
        <w:spacing w:after="0" w:line="267" w:lineRule="auto"/>
        <w:rPr>
          <w:sz w:val="20"/>
          <w:szCs w:val="20"/>
          <w:color w:val="auto"/>
        </w:rPr>
      </w:pPr>
      <w:r>
        <w:rPr>
          <w:rFonts w:ascii="Times New Roman" w:cs="Times New Roman" w:eastAsia="Times New Roman" w:hAnsi="Times New Roman"/>
          <w:sz w:val="19"/>
          <w:szCs w:val="19"/>
          <w:color w:val="1E1E1E"/>
        </w:rPr>
        <w:t>Total segment interest expense from our U.S. operating segment for the years ended December 31, 2023 and 2022, was $4.8 million and $4.4 million, respectively. Total segment interest expense from our International operating segment for the years ended December 31, 2023 and 2022, was $21,000 and $22,000, respectively.</w:t>
      </w:r>
    </w:p>
    <w:p>
      <w:pPr>
        <w:spacing w:after="0" w:line="57" w:lineRule="exact"/>
        <w:rPr>
          <w:sz w:val="20"/>
          <w:szCs w:val="20"/>
          <w:color w:val="auto"/>
        </w:rPr>
      </w:pPr>
    </w:p>
    <w:p>
      <w:pPr>
        <w:ind w:right="180" w:firstLine="594"/>
        <w:spacing w:after="0" w:line="267" w:lineRule="auto"/>
        <w:rPr>
          <w:sz w:val="20"/>
          <w:szCs w:val="20"/>
          <w:color w:val="auto"/>
        </w:rPr>
      </w:pPr>
      <w:r>
        <w:rPr>
          <w:rFonts w:ascii="Times New Roman" w:cs="Times New Roman" w:eastAsia="Times New Roman" w:hAnsi="Times New Roman"/>
          <w:sz w:val="19"/>
          <w:szCs w:val="19"/>
          <w:color w:val="1E1E1E"/>
        </w:rPr>
        <w:t>Total segment interest income from our U.S. operating segment for the years ended December 31, 2023 and 2022, was $11.6 million and $4.1 million, respectively. Total segment interest income from our International operating segment for the years ended December 31, 2023 and 2022, was $21,000 and $19,000, respectively.</w:t>
      </w:r>
    </w:p>
    <w:p>
      <w:pPr>
        <w:sectPr>
          <w:pgSz w:w="11880" w:h="15480" w:orient="portrait"/>
          <w:cols w:equalWidth="0" w:num="1">
            <w:col w:w="10480"/>
          </w:cols>
          <w:pgMar w:left="700" w:top="958" w:right="700" w:bottom="215"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57</w:t>
      </w:r>
    </w:p>
    <w:p>
      <w:pPr>
        <w:sectPr>
          <w:pgSz w:w="11880" w:h="15480" w:orient="portrait"/>
          <w:cols w:equalWidth="0" w:num="1">
            <w:col w:w="10480"/>
          </w:cols>
          <w:pgMar w:left="700" w:top="958" w:right="700" w:bottom="215"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color w:val="1E1E1E"/>
        </w:rPr>
        <w:t>Results of Operations</w:t>
      </w:r>
    </w:p>
    <w:p>
      <w:pPr>
        <w:spacing w:after="0" w:line="347" w:lineRule="exact"/>
        <w:rPr>
          <w:sz w:val="20"/>
          <w:szCs w:val="20"/>
          <w:color w:val="auto"/>
        </w:rPr>
      </w:pPr>
    </w:p>
    <w:p>
      <w:pPr>
        <w:ind w:right="460" w:firstLine="600"/>
        <w:spacing w:after="0" w:line="256" w:lineRule="auto"/>
        <w:rPr>
          <w:sz w:val="20"/>
          <w:szCs w:val="20"/>
          <w:color w:val="auto"/>
        </w:rPr>
      </w:pPr>
      <w:r>
        <w:rPr>
          <w:rFonts w:ascii="Times New Roman" w:cs="Times New Roman" w:eastAsia="Times New Roman" w:hAnsi="Times New Roman"/>
          <w:sz w:val="19"/>
          <w:szCs w:val="19"/>
          <w:color w:val="1E1E1E"/>
        </w:rPr>
        <w:t xml:space="preserve">Our historical results for the year ended December 31, 2022 have been revised to reflect immaterial corrections related to revenue, cost of revenue, sales and marketing, operations and support and general and administrative. These revisions ensure comparability across all periods reflected herein. Refer to Note 2, Summary of Significant Accounting Policies, </w:t>
      </w:r>
      <w:r>
        <w:rPr>
          <w:rFonts w:ascii="Times New Roman" w:cs="Times New Roman" w:eastAsia="Times New Roman" w:hAnsi="Times New Roman"/>
          <w:sz w:val="19"/>
          <w:szCs w:val="19"/>
          <w:i w:val="1"/>
          <w:iCs w:val="1"/>
          <w:color w:val="1E1E1E"/>
        </w:rPr>
        <w:t>Principles of</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Consolidation and Basis of Presentation</w:t>
      </w:r>
      <w:r>
        <w:rPr>
          <w:rFonts w:ascii="Times New Roman" w:cs="Times New Roman" w:eastAsia="Times New Roman" w:hAnsi="Times New Roman"/>
          <w:sz w:val="19"/>
          <w:szCs w:val="19"/>
          <w:color w:val="1E1E1E"/>
        </w:rPr>
        <w:t>, included elsewhere in this Form 10-K for more information regarding the immaterial</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corrections to 2022 results of operations.</w:t>
      </w:r>
    </w:p>
    <w:p>
      <w:pPr>
        <w:spacing w:after="0" w:line="67" w:lineRule="exact"/>
        <w:rPr>
          <w:sz w:val="20"/>
          <w:szCs w:val="20"/>
          <w:color w:val="auto"/>
        </w:rPr>
      </w:pPr>
    </w:p>
    <w:p>
      <w:pPr>
        <w:ind w:right="40" w:firstLine="594"/>
        <w:spacing w:after="0" w:line="290" w:lineRule="auto"/>
        <w:rPr>
          <w:sz w:val="20"/>
          <w:szCs w:val="20"/>
          <w:color w:val="auto"/>
        </w:rPr>
      </w:pPr>
      <w:r>
        <w:rPr>
          <w:rFonts w:ascii="Times New Roman" w:cs="Times New Roman" w:eastAsia="Times New Roman" w:hAnsi="Times New Roman"/>
          <w:sz w:val="19"/>
          <w:szCs w:val="19"/>
          <w:color w:val="1E1E1E"/>
        </w:rPr>
        <w:t>The following is our discussion of the consolidated results of operations for the year ended December 31, 2022 as compared to the year ended December 31, 2021.</w:t>
      </w:r>
    </w:p>
    <w:p>
      <w:pPr>
        <w:spacing w:after="0" w:line="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following table sets forth our statement of operations data for the years indicated: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1E1E1E"/>
              <w:bottom w:val="single" w:sz="8" w:color="1E1E1E"/>
            </w:tcBorders>
          </w:tcPr>
          <w:p>
            <w:pPr>
              <w:spacing w:after="0"/>
              <w:rPr>
                <w:sz w:val="14"/>
                <w:szCs w:val="14"/>
                <w:color w:val="auto"/>
              </w:rPr>
            </w:pPr>
          </w:p>
        </w:tc>
        <w:tc>
          <w:tcPr>
            <w:tcW w:w="1120" w:type="dxa"/>
            <w:vAlign w:val="bottom"/>
            <w:tcBorders>
              <w:top w:val="single" w:sz="8" w:color="1E1E1E"/>
              <w:bottom w:val="single" w:sz="8" w:color="1E1E1E"/>
            </w:tcBorders>
          </w:tcPr>
          <w:p>
            <w:pPr>
              <w:jc w:val="right"/>
              <w:ind w:right="466"/>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280" w:type="dxa"/>
            <w:vAlign w:val="bottom"/>
            <w:tcBorders>
              <w:top w:val="single" w:sz="8" w:color="1E1E1E"/>
            </w:tcBorders>
          </w:tcPr>
          <w:p>
            <w:pPr>
              <w:spacing w:after="0"/>
              <w:rPr>
                <w:sz w:val="14"/>
                <w:szCs w:val="14"/>
                <w:color w:val="auto"/>
              </w:rPr>
            </w:pPr>
          </w:p>
        </w:tc>
        <w:tc>
          <w:tcPr>
            <w:tcW w:w="460" w:type="dxa"/>
            <w:vAlign w:val="bottom"/>
            <w:tcBorders>
              <w:top w:val="single" w:sz="8" w:color="1E1E1E"/>
              <w:bottom w:val="single" w:sz="8" w:color="1E1E1E"/>
            </w:tcBorders>
          </w:tcPr>
          <w:p>
            <w:pPr>
              <w:spacing w:after="0"/>
              <w:rPr>
                <w:sz w:val="14"/>
                <w:szCs w:val="14"/>
                <w:color w:val="auto"/>
              </w:rPr>
            </w:pPr>
          </w:p>
        </w:tc>
        <w:tc>
          <w:tcPr>
            <w:tcW w:w="1000" w:type="dxa"/>
            <w:vAlign w:val="bottom"/>
            <w:tcBorders>
              <w:top w:val="single" w:sz="8" w:color="1E1E1E"/>
              <w:bottom w:val="single" w:sz="8" w:color="1E1E1E"/>
            </w:tcBorders>
          </w:tcPr>
          <w:p>
            <w:pPr>
              <w:jc w:val="right"/>
              <w:ind w:right="484"/>
              <w:spacing w:after="0" w:line="168" w:lineRule="exact"/>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Pr>
          <w:p>
            <w:pPr>
              <w:spacing w:after="0"/>
              <w:rPr>
                <w:sz w:val="14"/>
                <w:szCs w:val="14"/>
                <w:color w:val="auto"/>
              </w:rPr>
            </w:pPr>
          </w:p>
        </w:tc>
      </w:tr>
      <w:tr>
        <w:trPr>
          <w:trHeight w:val="168"/>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46"/>
              <w:spacing w:after="0" w:line="168" w:lineRule="exact"/>
              <w:rPr>
                <w:sz w:val="20"/>
                <w:szCs w:val="20"/>
                <w:color w:val="auto"/>
              </w:rPr>
            </w:pPr>
            <w:r>
              <w:rPr>
                <w:rFonts w:ascii="Times New Roman" w:cs="Times New Roman" w:eastAsia="Times New Roman" w:hAnsi="Times New Roman"/>
                <w:sz w:val="16"/>
                <w:szCs w:val="16"/>
                <w:b w:val="1"/>
                <w:bCs w:val="1"/>
                <w:color w:val="1E1E1E"/>
              </w:rPr>
              <w:t>(in</w:t>
            </w:r>
          </w:p>
        </w:tc>
        <w:tc>
          <w:tcPr>
            <w:tcW w:w="740" w:type="dxa"/>
            <w:vAlign w:val="bottom"/>
            <w:gridSpan w:val="2"/>
          </w:tcPr>
          <w:p>
            <w:pPr>
              <w:jc w:val="center"/>
              <w:ind w:right="23"/>
              <w:spacing w:after="0" w:line="168" w:lineRule="exact"/>
              <w:rPr>
                <w:sz w:val="20"/>
                <w:szCs w:val="20"/>
                <w:color w:val="auto"/>
              </w:rPr>
            </w:pPr>
            <w:r>
              <w:rPr>
                <w:rFonts w:ascii="Times New Roman" w:cs="Times New Roman" w:eastAsia="Times New Roman" w:hAnsi="Times New Roman"/>
                <w:sz w:val="16"/>
                <w:szCs w:val="16"/>
                <w:b w:val="1"/>
                <w:bCs w:val="1"/>
                <w:color w:val="1E1E1E"/>
                <w:w w:val="82"/>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0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500" w:type="dxa"/>
            <w:vAlign w:val="bottom"/>
            <w:gridSpan w:val="3"/>
            <w:shd w:val="clear" w:color="auto" w:fill="E4E4E4"/>
          </w:tcPr>
          <w:p>
            <w:pPr>
              <w:jc w:val="right"/>
              <w:ind w:right="186"/>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380,921</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jc w:val="center"/>
              <w:ind w:right="263"/>
              <w:spacing w:after="0"/>
              <w:rPr>
                <w:sz w:val="20"/>
                <w:szCs w:val="20"/>
                <w:color w:val="auto"/>
              </w:rPr>
            </w:pPr>
            <w:r>
              <w:rPr>
                <w:rFonts w:ascii="Times New Roman" w:cs="Times New Roman" w:eastAsia="Times New Roman" w:hAnsi="Times New Roman"/>
                <w:sz w:val="19"/>
                <w:szCs w:val="19"/>
                <w:color w:val="1E1E1E"/>
              </w:rPr>
              <w:t>$</w:t>
            </w: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218,336</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234,930</w:t>
            </w:r>
          </w:p>
        </w:tc>
        <w:tc>
          <w:tcPr>
            <w:tcW w:w="280" w:type="dxa"/>
            <w:vAlign w:val="bottom"/>
            <w:tcBorders>
              <w:bottom w:val="single" w:sz="8" w:color="E4E4E4"/>
            </w:tcBorders>
          </w:tcPr>
          <w:p>
            <w:pPr>
              <w:spacing w:after="0"/>
              <w:rPr>
                <w:sz w:val="19"/>
                <w:szCs w:val="19"/>
                <w:color w:val="auto"/>
              </w:rPr>
            </w:pPr>
          </w:p>
        </w:tc>
        <w:tc>
          <w:tcPr>
            <w:tcW w:w="4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161,195</w:t>
            </w:r>
          </w:p>
        </w:tc>
        <w:tc>
          <w:tcPr>
            <w:tcW w:w="100" w:type="dxa"/>
            <w:vAlign w:val="bottom"/>
            <w:tcBorders>
              <w:bottom w:val="single" w:sz="8" w:color="E4E4E4"/>
            </w:tcBorders>
          </w:tcPr>
          <w:p>
            <w:pPr>
              <w:spacing w:after="0"/>
              <w:rPr>
                <w:sz w:val="19"/>
                <w:szCs w:val="19"/>
                <w:color w:val="auto"/>
              </w:rPr>
            </w:pPr>
          </w:p>
        </w:tc>
      </w:tr>
      <w:tr>
        <w:trPr>
          <w:trHeight w:val="213"/>
        </w:trPr>
        <w:tc>
          <w:tcPr>
            <w:tcW w:w="70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1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145,991</w:t>
            </w:r>
          </w:p>
        </w:tc>
        <w:tc>
          <w:tcPr>
            <w:tcW w:w="2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0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57,141</w:t>
            </w:r>
          </w:p>
        </w:tc>
        <w:tc>
          <w:tcPr>
            <w:tcW w:w="100" w:type="dxa"/>
            <w:vAlign w:val="bottom"/>
            <w:shd w:val="clear" w:color="auto" w:fill="E4E4E4"/>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9"/>
                <w:szCs w:val="19"/>
                <w:color w:val="1E1E1E"/>
              </w:rPr>
              <w:t>Operating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Sales and marketing</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84,371</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39,422</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Operations and support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48,628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23,683</w:t>
            </w: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Product development</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31,013</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17,780</w:t>
            </w:r>
          </w:p>
        </w:tc>
        <w:tc>
          <w:tcPr>
            <w:tcW w:w="100" w:type="dxa"/>
            <w:vAlign w:val="bottom"/>
            <w:shd w:val="clear" w:color="auto" w:fill="E4E4E4"/>
          </w:tcPr>
          <w:p>
            <w:pPr>
              <w:spacing w:after="0"/>
              <w:rPr>
                <w:sz w:val="19"/>
                <w:szCs w:val="19"/>
                <w:color w:val="auto"/>
              </w:rPr>
            </w:pP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58,246</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34,942</w:t>
            </w: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Impairment of assets</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824</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7020" w:type="dxa"/>
            <w:vAlign w:val="bottom"/>
            <w:tcBorders>
              <w:bottom w:val="single" w:sz="8" w:color="E4E4E4"/>
            </w:tcBorders>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operating expenses</w:t>
            </w:r>
          </w:p>
        </w:tc>
        <w:tc>
          <w:tcPr>
            <w:tcW w:w="180" w:type="dxa"/>
            <w:vAlign w:val="bottom"/>
            <w:tcBorders>
              <w:bottom w:val="single" w:sz="8" w:color="E4E4E4"/>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300" w:type="dxa"/>
            <w:vAlign w:val="bottom"/>
            <w:tcBorders>
              <w:top w:val="single" w:sz="8" w:color="1E1E1E"/>
              <w:bottom w:val="single" w:sz="8" w:color="1E1E1E"/>
            </w:tcBorders>
          </w:tcPr>
          <w:p>
            <w:pPr>
              <w:spacing w:after="0"/>
              <w:rPr>
                <w:sz w:val="18"/>
                <w:szCs w:val="18"/>
                <w:color w:val="auto"/>
              </w:rPr>
            </w:pPr>
          </w:p>
        </w:tc>
        <w:tc>
          <w:tcPr>
            <w:tcW w:w="112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223,082</w:t>
            </w:r>
          </w:p>
        </w:tc>
        <w:tc>
          <w:tcPr>
            <w:tcW w:w="280" w:type="dxa"/>
            <w:vAlign w:val="bottom"/>
            <w:tcBorders>
              <w:bottom w:val="single" w:sz="8" w:color="E4E4E4"/>
            </w:tcBorders>
          </w:tcPr>
          <w:p>
            <w:pPr>
              <w:spacing w:after="0"/>
              <w:rPr>
                <w:sz w:val="18"/>
                <w:szCs w:val="18"/>
                <w:color w:val="auto"/>
              </w:rPr>
            </w:pPr>
          </w:p>
        </w:tc>
        <w:tc>
          <w:tcPr>
            <w:tcW w:w="460" w:type="dxa"/>
            <w:vAlign w:val="bottom"/>
            <w:tcBorders>
              <w:top w:val="single" w:sz="8" w:color="1E1E1E"/>
              <w:bottom w:val="single" w:sz="8" w:color="1E1E1E"/>
            </w:tcBorders>
          </w:tcPr>
          <w:p>
            <w:pPr>
              <w:spacing w:after="0"/>
              <w:rPr>
                <w:sz w:val="18"/>
                <w:szCs w:val="18"/>
                <w:color w:val="auto"/>
              </w:rPr>
            </w:pPr>
          </w:p>
        </w:tc>
        <w:tc>
          <w:tcPr>
            <w:tcW w:w="10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115,827</w:t>
            </w:r>
          </w:p>
        </w:tc>
        <w:tc>
          <w:tcPr>
            <w:tcW w:w="100" w:type="dxa"/>
            <w:vAlign w:val="bottom"/>
            <w:tcBorders>
              <w:bottom w:val="single" w:sz="8" w:color="E4E4E4"/>
            </w:tcBorders>
          </w:tcPr>
          <w:p>
            <w:pPr>
              <w:spacing w:after="0"/>
              <w:rPr>
                <w:sz w:val="18"/>
                <w:szCs w:val="18"/>
                <w:color w:val="auto"/>
              </w:rPr>
            </w:pPr>
          </w:p>
        </w:tc>
      </w:tr>
      <w:tr>
        <w:trPr>
          <w:trHeight w:val="213"/>
        </w:trPr>
        <w:tc>
          <w:tcPr>
            <w:tcW w:w="70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Loss from operations</w:t>
            </w: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shd w:val="clear" w:color="auto" w:fill="E4E4E4"/>
          </w:tcPr>
          <w:p>
            <w:pPr>
              <w:spacing w:after="0"/>
              <w:rPr>
                <w:sz w:val="18"/>
                <w:szCs w:val="18"/>
                <w:color w:val="auto"/>
              </w:rPr>
            </w:pPr>
          </w:p>
        </w:tc>
        <w:tc>
          <w:tcPr>
            <w:tcW w:w="11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(77,091)</w:t>
            </w:r>
          </w:p>
        </w:tc>
        <w:tc>
          <w:tcPr>
            <w:tcW w:w="2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0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(58,686)</w:t>
            </w:r>
          </w:p>
        </w:tc>
        <w:tc>
          <w:tcPr>
            <w:tcW w:w="100" w:type="dxa"/>
            <w:vAlign w:val="bottom"/>
            <w:shd w:val="clear" w:color="auto" w:fill="E4E4E4"/>
          </w:tcPr>
          <w:p>
            <w:pPr>
              <w:spacing w:after="0"/>
              <w:rPr>
                <w:sz w:val="18"/>
                <w:szCs w:val="18"/>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9"/>
                <w:szCs w:val="19"/>
                <w:color w:val="1E1E1E"/>
              </w:rPr>
              <w:t>Other income (expenses):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Interest expense</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22"/>
              <w:spacing w:after="0"/>
              <w:rPr>
                <w:sz w:val="20"/>
                <w:szCs w:val="20"/>
                <w:color w:val="auto"/>
              </w:rPr>
            </w:pPr>
            <w:r>
              <w:rPr>
                <w:rFonts w:ascii="Times New Roman" w:cs="Times New Roman" w:eastAsia="Times New Roman" w:hAnsi="Times New Roman"/>
                <w:sz w:val="19"/>
                <w:szCs w:val="19"/>
                <w:color w:val="1E1E1E"/>
              </w:rPr>
              <w:t>(4,418)</w:t>
            </w: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(852)</w:t>
            </w:r>
          </w:p>
        </w:tc>
      </w:tr>
      <w:tr>
        <w:trPr>
          <w:trHeight w:val="223"/>
        </w:trPr>
        <w:tc>
          <w:tcPr>
            <w:tcW w:w="702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Interest and dividend income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4,115</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982</w:t>
            </w:r>
          </w:p>
        </w:tc>
        <w:tc>
          <w:tcPr>
            <w:tcW w:w="100" w:type="dxa"/>
            <w:vAlign w:val="bottom"/>
          </w:tcPr>
          <w:p>
            <w:pPr>
              <w:spacing w:after="0"/>
              <w:rPr>
                <w:sz w:val="19"/>
                <w:szCs w:val="19"/>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Other expenses</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22"/>
              <w:spacing w:after="0"/>
              <w:rPr>
                <w:sz w:val="20"/>
                <w:szCs w:val="20"/>
                <w:color w:val="auto"/>
              </w:rPr>
            </w:pPr>
            <w:r>
              <w:rPr>
                <w:rFonts w:ascii="Times New Roman" w:cs="Times New Roman" w:eastAsia="Times New Roman" w:hAnsi="Times New Roman"/>
                <w:sz w:val="19"/>
                <w:szCs w:val="19"/>
                <w:color w:val="1E1E1E"/>
              </w:rPr>
              <w:t>(2,183)</w:t>
            </w: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(2,866)</w:t>
            </w:r>
          </w:p>
        </w:tc>
      </w:tr>
      <w:tr>
        <w:trPr>
          <w:trHeight w:val="223"/>
        </w:trPr>
        <w:tc>
          <w:tcPr>
            <w:tcW w:w="70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19"/>
                <w:szCs w:val="19"/>
                <w:color w:val="1E1E1E"/>
              </w:rPr>
              <w:t>Income from unconsolidated joint venture</w:t>
            </w: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1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570</w:t>
            </w:r>
          </w:p>
        </w:tc>
        <w:tc>
          <w:tcPr>
            <w:tcW w:w="280" w:type="dxa"/>
            <w:vAlign w:val="bottom"/>
            <w:tcBorders>
              <w:bottom w:val="single" w:sz="8" w:color="E4E4E4"/>
            </w:tcBorders>
          </w:tcPr>
          <w:p>
            <w:pPr>
              <w:spacing w:after="0"/>
              <w:rPr>
                <w:sz w:val="19"/>
                <w:szCs w:val="19"/>
                <w:color w:val="auto"/>
              </w:rPr>
            </w:pPr>
          </w:p>
        </w:tc>
        <w:tc>
          <w:tcPr>
            <w:tcW w:w="4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41</w:t>
            </w:r>
          </w:p>
        </w:tc>
        <w:tc>
          <w:tcPr>
            <w:tcW w:w="100" w:type="dxa"/>
            <w:vAlign w:val="bottom"/>
            <w:tcBorders>
              <w:bottom w:val="single" w:sz="8" w:color="E4E4E4"/>
            </w:tcBorders>
          </w:tcPr>
          <w:p>
            <w:pPr>
              <w:spacing w:after="0"/>
              <w:rPr>
                <w:sz w:val="19"/>
                <w:szCs w:val="19"/>
                <w:color w:val="auto"/>
              </w:rPr>
            </w:pPr>
          </w:p>
        </w:tc>
      </w:tr>
      <w:tr>
        <w:trPr>
          <w:trHeight w:val="213"/>
        </w:trPr>
        <w:tc>
          <w:tcPr>
            <w:tcW w:w="7020" w:type="dxa"/>
            <w:vAlign w:val="bottom"/>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other expenses</w:t>
            </w: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300" w:type="dxa"/>
            <w:vAlign w:val="bottom"/>
            <w:tcBorders>
              <w:bottom w:val="single" w:sz="8" w:color="1E1E1E"/>
            </w:tcBorders>
            <w:shd w:val="clear" w:color="auto" w:fill="E4E4E4"/>
          </w:tcPr>
          <w:p>
            <w:pPr>
              <w:spacing w:after="0"/>
              <w:rPr>
                <w:sz w:val="18"/>
                <w:szCs w:val="18"/>
                <w:color w:val="auto"/>
              </w:rPr>
            </w:pPr>
          </w:p>
        </w:tc>
        <w:tc>
          <w:tcPr>
            <w:tcW w:w="11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(1,916)</w:t>
            </w:r>
          </w:p>
        </w:tc>
        <w:tc>
          <w:tcPr>
            <w:tcW w:w="280" w:type="dxa"/>
            <w:vAlign w:val="bottom"/>
            <w:shd w:val="clear" w:color="auto" w:fill="E4E4E4"/>
          </w:tcPr>
          <w:p>
            <w:pPr>
              <w:spacing w:after="0"/>
              <w:rPr>
                <w:sz w:val="18"/>
                <w:szCs w:val="18"/>
                <w:color w:val="auto"/>
              </w:rPr>
            </w:pPr>
          </w:p>
        </w:tc>
        <w:tc>
          <w:tcPr>
            <w:tcW w:w="460" w:type="dxa"/>
            <w:vAlign w:val="bottom"/>
            <w:tcBorders>
              <w:bottom w:val="single" w:sz="8" w:color="1E1E1E"/>
            </w:tcBorders>
            <w:shd w:val="clear" w:color="auto" w:fill="E4E4E4"/>
          </w:tcPr>
          <w:p>
            <w:pPr>
              <w:spacing w:after="0"/>
              <w:rPr>
                <w:sz w:val="18"/>
                <w:szCs w:val="18"/>
                <w:color w:val="auto"/>
              </w:rPr>
            </w:pPr>
          </w:p>
        </w:tc>
        <w:tc>
          <w:tcPr>
            <w:tcW w:w="10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(2,695)</w:t>
            </w:r>
          </w:p>
        </w:tc>
        <w:tc>
          <w:tcPr>
            <w:tcW w:w="100" w:type="dxa"/>
            <w:vAlign w:val="bottom"/>
            <w:shd w:val="clear" w:color="auto" w:fill="E4E4E4"/>
          </w:tcPr>
          <w:p>
            <w:pPr>
              <w:spacing w:after="0"/>
              <w:rPr>
                <w:sz w:val="18"/>
                <w:szCs w:val="18"/>
                <w:color w:val="auto"/>
              </w:rPr>
            </w:pPr>
          </w:p>
        </w:tc>
      </w:tr>
      <w:tr>
        <w:trPr>
          <w:trHeight w:val="213"/>
        </w:trPr>
        <w:tc>
          <w:tcPr>
            <w:tcW w:w="70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Loss before income taxes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(79,007)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(61,381)</w:t>
            </w:r>
          </w:p>
        </w:tc>
        <w:tc>
          <w:tcPr>
            <w:tcW w:w="100" w:type="dxa"/>
            <w:vAlign w:val="bottom"/>
          </w:tcPr>
          <w:p>
            <w:pPr>
              <w:spacing w:after="0"/>
              <w:rPr>
                <w:sz w:val="18"/>
                <w:szCs w:val="18"/>
                <w:color w:val="auto"/>
              </w:rPr>
            </w:pPr>
          </w:p>
        </w:tc>
      </w:tr>
      <w:tr>
        <w:trPr>
          <w:trHeight w:val="223"/>
        </w:trPr>
        <w:tc>
          <w:tcPr>
            <w:tcW w:w="702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Provision for income taxes</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22"/>
              <w:spacing w:after="0"/>
              <w:rPr>
                <w:sz w:val="20"/>
                <w:szCs w:val="20"/>
                <w:color w:val="auto"/>
              </w:rPr>
            </w:pPr>
            <w:r>
              <w:rPr>
                <w:rFonts w:ascii="Times New Roman" w:cs="Times New Roman" w:eastAsia="Times New Roman" w:hAnsi="Times New Roman"/>
                <w:sz w:val="19"/>
                <w:szCs w:val="19"/>
                <w:color w:val="1E1E1E"/>
              </w:rPr>
              <w:t>(36)</w:t>
            </w: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70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Net loss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1E1E1E"/>
            </w:tcBorders>
          </w:tcPr>
          <w:p>
            <w:pPr>
              <w:spacing w:after="0"/>
              <w:rPr>
                <w:sz w:val="18"/>
                <w:szCs w:val="18"/>
                <w:color w:val="auto"/>
              </w:rPr>
            </w:pPr>
          </w:p>
        </w:tc>
        <w:tc>
          <w:tcPr>
            <w:tcW w:w="112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(79,043)</w:t>
            </w:r>
          </w:p>
        </w:tc>
        <w:tc>
          <w:tcPr>
            <w:tcW w:w="280" w:type="dxa"/>
            <w:vAlign w:val="bottom"/>
          </w:tcPr>
          <w:p>
            <w:pPr>
              <w:spacing w:after="0"/>
              <w:rPr>
                <w:sz w:val="18"/>
                <w:szCs w:val="18"/>
                <w:color w:val="auto"/>
              </w:rPr>
            </w:pPr>
          </w:p>
        </w:tc>
        <w:tc>
          <w:tcPr>
            <w:tcW w:w="460" w:type="dxa"/>
            <w:vAlign w:val="bottom"/>
            <w:tcBorders>
              <w:top w:val="single" w:sz="8" w:color="1E1E1E"/>
            </w:tcBorders>
          </w:tcPr>
          <w:p>
            <w:pPr>
              <w:spacing w:after="0"/>
              <w:rPr>
                <w:sz w:val="18"/>
                <w:szCs w:val="18"/>
                <w:color w:val="auto"/>
              </w:rPr>
            </w:pPr>
          </w:p>
        </w:tc>
        <w:tc>
          <w:tcPr>
            <w:tcW w:w="100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(61,381)</w:t>
            </w:r>
          </w:p>
        </w:tc>
        <w:tc>
          <w:tcPr>
            <w:tcW w:w="100" w:type="dxa"/>
            <w:vAlign w:val="bottom"/>
          </w:tcPr>
          <w:p>
            <w:pPr>
              <w:spacing w:after="0"/>
              <w:rPr>
                <w:sz w:val="18"/>
                <w:szCs w:val="18"/>
                <w:color w:val="auto"/>
              </w:rPr>
            </w:pPr>
          </w:p>
        </w:tc>
      </w:tr>
      <w:tr>
        <w:trPr>
          <w:trHeight w:val="223"/>
        </w:trPr>
        <w:tc>
          <w:tcPr>
            <w:tcW w:w="70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Net income (loss) attributable to noncontrolling interest</w:t>
            </w: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16</w:t>
            </w:r>
          </w:p>
        </w:tc>
        <w:tc>
          <w:tcPr>
            <w:tcW w:w="28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(2)</w:t>
            </w:r>
          </w:p>
        </w:tc>
      </w:tr>
      <w:tr>
        <w:trPr>
          <w:trHeight w:val="213"/>
        </w:trPr>
        <w:tc>
          <w:tcPr>
            <w:tcW w:w="70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1E1E1E"/>
              <w:bottom w:val="single" w:sz="8" w:color="1E1E1E"/>
            </w:tcBorders>
          </w:tcPr>
          <w:p>
            <w:pPr>
              <w:jc w:val="right"/>
              <w:ind w:right="186"/>
              <w:spacing w:after="0"/>
              <w:rPr>
                <w:sz w:val="20"/>
                <w:szCs w:val="20"/>
                <w:color w:val="auto"/>
              </w:rPr>
            </w:pPr>
            <w:r>
              <w:rPr>
                <w:rFonts w:ascii="Times New Roman" w:cs="Times New Roman" w:eastAsia="Times New Roman" w:hAnsi="Times New Roman"/>
                <w:sz w:val="11"/>
                <w:szCs w:val="11"/>
                <w:color w:val="1E1E1E"/>
                <w:w w:val="71"/>
              </w:rPr>
              <w:t>$</w:t>
            </w:r>
          </w:p>
        </w:tc>
        <w:tc>
          <w:tcPr>
            <w:tcW w:w="112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(79,059)</w:t>
            </w:r>
          </w:p>
        </w:tc>
        <w:tc>
          <w:tcPr>
            <w:tcW w:w="280" w:type="dxa"/>
            <w:vAlign w:val="bottom"/>
          </w:tcPr>
          <w:p>
            <w:pPr>
              <w:spacing w:after="0"/>
              <w:rPr>
                <w:sz w:val="18"/>
                <w:szCs w:val="18"/>
                <w:color w:val="auto"/>
              </w:rPr>
            </w:pPr>
          </w:p>
        </w:tc>
        <w:tc>
          <w:tcPr>
            <w:tcW w:w="460" w:type="dxa"/>
            <w:vAlign w:val="bottom"/>
            <w:tcBorders>
              <w:top w:val="single" w:sz="8" w:color="1E1E1E"/>
              <w:bottom w:val="single" w:sz="8" w:color="1E1E1E"/>
            </w:tcBorders>
          </w:tcPr>
          <w:p>
            <w:pPr>
              <w:jc w:val="center"/>
              <w:ind w:right="263"/>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0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(61,379)</w:t>
            </w:r>
          </w:p>
        </w:tc>
        <w:tc>
          <w:tcPr>
            <w:tcW w:w="10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58</w:t>
      </w:r>
    </w:p>
    <w:p>
      <w:pPr>
        <w:sectPr>
          <w:pgSz w:w="11880" w:h="15480" w:orient="portrait"/>
          <w:cols w:equalWidth="0" w:num="1">
            <w:col w:w="10480"/>
          </w:cols>
          <w:pgMar w:left="700" w:top="953" w:right="700" w:bottom="215" w:gutter="0" w:footer="0" w:header="0"/>
          <w:type w:val="continuous"/>
        </w:sectPr>
      </w:pPr>
    </w:p>
    <w:bookmarkStart w:id="64" w:name="page65"/>
    <w:bookmarkEnd w:id="64"/>
    <w:p>
      <w:pPr>
        <w:ind w:right="720" w:firstLine="594"/>
        <w:spacing w:after="0" w:line="246" w:lineRule="auto"/>
        <w:rPr>
          <w:sz w:val="20"/>
          <w:szCs w:val="20"/>
          <w:color w:val="auto"/>
        </w:rPr>
      </w:pPr>
      <w:r>
        <w:rPr>
          <w:rFonts w:ascii="Times New Roman" w:cs="Times New Roman" w:eastAsia="Times New Roman" w:hAnsi="Times New Roman"/>
          <w:sz w:val="19"/>
          <w:szCs w:val="19"/>
          <w:color w:val="1E1E1E"/>
        </w:rPr>
        <w:t>The following table sets forth our statement of operations data expressed as a percentage of total revenue for the years indicated:</w:t>
      </w:r>
    </w:p>
    <w:tbl>
      <w:tblPr>
        <w:tblLayout w:type="fixed"/>
        <w:tblInd w:w="0" w:type="dxa"/>
        <w:tblCellMar>
          <w:top w:w="0" w:type="dxa"/>
          <w:left w:w="0" w:type="dxa"/>
          <w:bottom w:w="0" w:type="dxa"/>
          <w:right w:w="0" w:type="dxa"/>
        </w:tblCellMar>
      </w:tblPr>
      <w:tr>
        <w:trPr>
          <w:trHeight w:val="197"/>
        </w:trPr>
        <w:tc>
          <w:tcPr>
            <w:tcW w:w="7140" w:type="dxa"/>
            <w:vAlign w:val="bottom"/>
          </w:tcPr>
          <w:p>
            <w:pPr>
              <w:spacing w:after="0"/>
              <w:rPr>
                <w:sz w:val="17"/>
                <w:szCs w:val="17"/>
                <w:color w:val="auto"/>
              </w:rPr>
            </w:pPr>
          </w:p>
        </w:tc>
        <w:tc>
          <w:tcPr>
            <w:tcW w:w="2600" w:type="dxa"/>
            <w:vAlign w:val="bottom"/>
            <w:tcBorders>
              <w:bottom w:val="single" w:sz="8" w:color="1E1E1E"/>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80" w:type="dxa"/>
            <w:vAlign w:val="bottom"/>
            <w:tcBorders>
              <w:bottom w:val="single" w:sz="8" w:color="1E1E1E"/>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1720" w:type="dxa"/>
            <w:vAlign w:val="bottom"/>
            <w:gridSpan w:val="3"/>
          </w:tcPr>
          <w:p>
            <w:pPr>
              <w:jc w:val="right"/>
              <w:ind w:right="40"/>
              <w:spacing w:after="0" w:line="168" w:lineRule="exact"/>
              <w:rPr>
                <w:sz w:val="20"/>
                <w:szCs w:val="20"/>
                <w:color w:val="auto"/>
              </w:rPr>
            </w:pPr>
            <w:r>
              <w:rPr>
                <w:rFonts w:ascii="Times New Roman" w:cs="Times New Roman" w:eastAsia="Times New Roman" w:hAnsi="Times New Roman"/>
                <w:sz w:val="16"/>
                <w:szCs w:val="16"/>
                <w:b w:val="1"/>
                <w:bCs w:val="1"/>
                <w:color w:val="1E1E1E"/>
              </w:rPr>
              <w:t>2021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140" w:type="dxa"/>
            <w:vAlign w:val="bottom"/>
          </w:tcPr>
          <w:p>
            <w:pPr>
              <w:spacing w:after="0"/>
              <w:rPr>
                <w:sz w:val="14"/>
                <w:szCs w:val="14"/>
                <w:color w:val="auto"/>
              </w:rPr>
            </w:pPr>
          </w:p>
        </w:tc>
        <w:tc>
          <w:tcPr>
            <w:tcW w:w="880" w:type="dxa"/>
            <w:vAlign w:val="bottom"/>
            <w:tcBorders>
              <w:top w:val="single" w:sz="8" w:color="1E1E1E"/>
            </w:tcBorders>
          </w:tcPr>
          <w:p>
            <w:pPr>
              <w:spacing w:after="0"/>
              <w:rPr>
                <w:sz w:val="14"/>
                <w:szCs w:val="14"/>
                <w:color w:val="auto"/>
              </w:rPr>
            </w:pPr>
          </w:p>
        </w:tc>
        <w:tc>
          <w:tcPr>
            <w:tcW w:w="480" w:type="dxa"/>
            <w:vAlign w:val="bottom"/>
            <w:tcBorders>
              <w:top w:val="single" w:sz="8" w:color="1E1E1E"/>
            </w:tcBorders>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Borders>
              <w:top w:val="single" w:sz="8" w:color="1E1E1E"/>
            </w:tcBorders>
          </w:tcPr>
          <w:p>
            <w:pPr>
              <w:spacing w:after="0"/>
              <w:rPr>
                <w:sz w:val="14"/>
                <w:szCs w:val="14"/>
                <w:color w:val="auto"/>
              </w:rPr>
            </w:pPr>
          </w:p>
        </w:tc>
        <w:tc>
          <w:tcPr>
            <w:tcW w:w="480" w:type="dxa"/>
            <w:vAlign w:val="bottom"/>
            <w:tcBorders>
              <w:top w:val="single" w:sz="8" w:color="1E1E1E"/>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100.0%</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100.0%</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8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61.7%</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73.8%</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19"/>
                <w:szCs w:val="19"/>
                <w:color w:val="1E1E1E"/>
              </w:rPr>
              <w:t>Gross profit</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38.3%</w:t>
            </w:r>
          </w:p>
        </w:tc>
        <w:tc>
          <w:tcPr>
            <w:tcW w:w="860" w:type="dxa"/>
            <w:vAlign w:val="bottom"/>
          </w:tcPr>
          <w:p>
            <w:pPr>
              <w:spacing w:after="0"/>
              <w:rPr>
                <w:sz w:val="18"/>
                <w:szCs w:val="18"/>
                <w:color w:val="auto"/>
              </w:rPr>
            </w:pPr>
          </w:p>
        </w:tc>
        <w:tc>
          <w:tcPr>
            <w:tcW w:w="74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9"/>
                <w:szCs w:val="19"/>
                <w:color w:val="1E1E1E"/>
              </w:rPr>
              <w:t>26.2%</w:t>
            </w:r>
          </w:p>
        </w:tc>
        <w:tc>
          <w:tcPr>
            <w:tcW w:w="0" w:type="dxa"/>
            <w:vAlign w:val="bottom"/>
          </w:tcPr>
          <w:p>
            <w:pPr>
              <w:spacing w:after="0"/>
              <w:rPr>
                <w:sz w:val="1"/>
                <w:szCs w:val="1"/>
                <w:color w:val="auto"/>
              </w:rPr>
            </w:pPr>
          </w:p>
        </w:tc>
      </w:tr>
      <w:tr>
        <w:trPr>
          <w:trHeight w:val="213"/>
        </w:trPr>
        <w:tc>
          <w:tcPr>
            <w:tcW w:w="71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Operating expenses:</w:t>
            </w:r>
          </w:p>
        </w:tc>
        <w:tc>
          <w:tcPr>
            <w:tcW w:w="880" w:type="dxa"/>
            <w:vAlign w:val="bottom"/>
            <w:tcBorders>
              <w:top w:val="single" w:sz="8" w:color="1E1E1E"/>
            </w:tcBorders>
          </w:tcPr>
          <w:p>
            <w:pPr>
              <w:spacing w:after="0"/>
              <w:rPr>
                <w:sz w:val="18"/>
                <w:szCs w:val="18"/>
                <w:color w:val="auto"/>
              </w:rPr>
            </w:pPr>
          </w:p>
        </w:tc>
        <w:tc>
          <w:tcPr>
            <w:tcW w:w="480" w:type="dxa"/>
            <w:vAlign w:val="bottom"/>
            <w:tcBorders>
              <w:top w:val="single" w:sz="8" w:color="1E1E1E"/>
            </w:tcBorders>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Borders>
              <w:top w:val="single" w:sz="8" w:color="1E1E1E"/>
            </w:tcBorders>
          </w:tcPr>
          <w:p>
            <w:pPr>
              <w:spacing w:after="0"/>
              <w:rPr>
                <w:sz w:val="18"/>
                <w:szCs w:val="18"/>
                <w:color w:val="auto"/>
              </w:rPr>
            </w:pPr>
          </w:p>
        </w:tc>
        <w:tc>
          <w:tcPr>
            <w:tcW w:w="480" w:type="dxa"/>
            <w:vAlign w:val="bottom"/>
            <w:tcBorders>
              <w:top w:val="single" w:sz="8" w:color="1E1E1E"/>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Sales and marketing</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22.1%</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18.1%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Operations and support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12.8%</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10.8%</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Product development</w:t>
            </w: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8.1%</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8.1%</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15.3%</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16.0%</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Impairment of assets</w:t>
            </w:r>
          </w:p>
        </w:tc>
        <w:tc>
          <w:tcPr>
            <w:tcW w:w="88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0.2%</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1E1E1E"/>
              </w:rPr>
              <w:t>Total operating expenses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58.5%</w:t>
            </w:r>
          </w:p>
        </w:tc>
        <w:tc>
          <w:tcPr>
            <w:tcW w:w="860" w:type="dxa"/>
            <w:vAlign w:val="bottom"/>
          </w:tcPr>
          <w:p>
            <w:pPr>
              <w:spacing w:after="0"/>
              <w:rPr>
                <w:sz w:val="18"/>
                <w:szCs w:val="18"/>
                <w:color w:val="auto"/>
              </w:rPr>
            </w:pPr>
          </w:p>
        </w:tc>
        <w:tc>
          <w:tcPr>
            <w:tcW w:w="740" w:type="dxa"/>
            <w:vAlign w:val="bottom"/>
            <w:gridSpan w:val="2"/>
          </w:tcPr>
          <w:p>
            <w:pPr>
              <w:jc w:val="right"/>
              <w:ind w:right="100"/>
              <w:spacing w:after="0" w:line="213" w:lineRule="exact"/>
              <w:rPr>
                <w:sz w:val="20"/>
                <w:szCs w:val="20"/>
                <w:color w:val="auto"/>
              </w:rPr>
            </w:pPr>
            <w:r>
              <w:rPr>
                <w:rFonts w:ascii="Times New Roman" w:cs="Times New Roman" w:eastAsia="Times New Roman" w:hAnsi="Times New Roman"/>
                <w:sz w:val="19"/>
                <w:szCs w:val="19"/>
                <w:color w:val="1E1E1E"/>
              </w:rPr>
              <w:t>53.0%</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 from operations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(20.2)%</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(26.8)%</w:t>
            </w:r>
          </w:p>
        </w:tc>
        <w:tc>
          <w:tcPr>
            <w:tcW w:w="0" w:type="dxa"/>
            <w:vAlign w:val="bottom"/>
          </w:tcPr>
          <w:p>
            <w:pPr>
              <w:spacing w:after="0"/>
              <w:rPr>
                <w:sz w:val="1"/>
                <w:szCs w:val="1"/>
                <w:color w:val="auto"/>
              </w:rPr>
            </w:pPr>
          </w:p>
        </w:tc>
      </w:tr>
      <w:tr>
        <w:trPr>
          <w:trHeight w:val="223"/>
        </w:trPr>
        <w:tc>
          <w:tcPr>
            <w:tcW w:w="7140" w:type="dxa"/>
            <w:vAlign w:val="bottom"/>
          </w:tcPr>
          <w:p>
            <w:pPr>
              <w:spacing w:after="0"/>
              <w:rPr>
                <w:sz w:val="20"/>
                <w:szCs w:val="20"/>
                <w:color w:val="auto"/>
              </w:rPr>
            </w:pPr>
            <w:r>
              <w:rPr>
                <w:rFonts w:ascii="Times New Roman" w:cs="Times New Roman" w:eastAsia="Times New Roman" w:hAnsi="Times New Roman"/>
                <w:sz w:val="19"/>
                <w:szCs w:val="19"/>
                <w:color w:val="1E1E1E"/>
              </w:rPr>
              <w:t>Other income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Interest expense</w:t>
            </w:r>
          </w:p>
        </w:tc>
        <w:tc>
          <w:tcPr>
            <w:tcW w:w="86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(1.2)%</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(0.4)%</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Interest and dividend income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1.1%</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0.4%</w:t>
            </w:r>
          </w:p>
        </w:tc>
        <w:tc>
          <w:tcPr>
            <w:tcW w:w="0" w:type="dxa"/>
            <w:vAlign w:val="bottom"/>
          </w:tcPr>
          <w:p>
            <w:pPr>
              <w:spacing w:after="0"/>
              <w:rPr>
                <w:sz w:val="1"/>
                <w:szCs w:val="1"/>
                <w:color w:val="auto"/>
              </w:rPr>
            </w:pPr>
          </w:p>
        </w:tc>
      </w:tr>
      <w:tr>
        <w:trPr>
          <w:trHeight w:val="223"/>
        </w:trPr>
        <w:tc>
          <w:tcPr>
            <w:tcW w:w="80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Other expenses</w:t>
            </w:r>
          </w:p>
        </w:tc>
        <w:tc>
          <w:tcPr>
            <w:tcW w:w="86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(0.6)%</w:t>
            </w:r>
          </w:p>
        </w:tc>
        <w:tc>
          <w:tcPr>
            <w:tcW w:w="860" w:type="dxa"/>
            <w:vAlign w:val="bottom"/>
            <w:shd w:val="clear" w:color="auto" w:fill="E4E4E4"/>
          </w:tcPr>
          <w:p>
            <w:pPr>
              <w:spacing w:after="0"/>
              <w:rPr>
                <w:sz w:val="19"/>
                <w:szCs w:val="19"/>
                <w:color w:val="auto"/>
              </w:rPr>
            </w:pPr>
          </w:p>
        </w:tc>
        <w:tc>
          <w:tcPr>
            <w:tcW w:w="7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(1.3)%</w:t>
            </w:r>
          </w:p>
        </w:tc>
        <w:tc>
          <w:tcPr>
            <w:tcW w:w="0" w:type="dxa"/>
            <w:vAlign w:val="bottom"/>
          </w:tcPr>
          <w:p>
            <w:pPr>
              <w:spacing w:after="0"/>
              <w:rPr>
                <w:sz w:val="1"/>
                <w:szCs w:val="1"/>
                <w:color w:val="auto"/>
              </w:rPr>
            </w:pPr>
          </w:p>
        </w:tc>
      </w:tr>
      <w:tr>
        <w:trPr>
          <w:trHeight w:val="223"/>
        </w:trPr>
        <w:tc>
          <w:tcPr>
            <w:tcW w:w="7140" w:type="dxa"/>
            <w:vAlign w:val="bottom"/>
          </w:tcPr>
          <w:p>
            <w:pPr>
              <w:ind w:left="200"/>
              <w:spacing w:after="0"/>
              <w:rPr>
                <w:sz w:val="20"/>
                <w:szCs w:val="20"/>
                <w:color w:val="auto"/>
              </w:rPr>
            </w:pPr>
            <w:r>
              <w:rPr>
                <w:rFonts w:ascii="Times New Roman" w:cs="Times New Roman" w:eastAsia="Times New Roman" w:hAnsi="Times New Roman"/>
                <w:sz w:val="19"/>
                <w:szCs w:val="19"/>
                <w:color w:val="1E1E1E"/>
              </w:rPr>
              <w:t>Income from unconsolidated joint venture</w:t>
            </w:r>
          </w:p>
        </w:tc>
        <w:tc>
          <w:tcPr>
            <w:tcW w:w="8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0.1%</w:t>
            </w:r>
          </w:p>
        </w:tc>
        <w:tc>
          <w:tcPr>
            <w:tcW w:w="8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vMerge w:val="restart"/>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Total other expenses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shd w:val="clear" w:color="auto" w:fill="E4E4E4"/>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(0.6)%</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(1.3)%</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Loss before income taxes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(20.8)%</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(28.1)%</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Provision for income taxes</w:t>
            </w:r>
          </w:p>
        </w:tc>
        <w:tc>
          <w:tcPr>
            <w:tcW w:w="880" w:type="dxa"/>
            <w:vAlign w:val="bottom"/>
            <w:shd w:val="clear" w:color="auto" w:fill="E4E4E4"/>
          </w:tcPr>
          <w:p>
            <w:pPr>
              <w:spacing w:after="0"/>
              <w:rPr>
                <w:sz w:val="19"/>
                <w:szCs w:val="19"/>
                <w:color w:val="auto"/>
              </w:rPr>
            </w:pPr>
          </w:p>
        </w:tc>
        <w:tc>
          <w:tcPr>
            <w:tcW w:w="1720" w:type="dxa"/>
            <w:vAlign w:val="bottom"/>
            <w:gridSpan w:val="3"/>
            <w:shd w:val="clear" w:color="auto" w:fill="E4E4E4"/>
          </w:tcPr>
          <w:p>
            <w:pPr>
              <w:ind w:left="280"/>
              <w:spacing w:after="0"/>
              <w:rPr>
                <w:sz w:val="20"/>
                <w:szCs w:val="20"/>
                <w:color w:val="auto"/>
              </w:rPr>
            </w:pPr>
            <w:r>
              <w:rPr>
                <w:rFonts w:ascii="Times New Roman" w:cs="Times New Roman" w:eastAsia="Times New Roman" w:hAnsi="Times New Roman"/>
                <w:sz w:val="19"/>
                <w:szCs w:val="19"/>
                <w:color w:val="1E1E1E"/>
              </w:rPr>
              <w:t>—%</w:t>
            </w: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88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48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14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color w:val="1E1E1E"/>
              </w:rPr>
              <w:t>(20.8)%</w:t>
            </w:r>
          </w:p>
        </w:tc>
        <w:tc>
          <w:tcPr>
            <w:tcW w:w="860" w:type="dxa"/>
            <w:vAlign w:val="bottom"/>
          </w:tcPr>
          <w:p>
            <w:pPr>
              <w:spacing w:after="0"/>
              <w:rPr>
                <w:sz w:val="18"/>
                <w:szCs w:val="18"/>
                <w:color w:val="auto"/>
              </w:rPr>
            </w:pPr>
          </w:p>
        </w:tc>
        <w:tc>
          <w:tcPr>
            <w:tcW w:w="740" w:type="dxa"/>
            <w:vAlign w:val="bottom"/>
            <w:gridSpan w:val="2"/>
          </w:tcPr>
          <w:p>
            <w:pPr>
              <w:jc w:val="right"/>
              <w:ind w:right="40"/>
              <w:spacing w:after="0" w:line="213" w:lineRule="exact"/>
              <w:rPr>
                <w:sz w:val="20"/>
                <w:szCs w:val="20"/>
                <w:color w:val="auto"/>
              </w:rPr>
            </w:pPr>
            <w:r>
              <w:rPr>
                <w:rFonts w:ascii="Times New Roman" w:cs="Times New Roman" w:eastAsia="Times New Roman" w:hAnsi="Times New Roman"/>
                <w:sz w:val="19"/>
                <w:szCs w:val="19"/>
                <w:color w:val="1E1E1E"/>
              </w:rPr>
              <w:t>(28.1)%</w:t>
            </w:r>
          </w:p>
        </w:tc>
        <w:tc>
          <w:tcPr>
            <w:tcW w:w="0" w:type="dxa"/>
            <w:vAlign w:val="bottom"/>
          </w:tcPr>
          <w:p>
            <w:pPr>
              <w:spacing w:after="0"/>
              <w:rPr>
                <w:sz w:val="1"/>
                <w:szCs w:val="1"/>
                <w:color w:val="auto"/>
              </w:rPr>
            </w:pPr>
          </w:p>
        </w:tc>
      </w:tr>
      <w:tr>
        <w:trPr>
          <w:trHeight w:val="223"/>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Net income (loss) attributable to noncontrolling interest</w:t>
            </w:r>
          </w:p>
        </w:tc>
        <w:tc>
          <w:tcPr>
            <w:tcW w:w="880" w:type="dxa"/>
            <w:vAlign w:val="bottom"/>
            <w:shd w:val="clear" w:color="auto" w:fill="E4E4E4"/>
          </w:tcPr>
          <w:p>
            <w:pPr>
              <w:spacing w:after="0"/>
              <w:rPr>
                <w:sz w:val="19"/>
                <w:szCs w:val="19"/>
                <w:color w:val="auto"/>
              </w:rPr>
            </w:pPr>
          </w:p>
        </w:tc>
        <w:tc>
          <w:tcPr>
            <w:tcW w:w="1720" w:type="dxa"/>
            <w:vAlign w:val="bottom"/>
            <w:gridSpan w:val="3"/>
            <w:shd w:val="clear" w:color="auto" w:fill="E4E4E4"/>
          </w:tcPr>
          <w:p>
            <w:pPr>
              <w:ind w:left="280"/>
              <w:spacing w:after="0"/>
              <w:rPr>
                <w:sz w:val="20"/>
                <w:szCs w:val="20"/>
                <w:color w:val="auto"/>
              </w:rPr>
            </w:pPr>
            <w:r>
              <w:rPr>
                <w:rFonts w:ascii="Times New Roman" w:cs="Times New Roman" w:eastAsia="Times New Roman" w:hAnsi="Times New Roman"/>
                <w:sz w:val="19"/>
                <w:szCs w:val="19"/>
                <w:color w:val="1E1E1E"/>
              </w:rPr>
              <w:t>—%</w:t>
            </w:r>
          </w:p>
        </w:tc>
        <w:tc>
          <w:tcPr>
            <w:tcW w:w="7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0"/>
        </w:trPr>
        <w:tc>
          <w:tcPr>
            <w:tcW w:w="7140" w:type="dxa"/>
            <w:vAlign w:val="bottom"/>
            <w:tcBorders>
              <w:top w:val="single" w:sz="8" w:color="E4E4E4"/>
            </w:tcBorders>
            <w:vMerge w:val="restart"/>
          </w:tcPr>
          <w:p>
            <w:pPr>
              <w:spacing w:after="0" w:line="213" w:lineRule="exact"/>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880" w:type="dxa"/>
            <w:vAlign w:val="bottom"/>
            <w:tcBorders>
              <w:top w:val="single" w:sz="8" w:color="1E1E1E"/>
            </w:tcBorders>
            <w:shd w:val="clear" w:color="auto" w:fill="1E1E1E"/>
          </w:tcPr>
          <w:p>
            <w:pPr>
              <w:spacing w:after="0" w:line="20" w:lineRule="exact"/>
              <w:rPr>
                <w:sz w:val="1"/>
                <w:szCs w:val="1"/>
                <w:color w:val="auto"/>
              </w:rPr>
            </w:pPr>
          </w:p>
        </w:tc>
        <w:tc>
          <w:tcPr>
            <w:tcW w:w="480" w:type="dxa"/>
            <w:vAlign w:val="bottom"/>
            <w:tcBorders>
              <w:top w:val="single" w:sz="8" w:color="1E1E1E"/>
            </w:tcBorders>
            <w:shd w:val="clear" w:color="auto" w:fill="1E1E1E"/>
          </w:tcPr>
          <w:p>
            <w:pPr>
              <w:spacing w:after="0" w:line="20" w:lineRule="exact"/>
              <w:rPr>
                <w:sz w:val="1"/>
                <w:szCs w:val="1"/>
                <w:color w:val="auto"/>
              </w:rPr>
            </w:pPr>
          </w:p>
        </w:tc>
        <w:tc>
          <w:tcPr>
            <w:tcW w:w="380" w:type="dxa"/>
            <w:vAlign w:val="bottom"/>
            <w:tcBorders>
              <w:top w:val="single" w:sz="8" w:color="E4E4E4"/>
            </w:tcBorders>
          </w:tcPr>
          <w:p>
            <w:pPr>
              <w:spacing w:after="0" w:line="20" w:lineRule="exact"/>
              <w:rPr>
                <w:sz w:val="1"/>
                <w:szCs w:val="1"/>
                <w:color w:val="auto"/>
              </w:rPr>
            </w:pPr>
          </w:p>
        </w:tc>
        <w:tc>
          <w:tcPr>
            <w:tcW w:w="860" w:type="dxa"/>
            <w:vAlign w:val="bottom"/>
            <w:tcBorders>
              <w:top w:val="single" w:sz="8" w:color="1E1E1E"/>
            </w:tcBorders>
            <w:shd w:val="clear" w:color="auto" w:fill="1E1E1E"/>
          </w:tcPr>
          <w:p>
            <w:pPr>
              <w:spacing w:after="0" w:line="20" w:lineRule="exact"/>
              <w:rPr>
                <w:sz w:val="1"/>
                <w:szCs w:val="1"/>
                <w:color w:val="auto"/>
              </w:rPr>
            </w:pPr>
          </w:p>
        </w:tc>
        <w:tc>
          <w:tcPr>
            <w:tcW w:w="480" w:type="dxa"/>
            <w:vAlign w:val="bottom"/>
            <w:tcBorders>
              <w:top w:val="single" w:sz="8" w:color="1E1E1E"/>
            </w:tcBorders>
            <w:shd w:val="clear" w:color="auto" w:fill="1E1E1E"/>
          </w:tcPr>
          <w:p>
            <w:pPr>
              <w:spacing w:after="0" w:line="20" w:lineRule="exact"/>
              <w:rPr>
                <w:sz w:val="1"/>
                <w:szCs w:val="1"/>
                <w:color w:val="auto"/>
              </w:rPr>
            </w:pPr>
          </w:p>
        </w:tc>
        <w:tc>
          <w:tcPr>
            <w:tcW w:w="260" w:type="dxa"/>
            <w:vAlign w:val="bottom"/>
            <w:tcBorders>
              <w:top w:val="single" w:sz="8" w:color="E4E4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gridSpan w:val="2"/>
          </w:tcPr>
          <w:p>
            <w:pPr>
              <w:jc w:val="right"/>
              <w:ind w:right="160"/>
              <w:spacing w:after="0" w:line="193" w:lineRule="exact"/>
              <w:rPr>
                <w:sz w:val="20"/>
                <w:szCs w:val="20"/>
                <w:color w:val="auto"/>
              </w:rPr>
            </w:pPr>
            <w:r>
              <w:rPr>
                <w:rFonts w:ascii="Times New Roman" w:cs="Times New Roman" w:eastAsia="Times New Roman" w:hAnsi="Times New Roman"/>
                <w:sz w:val="19"/>
                <w:szCs w:val="19"/>
                <w:color w:val="1E1E1E"/>
              </w:rPr>
              <w:t>(20.8)%</w:t>
            </w:r>
          </w:p>
        </w:tc>
        <w:tc>
          <w:tcPr>
            <w:tcW w:w="860" w:type="dxa"/>
            <w:vAlign w:val="bottom"/>
          </w:tcPr>
          <w:p>
            <w:pPr>
              <w:spacing w:after="0"/>
              <w:rPr>
                <w:sz w:val="16"/>
                <w:szCs w:val="16"/>
                <w:color w:val="auto"/>
              </w:rPr>
            </w:pPr>
          </w:p>
        </w:tc>
        <w:tc>
          <w:tcPr>
            <w:tcW w:w="740" w:type="dxa"/>
            <w:vAlign w:val="bottom"/>
            <w:gridSpan w:val="2"/>
          </w:tcPr>
          <w:p>
            <w:pPr>
              <w:jc w:val="right"/>
              <w:ind w:right="40"/>
              <w:spacing w:after="0" w:line="193" w:lineRule="exact"/>
              <w:rPr>
                <w:sz w:val="20"/>
                <w:szCs w:val="20"/>
                <w:color w:val="auto"/>
              </w:rPr>
            </w:pPr>
            <w:r>
              <w:rPr>
                <w:rFonts w:ascii="Times New Roman" w:cs="Times New Roman" w:eastAsia="Times New Roman" w:hAnsi="Times New Roman"/>
                <w:sz w:val="19"/>
                <w:szCs w:val="19"/>
                <w:color w:val="1E1E1E"/>
              </w:rPr>
              <w:t>(28.1)%</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-2910205</wp:posOffset>
            </wp:positionV>
            <wp:extent cx="2119630"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19630" cy="1479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-1758315</wp:posOffset>
            </wp:positionV>
            <wp:extent cx="1955800" cy="147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800" cy="1479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-901700</wp:posOffset>
            </wp:positionV>
            <wp:extent cx="1955800" cy="147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800" cy="147955"/>
                    </a:xfrm>
                    <a:prstGeom prst="rect">
                      <a:avLst/>
                    </a:prstGeom>
                    <a:noFill/>
                  </pic:spPr>
                </pic:pic>
              </a:graphicData>
            </a:graphic>
          </wp:anchor>
        </w:drawing>
      </w:r>
    </w:p>
    <w:p>
      <w:pPr>
        <w:spacing w:after="0" w:line="76" w:lineRule="exact"/>
        <w:rPr>
          <w:sz w:val="20"/>
          <w:szCs w:val="20"/>
          <w:color w:val="auto"/>
        </w:rPr>
      </w:pPr>
    </w:p>
    <w:p>
      <w:pPr>
        <w:ind w:right="120" w:firstLine="594"/>
        <w:spacing w:after="0" w:line="267" w:lineRule="auto"/>
        <w:rPr>
          <w:sz w:val="20"/>
          <w:szCs w:val="20"/>
          <w:color w:val="auto"/>
        </w:rPr>
      </w:pPr>
      <w:r>
        <w:rPr>
          <w:rFonts w:ascii="Times New Roman" w:cs="Times New Roman" w:eastAsia="Times New Roman" w:hAnsi="Times New Roman"/>
          <w:sz w:val="19"/>
          <w:szCs w:val="19"/>
          <w:color w:val="1E1E1E"/>
        </w:rPr>
        <w:t>The following tables present our disaggregated revenue and cost of revenue. Revenue from our marketplace primarily reflects the sales of parts and assemblies on our platform. Revenue from supplier services primarily includes the sale of advertising and to a lesser extent supplies, financial service products and SaaS products.</w:t>
      </w:r>
    </w:p>
    <w:p>
      <w:pPr>
        <w:spacing w:after="0" w:line="57" w:lineRule="exact"/>
        <w:rPr>
          <w:sz w:val="20"/>
          <w:szCs w:val="20"/>
          <w:color w:val="auto"/>
        </w:rPr>
      </w:pPr>
    </w:p>
    <w:p>
      <w:pPr>
        <w:ind w:right="20" w:firstLine="594"/>
        <w:spacing w:after="0" w:line="290" w:lineRule="auto"/>
        <w:rPr>
          <w:sz w:val="20"/>
          <w:szCs w:val="20"/>
          <w:color w:val="auto"/>
        </w:rPr>
      </w:pPr>
      <w:r>
        <w:rPr>
          <w:rFonts w:ascii="Times New Roman" w:cs="Times New Roman" w:eastAsia="Times New Roman" w:hAnsi="Times New Roman"/>
          <w:sz w:val="19"/>
          <w:szCs w:val="19"/>
          <w:color w:val="1E1E1E"/>
        </w:rPr>
        <w:t>Revenue and cost of revenue is presented in the following tables for the year ended December 31, 2022 (in thousands, amounts for the year ended December 31, 2021, were not considered material):</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20" w:type="dxa"/>
            <w:vAlign w:val="bottom"/>
            <w:gridSpan w:val="2"/>
          </w:tcPr>
          <w:p>
            <w:pPr>
              <w:jc w:val="center"/>
              <w:ind w:right="800"/>
              <w:spacing w:after="0"/>
              <w:rPr>
                <w:sz w:val="20"/>
                <w:szCs w:val="20"/>
                <w:color w:val="auto"/>
              </w:rPr>
            </w:pPr>
            <w:r>
              <w:rPr>
                <w:rFonts w:ascii="Times New Roman" w:cs="Times New Roman" w:eastAsia="Times New Roman" w:hAnsi="Times New Roman"/>
                <w:sz w:val="19"/>
                <w:szCs w:val="19"/>
                <w:b w:val="1"/>
                <w:bCs w:val="1"/>
                <w:color w:val="1E1E1E"/>
              </w:rPr>
              <w:t>For the Year</w:t>
            </w:r>
          </w:p>
        </w:tc>
        <w:tc>
          <w:tcPr>
            <w:tcW w:w="0" w:type="dxa"/>
            <w:vAlign w:val="bottom"/>
          </w:tcPr>
          <w:p>
            <w:pPr>
              <w:spacing w:after="0"/>
              <w:rPr>
                <w:sz w:val="1"/>
                <w:szCs w:val="1"/>
                <w:color w:val="auto"/>
              </w:rPr>
            </w:pPr>
          </w:p>
        </w:tc>
      </w:tr>
      <w:tr>
        <w:trPr>
          <w:trHeight w:val="247"/>
        </w:trPr>
        <w:tc>
          <w:tcPr>
            <w:tcW w:w="5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520" w:type="dxa"/>
            <w:vAlign w:val="bottom"/>
            <w:gridSpan w:val="2"/>
          </w:tcPr>
          <w:p>
            <w:pPr>
              <w:jc w:val="center"/>
              <w:ind w:right="800"/>
              <w:spacing w:after="0"/>
              <w:rPr>
                <w:sz w:val="20"/>
                <w:szCs w:val="20"/>
                <w:color w:val="auto"/>
              </w:rPr>
            </w:pPr>
            <w:r>
              <w:rPr>
                <w:rFonts w:ascii="Times New Roman" w:cs="Times New Roman" w:eastAsia="Times New Roman" w:hAnsi="Times New Roman"/>
                <w:sz w:val="19"/>
                <w:szCs w:val="19"/>
                <w:b w:val="1"/>
                <w:bCs w:val="1"/>
                <w:color w:val="1E1E1E"/>
              </w:rPr>
              <w:t>Ended December 31,</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E4E4E4"/>
            </w:tcBorders>
          </w:tcPr>
          <w:p>
            <w:pPr>
              <w:spacing w:after="0"/>
              <w:rPr>
                <w:sz w:val="18"/>
                <w:szCs w:val="18"/>
                <w:color w:val="auto"/>
              </w:rPr>
            </w:pPr>
          </w:p>
        </w:tc>
        <w:tc>
          <w:tcPr>
            <w:tcW w:w="380" w:type="dxa"/>
            <w:vAlign w:val="bottom"/>
            <w:tcBorders>
              <w:bottom w:val="single" w:sz="8" w:color="E4E4E4"/>
            </w:tcBorders>
          </w:tcPr>
          <w:p>
            <w:pPr>
              <w:spacing w:after="0"/>
              <w:rPr>
                <w:sz w:val="18"/>
                <w:szCs w:val="18"/>
                <w:color w:val="auto"/>
              </w:rPr>
            </w:pPr>
          </w:p>
        </w:tc>
        <w:tc>
          <w:tcPr>
            <w:tcW w:w="600" w:type="dxa"/>
            <w:vAlign w:val="bottom"/>
            <w:tcBorders>
              <w:top w:val="single" w:sz="8" w:color="1E1E1E"/>
              <w:bottom w:val="single" w:sz="8" w:color="1E1E1E"/>
            </w:tcBorders>
          </w:tcPr>
          <w:p>
            <w:pPr>
              <w:spacing w:after="0"/>
              <w:rPr>
                <w:sz w:val="18"/>
                <w:szCs w:val="18"/>
                <w:color w:val="auto"/>
              </w:rPr>
            </w:pPr>
          </w:p>
        </w:tc>
        <w:tc>
          <w:tcPr>
            <w:tcW w:w="3340" w:type="dxa"/>
            <w:vAlign w:val="bottom"/>
            <w:tcBorders>
              <w:top w:val="single" w:sz="8" w:color="1E1E1E"/>
              <w:bottom w:val="single" w:sz="8" w:color="1E1E1E"/>
            </w:tcBorders>
          </w:tcPr>
          <w:p>
            <w:pPr>
              <w:jc w:val="center"/>
              <w:ind w:right="523"/>
              <w:spacing w:after="0" w:line="213" w:lineRule="exact"/>
              <w:rPr>
                <w:sz w:val="20"/>
                <w:szCs w:val="20"/>
                <w:color w:val="auto"/>
              </w:rPr>
            </w:pPr>
            <w:r>
              <w:rPr>
                <w:rFonts w:ascii="Times New Roman" w:cs="Times New Roman" w:eastAsia="Times New Roman" w:hAnsi="Times New Roman"/>
                <w:sz w:val="19"/>
                <w:szCs w:val="19"/>
                <w:b w:val="1"/>
                <w:bCs w:val="1"/>
                <w:color w:val="1E1E1E"/>
              </w:rPr>
              <w:t>2022</w:t>
            </w:r>
          </w:p>
        </w:tc>
        <w:tc>
          <w:tcPr>
            <w:tcW w:w="18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Marketplace</w:t>
            </w:r>
          </w:p>
        </w:tc>
        <w:tc>
          <w:tcPr>
            <w:tcW w:w="380" w:type="dxa"/>
            <w:vAlign w:val="bottom"/>
            <w:shd w:val="clear" w:color="auto" w:fill="E4E4E4"/>
          </w:tcPr>
          <w:p>
            <w:pPr>
              <w:spacing w:after="0"/>
              <w:rPr>
                <w:sz w:val="18"/>
                <w:szCs w:val="18"/>
                <w:color w:val="auto"/>
              </w:rPr>
            </w:pPr>
          </w:p>
        </w:tc>
        <w:tc>
          <w:tcPr>
            <w:tcW w:w="600" w:type="dxa"/>
            <w:vAlign w:val="bottom"/>
            <w:shd w:val="clear" w:color="auto" w:fill="E4E4E4"/>
          </w:tcPr>
          <w:p>
            <w:pPr>
              <w:spacing w:after="0"/>
              <w:rPr>
                <w:sz w:val="18"/>
                <w:szCs w:val="18"/>
                <w:color w:val="auto"/>
              </w:rPr>
            </w:pPr>
          </w:p>
        </w:tc>
        <w:tc>
          <w:tcPr>
            <w:tcW w:w="33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1E1E1E"/>
              </w:rPr>
              <w:t>Revenue</w:t>
            </w:r>
          </w:p>
        </w:tc>
        <w:tc>
          <w:tcPr>
            <w:tcW w:w="380" w:type="dxa"/>
            <w:vAlign w:val="bottom"/>
          </w:tcPr>
          <w:p>
            <w:pPr>
              <w:spacing w:after="0"/>
              <w:rPr>
                <w:sz w:val="19"/>
                <w:szCs w:val="19"/>
                <w:color w:val="auto"/>
              </w:rPr>
            </w:pP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1E1E1E"/>
                <w:w w:val="70"/>
              </w:rPr>
              <w:t>$</w:t>
            </w:r>
          </w:p>
        </w:tc>
        <w:tc>
          <w:tcPr>
            <w:tcW w:w="33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303,223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380" w:type="dxa"/>
            <w:vAlign w:val="bottom"/>
            <w:shd w:val="clear" w:color="auto" w:fill="E4E4E4"/>
          </w:tcPr>
          <w:p>
            <w:pPr>
              <w:spacing w:after="0"/>
              <w:rPr>
                <w:sz w:val="19"/>
                <w:szCs w:val="19"/>
                <w:color w:val="auto"/>
              </w:rPr>
            </w:pPr>
          </w:p>
        </w:tc>
        <w:tc>
          <w:tcPr>
            <w:tcW w:w="600" w:type="dxa"/>
            <w:vAlign w:val="bottom"/>
            <w:shd w:val="clear" w:color="auto" w:fill="E4E4E4"/>
          </w:tcPr>
          <w:p>
            <w:pPr>
              <w:spacing w:after="0"/>
              <w:rPr>
                <w:sz w:val="19"/>
                <w:szCs w:val="19"/>
                <w:color w:val="auto"/>
              </w:rPr>
            </w:pPr>
          </w:p>
        </w:tc>
        <w:tc>
          <w:tcPr>
            <w:tcW w:w="35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217,779</w:t>
            </w:r>
          </w:p>
        </w:tc>
        <w:tc>
          <w:tcPr>
            <w:tcW w:w="0" w:type="dxa"/>
            <w:vAlign w:val="bottom"/>
          </w:tcPr>
          <w:p>
            <w:pPr>
              <w:spacing w:after="0"/>
              <w:rPr>
                <w:sz w:val="1"/>
                <w:szCs w:val="1"/>
                <w:color w:val="auto"/>
              </w:rPr>
            </w:pPr>
          </w:p>
        </w:tc>
      </w:tr>
      <w:tr>
        <w:trPr>
          <w:trHeight w:val="253"/>
        </w:trPr>
        <w:tc>
          <w:tcPr>
            <w:tcW w:w="5980" w:type="dxa"/>
            <w:vAlign w:val="bottom"/>
            <w:tcBorders>
              <w:bottom w:val="single" w:sz="8" w:color="E4E4E4"/>
            </w:tcBorders>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380" w:type="dxa"/>
            <w:vAlign w:val="bottom"/>
            <w:tcBorders>
              <w:bottom w:val="single" w:sz="8" w:color="E4E4E4"/>
            </w:tcBorders>
          </w:tcPr>
          <w:p>
            <w:pPr>
              <w:spacing w:after="0"/>
              <w:rPr>
                <w:sz w:val="21"/>
                <w:szCs w:val="21"/>
                <w:color w:val="auto"/>
              </w:rPr>
            </w:pPr>
          </w:p>
        </w:tc>
        <w:tc>
          <w:tcPr>
            <w:tcW w:w="600" w:type="dxa"/>
            <w:vAlign w:val="bottom"/>
            <w:tcBorders>
              <w:top w:val="single" w:sz="8" w:color="1E1E1E"/>
              <w:bottom w:val="single" w:sz="8" w:color="1E1E1E"/>
            </w:tcBorders>
          </w:tcPr>
          <w:p>
            <w:pPr>
              <w:jc w:val="right"/>
              <w:ind w:right="434"/>
              <w:spacing w:after="0"/>
              <w:rPr>
                <w:sz w:val="20"/>
                <w:szCs w:val="20"/>
                <w:color w:val="auto"/>
              </w:rPr>
            </w:pPr>
            <w:r>
              <w:rPr>
                <w:rFonts w:ascii="Times New Roman" w:cs="Times New Roman" w:eastAsia="Times New Roman" w:hAnsi="Times New Roman"/>
                <w:sz w:val="17"/>
                <w:szCs w:val="17"/>
                <w:color w:val="1E1E1E"/>
                <w:w w:val="70"/>
              </w:rPr>
              <w:t>$</w:t>
            </w:r>
          </w:p>
        </w:tc>
        <w:tc>
          <w:tcPr>
            <w:tcW w:w="33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85,444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E4E4E4"/>
          </w:tcPr>
          <w:p>
            <w:pPr>
              <w:spacing w:after="0" w:line="207" w:lineRule="exact"/>
              <w:rPr>
                <w:sz w:val="20"/>
                <w:szCs w:val="20"/>
                <w:color w:val="auto"/>
              </w:rPr>
            </w:pPr>
            <w:r>
              <w:rPr>
                <w:rFonts w:ascii="Times New Roman" w:cs="Times New Roman" w:eastAsia="Times New Roman" w:hAnsi="Times New Roman"/>
                <w:sz w:val="19"/>
                <w:szCs w:val="19"/>
                <w:color w:val="1E1E1E"/>
              </w:rPr>
              <w:t>Gross Margin</w:t>
            </w:r>
          </w:p>
        </w:tc>
        <w:tc>
          <w:tcPr>
            <w:tcW w:w="380" w:type="dxa"/>
            <w:vAlign w:val="bottom"/>
            <w:shd w:val="clear" w:color="auto" w:fill="E4E4E4"/>
          </w:tcPr>
          <w:p>
            <w:pPr>
              <w:spacing w:after="0"/>
              <w:rPr>
                <w:sz w:val="17"/>
                <w:szCs w:val="17"/>
                <w:color w:val="auto"/>
              </w:rPr>
            </w:pPr>
          </w:p>
        </w:tc>
        <w:tc>
          <w:tcPr>
            <w:tcW w:w="600" w:type="dxa"/>
            <w:vAlign w:val="bottom"/>
          </w:tcPr>
          <w:p>
            <w:pPr>
              <w:spacing w:after="0"/>
              <w:rPr>
                <w:sz w:val="17"/>
                <w:szCs w:val="17"/>
                <w:color w:val="auto"/>
              </w:rPr>
            </w:pPr>
          </w:p>
        </w:tc>
        <w:tc>
          <w:tcPr>
            <w:tcW w:w="352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19"/>
                <w:szCs w:val="19"/>
                <w:color w:val="1E1E1E"/>
              </w:rPr>
              <w:t>28.2%</w:t>
            </w:r>
          </w:p>
        </w:tc>
        <w:tc>
          <w:tcPr>
            <w:tcW w:w="0" w:type="dxa"/>
            <w:vAlign w:val="bottom"/>
          </w:tcPr>
          <w:p>
            <w:pPr>
              <w:spacing w:after="0"/>
              <w:rPr>
                <w:sz w:val="1"/>
                <w:szCs w:val="1"/>
                <w:color w:val="auto"/>
              </w:rPr>
            </w:pPr>
          </w:p>
        </w:tc>
      </w:tr>
      <w:tr>
        <w:trPr>
          <w:trHeight w:val="446"/>
        </w:trPr>
        <w:tc>
          <w:tcPr>
            <w:tcW w:w="5980" w:type="dxa"/>
            <w:vAlign w:val="bottom"/>
          </w:tcPr>
          <w:p>
            <w:pPr>
              <w:spacing w:after="0"/>
              <w:rPr>
                <w:sz w:val="20"/>
                <w:szCs w:val="20"/>
                <w:color w:val="auto"/>
              </w:rPr>
            </w:pPr>
            <w:r>
              <w:rPr>
                <w:rFonts w:ascii="Times New Roman" w:cs="Times New Roman" w:eastAsia="Times New Roman" w:hAnsi="Times New Roman"/>
                <w:sz w:val="19"/>
                <w:szCs w:val="19"/>
                <w:b w:val="1"/>
                <w:bCs w:val="1"/>
                <w:color w:val="1E1E1E"/>
              </w:rPr>
              <w:t>Supplier services</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980" w:type="dxa"/>
            <w:vAlign w:val="bottom"/>
            <w:gridSpan w:val="2"/>
            <w:shd w:val="clear" w:color="auto" w:fill="E4E4E4"/>
          </w:tcPr>
          <w:p>
            <w:pPr>
              <w:jc w:val="right"/>
              <w:ind w:right="434"/>
              <w:spacing w:after="0"/>
              <w:rPr>
                <w:sz w:val="20"/>
                <w:szCs w:val="20"/>
                <w:color w:val="auto"/>
              </w:rPr>
            </w:pPr>
            <w:r>
              <w:rPr>
                <w:rFonts w:ascii="Times New Roman" w:cs="Times New Roman" w:eastAsia="Times New Roman" w:hAnsi="Times New Roman"/>
                <w:sz w:val="19"/>
                <w:szCs w:val="19"/>
                <w:color w:val="1E1E1E"/>
              </w:rPr>
              <w:t>$</w:t>
            </w:r>
          </w:p>
        </w:tc>
        <w:tc>
          <w:tcPr>
            <w:tcW w:w="35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77,698</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17,151</w:t>
            </w:r>
          </w:p>
        </w:tc>
        <w:tc>
          <w:tcPr>
            <w:tcW w:w="0" w:type="dxa"/>
            <w:vAlign w:val="bottom"/>
          </w:tcPr>
          <w:p>
            <w:pPr>
              <w:spacing w:after="0"/>
              <w:rPr>
                <w:sz w:val="1"/>
                <w:szCs w:val="1"/>
                <w:color w:val="auto"/>
              </w:rPr>
            </w:pPr>
          </w:p>
        </w:tc>
      </w:tr>
      <w:tr>
        <w:trPr>
          <w:trHeight w:val="233"/>
        </w:trPr>
        <w:tc>
          <w:tcPr>
            <w:tcW w:w="598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380" w:type="dxa"/>
            <w:vAlign w:val="bottom"/>
            <w:tcBorders>
              <w:top w:val="single" w:sz="8" w:color="E4E4E4"/>
              <w:bottom w:val="single" w:sz="8" w:color="E4E4E4"/>
            </w:tcBorders>
            <w:shd w:val="clear" w:color="auto" w:fill="E4E4E4"/>
          </w:tcPr>
          <w:p>
            <w:pPr>
              <w:spacing w:after="0"/>
              <w:rPr>
                <w:sz w:val="20"/>
                <w:szCs w:val="20"/>
                <w:color w:val="auto"/>
              </w:rPr>
            </w:pPr>
          </w:p>
        </w:tc>
        <w:tc>
          <w:tcPr>
            <w:tcW w:w="600" w:type="dxa"/>
            <w:vAlign w:val="bottom"/>
            <w:tcBorders>
              <w:top w:val="single" w:sz="8" w:color="1E1E1E"/>
              <w:bottom w:val="single" w:sz="8" w:color="1E1E1E"/>
            </w:tcBorders>
            <w:shd w:val="clear" w:color="auto" w:fill="E4E4E4"/>
          </w:tcPr>
          <w:p>
            <w:pPr>
              <w:jc w:val="right"/>
              <w:ind w:right="434"/>
              <w:spacing w:after="0"/>
              <w:rPr>
                <w:sz w:val="20"/>
                <w:szCs w:val="20"/>
                <w:color w:val="auto"/>
              </w:rPr>
            </w:pPr>
            <w:r>
              <w:rPr>
                <w:rFonts w:ascii="Times New Roman" w:cs="Times New Roman" w:eastAsia="Times New Roman" w:hAnsi="Times New Roman"/>
                <w:sz w:val="17"/>
                <w:szCs w:val="17"/>
                <w:color w:val="1E1E1E"/>
                <w:w w:val="70"/>
              </w:rPr>
              <w:t>$</w:t>
            </w:r>
          </w:p>
        </w:tc>
        <w:tc>
          <w:tcPr>
            <w:tcW w:w="33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60,547</w:t>
            </w:r>
          </w:p>
        </w:tc>
        <w:tc>
          <w:tcPr>
            <w:tcW w:w="1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Gross Margin</w:t>
            </w:r>
          </w:p>
        </w:tc>
        <w:tc>
          <w:tcPr>
            <w:tcW w:w="380" w:type="dxa"/>
            <w:vAlign w:val="bottom"/>
          </w:tcPr>
          <w:p>
            <w:pPr>
              <w:spacing w:after="0" w:line="20" w:lineRule="exact"/>
              <w:rPr>
                <w:sz w:val="1"/>
                <w:szCs w:val="1"/>
                <w:color w:val="auto"/>
              </w:rPr>
            </w:pPr>
          </w:p>
        </w:tc>
        <w:tc>
          <w:tcPr>
            <w:tcW w:w="600" w:type="dxa"/>
            <w:vAlign w:val="bottom"/>
            <w:tcBorders>
              <w:bottom w:val="single" w:sz="8" w:color="1E1E1E"/>
            </w:tcBorders>
          </w:tcPr>
          <w:p>
            <w:pPr>
              <w:spacing w:after="0" w:line="20" w:lineRule="exact"/>
              <w:rPr>
                <w:sz w:val="1"/>
                <w:szCs w:val="1"/>
                <w:color w:val="auto"/>
              </w:rPr>
            </w:pPr>
          </w:p>
        </w:tc>
        <w:tc>
          <w:tcPr>
            <w:tcW w:w="334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5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4032885</wp:posOffset>
            </wp:positionH>
            <wp:positionV relativeFrom="paragraph">
              <wp:posOffset>-1048385</wp:posOffset>
            </wp:positionV>
            <wp:extent cx="2504440" cy="141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141605"/>
                    </a:xfrm>
                    <a:prstGeom prst="rect">
                      <a:avLst/>
                    </a:prstGeom>
                    <a:noFill/>
                  </pic:spPr>
                </pic:pic>
              </a:graphicData>
            </a:graphic>
          </wp:anchor>
        </w:drawing>
      </w:r>
    </w:p>
    <w:p>
      <w:pPr>
        <w:sectPr>
          <w:pgSz w:w="11880" w:h="15480" w:orient="portrait"/>
          <w:cols w:equalWidth="0" w:num="1">
            <w:col w:w="10480"/>
          </w:cols>
          <w:pgMar w:left="700" w:top="957"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59</w:t>
      </w:r>
    </w:p>
    <w:p>
      <w:pPr>
        <w:sectPr>
          <w:pgSz w:w="11880" w:h="15480" w:orient="portrait"/>
          <w:cols w:equalWidth="0" w:num="1">
            <w:col w:w="10480"/>
          </w:cols>
          <w:pgMar w:left="700" w:top="957" w:right="700" w:bottom="215" w:gutter="0" w:footer="0" w:header="0"/>
          <w:type w:val="continuous"/>
        </w:sectPr>
      </w:pPr>
    </w:p>
    <w:bookmarkStart w:id="65" w:name="page66"/>
    <w:bookmarkEnd w:id="65"/>
    <w:p>
      <w:pPr>
        <w:jc w:val="center"/>
        <w:spacing w:after="0"/>
        <w:rPr>
          <w:sz w:val="20"/>
          <w:szCs w:val="20"/>
          <w:color w:val="auto"/>
        </w:rPr>
      </w:pPr>
      <w:r>
        <w:rPr>
          <w:rFonts w:ascii="Times New Roman" w:cs="Times New Roman" w:eastAsia="Times New Roman" w:hAnsi="Times New Roman"/>
          <w:sz w:val="19"/>
          <w:szCs w:val="19"/>
          <w:b w:val="1"/>
          <w:bCs w:val="1"/>
          <w:color w:val="1E1E1E"/>
        </w:rPr>
        <w:t>Comparison of the Years Ended December 31, 2022 and 2021</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Revenue</w:t>
      </w:r>
    </w:p>
    <w:p>
      <w:pPr>
        <w:spacing w:after="0" w:line="120" w:lineRule="exact"/>
        <w:rPr>
          <w:sz w:val="20"/>
          <w:szCs w:val="20"/>
          <w:color w:val="auto"/>
        </w:rPr>
      </w:pPr>
    </w:p>
    <w:p>
      <w:pPr>
        <w:ind w:right="20" w:firstLine="594"/>
        <w:spacing w:after="0" w:line="252" w:lineRule="auto"/>
        <w:rPr>
          <w:sz w:val="20"/>
          <w:szCs w:val="20"/>
          <w:color w:val="auto"/>
        </w:rPr>
      </w:pPr>
      <w:r>
        <w:rPr>
          <w:rFonts w:ascii="Times New Roman" w:cs="Times New Roman" w:eastAsia="Times New Roman" w:hAnsi="Times New Roman"/>
          <w:sz w:val="19"/>
          <w:szCs w:val="19"/>
          <w:color w:val="1E1E1E"/>
        </w:rPr>
        <w:t>Total revenue increased $162.6 million, or 74%, from $218.3 million for the year ended December 31, 2021 to $380.9 million for the year ended December 31, 2022. This growth was primarily a result of an increase in marketplace revenue and an increase in supplier services revenue due to our acquisition of Thomas. Total revenue from marketplace and supplier services for the year ended December 31, 2022 was $303.2 million and $77.7 million, respectively. The marketplace increase was primarily the result of increases in active buyers resulting from investments in sales and marketing, as well as existing buyers increasing their spend on the platform for the year ended December 31, 2022, as compared to the prior year. Supplier services revenue growth was driven primarily by our acquisition of Thomas in December 2021.</w:t>
      </w:r>
    </w:p>
    <w:p>
      <w:pPr>
        <w:spacing w:after="0" w:line="73" w:lineRule="exact"/>
        <w:rPr>
          <w:sz w:val="20"/>
          <w:szCs w:val="20"/>
          <w:color w:val="auto"/>
        </w:rPr>
      </w:pPr>
    </w:p>
    <w:p>
      <w:pPr>
        <w:jc w:val="both"/>
        <w:ind w:right="440" w:firstLine="594"/>
        <w:spacing w:after="0" w:line="290" w:lineRule="auto"/>
        <w:rPr>
          <w:sz w:val="20"/>
          <w:szCs w:val="20"/>
          <w:color w:val="auto"/>
        </w:rPr>
      </w:pPr>
      <w:r>
        <w:rPr>
          <w:rFonts w:ascii="Times New Roman" w:cs="Times New Roman" w:eastAsia="Times New Roman" w:hAnsi="Times New Roman"/>
          <w:sz w:val="19"/>
          <w:szCs w:val="19"/>
          <w:color w:val="1E1E1E"/>
        </w:rPr>
        <w:t>Total revenue from our U.S. and International operating segments for the years ended December 31, 2022 and 2021, was $347.7 million and $202.0 million, respectively, for the U.S., and $33.2 million and $16.3 million, respectively, for International.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Cost of Revenue</w:t>
      </w:r>
    </w:p>
    <w:p>
      <w:pPr>
        <w:spacing w:after="0" w:line="120" w:lineRule="exact"/>
        <w:rPr>
          <w:sz w:val="20"/>
          <w:szCs w:val="20"/>
          <w:color w:val="auto"/>
        </w:rPr>
      </w:pPr>
    </w:p>
    <w:p>
      <w:pPr>
        <w:ind w:right="220" w:firstLine="594"/>
        <w:spacing w:after="0" w:line="260" w:lineRule="auto"/>
        <w:rPr>
          <w:sz w:val="20"/>
          <w:szCs w:val="20"/>
          <w:color w:val="auto"/>
        </w:rPr>
      </w:pPr>
      <w:r>
        <w:rPr>
          <w:rFonts w:ascii="Times New Roman" w:cs="Times New Roman" w:eastAsia="Times New Roman" w:hAnsi="Times New Roman"/>
          <w:sz w:val="19"/>
          <w:szCs w:val="19"/>
          <w:color w:val="1E1E1E"/>
        </w:rPr>
        <w:t>Total cost of revenue increased $73.7 million, or 46%, from $161.2 million for the year ended December 31, 2021 to $234.9 million for the year ended December 31, 2022. This increase was primarily the result of an increase in marketplace cost of revenue and increase in supplier service costs of revenue due to our acquisition of Thomas. Total cost of revenue from marketplace and supplier services for the year ended December 31, 2022 was $217.8 million and $17.2 million, respectively.</w:t>
      </w:r>
    </w:p>
    <w:p>
      <w:pPr>
        <w:spacing w:after="0" w:line="62" w:lineRule="exact"/>
        <w:rPr>
          <w:sz w:val="20"/>
          <w:szCs w:val="20"/>
          <w:color w:val="auto"/>
        </w:rPr>
      </w:pPr>
    </w:p>
    <w:p>
      <w:pPr>
        <w:jc w:val="both"/>
        <w:ind w:right="340" w:firstLine="594"/>
        <w:spacing w:after="0" w:line="267" w:lineRule="auto"/>
        <w:rPr>
          <w:sz w:val="20"/>
          <w:szCs w:val="20"/>
          <w:color w:val="auto"/>
        </w:rPr>
      </w:pPr>
      <w:r>
        <w:rPr>
          <w:rFonts w:ascii="Times New Roman" w:cs="Times New Roman" w:eastAsia="Times New Roman" w:hAnsi="Times New Roman"/>
          <w:sz w:val="19"/>
          <w:szCs w:val="19"/>
          <w:color w:val="1E1E1E"/>
        </w:rPr>
        <w:t>Marketplace cost of revenue was driven by increased payments to suppliers on our platform due to the growth in our buyer base and increased activity by existing accounts on our marketplace. Our supplier services cost of revenue increased primarily as a result of our acquisition of Thomas in December 2021.</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Gross Profit and Margin</w:t>
      </w:r>
    </w:p>
    <w:p>
      <w:pPr>
        <w:spacing w:after="0" w:line="120" w:lineRule="exact"/>
        <w:rPr>
          <w:sz w:val="20"/>
          <w:szCs w:val="20"/>
          <w:color w:val="auto"/>
        </w:rPr>
      </w:pPr>
    </w:p>
    <w:p>
      <w:pPr>
        <w:ind w:right="60" w:firstLine="594"/>
        <w:spacing w:after="0" w:line="267" w:lineRule="auto"/>
        <w:rPr>
          <w:sz w:val="20"/>
          <w:szCs w:val="20"/>
          <w:color w:val="auto"/>
        </w:rPr>
      </w:pPr>
      <w:r>
        <w:rPr>
          <w:rFonts w:ascii="Times New Roman" w:cs="Times New Roman" w:eastAsia="Times New Roman" w:hAnsi="Times New Roman"/>
          <w:sz w:val="19"/>
          <w:szCs w:val="19"/>
          <w:color w:val="1E1E1E"/>
        </w:rPr>
        <w:t>Gross profit increased $88.9 million, or 155%, from $57.1 million for the year ended December 31, 2021 to $146.0 million for the year ended December 31, 2022. The increase in gross profit was primarily due to the acquisition of Thomas, increases in revenue from marketplace and improved marketplace gross margin as compared to the prior year period.</w:t>
      </w:r>
    </w:p>
    <w:p>
      <w:pPr>
        <w:spacing w:after="0" w:line="57" w:lineRule="exact"/>
        <w:rPr>
          <w:sz w:val="20"/>
          <w:szCs w:val="20"/>
          <w:color w:val="auto"/>
        </w:rPr>
      </w:pPr>
    </w:p>
    <w:p>
      <w:pPr>
        <w:ind w:right="260" w:firstLine="594"/>
        <w:spacing w:after="0" w:line="256" w:lineRule="auto"/>
        <w:rPr>
          <w:sz w:val="20"/>
          <w:szCs w:val="20"/>
          <w:color w:val="auto"/>
        </w:rPr>
      </w:pPr>
      <w:r>
        <w:rPr>
          <w:rFonts w:ascii="Times New Roman" w:cs="Times New Roman" w:eastAsia="Times New Roman" w:hAnsi="Times New Roman"/>
          <w:sz w:val="19"/>
          <w:szCs w:val="19"/>
          <w:color w:val="1E1E1E"/>
        </w:rPr>
        <w:t>Gross margin for marketplace was 28.2% for the year ended December 31, 2022 which was an improvement over the prior year in part due to our AI-driven platform. Pricing has become more efficient due to the increased number of orders over time, improving the data set and thus making our pricing decisions more accurate. Additionally, we continue to grow our active suppliers resulting in more competition for buyers’ orders and therefore a lower cost of revenue. Gross margin for our supplier services was 77.9% for the year ended December 31, 2022 primarily due to our acquisition of Thomas.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Operating Expenses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Sales and Marketing</w:t>
      </w:r>
    </w:p>
    <w:p>
      <w:pPr>
        <w:spacing w:after="0" w:line="120" w:lineRule="exact"/>
        <w:rPr>
          <w:sz w:val="20"/>
          <w:szCs w:val="20"/>
          <w:color w:val="auto"/>
        </w:rPr>
      </w:pPr>
    </w:p>
    <w:p>
      <w:pPr>
        <w:ind w:firstLine="594"/>
        <w:spacing w:after="0" w:line="254" w:lineRule="auto"/>
        <w:rPr>
          <w:sz w:val="20"/>
          <w:szCs w:val="20"/>
          <w:color w:val="auto"/>
        </w:rPr>
      </w:pPr>
      <w:r>
        <w:rPr>
          <w:rFonts w:ascii="Times New Roman" w:cs="Times New Roman" w:eastAsia="Times New Roman" w:hAnsi="Times New Roman"/>
          <w:sz w:val="19"/>
          <w:szCs w:val="19"/>
          <w:color w:val="1E1E1E"/>
        </w:rPr>
        <w:t>Sales and marketing expense increased $44.9 million, or 114%, from $39.4 million for year ended December 31, 2021 to $84.4 million for the year ended December 31, 2022, primarily as a result our acquisition of Thomas in December 2021, increases in marketing and advertising spend, additional sales employees and their compensation costs including stock-based compensation, consulting expenses and software and maintenance costs for the sales and marketing department. As a percent of total revenue, sales and marketing expenses increased to 22.1% for the year ended December 31, 2022 from 18.1% for the year ended December 31, 2021.</w:t>
      </w:r>
    </w:p>
    <w:p>
      <w:pPr>
        <w:spacing w:after="0" w:line="299" w:lineRule="exact"/>
        <w:rPr>
          <w:sz w:val="20"/>
          <w:szCs w:val="20"/>
          <w:color w:val="auto"/>
        </w:rPr>
      </w:pPr>
    </w:p>
    <w:p>
      <w:pPr>
        <w:ind w:right="920" w:firstLine="642"/>
        <w:spacing w:after="0" w:line="431" w:lineRule="auto"/>
        <w:rPr>
          <w:sz w:val="20"/>
          <w:szCs w:val="20"/>
          <w:color w:val="auto"/>
        </w:rPr>
      </w:pPr>
      <w:r>
        <w:rPr>
          <w:rFonts w:ascii="Times New Roman" w:cs="Times New Roman" w:eastAsia="Times New Roman" w:hAnsi="Times New Roman"/>
          <w:sz w:val="19"/>
          <w:szCs w:val="19"/>
          <w:color w:val="1E1E1E"/>
        </w:rPr>
        <w:t xml:space="preserve">During the year ended December 31, 2022, $0.5 million of restructuring charge is recorded in sales and marketing. </w:t>
      </w:r>
      <w:r>
        <w:rPr>
          <w:rFonts w:ascii="Times New Roman" w:cs="Times New Roman" w:eastAsia="Times New Roman" w:hAnsi="Times New Roman"/>
          <w:sz w:val="19"/>
          <w:szCs w:val="19"/>
          <w:b w:val="1"/>
          <w:bCs w:val="1"/>
          <w:i w:val="1"/>
          <w:iCs w:val="1"/>
          <w:color w:val="1E1E1E"/>
        </w:rPr>
        <w:t>Operations and Support</w:t>
      </w:r>
    </w:p>
    <w:p>
      <w:pPr>
        <w:spacing w:after="0" w:line="1" w:lineRule="exact"/>
        <w:rPr>
          <w:sz w:val="20"/>
          <w:szCs w:val="20"/>
          <w:color w:val="auto"/>
        </w:rPr>
      </w:pPr>
    </w:p>
    <w:p>
      <w:pPr>
        <w:ind w:right="160" w:firstLine="594"/>
        <w:spacing w:after="0" w:line="256" w:lineRule="auto"/>
        <w:rPr>
          <w:sz w:val="20"/>
          <w:szCs w:val="20"/>
          <w:color w:val="auto"/>
        </w:rPr>
      </w:pPr>
      <w:r>
        <w:rPr>
          <w:rFonts w:ascii="Times New Roman" w:cs="Times New Roman" w:eastAsia="Times New Roman" w:hAnsi="Times New Roman"/>
          <w:sz w:val="19"/>
          <w:szCs w:val="19"/>
          <w:color w:val="1E1E1E"/>
        </w:rPr>
        <w:t>Operations and support increased $24.9 million, or 105%, from $23.7 million for the year ended December 31, 2021 to $48.6 million for the year ended December 31, 2022, primarily as a result of our acquisition of Thomas in December 2021, hiring of additional operations and support employees and their compensation costs including stock-based compensation, and consulting expenses. As a percent of total revenue, operations and support expenses increased to 12.8% for the year ended December 31, 2022 from 10.8% for the year ended December 31, 2021.</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During the year ended December 31, 2022, $0.4 million of restructuring charge is recorded in operations and support.</w:t>
      </w: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60</w:t>
      </w:r>
    </w:p>
    <w:p>
      <w:pPr>
        <w:sectPr>
          <w:pgSz w:w="11880" w:h="15480" w:orient="portrait"/>
          <w:cols w:equalWidth="0" w:num="1">
            <w:col w:w="10480"/>
          </w:cols>
          <w:pgMar w:left="700" w:top="953" w:right="700" w:bottom="215"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9"/>
          <w:szCs w:val="19"/>
          <w:b w:val="1"/>
          <w:bCs w:val="1"/>
          <w:i w:val="1"/>
          <w:iCs w:val="1"/>
          <w:color w:val="1E1E1E"/>
        </w:rPr>
        <w:t>Product Development</w:t>
      </w:r>
    </w:p>
    <w:p>
      <w:pPr>
        <w:spacing w:after="0" w:line="343" w:lineRule="exact"/>
        <w:rPr>
          <w:sz w:val="20"/>
          <w:szCs w:val="20"/>
          <w:color w:val="auto"/>
        </w:rPr>
      </w:pPr>
    </w:p>
    <w:p>
      <w:pPr>
        <w:ind w:right="220" w:firstLine="594"/>
        <w:spacing w:after="0" w:line="256" w:lineRule="auto"/>
        <w:rPr>
          <w:sz w:val="20"/>
          <w:szCs w:val="20"/>
          <w:color w:val="auto"/>
        </w:rPr>
      </w:pPr>
      <w:r>
        <w:rPr>
          <w:rFonts w:ascii="Times New Roman" w:cs="Times New Roman" w:eastAsia="Times New Roman" w:hAnsi="Times New Roman"/>
          <w:sz w:val="19"/>
          <w:szCs w:val="19"/>
          <w:color w:val="1E1E1E"/>
        </w:rPr>
        <w:t>Product development expense increased $13.2 million, or 74%, from $17.8 million for the year ended December 31, 2021 to $31.0 million for the year ended December 31, 2022, primarily as result of our acquisition of Thomas in December 2021, hiring additional development employees and their compensation costs including stock-based compensation, consulting and software and maintenance expenses. As a percent of total revenue, product development remained flat at 8.1% for the year ended December 31, 2022 and 2021.</w:t>
      </w:r>
    </w:p>
    <w:p>
      <w:pPr>
        <w:spacing w:after="0" w:line="67" w:lineRule="exact"/>
        <w:rPr>
          <w:sz w:val="20"/>
          <w:szCs w:val="20"/>
          <w:color w:val="auto"/>
        </w:rPr>
      </w:pPr>
    </w:p>
    <w:p>
      <w:pPr>
        <w:ind w:right="880" w:firstLine="594"/>
        <w:spacing w:after="0" w:line="431" w:lineRule="auto"/>
        <w:rPr>
          <w:sz w:val="20"/>
          <w:szCs w:val="20"/>
          <w:color w:val="auto"/>
        </w:rPr>
      </w:pPr>
      <w:r>
        <w:rPr>
          <w:rFonts w:ascii="Times New Roman" w:cs="Times New Roman" w:eastAsia="Times New Roman" w:hAnsi="Times New Roman"/>
          <w:sz w:val="19"/>
          <w:szCs w:val="19"/>
          <w:color w:val="1E1E1E"/>
        </w:rPr>
        <w:t xml:space="preserve">During the year ended December 31, 2022, $0.5 million of restructuring charge is recorded in product development. </w:t>
      </w:r>
      <w:r>
        <w:rPr>
          <w:rFonts w:ascii="Times New Roman" w:cs="Times New Roman" w:eastAsia="Times New Roman" w:hAnsi="Times New Roman"/>
          <w:sz w:val="19"/>
          <w:szCs w:val="19"/>
          <w:b w:val="1"/>
          <w:bCs w:val="1"/>
          <w:i w:val="1"/>
          <w:iCs w:val="1"/>
          <w:color w:val="1E1E1E"/>
        </w:rPr>
        <w:t>General and Administrative</w:t>
      </w:r>
    </w:p>
    <w:p>
      <w:pPr>
        <w:spacing w:after="0" w:line="1" w:lineRule="exact"/>
        <w:rPr>
          <w:sz w:val="20"/>
          <w:szCs w:val="20"/>
          <w:color w:val="auto"/>
        </w:rPr>
      </w:pPr>
    </w:p>
    <w:p>
      <w:pPr>
        <w:ind w:right="40" w:firstLine="594"/>
        <w:spacing w:after="0" w:line="251" w:lineRule="auto"/>
        <w:rPr>
          <w:sz w:val="20"/>
          <w:szCs w:val="20"/>
          <w:color w:val="auto"/>
        </w:rPr>
      </w:pPr>
      <w:r>
        <w:rPr>
          <w:rFonts w:ascii="Times New Roman" w:cs="Times New Roman" w:eastAsia="Times New Roman" w:hAnsi="Times New Roman"/>
          <w:sz w:val="19"/>
          <w:szCs w:val="19"/>
          <w:color w:val="1E1E1E"/>
        </w:rPr>
        <w:t>General and administrative expense increased $23.3 million, or 67%, from $34.9 million for the year ended December 31, 2021 to $58.2 million for the year ended December 31, 2022. The primary driver of the increase was due to our acquisition of Thomas in December 2021. Our general and administrative expenses increased due to higher compensation and stock-based compensation due to new administrative employees. Additionally, we incurred higher public company costs for insurance, legal and accounting services. We had higher expenses for software and maintenance, insurance costs, card processing fees, bad debt expense and facilities costs offset by lower acquisition costs that were related to fourth quarter 2021 business combinations. As a percent of total revenue, general and administrative expenses decreased to 15.3% for the year ended December 31, 2022 from 16.0% for the year ended December 31, 2021.</w:t>
      </w:r>
    </w:p>
    <w:p>
      <w:pPr>
        <w:spacing w:after="0" w:line="302" w:lineRule="exact"/>
        <w:rPr>
          <w:sz w:val="20"/>
          <w:szCs w:val="20"/>
          <w:color w:val="auto"/>
        </w:rPr>
      </w:pPr>
    </w:p>
    <w:p>
      <w:pPr>
        <w:ind w:right="460" w:firstLine="594"/>
        <w:spacing w:after="0" w:line="431" w:lineRule="auto"/>
        <w:rPr>
          <w:sz w:val="20"/>
          <w:szCs w:val="20"/>
          <w:color w:val="auto"/>
        </w:rPr>
      </w:pPr>
      <w:r>
        <w:rPr>
          <w:rFonts w:ascii="Times New Roman" w:cs="Times New Roman" w:eastAsia="Times New Roman" w:hAnsi="Times New Roman"/>
          <w:sz w:val="19"/>
          <w:szCs w:val="19"/>
          <w:color w:val="1E1E1E"/>
        </w:rPr>
        <w:t xml:space="preserve">During the year ended December 31, 2022, $0.2 million of restructuring charge is recorded in general and administrative. </w:t>
      </w:r>
      <w:r>
        <w:rPr>
          <w:rFonts w:ascii="Times New Roman" w:cs="Times New Roman" w:eastAsia="Times New Roman" w:hAnsi="Times New Roman"/>
          <w:sz w:val="19"/>
          <w:szCs w:val="19"/>
          <w:b w:val="1"/>
          <w:bCs w:val="1"/>
          <w:i w:val="1"/>
          <w:iCs w:val="1"/>
          <w:color w:val="1E1E1E"/>
        </w:rPr>
        <w:t>Impairment of assets</w:t>
      </w:r>
    </w:p>
    <w:p>
      <w:pPr>
        <w:spacing w:after="0" w:line="1" w:lineRule="exact"/>
        <w:rPr>
          <w:sz w:val="20"/>
          <w:szCs w:val="20"/>
          <w:color w:val="auto"/>
        </w:rPr>
      </w:pPr>
    </w:p>
    <w:p>
      <w:pPr>
        <w:ind w:right="440" w:firstLine="594"/>
        <w:spacing w:after="0" w:line="267" w:lineRule="auto"/>
        <w:rPr>
          <w:sz w:val="20"/>
          <w:szCs w:val="20"/>
          <w:color w:val="auto"/>
        </w:rPr>
      </w:pPr>
      <w:r>
        <w:rPr>
          <w:rFonts w:ascii="Times New Roman" w:cs="Times New Roman" w:eastAsia="Times New Roman" w:hAnsi="Times New Roman"/>
          <w:sz w:val="19"/>
          <w:szCs w:val="19"/>
          <w:color w:val="1E1E1E"/>
        </w:rPr>
        <w:t>Impairment of assets of $0.8 million related to incomplete software projects that were abandoned, furniture, fixtures and equipment and/or other assets to be disposed of during the year ended December 31, 2022. No impairments were recorded on our long-lived assets during the year ended December 31, 2021.</w:t>
      </w:r>
    </w:p>
    <w:p>
      <w:pPr>
        <w:spacing w:after="0" w:line="57" w:lineRule="exact"/>
        <w:rPr>
          <w:sz w:val="20"/>
          <w:szCs w:val="20"/>
          <w:color w:val="auto"/>
        </w:rPr>
      </w:pPr>
    </w:p>
    <w:p>
      <w:pPr>
        <w:ind w:right="120" w:firstLine="594"/>
        <w:spacing w:after="0" w:line="290" w:lineRule="auto"/>
        <w:rPr>
          <w:sz w:val="20"/>
          <w:szCs w:val="20"/>
          <w:color w:val="auto"/>
        </w:rPr>
      </w:pPr>
      <w:r>
        <w:rPr>
          <w:rFonts w:ascii="Times New Roman" w:cs="Times New Roman" w:eastAsia="Times New Roman" w:hAnsi="Times New Roman"/>
          <w:sz w:val="19"/>
          <w:szCs w:val="19"/>
          <w:color w:val="1E1E1E"/>
        </w:rPr>
        <w:t>During the year ended December 31, 2022, $0.5 million of our impairments were recorded in our U.S. reporting segment, and $0.3 million of our impairments were recorded in our International reporting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Other (Expenses)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Expense</w:t>
      </w:r>
    </w:p>
    <w:p>
      <w:pPr>
        <w:spacing w:after="0" w:line="118" w:lineRule="exact"/>
        <w:rPr>
          <w:sz w:val="20"/>
          <w:szCs w:val="20"/>
          <w:color w:val="auto"/>
        </w:rPr>
      </w:pPr>
    </w:p>
    <w:p>
      <w:pPr>
        <w:ind w:right="160" w:firstLine="594"/>
        <w:spacing w:after="0" w:line="290" w:lineRule="auto"/>
        <w:rPr>
          <w:sz w:val="20"/>
          <w:szCs w:val="20"/>
          <w:color w:val="auto"/>
        </w:rPr>
      </w:pPr>
      <w:r>
        <w:rPr>
          <w:rFonts w:ascii="Times New Roman" w:cs="Times New Roman" w:eastAsia="Times New Roman" w:hAnsi="Times New Roman"/>
          <w:sz w:val="19"/>
          <w:szCs w:val="19"/>
          <w:color w:val="1E1E1E"/>
        </w:rPr>
        <w:t>Interest expense increased by $3.6 million, or 419%, from $0.9 million for the year ended December 31, 2021 to $4.4 million for the year ended December 31, 2022, primarily as a result of the interest on the 2027 convertible notes issued in February 2022.</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Interest and dividend income</w:t>
      </w:r>
    </w:p>
    <w:p>
      <w:pPr>
        <w:spacing w:after="0" w:line="118" w:lineRule="exact"/>
        <w:rPr>
          <w:sz w:val="20"/>
          <w:szCs w:val="20"/>
          <w:color w:val="auto"/>
        </w:rPr>
      </w:pPr>
    </w:p>
    <w:p>
      <w:pPr>
        <w:ind w:right="140" w:firstLine="594"/>
        <w:spacing w:after="0" w:line="267" w:lineRule="auto"/>
        <w:rPr>
          <w:sz w:val="20"/>
          <w:szCs w:val="20"/>
          <w:color w:val="auto"/>
        </w:rPr>
      </w:pPr>
      <w:r>
        <w:rPr>
          <w:rFonts w:ascii="Times New Roman" w:cs="Times New Roman" w:eastAsia="Times New Roman" w:hAnsi="Times New Roman"/>
          <w:sz w:val="19"/>
          <w:szCs w:val="19"/>
          <w:color w:val="1E1E1E"/>
        </w:rPr>
        <w:t>Interest and dividend income increased by $3.1 million, or 319%, from $1.0 million for the year ended December 31, 2021 to $4.1 million for the year ended December 31, 2022, primarily due to dividend income from our marketable securities and cash accounts.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Other Expenses</w:t>
      </w:r>
    </w:p>
    <w:p>
      <w:pPr>
        <w:spacing w:after="0" w:line="118" w:lineRule="exact"/>
        <w:rPr>
          <w:sz w:val="20"/>
          <w:szCs w:val="20"/>
          <w:color w:val="auto"/>
        </w:rPr>
      </w:pPr>
    </w:p>
    <w:p>
      <w:pPr>
        <w:ind w:firstLine="594"/>
        <w:spacing w:after="0" w:line="267" w:lineRule="auto"/>
        <w:rPr>
          <w:sz w:val="20"/>
          <w:szCs w:val="20"/>
          <w:color w:val="auto"/>
        </w:rPr>
      </w:pPr>
      <w:r>
        <w:rPr>
          <w:rFonts w:ascii="Times New Roman" w:cs="Times New Roman" w:eastAsia="Times New Roman" w:hAnsi="Times New Roman"/>
          <w:sz w:val="19"/>
          <w:szCs w:val="19"/>
          <w:color w:val="1E1E1E"/>
        </w:rPr>
        <w:t>Other expenses decreased by $0.7 million, or 24%, from $2.9 million for the year ended December 31, 2021 to $2.2 million for the year ended December 31, 2022, primarily due to a reduction of $0.3 million loss on debt extinguishment recognized in 2021, a $0.1 million reduction in losses on marketable securities and a reduction in other miscellaneous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Income from Unconsolidated Joint Venture</w:t>
      </w:r>
    </w:p>
    <w:p>
      <w:pPr>
        <w:spacing w:after="0" w:line="118" w:lineRule="exact"/>
        <w:rPr>
          <w:sz w:val="20"/>
          <w:szCs w:val="20"/>
          <w:color w:val="auto"/>
        </w:rPr>
      </w:pPr>
    </w:p>
    <w:p>
      <w:pPr>
        <w:ind w:right="160" w:firstLine="594"/>
        <w:spacing w:after="0" w:line="290" w:lineRule="auto"/>
        <w:rPr>
          <w:sz w:val="20"/>
          <w:szCs w:val="20"/>
          <w:color w:val="auto"/>
        </w:rPr>
      </w:pPr>
      <w:r>
        <w:rPr>
          <w:rFonts w:ascii="Times New Roman" w:cs="Times New Roman" w:eastAsia="Times New Roman" w:hAnsi="Times New Roman"/>
          <w:sz w:val="19"/>
          <w:szCs w:val="19"/>
          <w:color w:val="1E1E1E"/>
        </w:rPr>
        <w:t>Income from unconsolidated joint venture increased $0.5 million due to our acquisition of a 50% interest in Industrial Media, LLC in connection with our acquisition of Thomas on December 9, 2021. This joint venture is in our U.S. operating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Additional Segment Considerations</w:t>
      </w:r>
    </w:p>
    <w:p>
      <w:pPr>
        <w:spacing w:after="0" w:line="120" w:lineRule="exact"/>
        <w:rPr>
          <w:sz w:val="20"/>
          <w:szCs w:val="20"/>
          <w:color w:val="auto"/>
        </w:rPr>
      </w:pPr>
    </w:p>
    <w:p>
      <w:pPr>
        <w:ind w:right="220" w:firstLine="594"/>
        <w:spacing w:after="0" w:line="267" w:lineRule="auto"/>
        <w:rPr>
          <w:sz w:val="20"/>
          <w:szCs w:val="20"/>
          <w:color w:val="auto"/>
        </w:rPr>
      </w:pPr>
      <w:r>
        <w:rPr>
          <w:rFonts w:ascii="Times New Roman" w:cs="Times New Roman" w:eastAsia="Times New Roman" w:hAnsi="Times New Roman"/>
          <w:sz w:val="19"/>
          <w:szCs w:val="19"/>
          <w:color w:val="1E1E1E"/>
        </w:rPr>
        <w:t>Total segment loss from our U.S. operating segment for the year ended December 31, 2022 and 2021, was $61.8 million and $51.2 million, respectively. Total segment loss from our International operating segment for the year ended December 31, 2022 and 2021, was $17.3 million and $10.1 million, respectively.</w:t>
      </w:r>
    </w:p>
    <w:p>
      <w:pPr>
        <w:sectPr>
          <w:pgSz w:w="11880" w:h="15480" w:orient="portrait"/>
          <w:cols w:equalWidth="0" w:num="1">
            <w:col w:w="10480"/>
          </w:cols>
          <w:pgMar w:left="700" w:top="958"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61</w:t>
      </w:r>
    </w:p>
    <w:p>
      <w:pPr>
        <w:sectPr>
          <w:pgSz w:w="11880" w:h="15480" w:orient="portrait"/>
          <w:cols w:equalWidth="0" w:num="1">
            <w:col w:w="10480"/>
          </w:cols>
          <w:pgMar w:left="700" w:top="958" w:right="700" w:bottom="215" w:gutter="0" w:footer="0" w:header="0"/>
          <w:type w:val="continuous"/>
        </w:sectPr>
      </w:pPr>
    </w:p>
    <w:bookmarkStart w:id="67" w:name="page68"/>
    <w:bookmarkEnd w:id="67"/>
    <w:p>
      <w:pPr>
        <w:jc w:val="both"/>
        <w:ind w:right="300" w:firstLine="594"/>
        <w:spacing w:after="0" w:line="267" w:lineRule="auto"/>
        <w:rPr>
          <w:sz w:val="20"/>
          <w:szCs w:val="20"/>
          <w:color w:val="auto"/>
        </w:rPr>
      </w:pPr>
      <w:r>
        <w:rPr>
          <w:rFonts w:ascii="Times New Roman" w:cs="Times New Roman" w:eastAsia="Times New Roman" w:hAnsi="Times New Roman"/>
          <w:sz w:val="19"/>
          <w:szCs w:val="19"/>
          <w:color w:val="1E1E1E"/>
        </w:rPr>
        <w:t>Total segment interest expense from our U.S. operating segment for the year ended December 31, 2022 and 2021, was $4.4 million and $0.7 million, respectively. Total segment interest expense from our International operating segment for the year ended December 31, 2022 and 2021, was $22,000 and $0.1 million, respectively.</w:t>
      </w:r>
    </w:p>
    <w:p>
      <w:pPr>
        <w:spacing w:after="0" w:line="57" w:lineRule="exact"/>
        <w:rPr>
          <w:sz w:val="20"/>
          <w:szCs w:val="20"/>
          <w:color w:val="auto"/>
        </w:rPr>
      </w:pPr>
    </w:p>
    <w:p>
      <w:pPr>
        <w:jc w:val="both"/>
        <w:ind w:right="360" w:firstLine="594"/>
        <w:spacing w:after="0" w:line="267" w:lineRule="auto"/>
        <w:rPr>
          <w:sz w:val="20"/>
          <w:szCs w:val="20"/>
          <w:color w:val="auto"/>
        </w:rPr>
      </w:pPr>
      <w:r>
        <w:rPr>
          <w:rFonts w:ascii="Times New Roman" w:cs="Times New Roman" w:eastAsia="Times New Roman" w:hAnsi="Times New Roman"/>
          <w:sz w:val="19"/>
          <w:szCs w:val="19"/>
          <w:color w:val="1E1E1E"/>
        </w:rPr>
        <w:t>Total segment interest income from our U.S. operating segment for the year ended December 31, 2022 and 2021, was $4.1 million and $1.0 million, respectively. Total segment interest income from our International operating segment for the year ended December 31, 2022 and 2021, was $19,000 and zero, respectively.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Liquidity and Capital Resources</w:t>
      </w:r>
    </w:p>
    <w:p>
      <w:pPr>
        <w:spacing w:after="0" w:line="124" w:lineRule="exact"/>
        <w:rPr>
          <w:sz w:val="20"/>
          <w:szCs w:val="20"/>
          <w:color w:val="auto"/>
        </w:rPr>
      </w:pPr>
    </w:p>
    <w:p>
      <w:pPr>
        <w:ind w:firstLine="594"/>
        <w:spacing w:after="0" w:line="251" w:lineRule="auto"/>
        <w:rPr>
          <w:sz w:val="20"/>
          <w:szCs w:val="20"/>
          <w:color w:val="auto"/>
        </w:rPr>
      </w:pPr>
      <w:r>
        <w:rPr>
          <w:rFonts w:ascii="Times New Roman" w:cs="Times New Roman" w:eastAsia="Times New Roman" w:hAnsi="Times New Roman"/>
          <w:sz w:val="19"/>
          <w:szCs w:val="19"/>
          <w:color w:val="1E1E1E"/>
        </w:rPr>
        <w:t>We have financed our operations primarily through sales of our equity securities and borrowings under our convertible notes. As of December 31, 2023, our cash and cash equivalents and marketable securities totaled $268.8 million. We believe our existing cash and cash equivalents and marketable securities will be sufficient to support our working capital and capital expenditure requirements for at least the next twelve months and over the long-term.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 factors, including our revenue growth rate, receivable and payable cycles, the timing and extent of investments in product development, sales and marketing, operations and support and general and administrative expenses.</w:t>
      </w:r>
    </w:p>
    <w:p>
      <w:pPr>
        <w:spacing w:after="0" w:line="74" w:lineRule="exact"/>
        <w:rPr>
          <w:sz w:val="20"/>
          <w:szCs w:val="20"/>
          <w:color w:val="auto"/>
        </w:rPr>
      </w:pPr>
    </w:p>
    <w:p>
      <w:pPr>
        <w:ind w:right="120" w:firstLine="594"/>
        <w:spacing w:after="0" w:line="290" w:lineRule="auto"/>
        <w:rPr>
          <w:sz w:val="20"/>
          <w:szCs w:val="20"/>
          <w:color w:val="auto"/>
        </w:rPr>
      </w:pPr>
      <w:r>
        <w:rPr>
          <w:rFonts w:ascii="Times New Roman" w:cs="Times New Roman" w:eastAsia="Times New Roman" w:hAnsi="Times New Roman"/>
          <w:sz w:val="19"/>
          <w:szCs w:val="19"/>
          <w:color w:val="1E1E1E"/>
        </w:rPr>
        <w:t>Our capital expenditures consist primarily of internal-use software costs, manufacturing equipment, computers and peripheral equipment, furniture and fixtures and leasehold improvements and patents.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Convertible Notes due 2027</w:t>
      </w:r>
    </w:p>
    <w:p>
      <w:pPr>
        <w:spacing w:after="0" w:line="120" w:lineRule="exact"/>
        <w:rPr>
          <w:sz w:val="20"/>
          <w:szCs w:val="20"/>
          <w:color w:val="auto"/>
        </w:rPr>
      </w:pPr>
    </w:p>
    <w:p>
      <w:pPr>
        <w:ind w:right="160" w:firstLine="594"/>
        <w:spacing w:after="0" w:line="252" w:lineRule="auto"/>
        <w:rPr>
          <w:sz w:val="20"/>
          <w:szCs w:val="20"/>
          <w:color w:val="auto"/>
        </w:rPr>
      </w:pPr>
      <w:r>
        <w:rPr>
          <w:rFonts w:ascii="Times New Roman" w:cs="Times New Roman" w:eastAsia="Times New Roman" w:hAnsi="Times New Roman"/>
          <w:sz w:val="19"/>
          <w:szCs w:val="19"/>
          <w:color w:val="1E1E1E"/>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 issuance of the 2027 Notes were $278.2 million, net of debt issuance costs. The debt issuance costs are amortized to interest expense using the effective interest rate method.</w:t>
      </w:r>
    </w:p>
    <w:p>
      <w:pPr>
        <w:spacing w:after="0" w:line="73" w:lineRule="exact"/>
        <w:rPr>
          <w:sz w:val="20"/>
          <w:szCs w:val="20"/>
          <w:color w:val="auto"/>
        </w:rPr>
      </w:pPr>
    </w:p>
    <w:p>
      <w:pPr>
        <w:ind w:right="20" w:firstLine="594"/>
        <w:spacing w:after="0" w:line="267" w:lineRule="auto"/>
        <w:rPr>
          <w:sz w:val="20"/>
          <w:szCs w:val="20"/>
          <w:color w:val="auto"/>
        </w:rPr>
      </w:pPr>
      <w:r>
        <w:rPr>
          <w:rFonts w:ascii="Times New Roman" w:cs="Times New Roman" w:eastAsia="Times New Roman" w:hAnsi="Times New Roman"/>
          <w:sz w:val="19"/>
          <w:szCs w:val="19"/>
          <w:color w:val="1E1E1E"/>
        </w:rPr>
        <w:t>The 2027 Notes are unsecured obligations which bear regular interest at 1% per annum and for which the principal balance will not accrete. The 2027 Notes will mature on February 1, 2027 unless repurchased, redeemed, or converted in accordance with their terms prior to such date.</w:t>
      </w:r>
    </w:p>
    <w:p>
      <w:pPr>
        <w:spacing w:after="0" w:line="57" w:lineRule="exact"/>
        <w:rPr>
          <w:sz w:val="20"/>
          <w:szCs w:val="20"/>
          <w:color w:val="auto"/>
        </w:rPr>
      </w:pPr>
    </w:p>
    <w:p>
      <w:pPr>
        <w:ind w:right="180" w:firstLine="594"/>
        <w:spacing w:after="0" w:line="256" w:lineRule="auto"/>
        <w:rPr>
          <w:sz w:val="20"/>
          <w:szCs w:val="20"/>
          <w:color w:val="auto"/>
        </w:rPr>
      </w:pPr>
      <w:r>
        <w:rPr>
          <w:rFonts w:ascii="Times New Roman" w:cs="Times New Roman" w:eastAsia="Times New Roman" w:hAnsi="Times New Roman"/>
          <w:sz w:val="19"/>
          <w:szCs w:val="19"/>
          <w:color w:val="1E1E1E"/>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67" w:lineRule="exact"/>
        <w:rPr>
          <w:sz w:val="20"/>
          <w:szCs w:val="20"/>
          <w:color w:val="auto"/>
        </w:rPr>
      </w:pPr>
    </w:p>
    <w:p>
      <w:pPr>
        <w:ind w:right="220" w:firstLine="594"/>
        <w:spacing w:after="0" w:line="260" w:lineRule="auto"/>
        <w:rPr>
          <w:sz w:val="20"/>
          <w:szCs w:val="20"/>
          <w:color w:val="auto"/>
        </w:rPr>
      </w:pPr>
      <w:r>
        <w:rPr>
          <w:rFonts w:ascii="Times New Roman" w:cs="Times New Roman" w:eastAsia="Times New Roman" w:hAnsi="Times New Roman"/>
          <w:sz w:val="19"/>
          <w:szCs w:val="19"/>
          <w:color w:val="1E1E1E"/>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62" w:lineRule="exact"/>
        <w:rPr>
          <w:sz w:val="20"/>
          <w:szCs w:val="20"/>
          <w:color w:val="auto"/>
        </w:rPr>
      </w:pPr>
    </w:p>
    <w:p>
      <w:pPr>
        <w:ind w:right="560" w:firstLine="594"/>
        <w:spacing w:after="0" w:line="290" w:lineRule="auto"/>
        <w:rPr>
          <w:sz w:val="20"/>
          <w:szCs w:val="20"/>
          <w:color w:val="auto"/>
        </w:rPr>
      </w:pPr>
      <w:r>
        <w:rPr>
          <w:rFonts w:ascii="Times New Roman" w:cs="Times New Roman" w:eastAsia="Times New Roman" w:hAnsi="Times New Roman"/>
          <w:sz w:val="19"/>
          <w:szCs w:val="19"/>
          <w:color w:val="1E1E1E"/>
        </w:rPr>
        <w:t>Holders of the 2027 Notes may convert all or a portion of their 2027 Notes at their option prior to November 1, 2026, in multiples of $1,000 principal amounts, only under the following circumstances:</w:t>
      </w:r>
    </w:p>
    <w:p>
      <w:pPr>
        <w:spacing w:after="0" w:line="49" w:lineRule="exact"/>
        <w:rPr>
          <w:sz w:val="20"/>
          <w:szCs w:val="20"/>
          <w:color w:val="auto"/>
        </w:rPr>
      </w:pPr>
    </w:p>
    <w:p>
      <w:pPr>
        <w:jc w:val="both"/>
        <w:ind w:left="960" w:hanging="485"/>
        <w:spacing w:after="0" w:line="267" w:lineRule="auto"/>
        <w:tabs>
          <w:tab w:leader="none" w:pos="960" w:val="left"/>
        </w:tabs>
        <w:numPr>
          <w:ilvl w:val="0"/>
          <w:numId w:val="30"/>
        </w:numPr>
        <w:rPr>
          <w:rFonts w:ascii="Arial" w:cs="Arial" w:eastAsia="Arial" w:hAnsi="Arial"/>
          <w:sz w:val="19"/>
          <w:szCs w:val="19"/>
          <w:color w:val="1E1E1E"/>
        </w:rPr>
      </w:pPr>
      <w:r>
        <w:rPr>
          <w:rFonts w:ascii="Times New Roman" w:cs="Times New Roman" w:eastAsia="Times New Roman" w:hAnsi="Times New Roman"/>
          <w:sz w:val="19"/>
          <w:szCs w:val="19"/>
          <w:color w:val="1E1E1E"/>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Arial" w:cs="Arial" w:eastAsia="Arial" w:hAnsi="Arial"/>
          <w:sz w:val="19"/>
          <w:szCs w:val="19"/>
          <w:color w:val="1E1E1E"/>
        </w:rPr>
      </w:pPr>
    </w:p>
    <w:p>
      <w:pPr>
        <w:ind w:left="960" w:right="100" w:hanging="485"/>
        <w:spacing w:after="0" w:line="267" w:lineRule="auto"/>
        <w:tabs>
          <w:tab w:leader="none" w:pos="960" w:val="left"/>
        </w:tabs>
        <w:numPr>
          <w:ilvl w:val="0"/>
          <w:numId w:val="30"/>
        </w:numPr>
        <w:rPr>
          <w:rFonts w:ascii="Arial" w:cs="Arial" w:eastAsia="Arial" w:hAnsi="Arial"/>
          <w:sz w:val="19"/>
          <w:szCs w:val="19"/>
          <w:color w:val="1E1E1E"/>
        </w:rPr>
      </w:pPr>
      <w:r>
        <w:rPr>
          <w:rFonts w:ascii="Times New Roman" w:cs="Times New Roman" w:eastAsia="Times New Roman" w:hAnsi="Times New Roman"/>
          <w:sz w:val="19"/>
          <w:szCs w:val="19"/>
          <w:color w:val="1E1E1E"/>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Arial" w:cs="Arial" w:eastAsia="Arial" w:hAnsi="Arial"/>
          <w:sz w:val="19"/>
          <w:szCs w:val="19"/>
          <w:color w:val="1E1E1E"/>
        </w:rPr>
      </w:pPr>
    </w:p>
    <w:p>
      <w:pPr>
        <w:jc w:val="both"/>
        <w:ind w:left="960" w:right="160" w:hanging="485"/>
        <w:spacing w:after="0" w:line="267" w:lineRule="auto"/>
        <w:tabs>
          <w:tab w:leader="none" w:pos="960" w:val="left"/>
        </w:tabs>
        <w:numPr>
          <w:ilvl w:val="0"/>
          <w:numId w:val="30"/>
        </w:numPr>
        <w:rPr>
          <w:rFonts w:ascii="Arial" w:cs="Arial" w:eastAsia="Arial" w:hAnsi="Arial"/>
          <w:sz w:val="19"/>
          <w:szCs w:val="19"/>
          <w:color w:val="1E1E1E"/>
        </w:rPr>
      </w:pPr>
      <w:r>
        <w:rPr>
          <w:rFonts w:ascii="Times New Roman" w:cs="Times New Roman" w:eastAsia="Times New Roman" w:hAnsi="Times New Roman"/>
          <w:sz w:val="19"/>
          <w:szCs w:val="19"/>
          <w:color w:val="1E1E1E"/>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Arial" w:cs="Arial" w:eastAsia="Arial" w:hAnsi="Arial"/>
          <w:sz w:val="19"/>
          <w:szCs w:val="19"/>
          <w:color w:val="1E1E1E"/>
        </w:rPr>
      </w:pPr>
    </w:p>
    <w:p>
      <w:pPr>
        <w:ind w:left="960" w:hanging="485"/>
        <w:spacing w:after="0"/>
        <w:tabs>
          <w:tab w:leader="none" w:pos="960" w:val="left"/>
        </w:tabs>
        <w:numPr>
          <w:ilvl w:val="0"/>
          <w:numId w:val="30"/>
        </w:numPr>
        <w:rPr>
          <w:rFonts w:ascii="Arial" w:cs="Arial" w:eastAsia="Arial" w:hAnsi="Arial"/>
          <w:sz w:val="19"/>
          <w:szCs w:val="19"/>
          <w:color w:val="1E1E1E"/>
        </w:rPr>
      </w:pPr>
      <w:r>
        <w:rPr>
          <w:rFonts w:ascii="Times New Roman" w:cs="Times New Roman" w:eastAsia="Times New Roman" w:hAnsi="Times New Roman"/>
          <w:sz w:val="19"/>
          <w:szCs w:val="19"/>
          <w:color w:val="1E1E1E"/>
        </w:rPr>
        <w:t>on the occurrence of specified corporate events.</w:t>
      </w:r>
    </w:p>
    <w:p>
      <w:pPr>
        <w:spacing w:after="0" w:line="120" w:lineRule="exact"/>
        <w:rPr>
          <w:sz w:val="20"/>
          <w:szCs w:val="20"/>
          <w:color w:val="auto"/>
        </w:rPr>
      </w:pPr>
    </w:p>
    <w:p>
      <w:pPr>
        <w:ind w:right="160" w:firstLine="594"/>
        <w:spacing w:after="0" w:line="289" w:lineRule="auto"/>
        <w:rPr>
          <w:sz w:val="20"/>
          <w:szCs w:val="20"/>
          <w:color w:val="auto"/>
        </w:rPr>
      </w:pPr>
      <w:r>
        <w:rPr>
          <w:rFonts w:ascii="Times New Roman" w:cs="Times New Roman" w:eastAsia="Times New Roman" w:hAnsi="Times New Roman"/>
          <w:sz w:val="19"/>
          <w:szCs w:val="19"/>
          <w:color w:val="1E1E1E"/>
        </w:rPr>
        <w:t>On or after November 1, 2026, the 2027 Notes are convertible at any time until the close of business on the second scheduled trading day immediately preceding the maturity date.</w:t>
      </w:r>
    </w:p>
    <w:p>
      <w:pPr>
        <w:sectPr>
          <w:pgSz w:w="11880" w:h="15480" w:orient="portrait"/>
          <w:cols w:equalWidth="0" w:num="1">
            <w:col w:w="10480"/>
          </w:cols>
          <w:pgMar w:left="700" w:top="957" w:right="700" w:bottom="215"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62</w:t>
      </w:r>
    </w:p>
    <w:p>
      <w:pPr>
        <w:sectPr>
          <w:pgSz w:w="11880" w:h="15480" w:orient="portrait"/>
          <w:cols w:equalWidth="0" w:num="1">
            <w:col w:w="10480"/>
          </w:cols>
          <w:pgMar w:left="700" w:top="957" w:right="700" w:bottom="215" w:gutter="0" w:footer="0" w:header="0"/>
          <w:type w:val="continuous"/>
        </w:sectPr>
      </w:pPr>
    </w:p>
    <w:bookmarkStart w:id="68" w:name="page69"/>
    <w:bookmarkEnd w:id="68"/>
    <w:p>
      <w:pPr>
        <w:ind w:right="20" w:firstLine="594"/>
        <w:spacing w:after="0" w:line="260" w:lineRule="auto"/>
        <w:rPr>
          <w:sz w:val="20"/>
          <w:szCs w:val="20"/>
          <w:color w:val="auto"/>
        </w:rPr>
      </w:pPr>
      <w:r>
        <w:rPr>
          <w:rFonts w:ascii="Times New Roman" w:cs="Times New Roman" w:eastAsia="Times New Roman" w:hAnsi="Times New Roman"/>
          <w:sz w:val="19"/>
          <w:szCs w:val="19"/>
          <w:color w:val="1E1E1E"/>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62" w:lineRule="exact"/>
        <w:rPr>
          <w:sz w:val="20"/>
          <w:szCs w:val="20"/>
          <w:color w:val="auto"/>
        </w:rPr>
      </w:pPr>
    </w:p>
    <w:p>
      <w:pPr>
        <w:ind w:right="380" w:firstLine="594"/>
        <w:spacing w:after="0" w:line="290" w:lineRule="auto"/>
        <w:rPr>
          <w:sz w:val="20"/>
          <w:szCs w:val="20"/>
          <w:color w:val="auto"/>
        </w:rPr>
      </w:pPr>
      <w:r>
        <w:rPr>
          <w:rFonts w:ascii="Times New Roman" w:cs="Times New Roman" w:eastAsia="Times New Roman" w:hAnsi="Times New Roman"/>
          <w:sz w:val="19"/>
          <w:szCs w:val="19"/>
          <w:color w:val="1E1E1E"/>
        </w:rPr>
        <w:t>We accounted for the issuance of the 2027 Notes as a single liability measured at its amortized cost, as no other embedded features require bifurcation and recognition as derivatives.</w:t>
      </w:r>
    </w:p>
    <w:p>
      <w:pPr>
        <w:spacing w:after="0" w:line="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As of December 31, 2023, the 2027 Notes have a carrying value of $281.8 million with an effective annual interest rate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1.6%.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Cash Flows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r>
      <w:tr>
        <w:trPr>
          <w:trHeight w:val="168"/>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1E1E1E"/>
              <w:bottom w:val="single" w:sz="8" w:color="1E1E1E"/>
            </w:tcBorders>
          </w:tcPr>
          <w:p>
            <w:pPr>
              <w:spacing w:after="0"/>
              <w:rPr>
                <w:sz w:val="14"/>
                <w:szCs w:val="14"/>
                <w:color w:val="auto"/>
              </w:rPr>
            </w:pPr>
          </w:p>
        </w:tc>
        <w:tc>
          <w:tcPr>
            <w:tcW w:w="1320" w:type="dxa"/>
            <w:vAlign w:val="bottom"/>
            <w:tcBorders>
              <w:top w:val="single" w:sz="8" w:color="1E1E1E"/>
              <w:bottom w:val="single" w:sz="8" w:color="1E1E1E"/>
            </w:tcBorders>
          </w:tcPr>
          <w:p>
            <w:pPr>
              <w:jc w:val="right"/>
              <w:ind w:right="473"/>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80" w:type="dxa"/>
            <w:vAlign w:val="bottom"/>
            <w:tcBorders>
              <w:top w:val="single" w:sz="8" w:color="1E1E1E"/>
            </w:tcBorders>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520" w:type="dxa"/>
            <w:vAlign w:val="bottom"/>
            <w:tcBorders>
              <w:top w:val="single" w:sz="8" w:color="1E1E1E"/>
              <w:bottom w:val="single" w:sz="8" w:color="1E1E1E"/>
            </w:tcBorders>
          </w:tcPr>
          <w:p>
            <w:pPr>
              <w:spacing w:after="0"/>
              <w:rPr>
                <w:sz w:val="14"/>
                <w:szCs w:val="14"/>
                <w:color w:val="auto"/>
              </w:rPr>
            </w:pPr>
          </w:p>
        </w:tc>
        <w:tc>
          <w:tcPr>
            <w:tcW w:w="1060" w:type="dxa"/>
            <w:vAlign w:val="bottom"/>
            <w:tcBorders>
              <w:top w:val="single" w:sz="8" w:color="1E1E1E"/>
              <w:bottom w:val="single" w:sz="8" w:color="1E1E1E"/>
            </w:tcBorders>
          </w:tcPr>
          <w:p>
            <w:pPr>
              <w:jc w:val="right"/>
              <w:ind w:right="548"/>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14"/>
                <w:szCs w:val="14"/>
                <w:color w:val="auto"/>
              </w:rPr>
            </w:pPr>
          </w:p>
        </w:tc>
      </w:tr>
      <w:tr>
        <w:trPr>
          <w:trHeight w:val="168"/>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(in</w:t>
            </w:r>
          </w:p>
        </w:tc>
        <w:tc>
          <w:tcPr>
            <w:tcW w:w="800" w:type="dxa"/>
            <w:vAlign w:val="bottom"/>
            <w:gridSpan w:val="3"/>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1E1E1E"/>
                <w:w w:val="90"/>
              </w:rPr>
              <w:t>thousands)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69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Net cash used in operating activities</w:t>
            </w:r>
          </w:p>
        </w:tc>
        <w:tc>
          <w:tcPr>
            <w:tcW w:w="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00" w:type="dxa"/>
            <w:vAlign w:val="bottom"/>
            <w:gridSpan w:val="2"/>
            <w:shd w:val="clear" w:color="auto" w:fill="E4E4E4"/>
          </w:tcPr>
          <w:p>
            <w:pPr>
              <w:jc w:val="right"/>
              <w:ind w:right="22"/>
              <w:spacing w:after="0"/>
              <w:rPr>
                <w:sz w:val="20"/>
                <w:szCs w:val="20"/>
                <w:color w:val="auto"/>
              </w:rPr>
            </w:pPr>
            <w:r>
              <w:rPr>
                <w:rFonts w:ascii="Times New Roman" w:cs="Times New Roman" w:eastAsia="Times New Roman" w:hAnsi="Times New Roman"/>
                <w:sz w:val="19"/>
                <w:szCs w:val="19"/>
                <w:color w:val="1E1E1E"/>
              </w:rPr>
              <w:t>(29,877)</w:t>
            </w:r>
          </w:p>
        </w:tc>
        <w:tc>
          <w:tcPr>
            <w:tcW w:w="620" w:type="dxa"/>
            <w:vAlign w:val="bottom"/>
            <w:gridSpan w:val="2"/>
            <w:shd w:val="clear" w:color="auto" w:fill="E4E4E4"/>
          </w:tcPr>
          <w:p>
            <w:pPr>
              <w:jc w:val="right"/>
              <w:ind w:right="420"/>
              <w:spacing w:after="0"/>
              <w:rPr>
                <w:sz w:val="20"/>
                <w:szCs w:val="20"/>
                <w:color w:val="auto"/>
              </w:rPr>
            </w:pPr>
            <w:r>
              <w:rPr>
                <w:rFonts w:ascii="Times New Roman" w:cs="Times New Roman" w:eastAsia="Times New Roman" w:hAnsi="Times New Roman"/>
                <w:sz w:val="19"/>
                <w:szCs w:val="19"/>
                <w:color w:val="1E1E1E"/>
              </w:rPr>
              <w:t>$</w:t>
            </w:r>
          </w:p>
        </w:tc>
        <w:tc>
          <w:tcPr>
            <w:tcW w:w="116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(62,575)</w:t>
            </w: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9"/>
                <w:szCs w:val="19"/>
                <w:color w:val="1E1E1E"/>
              </w:rPr>
              <w:t>Net cash provided by (used in) investing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16,806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(238,630)</w:t>
            </w:r>
          </w:p>
        </w:tc>
      </w:tr>
      <w:tr>
        <w:trPr>
          <w:trHeight w:val="223"/>
        </w:trPr>
        <w:tc>
          <w:tcPr>
            <w:tcW w:w="69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Net cash provided by financing activities</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1,067</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520" w:type="dxa"/>
            <w:vAlign w:val="bottom"/>
            <w:shd w:val="clear" w:color="auto" w:fill="E4E4E4"/>
          </w:tcPr>
          <w:p>
            <w:pPr>
              <w:spacing w:after="0"/>
              <w:rPr>
                <w:sz w:val="19"/>
                <w:szCs w:val="19"/>
                <w:color w:val="auto"/>
              </w:rPr>
            </w:pPr>
          </w:p>
        </w:tc>
        <w:tc>
          <w:tcPr>
            <w:tcW w:w="10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280,972</w:t>
            </w:r>
          </w:p>
        </w:tc>
        <w:tc>
          <w:tcPr>
            <w:tcW w:w="100" w:type="dxa"/>
            <w:vAlign w:val="bottom"/>
            <w:shd w:val="clear" w:color="auto" w:fill="E4E4E4"/>
          </w:tcPr>
          <w:p>
            <w:pPr>
              <w:spacing w:after="0"/>
              <w:rPr>
                <w:sz w:val="19"/>
                <w:szCs w:val="19"/>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Operating Activities</w:t>
      </w:r>
    </w:p>
    <w:p>
      <w:pPr>
        <w:spacing w:after="0" w:line="120" w:lineRule="exact"/>
        <w:rPr>
          <w:sz w:val="20"/>
          <w:szCs w:val="20"/>
          <w:color w:val="auto"/>
        </w:rPr>
      </w:pPr>
    </w:p>
    <w:p>
      <w:pPr>
        <w:ind w:right="40" w:firstLine="594"/>
        <w:spacing w:after="0" w:line="251" w:lineRule="auto"/>
        <w:rPr>
          <w:sz w:val="20"/>
          <w:szCs w:val="20"/>
          <w:color w:val="auto"/>
        </w:rPr>
      </w:pPr>
      <w:r>
        <w:rPr>
          <w:rFonts w:ascii="Times New Roman" w:cs="Times New Roman" w:eastAsia="Times New Roman" w:hAnsi="Times New Roman"/>
          <w:sz w:val="19"/>
          <w:szCs w:val="19"/>
          <w:color w:val="1E1E1E"/>
        </w:rPr>
        <w:t>For the year ended December 31, 2023, net cash used in operating activities was $29.8 million, primarily due to a net loss of $(67.5) million adjusted for non-cash charges of $51.2 million and a net decrease in our operating assets and liabilities of $(13.6) million. The non-cash adjustments primarily relate to stock-based compensation of $22.1 million, $14.4 million of reduction to our right of use lease assets, and depreciation and amortization of $10.7 million. The net decrease in operating assets and liabilities is primarily driven by changes in accounts receivable of $20.6 million primarily due to our continued growth, lease liabilities of $5.5 million and contract liabilities of $1.4 million, offset by changes in accrued expenses of $7.5 million, accounts payable of $6.7 million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and prepaid expenses of $1.7 million.</w:t>
      </w:r>
    </w:p>
    <w:p>
      <w:pPr>
        <w:spacing w:after="0" w:line="207" w:lineRule="exact"/>
        <w:rPr>
          <w:sz w:val="20"/>
          <w:szCs w:val="20"/>
          <w:color w:val="auto"/>
        </w:rPr>
      </w:pPr>
    </w:p>
    <w:p>
      <w:pPr>
        <w:ind w:right="220" w:firstLine="594"/>
        <w:spacing w:after="0" w:line="252" w:lineRule="auto"/>
        <w:rPr>
          <w:sz w:val="20"/>
          <w:szCs w:val="20"/>
          <w:color w:val="auto"/>
        </w:rPr>
      </w:pPr>
      <w:r>
        <w:rPr>
          <w:rFonts w:ascii="Times New Roman" w:cs="Times New Roman" w:eastAsia="Times New Roman" w:hAnsi="Times New Roman"/>
          <w:sz w:val="19"/>
          <w:szCs w:val="19"/>
          <w:color w:val="1E1E1E"/>
        </w:rPr>
        <w:t>For the year ended December 31, 2022, net cash used in operating activities was $62.6 million, primarily due to a net loss of $(79.0) million adjusted for non-cash charges of $42.9 million and a net decrease in our operating assets and liabilities of $26.5 million. The non-cash adjustments primarily relate to stock-based compensation of $19.2 million, depreciation and amortization of $7.8 million, $7.2 million reduction to our right of use lease assets and donated common stock of $2.3 million. The net decrease in operating assets and liabilities is primarily driven by an increase in accounts receivable of $17.0 million primarily due to our continued growth, a $4.1 million increase in other assets, a $1.6 million increase in prepaid expenses and a $5.7 million decrease in lease liabilities.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Investing Activities</w:t>
      </w:r>
    </w:p>
    <w:p>
      <w:pPr>
        <w:spacing w:after="0" w:line="120" w:lineRule="exact"/>
        <w:rPr>
          <w:sz w:val="20"/>
          <w:szCs w:val="20"/>
          <w:color w:val="auto"/>
        </w:rPr>
      </w:pPr>
    </w:p>
    <w:p>
      <w:pPr>
        <w:ind w:right="280" w:firstLine="594"/>
        <w:spacing w:after="0" w:line="260" w:lineRule="auto"/>
        <w:rPr>
          <w:sz w:val="20"/>
          <w:szCs w:val="20"/>
          <w:color w:val="auto"/>
        </w:rPr>
      </w:pPr>
      <w:r>
        <w:rPr>
          <w:rFonts w:ascii="Times New Roman" w:cs="Times New Roman" w:eastAsia="Times New Roman" w:hAnsi="Times New Roman"/>
          <w:sz w:val="19"/>
          <w:szCs w:val="19"/>
          <w:color w:val="1E1E1E"/>
        </w:rPr>
        <w:t>Cash provided by investing activities was $16.8 million during the year ended December 31, 2023, primarily due to the proceeds from the sale of marketable securities of $50.0 million offset by the purchase of property and equipment (which includes internal-use software development costs) of $18.5 million, $11.6 million for the purchase of marketable securities, and $3.3 million for the acquisition of Tridi.</w:t>
      </w:r>
    </w:p>
    <w:p>
      <w:pPr>
        <w:spacing w:after="0" w:line="62" w:lineRule="exact"/>
        <w:rPr>
          <w:sz w:val="20"/>
          <w:szCs w:val="20"/>
          <w:color w:val="auto"/>
        </w:rPr>
      </w:pPr>
    </w:p>
    <w:p>
      <w:pPr>
        <w:ind w:right="40" w:firstLine="594"/>
        <w:spacing w:after="0" w:line="260" w:lineRule="auto"/>
        <w:rPr>
          <w:sz w:val="20"/>
          <w:szCs w:val="20"/>
          <w:color w:val="auto"/>
        </w:rPr>
      </w:pPr>
      <w:r>
        <w:rPr>
          <w:rFonts w:ascii="Times New Roman" w:cs="Times New Roman" w:eastAsia="Times New Roman" w:hAnsi="Times New Roman"/>
          <w:sz w:val="19"/>
          <w:szCs w:val="19"/>
          <w:color w:val="1E1E1E"/>
        </w:rPr>
        <w:t>Cash used by investing activities was $238.6 million during the year ended December 31, 2022, primarily due to the purchase of $284.1 million of marketable securities with proceeds from the 2027 Notes issuance and $13.7 million of purchases of property and equipment (which includes internal-use software development costs) offset by proceeds of $58.9 million from the sale of marketable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Financing Activities</w:t>
      </w:r>
    </w:p>
    <w:p>
      <w:pPr>
        <w:spacing w:after="0" w:line="120" w:lineRule="exact"/>
        <w:rPr>
          <w:sz w:val="20"/>
          <w:szCs w:val="20"/>
          <w:color w:val="auto"/>
        </w:rPr>
      </w:pPr>
    </w:p>
    <w:p>
      <w:pPr>
        <w:ind w:right="160" w:firstLine="594"/>
        <w:spacing w:after="0" w:line="267" w:lineRule="auto"/>
        <w:rPr>
          <w:sz w:val="20"/>
          <w:szCs w:val="20"/>
          <w:color w:val="auto"/>
        </w:rPr>
      </w:pPr>
      <w:r>
        <w:rPr>
          <w:rFonts w:ascii="Times New Roman" w:cs="Times New Roman" w:eastAsia="Times New Roman" w:hAnsi="Times New Roman"/>
          <w:sz w:val="19"/>
          <w:szCs w:val="19"/>
          <w:color w:val="1E1E1E"/>
        </w:rPr>
        <w:t>Cash provided by financing activities was $1.1 million during the year ended December 31, 2023, primarily resulting from $1.9 million of proceeds from the exercise of stock options offset by the payment of contingent considerations related to acquisitions in 2021.</w:t>
      </w:r>
    </w:p>
    <w:p>
      <w:pPr>
        <w:spacing w:after="0" w:line="57" w:lineRule="exact"/>
        <w:rPr>
          <w:sz w:val="20"/>
          <w:szCs w:val="20"/>
          <w:color w:val="auto"/>
        </w:rPr>
      </w:pPr>
    </w:p>
    <w:p>
      <w:pPr>
        <w:ind w:right="160" w:firstLine="594"/>
        <w:spacing w:after="0" w:line="267" w:lineRule="auto"/>
        <w:rPr>
          <w:sz w:val="20"/>
          <w:szCs w:val="20"/>
          <w:color w:val="auto"/>
        </w:rPr>
      </w:pPr>
      <w:r>
        <w:rPr>
          <w:rFonts w:ascii="Times New Roman" w:cs="Times New Roman" w:eastAsia="Times New Roman" w:hAnsi="Times New Roman"/>
          <w:sz w:val="19"/>
          <w:szCs w:val="19"/>
          <w:color w:val="1E1E1E"/>
        </w:rPr>
        <w:t>Cash provided by financing activities was $281.0 million during the year ended December 31, 2022, primarily resulting from $287.5 million of proceeds from the issuance of the 2027 Notes and $3.7 million of proceeds from the exercise of stock options, partially offset by $9.3 million of issuance costs in connection with the issuance of the 2027 Notes.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Critical Accounting Estimates</w:t>
      </w:r>
    </w:p>
    <w:p>
      <w:pPr>
        <w:spacing w:after="0" w:line="241" w:lineRule="exact"/>
        <w:rPr>
          <w:sz w:val="20"/>
          <w:szCs w:val="20"/>
          <w:color w:val="auto"/>
        </w:rPr>
      </w:pPr>
    </w:p>
    <w:p>
      <w:pPr>
        <w:ind w:right="200" w:firstLine="594"/>
        <w:spacing w:after="0" w:line="280" w:lineRule="auto"/>
        <w:rPr>
          <w:sz w:val="20"/>
          <w:szCs w:val="20"/>
          <w:color w:val="auto"/>
        </w:rPr>
      </w:pPr>
      <w:r>
        <w:rPr>
          <w:rFonts w:ascii="Times New Roman" w:cs="Times New Roman" w:eastAsia="Times New Roman" w:hAnsi="Times New Roman"/>
          <w:sz w:val="19"/>
          <w:szCs w:val="19"/>
          <w:color w:val="1E1E1E"/>
        </w:rPr>
        <w:t>Our discussion and analysis of financial condition and results of operations are based upon our financial statements included elsewhere in this Annual Report on Form 10-K. The preparation of our financial statements in accordance with GAAP requires us to</w:t>
      </w:r>
    </w:p>
    <w:p>
      <w:pPr>
        <w:sectPr>
          <w:pgSz w:w="11880" w:h="15480" w:orient="portrait"/>
          <w:cols w:equalWidth="0" w:num="1">
            <w:col w:w="10480"/>
          </w:cols>
          <w:pgMar w:left="700" w:top="957" w:right="700" w:bottom="215" w:gutter="0" w:footer="0" w:header="0"/>
        </w:sectPr>
      </w:pP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63</w:t>
      </w:r>
    </w:p>
    <w:p>
      <w:pPr>
        <w:sectPr>
          <w:pgSz w:w="11880" w:h="15480" w:orient="portrait"/>
          <w:cols w:equalWidth="0" w:num="1">
            <w:col w:w="10480"/>
          </w:cols>
          <w:pgMar w:left="700" w:top="957" w:right="700" w:bottom="215" w:gutter="0" w:footer="0" w:header="0"/>
          <w:type w:val="continuous"/>
        </w:sectPr>
      </w:pPr>
    </w:p>
    <w:bookmarkStart w:id="69" w:name="page70"/>
    <w:bookmarkEnd w:id="69"/>
    <w:p>
      <w:pPr>
        <w:jc w:val="both"/>
        <w:ind w:right="140"/>
        <w:spacing w:after="0" w:line="267" w:lineRule="auto"/>
        <w:rPr>
          <w:sz w:val="20"/>
          <w:szCs w:val="20"/>
          <w:color w:val="auto"/>
        </w:rPr>
      </w:pPr>
      <w:r>
        <w:rPr>
          <w:rFonts w:ascii="Times New Roman" w:cs="Times New Roman" w:eastAsia="Times New Roman" w:hAnsi="Times New Roman"/>
          <w:sz w:val="19"/>
          <w:szCs w:val="19"/>
          <w:color w:val="1E1E1E"/>
        </w:rPr>
        <w:t>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34" w:lineRule="exact"/>
        <w:rPr>
          <w:sz w:val="20"/>
          <w:szCs w:val="20"/>
          <w:color w:val="auto"/>
        </w:rPr>
      </w:pPr>
    </w:p>
    <w:p>
      <w:pPr>
        <w:ind w:firstLine="594"/>
        <w:spacing w:after="0" w:line="256" w:lineRule="auto"/>
        <w:rPr>
          <w:sz w:val="20"/>
          <w:szCs w:val="20"/>
          <w:color w:val="auto"/>
        </w:rPr>
      </w:pPr>
      <w:r>
        <w:rPr>
          <w:rFonts w:ascii="Times New Roman" w:cs="Times New Roman" w:eastAsia="Times New Roman" w:hAnsi="Times New Roman"/>
          <w:sz w:val="19"/>
          <w:szCs w:val="19"/>
          <w:color w:val="1E1E1E"/>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Valuation of Goodwill and Intangible Assets</w:t>
      </w:r>
    </w:p>
    <w:p>
      <w:pPr>
        <w:spacing w:after="0" w:line="226" w:lineRule="exact"/>
        <w:rPr>
          <w:sz w:val="20"/>
          <w:szCs w:val="20"/>
          <w:color w:val="auto"/>
        </w:rPr>
      </w:pPr>
    </w:p>
    <w:p>
      <w:pPr>
        <w:jc w:val="both"/>
        <w:ind w:firstLine="600"/>
        <w:spacing w:after="0" w:line="267" w:lineRule="auto"/>
        <w:rPr>
          <w:sz w:val="20"/>
          <w:szCs w:val="20"/>
          <w:color w:val="auto"/>
        </w:rPr>
      </w:pPr>
      <w:r>
        <w:rPr>
          <w:rFonts w:ascii="Times New Roman" w:cs="Times New Roman" w:eastAsia="Times New Roman" w:hAnsi="Times New Roman"/>
          <w:sz w:val="19"/>
          <w:szCs w:val="19"/>
          <w:color w:val="1E1E1E"/>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Goodwill</w:t>
      </w:r>
    </w:p>
    <w:p>
      <w:pPr>
        <w:spacing w:after="0" w:line="224" w:lineRule="exact"/>
        <w:rPr>
          <w:sz w:val="20"/>
          <w:szCs w:val="20"/>
          <w:color w:val="auto"/>
        </w:rPr>
      </w:pPr>
    </w:p>
    <w:p>
      <w:pPr>
        <w:jc w:val="both"/>
        <w:ind w:firstLine="600"/>
        <w:spacing w:after="0" w:line="256" w:lineRule="auto"/>
        <w:rPr>
          <w:sz w:val="20"/>
          <w:szCs w:val="20"/>
          <w:color w:val="auto"/>
        </w:rPr>
      </w:pPr>
      <w:r>
        <w:rPr>
          <w:rFonts w:ascii="Times New Roman" w:cs="Times New Roman" w:eastAsia="Times New Roman" w:hAnsi="Times New Roman"/>
          <w:sz w:val="19"/>
          <w:szCs w:val="19"/>
          <w:color w:val="1E1E1E"/>
        </w:rPr>
        <w:t>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market capitalization, actual and planned financial performance, that could impact the fair value of our reporting units.</w:t>
      </w:r>
    </w:p>
    <w:p>
      <w:pPr>
        <w:spacing w:after="0" w:line="174" w:lineRule="exact"/>
        <w:rPr>
          <w:sz w:val="20"/>
          <w:szCs w:val="20"/>
          <w:color w:val="auto"/>
        </w:rPr>
      </w:pPr>
    </w:p>
    <w:p>
      <w:pPr>
        <w:jc w:val="both"/>
        <w:ind w:firstLine="600"/>
        <w:spacing w:after="0" w:line="290" w:lineRule="auto"/>
        <w:rPr>
          <w:sz w:val="20"/>
          <w:szCs w:val="20"/>
          <w:color w:val="auto"/>
        </w:rPr>
      </w:pPr>
      <w:r>
        <w:rPr>
          <w:rFonts w:ascii="Times New Roman" w:cs="Times New Roman" w:eastAsia="Times New Roman" w:hAnsi="Times New Roman"/>
          <w:sz w:val="19"/>
          <w:szCs w:val="19"/>
          <w:color w:val="1E1E1E"/>
        </w:rPr>
        <w:t>If the results of the annual qualitative assessment conclude that it is not more likely than not that the fair value of a reporting unit exceeds its carrying value, or if interim indicators of impairment are identified, a quantitative impairment test is performed.</w:t>
      </w:r>
    </w:p>
    <w:p>
      <w:pPr>
        <w:spacing w:after="0" w:line="141" w:lineRule="exact"/>
        <w:rPr>
          <w:sz w:val="20"/>
          <w:szCs w:val="20"/>
          <w:color w:val="auto"/>
        </w:rPr>
      </w:pPr>
    </w:p>
    <w:p>
      <w:pPr>
        <w:jc w:val="both"/>
        <w:ind w:firstLine="600"/>
        <w:spacing w:after="0" w:line="249" w:lineRule="auto"/>
        <w:rPr>
          <w:sz w:val="20"/>
          <w:szCs w:val="20"/>
          <w:color w:val="auto"/>
        </w:rPr>
      </w:pPr>
      <w:r>
        <w:rPr>
          <w:rFonts w:ascii="Times New Roman" w:cs="Times New Roman" w:eastAsia="Times New Roman" w:hAnsi="Times New Roman"/>
          <w:sz w:val="19"/>
          <w:szCs w:val="19"/>
          <w:color w:val="1E1E1E"/>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discount rates, growth rates, margins and determination of appropriate market comparisons. It is possible that our conclusions regarding impairment of goodwill could change in future periods if, for example, our businesses do not perform as projected or overall economic conditions in future periods vary from current assumptions.</w:t>
      </w:r>
    </w:p>
    <w:p>
      <w:pPr>
        <w:spacing w:after="0" w:line="184" w:lineRule="exact"/>
        <w:rPr>
          <w:sz w:val="20"/>
          <w:szCs w:val="20"/>
          <w:color w:val="auto"/>
        </w:rPr>
      </w:pPr>
    </w:p>
    <w:p>
      <w:pPr>
        <w:jc w:val="both"/>
        <w:ind w:firstLine="600"/>
        <w:spacing w:after="0" w:line="267" w:lineRule="auto"/>
        <w:rPr>
          <w:sz w:val="20"/>
          <w:szCs w:val="20"/>
          <w:color w:val="auto"/>
        </w:rPr>
      </w:pPr>
      <w:r>
        <w:rPr>
          <w:rFonts w:ascii="Times New Roman" w:cs="Times New Roman" w:eastAsia="Times New Roman" w:hAnsi="Times New Roman"/>
          <w:sz w:val="19"/>
          <w:szCs w:val="19"/>
          <w:color w:val="1E1E1E"/>
        </w:rPr>
        <w:t>Our annual goodwill impairment test was performed as of October 1, 2023 using a qualitative assessment, the results of which indicated that it is more likely than not that the fair values of our reporting units exceeded their carrying values. No goodwill asset impairment charges were recorded as a result of our annual impairment test during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Intangibles assets</w:t>
      </w:r>
    </w:p>
    <w:p>
      <w:pPr>
        <w:spacing w:after="0" w:line="224" w:lineRule="exact"/>
        <w:rPr>
          <w:sz w:val="20"/>
          <w:szCs w:val="20"/>
          <w:color w:val="auto"/>
        </w:rPr>
      </w:pPr>
    </w:p>
    <w:p>
      <w:pPr>
        <w:ind w:right="160" w:firstLine="600"/>
        <w:spacing w:after="0" w:line="260" w:lineRule="auto"/>
        <w:rPr>
          <w:sz w:val="20"/>
          <w:szCs w:val="20"/>
          <w:color w:val="auto"/>
        </w:rPr>
      </w:pPr>
      <w:r>
        <w:rPr>
          <w:rFonts w:ascii="Times New Roman" w:cs="Times New Roman" w:eastAsia="Times New Roman" w:hAnsi="Times New Roman"/>
          <w:sz w:val="19"/>
          <w:szCs w:val="19"/>
          <w:color w:val="1E1E1E"/>
        </w:rPr>
        <w:t>Most of our identifiable intangible assets were recognized as part of business combinations we executed in prior periods.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spacing w:after="0" w:line="169" w:lineRule="exact"/>
        <w:rPr>
          <w:sz w:val="20"/>
          <w:szCs w:val="20"/>
          <w:color w:val="auto"/>
        </w:rPr>
      </w:pPr>
    </w:p>
    <w:p>
      <w:pPr>
        <w:ind w:right="100" w:firstLine="600"/>
        <w:spacing w:after="0" w:line="254" w:lineRule="auto"/>
        <w:rPr>
          <w:sz w:val="20"/>
          <w:szCs w:val="20"/>
          <w:color w:val="auto"/>
        </w:rPr>
      </w:pPr>
      <w:r>
        <w:rPr>
          <w:rFonts w:ascii="Times New Roman" w:cs="Times New Roman" w:eastAsia="Times New Roman" w:hAnsi="Times New Roman"/>
          <w:sz w:val="19"/>
          <w:szCs w:val="19"/>
          <w:color w:val="1E1E1E"/>
        </w:rPr>
        <w:t>Our determination of the fair value of the intangible assets acquired involves the use of significant estimates and assumptions. Refer to our the “Business Combinations” disclosure below. We believe that the fair value assigned to the assets acquired and liabilities assumed are based on reasonable assumptions and estimates that a market participant would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spacing w:after="0" w:line="175" w:lineRule="exact"/>
        <w:rPr>
          <w:sz w:val="20"/>
          <w:szCs w:val="20"/>
          <w:color w:val="auto"/>
        </w:rPr>
      </w:pPr>
    </w:p>
    <w:p>
      <w:pPr>
        <w:ind w:right="20" w:firstLine="600"/>
        <w:spacing w:after="0" w:line="263" w:lineRule="auto"/>
        <w:rPr>
          <w:sz w:val="20"/>
          <w:szCs w:val="20"/>
          <w:color w:val="auto"/>
        </w:rPr>
      </w:pPr>
      <w:r>
        <w:rPr>
          <w:rFonts w:ascii="Times New Roman" w:cs="Times New Roman" w:eastAsia="Times New Roman" w:hAnsi="Times New Roman"/>
          <w:sz w:val="19"/>
          <w:szCs w:val="19"/>
          <w:color w:val="1E1E1E"/>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w:t>
      </w:r>
    </w:p>
    <w:p>
      <w:pPr>
        <w:sectPr>
          <w:pgSz w:w="11880" w:h="15480" w:orient="portrait"/>
          <w:cols w:equalWidth="0" w:num="1">
            <w:col w:w="10480"/>
          </w:cols>
          <w:pgMar w:left="700" w:top="957" w:right="700" w:bottom="215"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64</w:t>
      </w:r>
    </w:p>
    <w:p>
      <w:pPr>
        <w:sectPr>
          <w:pgSz w:w="11880" w:h="15480" w:orient="portrait"/>
          <w:cols w:equalWidth="0" w:num="1">
            <w:col w:w="10480"/>
          </w:cols>
          <w:pgMar w:left="700" w:top="957" w:right="700" w:bottom="215" w:gutter="0" w:footer="0" w:header="0"/>
          <w:type w:val="continuous"/>
        </w:sectPr>
      </w:pPr>
    </w:p>
    <w:bookmarkStart w:id="70" w:name="page71"/>
    <w:bookmarkEnd w:id="70"/>
    <w:p>
      <w:pPr>
        <w:ind w:right="540"/>
        <w:spacing w:after="0" w:line="290" w:lineRule="auto"/>
        <w:rPr>
          <w:sz w:val="20"/>
          <w:szCs w:val="20"/>
          <w:color w:val="auto"/>
        </w:rPr>
      </w:pPr>
      <w:r>
        <w:rPr>
          <w:rFonts w:ascii="Times New Roman" w:cs="Times New Roman" w:eastAsia="Times New Roman" w:hAnsi="Times New Roman"/>
          <w:sz w:val="19"/>
          <w:szCs w:val="19"/>
          <w:color w:val="1E1E1E"/>
        </w:rPr>
        <w:t>changes in the manner of our use of the assets or the strategy of our overall business, certain restructuring initiatives, significant negative industry or economic trends and significant decline in our share price for a sustained period.</w:t>
      </w:r>
    </w:p>
    <w:p>
      <w:pPr>
        <w:spacing w:after="0" w:line="141" w:lineRule="exact"/>
        <w:rPr>
          <w:sz w:val="20"/>
          <w:szCs w:val="20"/>
          <w:color w:val="auto"/>
        </w:rPr>
      </w:pPr>
    </w:p>
    <w:p>
      <w:pPr>
        <w:jc w:val="both"/>
        <w:ind w:firstLine="600"/>
        <w:spacing w:after="0" w:line="267" w:lineRule="auto"/>
        <w:rPr>
          <w:sz w:val="20"/>
          <w:szCs w:val="20"/>
          <w:color w:val="auto"/>
        </w:rPr>
      </w:pPr>
      <w:r>
        <w:rPr>
          <w:rFonts w:ascii="Times New Roman" w:cs="Times New Roman" w:eastAsia="Times New Roman" w:hAnsi="Times New Roman"/>
          <w:sz w:val="19"/>
          <w:szCs w:val="19"/>
          <w:color w:val="1E1E1E"/>
        </w:rPr>
        <w:t>When such events or changes in circumstances occur, we compare the carrying amounts of the asset or assets groups with their respective estimated undiscounted future cash flows. If the asset or assets group are determined to be impaired, an impairment charge is recorded in the amount by which the carrying amount of the asset or assets group exceed their fair value.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Business Combinations</w:t>
      </w:r>
    </w:p>
    <w:p>
      <w:pPr>
        <w:spacing w:after="0" w:line="197" w:lineRule="exact"/>
        <w:rPr>
          <w:sz w:val="20"/>
          <w:szCs w:val="20"/>
          <w:color w:val="auto"/>
        </w:rPr>
      </w:pPr>
    </w:p>
    <w:p>
      <w:pPr>
        <w:ind w:right="40" w:firstLine="594"/>
        <w:spacing w:after="0" w:line="245" w:lineRule="auto"/>
        <w:rPr>
          <w:sz w:val="20"/>
          <w:szCs w:val="20"/>
          <w:color w:val="auto"/>
        </w:rPr>
      </w:pPr>
      <w:r>
        <w:rPr>
          <w:rFonts w:ascii="Times New Roman" w:cs="Times New Roman" w:eastAsia="Times New Roman" w:hAnsi="Times New Roman"/>
          <w:sz w:val="19"/>
          <w:szCs w:val="19"/>
          <w:color w:val="1E1E1E"/>
        </w:rPr>
        <w:t>During the fourth quarter of 2021 and the first quarter of 2023, we acquired four businesses that we accounted for as business combinations. 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and goodwill acquired include but are not limited to future (i) expected cash flows from acquired customer relationships, (ii) attrition,</w:t>
      </w:r>
    </w:p>
    <w:p>
      <w:pPr>
        <w:spacing w:after="0" w:line="1" w:lineRule="exact"/>
        <w:rPr>
          <w:sz w:val="20"/>
          <w:szCs w:val="20"/>
          <w:color w:val="auto"/>
        </w:rPr>
      </w:pPr>
    </w:p>
    <w:p>
      <w:pPr>
        <w:ind w:right="280" w:firstLine="1"/>
        <w:spacing w:after="0" w:line="290" w:lineRule="auto"/>
        <w:tabs>
          <w:tab w:leader="none" w:pos="339" w:val="left"/>
        </w:tabs>
        <w:numPr>
          <w:ilvl w:val="0"/>
          <w:numId w:val="31"/>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gross profit and (iv) discount rate. To the extent our estimates and assumptions change during the measurement period, the fair value of the acquired intangible asset and goodwill could change materially.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Recent Accounting Pronouncements</w:t>
      </w:r>
    </w:p>
    <w:p>
      <w:pPr>
        <w:spacing w:after="0" w:line="241" w:lineRule="exact"/>
        <w:rPr>
          <w:sz w:val="20"/>
          <w:szCs w:val="20"/>
          <w:color w:val="auto"/>
        </w:rPr>
      </w:pPr>
    </w:p>
    <w:p>
      <w:pPr>
        <w:ind w:right="180" w:firstLine="594"/>
        <w:spacing w:after="0" w:line="290" w:lineRule="auto"/>
        <w:rPr>
          <w:sz w:val="20"/>
          <w:szCs w:val="20"/>
          <w:color w:val="auto"/>
        </w:rPr>
      </w:pPr>
      <w:r>
        <w:rPr>
          <w:rFonts w:ascii="Times New Roman" w:cs="Times New Roman" w:eastAsia="Times New Roman" w:hAnsi="Times New Roman"/>
          <w:sz w:val="19"/>
          <w:szCs w:val="19"/>
          <w:color w:val="1E1E1E"/>
        </w:rPr>
        <w:t>For information on recently issued accounting pronouncements, see Note 2 to our consolidated financial statements included elsewhere in this Annual Report on Form 10-K.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7A. Quantitative and Qualitative Disclosures About Market Risk.</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Quantitative and Qualitative Disclosures About Market Risk</w:t>
      </w:r>
    </w:p>
    <w:p>
      <w:pPr>
        <w:spacing w:after="0" w:line="241" w:lineRule="exact"/>
        <w:rPr>
          <w:sz w:val="20"/>
          <w:szCs w:val="20"/>
          <w:color w:val="auto"/>
        </w:rPr>
      </w:pPr>
    </w:p>
    <w:p>
      <w:pPr>
        <w:ind w:right="60" w:firstLine="600"/>
        <w:spacing w:after="0" w:line="260" w:lineRule="auto"/>
        <w:rPr>
          <w:sz w:val="20"/>
          <w:szCs w:val="20"/>
          <w:color w:val="auto"/>
        </w:rPr>
      </w:pPr>
      <w:r>
        <w:rPr>
          <w:rFonts w:ascii="Times New Roman" w:cs="Times New Roman" w:eastAsia="Times New Roman" w:hAnsi="Times New Roman"/>
          <w:sz w:val="19"/>
          <w:szCs w:val="19"/>
          <w:color w:val="1E1E1E"/>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Foreign Currency Exchange Risk</w:t>
      </w:r>
    </w:p>
    <w:p>
      <w:pPr>
        <w:spacing w:after="0" w:line="120" w:lineRule="exact"/>
        <w:rPr>
          <w:sz w:val="20"/>
          <w:szCs w:val="20"/>
          <w:color w:val="auto"/>
        </w:rPr>
      </w:pPr>
    </w:p>
    <w:p>
      <w:pPr>
        <w:ind w:right="140" w:firstLine="594"/>
        <w:spacing w:after="0" w:line="267" w:lineRule="auto"/>
        <w:rPr>
          <w:sz w:val="20"/>
          <w:szCs w:val="20"/>
          <w:color w:val="auto"/>
        </w:rPr>
      </w:pPr>
      <w:r>
        <w:rPr>
          <w:rFonts w:ascii="Times New Roman" w:cs="Times New Roman" w:eastAsia="Times New Roman" w:hAnsi="Times New Roman"/>
          <w:sz w:val="19"/>
          <w:szCs w:val="19"/>
          <w:color w:val="1E1E1E"/>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Inflation Risk</w:t>
      </w:r>
    </w:p>
    <w:p>
      <w:pPr>
        <w:spacing w:after="0" w:line="120" w:lineRule="exact"/>
        <w:rPr>
          <w:sz w:val="20"/>
          <w:szCs w:val="20"/>
          <w:color w:val="auto"/>
        </w:rPr>
      </w:pPr>
    </w:p>
    <w:p>
      <w:pPr>
        <w:ind w:right="60" w:firstLine="594"/>
        <w:spacing w:after="0" w:line="260" w:lineRule="auto"/>
        <w:rPr>
          <w:sz w:val="20"/>
          <w:szCs w:val="20"/>
          <w:color w:val="auto"/>
        </w:rPr>
      </w:pPr>
      <w:r>
        <w:rPr>
          <w:rFonts w:ascii="Times New Roman" w:cs="Times New Roman" w:eastAsia="Times New Roman" w:hAnsi="Times New Roman"/>
          <w:sz w:val="19"/>
          <w:szCs w:val="19"/>
          <w:color w:val="1E1E1E"/>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ectPr>
          <w:pgSz w:w="11880" w:h="15480" w:orient="portrait"/>
          <w:cols w:equalWidth="0" w:num="1">
            <w:col w:w="10460"/>
          </w:cols>
          <w:pgMar w:left="700" w:top="957" w:right="7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65</w:t>
      </w:r>
    </w:p>
    <w:p>
      <w:pPr>
        <w:sectPr>
          <w:pgSz w:w="11880" w:h="15480" w:orient="portrait"/>
          <w:cols w:equalWidth="0" w:num="1">
            <w:col w:w="10460"/>
          </w:cols>
          <w:pgMar w:left="700" w:top="957" w:right="720" w:bottom="215"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9"/>
          <w:szCs w:val="19"/>
          <w:b w:val="1"/>
          <w:bCs w:val="1"/>
          <w:color w:val="1E1E1E"/>
        </w:rPr>
        <w:t>Item 8. Financial Statements and Supplementary Data.</w:t>
      </w:r>
    </w:p>
    <w:p>
      <w:pPr>
        <w:spacing w:after="0" w:line="35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1E1E1E"/>
        </w:rPr>
        <w:t>Consolidated Financial Statements</w:t>
      </w:r>
    </w:p>
    <w:p>
      <w:pPr>
        <w:spacing w:after="0" w:line="3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9"/>
          <w:szCs w:val="19"/>
          <w:b w:val="1"/>
          <w:bCs w:val="1"/>
          <w:color w:val="1E1E1E"/>
        </w:rPr>
        <w:t>Table of Contents</w:t>
      </w:r>
    </w:p>
    <w:p>
      <w:pPr>
        <w:spacing w:after="0" w:line="200" w:lineRule="exact"/>
        <w:rPr>
          <w:sz w:val="20"/>
          <w:szCs w:val="20"/>
          <w:color w:val="auto"/>
        </w:rPr>
      </w:pPr>
    </w:p>
    <w:p>
      <w:pPr>
        <w:spacing w:after="0" w:line="303"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6"/>
          <w:szCs w:val="16"/>
          <w:color w:val="1E1E1E"/>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6078855</wp:posOffset>
            </wp:positionH>
            <wp:positionV relativeFrom="paragraph">
              <wp:posOffset>6350</wp:posOffset>
            </wp:positionV>
            <wp:extent cx="56896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960" cy="12700"/>
                    </a:xfrm>
                    <a:prstGeom prst="rect">
                      <a:avLst/>
                    </a:prstGeom>
                    <a:noFill/>
                  </pic:spPr>
                </pic:pic>
              </a:graphicData>
            </a:graphic>
          </wp:anchor>
        </w:drawing>
      </w:r>
    </w:p>
    <w:p>
      <w:pPr>
        <w:spacing w:after="0" w:line="140" w:lineRule="exact"/>
        <w:rPr>
          <w:sz w:val="20"/>
          <w:szCs w:val="20"/>
          <w:color w:val="auto"/>
        </w:rPr>
      </w:pPr>
    </w:p>
    <w:p>
      <w:pPr>
        <w:ind w:left="20"/>
        <w:spacing w:after="0"/>
        <w:tabs>
          <w:tab w:leader="dot" w:pos="10260" w:val="left"/>
        </w:tabs>
        <w:rPr>
          <w:sz w:val="20"/>
          <w:szCs w:val="20"/>
          <w:color w:val="auto"/>
        </w:rPr>
      </w:pPr>
      <w:r>
        <w:rPr>
          <w:rFonts w:ascii="Times New Roman" w:cs="Times New Roman" w:eastAsia="Times New Roman" w:hAnsi="Times New Roman"/>
          <w:sz w:val="19"/>
          <w:szCs w:val="19"/>
          <w:color w:val="1E1E1E"/>
        </w:rPr>
        <w:t>Reports of Independent Registered Public Accounting Firm</w:t>
      </w:r>
      <w:r>
        <w:rPr>
          <w:sz w:val="20"/>
          <w:szCs w:val="20"/>
          <w:color w:val="auto"/>
        </w:rPr>
        <w:tab/>
      </w:r>
      <w:r>
        <w:rPr>
          <w:rFonts w:ascii="Times New Roman" w:cs="Times New Roman" w:eastAsia="Times New Roman" w:hAnsi="Times New Roman"/>
          <w:sz w:val="18"/>
          <w:szCs w:val="18"/>
          <w:color w:val="1E1E1E"/>
        </w:rPr>
        <w:t>67</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1E1E1E"/>
        </w:rPr>
        <w:t>Consolidated Financial Statements:</w:t>
      </w:r>
    </w:p>
    <w:p>
      <w:pPr>
        <w:spacing w:after="0" w:line="116" w:lineRule="exact"/>
        <w:rPr>
          <w:sz w:val="20"/>
          <w:szCs w:val="20"/>
          <w:color w:val="auto"/>
        </w:rPr>
      </w:pPr>
    </w:p>
    <w:p>
      <w:pPr>
        <w:ind w:left="480"/>
        <w:spacing w:after="0"/>
        <w:tabs>
          <w:tab w:leader="dot" w:pos="10260" w:val="left"/>
        </w:tabs>
        <w:rPr>
          <w:sz w:val="20"/>
          <w:szCs w:val="20"/>
          <w:color w:val="auto"/>
        </w:rPr>
      </w:pPr>
      <w:r>
        <w:rPr>
          <w:rFonts w:ascii="Times New Roman" w:cs="Times New Roman" w:eastAsia="Times New Roman" w:hAnsi="Times New Roman"/>
          <w:sz w:val="19"/>
          <w:szCs w:val="19"/>
          <w:color w:val="1E1E1E"/>
        </w:rPr>
        <w:t>Consolidated Balance Sheets</w:t>
      </w:r>
      <w:r>
        <w:rPr>
          <w:sz w:val="20"/>
          <w:szCs w:val="20"/>
          <w:color w:val="auto"/>
        </w:rPr>
        <w:tab/>
      </w:r>
      <w:r>
        <w:rPr>
          <w:rFonts w:ascii="Times New Roman" w:cs="Times New Roman" w:eastAsia="Times New Roman" w:hAnsi="Times New Roman"/>
          <w:sz w:val="18"/>
          <w:szCs w:val="18"/>
          <w:color w:val="1E1E1E"/>
        </w:rPr>
        <w:t>70</w:t>
      </w:r>
    </w:p>
    <w:p>
      <w:pPr>
        <w:spacing w:after="0" w:line="136" w:lineRule="exact"/>
        <w:rPr>
          <w:sz w:val="20"/>
          <w:szCs w:val="20"/>
          <w:color w:val="auto"/>
        </w:rPr>
      </w:pPr>
    </w:p>
    <w:p>
      <w:pPr>
        <w:ind w:left="480"/>
        <w:spacing w:after="0"/>
        <w:tabs>
          <w:tab w:leader="dot" w:pos="10260" w:val="left"/>
        </w:tabs>
        <w:rPr>
          <w:sz w:val="20"/>
          <w:szCs w:val="20"/>
          <w:color w:val="auto"/>
        </w:rPr>
      </w:pPr>
      <w:r>
        <w:rPr>
          <w:rFonts w:ascii="Times New Roman" w:cs="Times New Roman" w:eastAsia="Times New Roman" w:hAnsi="Times New Roman"/>
          <w:sz w:val="19"/>
          <w:szCs w:val="19"/>
          <w:color w:val="1E1E1E"/>
        </w:rPr>
        <w:t>Consolidated Statements of Operations and Comprehensive Loss</w:t>
      </w:r>
      <w:r>
        <w:rPr>
          <w:sz w:val="20"/>
          <w:szCs w:val="20"/>
          <w:color w:val="auto"/>
        </w:rPr>
        <w:tab/>
      </w:r>
      <w:r>
        <w:rPr>
          <w:rFonts w:ascii="Times New Roman" w:cs="Times New Roman" w:eastAsia="Times New Roman" w:hAnsi="Times New Roman"/>
          <w:sz w:val="18"/>
          <w:szCs w:val="18"/>
          <w:color w:val="1E1E1E"/>
        </w:rPr>
        <w:t>71</w:t>
      </w:r>
    </w:p>
    <w:p>
      <w:pPr>
        <w:spacing w:after="0" w:line="136" w:lineRule="exact"/>
        <w:rPr>
          <w:sz w:val="20"/>
          <w:szCs w:val="20"/>
          <w:color w:val="auto"/>
        </w:rPr>
      </w:pPr>
    </w:p>
    <w:p>
      <w:pPr>
        <w:ind w:left="480"/>
        <w:spacing w:after="0"/>
        <w:tabs>
          <w:tab w:leader="dot" w:pos="10260" w:val="left"/>
        </w:tabs>
        <w:rPr>
          <w:sz w:val="20"/>
          <w:szCs w:val="20"/>
          <w:color w:val="auto"/>
        </w:rPr>
      </w:pPr>
      <w:r>
        <w:rPr>
          <w:rFonts w:ascii="Times New Roman" w:cs="Times New Roman" w:eastAsia="Times New Roman" w:hAnsi="Times New Roman"/>
          <w:sz w:val="19"/>
          <w:szCs w:val="19"/>
          <w:color w:val="1E1E1E"/>
        </w:rPr>
        <w:t>Consolidated Statements of Changes in Convertible Preferred Stock and Stockholders’ Equity (Deficit)</w:t>
      </w:r>
      <w:r>
        <w:rPr>
          <w:sz w:val="20"/>
          <w:szCs w:val="20"/>
          <w:color w:val="auto"/>
        </w:rPr>
        <w:tab/>
      </w:r>
      <w:r>
        <w:rPr>
          <w:rFonts w:ascii="Times New Roman" w:cs="Times New Roman" w:eastAsia="Times New Roman" w:hAnsi="Times New Roman"/>
          <w:sz w:val="18"/>
          <w:szCs w:val="18"/>
          <w:color w:val="1E1E1E"/>
        </w:rPr>
        <w:t>72</w:t>
      </w:r>
    </w:p>
    <w:p>
      <w:pPr>
        <w:spacing w:after="0" w:line="136" w:lineRule="exact"/>
        <w:rPr>
          <w:sz w:val="20"/>
          <w:szCs w:val="20"/>
          <w:color w:val="auto"/>
        </w:rPr>
      </w:pPr>
    </w:p>
    <w:p>
      <w:pPr>
        <w:ind w:left="480"/>
        <w:spacing w:after="0"/>
        <w:tabs>
          <w:tab w:leader="dot" w:pos="10260" w:val="left"/>
        </w:tabs>
        <w:rPr>
          <w:sz w:val="20"/>
          <w:szCs w:val="20"/>
          <w:color w:val="auto"/>
        </w:rPr>
      </w:pPr>
      <w:r>
        <w:rPr>
          <w:rFonts w:ascii="Times New Roman" w:cs="Times New Roman" w:eastAsia="Times New Roman" w:hAnsi="Times New Roman"/>
          <w:sz w:val="19"/>
          <w:szCs w:val="19"/>
          <w:color w:val="1E1E1E"/>
        </w:rPr>
        <w:t>Consolidated Statements of Cash Flows</w:t>
      </w:r>
      <w:r>
        <w:rPr>
          <w:sz w:val="20"/>
          <w:szCs w:val="20"/>
          <w:color w:val="auto"/>
        </w:rPr>
        <w:tab/>
      </w:r>
      <w:r>
        <w:rPr>
          <w:rFonts w:ascii="Times New Roman" w:cs="Times New Roman" w:eastAsia="Times New Roman" w:hAnsi="Times New Roman"/>
          <w:sz w:val="18"/>
          <w:szCs w:val="18"/>
          <w:color w:val="1E1E1E"/>
        </w:rPr>
        <w:t>73</w:t>
      </w:r>
    </w:p>
    <w:p>
      <w:pPr>
        <w:spacing w:after="0" w:line="136" w:lineRule="exact"/>
        <w:rPr>
          <w:sz w:val="20"/>
          <w:szCs w:val="20"/>
          <w:color w:val="auto"/>
        </w:rPr>
      </w:pPr>
    </w:p>
    <w:p>
      <w:pPr>
        <w:ind w:left="20"/>
        <w:spacing w:after="0"/>
        <w:tabs>
          <w:tab w:leader="dot" w:pos="10260" w:val="left"/>
        </w:tabs>
        <w:rPr>
          <w:sz w:val="20"/>
          <w:szCs w:val="20"/>
          <w:color w:val="auto"/>
        </w:rPr>
      </w:pPr>
      <w:r>
        <w:rPr>
          <w:rFonts w:ascii="Times New Roman" w:cs="Times New Roman" w:eastAsia="Times New Roman" w:hAnsi="Times New Roman"/>
          <w:sz w:val="19"/>
          <w:szCs w:val="19"/>
          <w:color w:val="1E1E1E"/>
        </w:rPr>
        <w:t>Notes to Consolidated Financial Statements</w:t>
      </w:r>
      <w:r>
        <w:rPr>
          <w:sz w:val="20"/>
          <w:szCs w:val="20"/>
          <w:color w:val="auto"/>
        </w:rPr>
        <w:tab/>
      </w:r>
      <w:r>
        <w:rPr>
          <w:rFonts w:ascii="Times New Roman" w:cs="Times New Roman" w:eastAsia="Times New Roman" w:hAnsi="Times New Roman"/>
          <w:sz w:val="18"/>
          <w:szCs w:val="18"/>
          <w:color w:val="1E1E1E"/>
        </w:rPr>
        <w:t>74</w:t>
      </w:r>
    </w:p>
    <w:p>
      <w:pPr>
        <w:sectPr>
          <w:pgSz w:w="12600" w:h="16200" w:orient="portrait"/>
          <w:cols w:equalWidth="0" w:num="1">
            <w:col w:w="10460"/>
          </w:cols>
          <w:pgMar w:left="1060" w:top="1313" w:right="1080" w:bottom="5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66</w:t>
      </w:r>
    </w:p>
    <w:p>
      <w:pPr>
        <w:sectPr>
          <w:pgSz w:w="12600" w:h="16200" w:orient="portrait"/>
          <w:cols w:equalWidth="0" w:num="1">
            <w:col w:w="10460"/>
          </w:cols>
          <w:pgMar w:left="1060" w:top="1313" w:right="1080" w:bottom="575" w:gutter="0" w:footer="0" w:header="0"/>
          <w:type w:val="continuous"/>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9"/>
          <w:szCs w:val="19"/>
          <w:b w:val="1"/>
          <w:bCs w:val="1"/>
          <w:color w:val="1E1E1E"/>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To the Stockholders and the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Xometry,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Opinion on the Consolidated Financial Statements</w:t>
      </w:r>
    </w:p>
    <w:p>
      <w:pPr>
        <w:spacing w:after="0" w:line="200" w:lineRule="exact"/>
        <w:rPr>
          <w:sz w:val="20"/>
          <w:szCs w:val="20"/>
          <w:color w:val="auto"/>
        </w:rPr>
      </w:pPr>
    </w:p>
    <w:p>
      <w:pPr>
        <w:spacing w:after="0" w:line="257"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1E1E1E"/>
        </w:rPr>
        <w:t>We have audited the accompanying consolidated balance sheets of Xometry, Inc. and subsidiaries (the Company) as of December 31, 2023 and 2022, the related consolidated statements of operations and comprehensive loss, changes in convertible preferred stock and stockholders’ equity (deficit),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w:t>
      </w:r>
    </w:p>
    <w:p>
      <w:pPr>
        <w:spacing w:after="0" w:line="200" w:lineRule="exact"/>
        <w:rPr>
          <w:sz w:val="20"/>
          <w:szCs w:val="20"/>
          <w:color w:val="auto"/>
        </w:rPr>
      </w:pPr>
    </w:p>
    <w:p>
      <w:pPr>
        <w:spacing w:after="0" w:line="22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1E1E1E"/>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9"/>
          <w:szCs w:val="19"/>
          <w:i w:val="1"/>
          <w:iCs w:val="1"/>
          <w:color w:val="1E1E1E"/>
        </w:rPr>
        <w:t>Internal</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Control – Integrated Framework (2013) </w:t>
      </w:r>
      <w:r>
        <w:rPr>
          <w:rFonts w:ascii="Times New Roman" w:cs="Times New Roman" w:eastAsia="Times New Roman" w:hAnsi="Times New Roman"/>
          <w:sz w:val="19"/>
          <w:szCs w:val="19"/>
          <w:color w:val="1E1E1E"/>
        </w:rPr>
        <w:t>issued by the Committee of Sponsoring Organizations of the Treadway Commission, and our</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report dated February 29, 2024 expressed an unqualified opinion on the effectiveness of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Basis for Opinion</w:t>
      </w:r>
    </w:p>
    <w:p>
      <w:pPr>
        <w:spacing w:after="0" w:line="3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1E1E1E"/>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1E1E1E"/>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Critical Audit Matter</w:t>
      </w:r>
    </w:p>
    <w:p>
      <w:pPr>
        <w:spacing w:after="0" w:line="34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1E1E1E"/>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i w:val="1"/>
          <w:iCs w:val="1"/>
          <w:color w:val="1E1E1E"/>
        </w:rPr>
        <w:t>Sufficiency of audit evidence over Marketplace revenue and cost of revenue</w:t>
      </w:r>
    </w:p>
    <w:p>
      <w:pPr>
        <w:spacing w:after="0" w:line="234" w:lineRule="exact"/>
        <w:rPr>
          <w:sz w:val="20"/>
          <w:szCs w:val="20"/>
          <w:color w:val="auto"/>
        </w:rPr>
      </w:pPr>
    </w:p>
    <w:p>
      <w:pPr>
        <w:ind w:left="280" w:right="80"/>
        <w:spacing w:after="0" w:line="278" w:lineRule="auto"/>
        <w:rPr>
          <w:sz w:val="20"/>
          <w:szCs w:val="20"/>
          <w:color w:val="auto"/>
        </w:rPr>
      </w:pPr>
      <w:r>
        <w:rPr>
          <w:rFonts w:ascii="Times New Roman" w:cs="Times New Roman" w:eastAsia="Times New Roman" w:hAnsi="Times New Roman"/>
          <w:sz w:val="19"/>
          <w:szCs w:val="19"/>
          <w:color w:val="1E1E1E"/>
        </w:rPr>
        <w:t>As discussed in Notes 2 and 15 to the consolidated financial statements, the Company generated $394.8 million of Marketplace revenue and recorded $273.3 million of Marketplace cost of revenue for the year ended December 31, 2023. The Company’s recognition of Marketplace revenue and cost of revenue is highly dependent upon the use of information technology (IT) systems.</w:t>
      </w:r>
    </w:p>
    <w:p>
      <w:pPr>
        <w:sectPr>
          <w:pgSz w:w="11880" w:h="15480" w:orient="portrait"/>
          <w:cols w:equalWidth="0" w:num="1">
            <w:col w:w="10460"/>
          </w:cols>
          <w:pgMar w:left="700" w:top="953" w:right="720" w:bottom="215" w:gutter="0" w:footer="0" w:header="0"/>
        </w:sectPr>
      </w:pP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67</w:t>
      </w:r>
    </w:p>
    <w:p>
      <w:pPr>
        <w:sectPr>
          <w:pgSz w:w="11880" w:h="15480" w:orient="portrait"/>
          <w:cols w:equalWidth="0" w:num="1">
            <w:col w:w="10460"/>
          </w:cols>
          <w:pgMar w:left="700" w:top="953" w:right="720" w:bottom="215" w:gutter="0" w:footer="0" w:header="0"/>
          <w:type w:val="continuous"/>
        </w:sectPr>
      </w:pPr>
    </w:p>
    <w:bookmarkStart w:id="73" w:name="page74"/>
    <w:bookmarkEnd w:id="73"/>
    <w:p>
      <w:pPr>
        <w:jc w:val="both"/>
        <w:ind w:left="280" w:right="200"/>
        <w:spacing w:after="0" w:line="270" w:lineRule="auto"/>
        <w:rPr>
          <w:sz w:val="20"/>
          <w:szCs w:val="20"/>
          <w:color w:val="auto"/>
        </w:rPr>
      </w:pPr>
      <w:r>
        <w:rPr>
          <w:rFonts w:ascii="Times New Roman" w:cs="Times New Roman" w:eastAsia="Times New Roman" w:hAnsi="Times New Roman"/>
          <w:sz w:val="19"/>
          <w:szCs w:val="19"/>
          <w:color w:val="1E1E1E"/>
        </w:rPr>
        <w:t>We identified the evaluation of the sufficiency of audit evidence related to Marketplace revenue and cost of revenue as a critical audit matter. A high degree of auditor judgment was required in evaluating the sufficiency of audit evidence over Marketplace revenue and cost of revenue due to the highly automated nature of certain processes and multiple IT systems. The complexity of the IT systems required the involvement of IT professionals with specialized skills and knowledge.</w:t>
      </w:r>
    </w:p>
    <w:p>
      <w:pPr>
        <w:spacing w:after="0" w:line="200" w:lineRule="exact"/>
        <w:rPr>
          <w:sz w:val="20"/>
          <w:szCs w:val="20"/>
          <w:color w:val="auto"/>
        </w:rPr>
      </w:pPr>
    </w:p>
    <w:p>
      <w:pPr>
        <w:spacing w:after="0" w:line="214" w:lineRule="exact"/>
        <w:rPr>
          <w:sz w:val="20"/>
          <w:szCs w:val="20"/>
          <w:color w:val="auto"/>
        </w:rPr>
      </w:pPr>
    </w:p>
    <w:p>
      <w:pPr>
        <w:ind w:left="280"/>
        <w:spacing w:after="0" w:line="263" w:lineRule="auto"/>
        <w:rPr>
          <w:sz w:val="20"/>
          <w:szCs w:val="20"/>
          <w:color w:val="auto"/>
        </w:rPr>
      </w:pPr>
      <w:r>
        <w:rPr>
          <w:rFonts w:ascii="Times New Roman" w:cs="Times New Roman" w:eastAsia="Times New Roman" w:hAnsi="Times New Roman"/>
          <w:sz w:val="19"/>
          <w:szCs w:val="19"/>
          <w:color w:val="1E1E1E"/>
        </w:rPr>
        <w:t>The following are the primary procedures we performed to address this critical audit matter. We applied auditor judgment to determine the nature and extent of procedures to be performed over Marketplace revenue and cost of revenue. We evaluated the design and tested the operating effectiveness of certain internal controls related to Marketplace revenue and cost of revenue processes, including involving IT professionals with specialized skills and knowledge, who assisted in testing certain general IT, manual, and automated internal controls. For a sample of transactions, we compared the revenue and cost of revenue recognized to underlying documentation. We evaluated the sufficiency of audit evidence obtained by assessing the results of procedures performed, including the appropriateness of the nature and extent of such evidence.</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/s/ KPMG LLP</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We have served as the Company’s auditor since 2015.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McLean, Virginia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February 29, 2024</w:t>
      </w:r>
    </w:p>
    <w:p>
      <w:pPr>
        <w:sectPr>
          <w:pgSz w:w="11880" w:h="15480" w:orient="portrait"/>
          <w:cols w:equalWidth="0" w:num="1">
            <w:col w:w="10440"/>
          </w:cols>
          <w:pgMar w:left="700" w:top="1432" w:right="74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1E1E1E"/>
        </w:rPr>
        <w:t>68</w:t>
      </w:r>
    </w:p>
    <w:p>
      <w:pPr>
        <w:sectPr>
          <w:pgSz w:w="11880" w:h="15480" w:orient="portrait"/>
          <w:cols w:equalWidth="0" w:num="1">
            <w:col w:w="10440"/>
          </w:cols>
          <w:pgMar w:left="700" w:top="1432" w:right="740" w:bottom="215"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9"/>
          <w:szCs w:val="19"/>
          <w:b w:val="1"/>
          <w:bCs w:val="1"/>
          <w:color w:val="1E1E1E"/>
        </w:rPr>
        <w:t>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To the Stockholders and the Board of Directors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Xometry,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Opinion on Internal Control Over Financial Reporting</w:t>
      </w:r>
    </w:p>
    <w:p>
      <w:pPr>
        <w:spacing w:after="0" w:line="234"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9"/>
          <w:szCs w:val="19"/>
          <w:color w:val="1E1E1E"/>
        </w:rPr>
        <w:t xml:space="preserve">We have audited Xometry, Inc. and subsidiaries' (the Company) internal control over financial reporting as of December 31, 2023, based on criteria established in </w:t>
      </w:r>
      <w:r>
        <w:rPr>
          <w:rFonts w:ascii="Times New Roman" w:cs="Times New Roman" w:eastAsia="Times New Roman" w:hAnsi="Times New Roman"/>
          <w:sz w:val="19"/>
          <w:szCs w:val="19"/>
          <w:i w:val="1"/>
          <w:iCs w:val="1"/>
          <w:color w:val="1E1E1E"/>
        </w:rPr>
        <w:t>Internal Control – Integrated Framework (2013)</w:t>
      </w:r>
      <w:r>
        <w:rPr>
          <w:rFonts w:ascii="Times New Roman" w:cs="Times New Roman" w:eastAsia="Times New Roman" w:hAnsi="Times New Roman"/>
          <w:sz w:val="19"/>
          <w:szCs w:val="19"/>
          <w:color w:val="1E1E1E"/>
        </w:rPr>
        <w:t xml:space="preserve"> issued by the Committee of Sponsoring Organizations of the Treadway Commission.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9"/>
          <w:szCs w:val="19"/>
          <w:i w:val="1"/>
          <w:iCs w:val="1"/>
          <w:color w:val="1E1E1E"/>
        </w:rPr>
        <w:t>Internal Control – Integrated Framework</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(2013) </w:t>
      </w:r>
      <w:r>
        <w:rPr>
          <w:rFonts w:ascii="Times New Roman" w:cs="Times New Roman" w:eastAsia="Times New Roman" w:hAnsi="Times New Roman"/>
          <w:sz w:val="19"/>
          <w:szCs w:val="19"/>
          <w:color w:val="1E1E1E"/>
        </w:rPr>
        <w:t>issued by the Committee of Sponsoring Organizations of the Treadway Commission.</w:t>
      </w:r>
    </w:p>
    <w:p>
      <w:pPr>
        <w:spacing w:after="0" w:line="18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1E1E1E"/>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changes in convertible preferred stock and stockholders’ equity (deficit), and cash flows for each of the years in the three-year period ended December 31, 2023, and the related notes (collectively, the consolidated financial statements), and our report dated February 29, 2024 expressed an unqualified opinion on those consolidated financial statements.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Basis for Opinion</w:t>
      </w:r>
    </w:p>
    <w:p>
      <w:pPr>
        <w:spacing w:after="0" w:line="23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1E1E1E"/>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Definition and Limitations of Internal Control Over Financial Reporting</w:t>
      </w:r>
    </w:p>
    <w:p>
      <w:pPr>
        <w:spacing w:after="0" w:line="2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3" w:lineRule="exact"/>
        <w:rPr>
          <w:sz w:val="20"/>
          <w:szCs w:val="20"/>
          <w:color w:val="auto"/>
        </w:rPr>
      </w:pPr>
    </w:p>
    <w:p>
      <w:pPr>
        <w:jc w:val="both"/>
        <w:ind w:right="60"/>
        <w:spacing w:after="0" w:line="278" w:lineRule="auto"/>
        <w:rPr>
          <w:sz w:val="20"/>
          <w:szCs w:val="20"/>
          <w:color w:val="auto"/>
        </w:rPr>
      </w:pPr>
      <w:r>
        <w:rPr>
          <w:rFonts w:ascii="Times New Roman" w:cs="Times New Roman" w:eastAsia="Times New Roman" w:hAnsi="Times New Roman"/>
          <w:sz w:val="19"/>
          <w:szCs w:val="19"/>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/s/ KPMG LLP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McLean, Virginia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February 29, 2024</w:t>
      </w:r>
    </w:p>
    <w:p>
      <w:pPr>
        <w:sectPr>
          <w:pgSz w:w="11880" w:h="15480" w:orient="portrait"/>
          <w:cols w:equalWidth="0" w:num="1">
            <w:col w:w="10480"/>
          </w:cols>
          <w:pgMar w:left="700" w:top="953" w:right="700" w:bottom="215"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69</w:t>
      </w:r>
    </w:p>
    <w:p>
      <w:pPr>
        <w:sectPr>
          <w:pgSz w:w="11880" w:h="15480" w:orient="portrait"/>
          <w:cols w:equalWidth="0" w:num="1">
            <w:col w:w="10480"/>
          </w:cols>
          <w:pgMar w:left="700" w:top="953" w:right="700" w:bottom="215"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(In thousands,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w w:val="96"/>
              </w:rPr>
              <w:t>December 31,</w:t>
            </w:r>
          </w:p>
        </w:tc>
      </w:tr>
      <w:tr>
        <w:trPr>
          <w:trHeight w:val="168"/>
        </w:trPr>
        <w:tc>
          <w:tcPr>
            <w:tcW w:w="7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1E1E1E"/>
              <w:bottom w:val="single" w:sz="8" w:color="1E1E1E"/>
            </w:tcBorders>
          </w:tcPr>
          <w:p>
            <w:pPr>
              <w:spacing w:after="0"/>
              <w:rPr>
                <w:sz w:val="14"/>
                <w:szCs w:val="14"/>
                <w:color w:val="auto"/>
              </w:rPr>
            </w:pPr>
          </w:p>
        </w:tc>
        <w:tc>
          <w:tcPr>
            <w:tcW w:w="940" w:type="dxa"/>
            <w:vAlign w:val="bottom"/>
            <w:tcBorders>
              <w:top w:val="single" w:sz="8" w:color="1E1E1E"/>
              <w:bottom w:val="single" w:sz="8" w:color="1E1E1E"/>
            </w:tcBorders>
          </w:tcPr>
          <w:p>
            <w:pPr>
              <w:jc w:val="right"/>
              <w:ind w:right="282"/>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100" w:type="dxa"/>
            <w:vAlign w:val="bottom"/>
            <w:tcBorders>
              <w:top w:val="single" w:sz="8" w:color="1E1E1E"/>
              <w:bottom w:val="single" w:sz="8" w:color="1E1E1E"/>
            </w:tcBorders>
          </w:tcPr>
          <w:p>
            <w:pPr>
              <w:spacing w:after="0"/>
              <w:rPr>
                <w:sz w:val="14"/>
                <w:szCs w:val="14"/>
                <w:color w:val="auto"/>
              </w:rPr>
            </w:pPr>
          </w:p>
        </w:tc>
        <w:tc>
          <w:tcPr>
            <w:tcW w:w="1040" w:type="dxa"/>
            <w:vAlign w:val="bottom"/>
            <w:tcBorders>
              <w:top w:val="single" w:sz="8" w:color="1E1E1E"/>
              <w:bottom w:val="single" w:sz="8" w:color="1E1E1E"/>
            </w:tcBorders>
          </w:tcPr>
          <w:p>
            <w:pPr>
              <w:jc w:val="right"/>
              <w:ind w:right="342"/>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14"/>
                <w:szCs w:val="14"/>
                <w:color w:val="auto"/>
              </w:rPr>
            </w:pPr>
          </w:p>
        </w:tc>
      </w:tr>
      <w:tr>
        <w:trPr>
          <w:trHeight w:val="146"/>
        </w:trPr>
        <w:tc>
          <w:tcPr>
            <w:tcW w:w="7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8"/>
        </w:trPr>
        <w:tc>
          <w:tcPr>
            <w:tcW w:w="7820" w:type="dxa"/>
            <w:vAlign w:val="bottom"/>
            <w:shd w:val="clear" w:color="auto" w:fill="E4E4E4"/>
          </w:tcPr>
          <w:p>
            <w:pPr>
              <w:spacing w:after="0" w:line="178" w:lineRule="exact"/>
              <w:rPr>
                <w:sz w:val="20"/>
                <w:szCs w:val="20"/>
                <w:color w:val="auto"/>
              </w:rPr>
            </w:pPr>
            <w:r>
              <w:rPr>
                <w:rFonts w:ascii="Times New Roman" w:cs="Times New Roman" w:eastAsia="Times New Roman" w:hAnsi="Times New Roman"/>
                <w:sz w:val="16"/>
                <w:szCs w:val="16"/>
                <w:b w:val="1"/>
                <w:bCs w:val="1"/>
                <w:color w:val="1E1E1E"/>
              </w:rPr>
              <w:t>Assets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1E1E1E"/>
              </w:rPr>
              <w:t>Current assets: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Cash and cash equivalents</w:t>
            </w:r>
          </w:p>
        </w:tc>
        <w:tc>
          <w:tcPr>
            <w:tcW w:w="260" w:type="dxa"/>
            <w:vAlign w:val="bottom"/>
            <w:gridSpan w:val="2"/>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53,424</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65,662</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Marketable securities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215,352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253,770</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w w:val="98"/>
              </w:rPr>
              <w:t>Accounts receivable, less allowance for credit losses of $2.4 million and $2.0 million as of December 31, 2023 and 2022</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70,102</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49,277</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Inventory</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2,885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1,571</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Prepaid expenses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5,571</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7,591</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Borders>
              <w:bottom w:val="single" w:sz="8" w:color="E4E4E4"/>
            </w:tcBorders>
          </w:tcPr>
          <w:p>
            <w:pPr>
              <w:ind w:left="200"/>
              <w:spacing w:after="0" w:line="178" w:lineRule="exact"/>
              <w:rPr>
                <w:sz w:val="20"/>
                <w:szCs w:val="20"/>
                <w:color w:val="auto"/>
              </w:rPr>
            </w:pPr>
            <w:r>
              <w:rPr>
                <w:rFonts w:ascii="Times New Roman" w:cs="Times New Roman" w:eastAsia="Times New Roman" w:hAnsi="Times New Roman"/>
                <w:sz w:val="16"/>
                <w:szCs w:val="16"/>
                <w:color w:val="1E1E1E"/>
              </w:rPr>
              <w:t>Other current assets</w:t>
            </w:r>
          </w:p>
        </w:tc>
        <w:tc>
          <w:tcPr>
            <w:tcW w:w="16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40" w:type="dxa"/>
            <w:vAlign w:val="bottom"/>
            <w:tcBorders>
              <w:bottom w:val="single" w:sz="8" w:color="1E1E1E"/>
            </w:tcBorders>
          </w:tcPr>
          <w:p>
            <w:pPr>
              <w:jc w:val="right"/>
              <w:spacing w:after="0" w:line="178" w:lineRule="exact"/>
              <w:rPr>
                <w:sz w:val="20"/>
                <w:szCs w:val="20"/>
                <w:color w:val="auto"/>
              </w:rPr>
            </w:pPr>
            <w:r>
              <w:rPr>
                <w:rFonts w:ascii="Times New Roman" w:cs="Times New Roman" w:eastAsia="Times New Roman" w:hAnsi="Times New Roman"/>
                <w:sz w:val="16"/>
                <w:szCs w:val="16"/>
                <w:color w:val="1E1E1E"/>
              </w:rPr>
              <w:t>8,897</w:t>
            </w:r>
          </w:p>
        </w:tc>
        <w:tc>
          <w:tcPr>
            <w:tcW w:w="1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040" w:type="dxa"/>
            <w:vAlign w:val="bottom"/>
            <w:tcBorders>
              <w:bottom w:val="single" w:sz="8" w:color="1E1E1E"/>
            </w:tcBorders>
          </w:tcPr>
          <w:p>
            <w:pPr>
              <w:jc w:val="right"/>
              <w:spacing w:after="0" w:line="178" w:lineRule="exact"/>
              <w:rPr>
                <w:sz w:val="20"/>
                <w:szCs w:val="20"/>
                <w:color w:val="auto"/>
              </w:rPr>
            </w:pPr>
            <w:r>
              <w:rPr>
                <w:rFonts w:ascii="Times New Roman" w:cs="Times New Roman" w:eastAsia="Times New Roman" w:hAnsi="Times New Roman"/>
                <w:sz w:val="16"/>
                <w:szCs w:val="16"/>
                <w:color w:val="1E1E1E"/>
              </w:rPr>
              <w:t>9,373</w:t>
            </w:r>
          </w:p>
        </w:tc>
        <w:tc>
          <w:tcPr>
            <w:tcW w:w="100" w:type="dxa"/>
            <w:vAlign w:val="bottom"/>
            <w:tcBorders>
              <w:bottom w:val="single" w:sz="8" w:color="E4E4E4"/>
            </w:tcBorders>
          </w:tcPr>
          <w:p>
            <w:pPr>
              <w:spacing w:after="0"/>
              <w:rPr>
                <w:sz w:val="15"/>
                <w:szCs w:val="15"/>
                <w:color w:val="auto"/>
              </w:rPr>
            </w:pPr>
          </w:p>
        </w:tc>
      </w:tr>
      <w:tr>
        <w:trPr>
          <w:trHeight w:val="168"/>
        </w:trPr>
        <w:tc>
          <w:tcPr>
            <w:tcW w:w="7820" w:type="dxa"/>
            <w:vAlign w:val="bottom"/>
            <w:shd w:val="clear" w:color="auto" w:fill="E4E4E4"/>
          </w:tcPr>
          <w:p>
            <w:pPr>
              <w:ind w:left="380"/>
              <w:spacing w:after="0" w:line="168" w:lineRule="exact"/>
              <w:rPr>
                <w:sz w:val="20"/>
                <w:szCs w:val="20"/>
                <w:color w:val="auto"/>
              </w:rPr>
            </w:pPr>
            <w:r>
              <w:rPr>
                <w:rFonts w:ascii="Times New Roman" w:cs="Times New Roman" w:eastAsia="Times New Roman" w:hAnsi="Times New Roman"/>
                <w:sz w:val="16"/>
                <w:szCs w:val="16"/>
                <w:b w:val="1"/>
                <w:bCs w:val="1"/>
                <w:color w:val="1E1E1E"/>
              </w:rPr>
              <w:t>Total current assets</w:t>
            </w:r>
          </w:p>
        </w:tc>
        <w:tc>
          <w:tcPr>
            <w:tcW w:w="1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940" w:type="dxa"/>
            <w:vAlign w:val="bottom"/>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356,231</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40" w:type="dxa"/>
            <w:vAlign w:val="bottom"/>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387,244</w:t>
            </w:r>
          </w:p>
        </w:tc>
        <w:tc>
          <w:tcPr>
            <w:tcW w:w="100" w:type="dxa"/>
            <w:vAlign w:val="bottom"/>
            <w:shd w:val="clear" w:color="auto" w:fill="E4E4E4"/>
          </w:tcPr>
          <w:p>
            <w:pPr>
              <w:spacing w:after="0"/>
              <w:rPr>
                <w:sz w:val="14"/>
                <w:szCs w:val="14"/>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Property and equipment, net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35,637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19,079</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Operating lease right-of-use assets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12,251</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25,923</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Investment in unconsolidated joint venture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4,114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4,068</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Intangible assets, net</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35,768</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39,351</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Goodwill</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262,915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258,036</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Other assets</w:t>
            </w:r>
          </w:p>
        </w:tc>
        <w:tc>
          <w:tcPr>
            <w:tcW w:w="16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9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471</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10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413</w:t>
            </w:r>
          </w:p>
        </w:tc>
        <w:tc>
          <w:tcPr>
            <w:tcW w:w="100" w:type="dxa"/>
            <w:vAlign w:val="bottom"/>
            <w:shd w:val="clear" w:color="auto" w:fill="E4E4E4"/>
          </w:tcPr>
          <w:p>
            <w:pPr>
              <w:spacing w:after="0"/>
              <w:rPr>
                <w:sz w:val="15"/>
                <w:szCs w:val="15"/>
                <w:color w:val="auto"/>
              </w:rPr>
            </w:pPr>
          </w:p>
        </w:tc>
      </w:tr>
      <w:tr>
        <w:trPr>
          <w:trHeight w:val="208"/>
        </w:trPr>
        <w:tc>
          <w:tcPr>
            <w:tcW w:w="7820" w:type="dxa"/>
            <w:vAlign w:val="bottom"/>
            <w:tcBorders>
              <w:bottom w:val="single" w:sz="8" w:color="E4E4E4"/>
            </w:tcBorders>
          </w:tcPr>
          <w:p>
            <w:pPr>
              <w:ind w:left="380"/>
              <w:spacing w:after="0" w:line="168" w:lineRule="exact"/>
              <w:rPr>
                <w:sz w:val="20"/>
                <w:szCs w:val="20"/>
                <w:color w:val="auto"/>
              </w:rPr>
            </w:pPr>
            <w:r>
              <w:rPr>
                <w:rFonts w:ascii="Times New Roman" w:cs="Times New Roman" w:eastAsia="Times New Roman" w:hAnsi="Times New Roman"/>
                <w:sz w:val="16"/>
                <w:szCs w:val="16"/>
                <w:b w:val="1"/>
                <w:bCs w:val="1"/>
                <w:color w:val="1E1E1E"/>
              </w:rPr>
              <w:t>Total assets</w:t>
            </w:r>
          </w:p>
        </w:tc>
        <w:tc>
          <w:tcPr>
            <w:tcW w:w="160" w:type="dxa"/>
            <w:vAlign w:val="bottom"/>
            <w:tcBorders>
              <w:bottom w:val="single" w:sz="8" w:color="E4E4E4"/>
            </w:tcBorders>
          </w:tcPr>
          <w:p>
            <w:pPr>
              <w:spacing w:after="0"/>
              <w:rPr>
                <w:sz w:val="18"/>
                <w:szCs w:val="18"/>
                <w:color w:val="auto"/>
              </w:rPr>
            </w:pPr>
          </w:p>
        </w:tc>
        <w:tc>
          <w:tcPr>
            <w:tcW w:w="10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w w:val="74"/>
              </w:rPr>
              <w:t>$</w:t>
            </w:r>
          </w:p>
        </w:tc>
        <w:tc>
          <w:tcPr>
            <w:tcW w:w="94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707,387</w:t>
            </w:r>
          </w:p>
        </w:tc>
        <w:tc>
          <w:tcPr>
            <w:tcW w:w="100" w:type="dxa"/>
            <w:vAlign w:val="bottom"/>
            <w:tcBorders>
              <w:bottom w:val="single" w:sz="8" w:color="E4E4E4"/>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10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734,114</w:t>
            </w:r>
          </w:p>
        </w:tc>
        <w:tc>
          <w:tcPr>
            <w:tcW w:w="100" w:type="dxa"/>
            <w:vAlign w:val="bottom"/>
            <w:tcBorders>
              <w:bottom w:val="single" w:sz="8" w:color="E4E4E4"/>
            </w:tcBorders>
          </w:tcPr>
          <w:p>
            <w:pPr>
              <w:spacing w:after="0"/>
              <w:rPr>
                <w:sz w:val="18"/>
                <w:szCs w:val="18"/>
                <w:color w:val="auto"/>
              </w:rPr>
            </w:pPr>
          </w:p>
        </w:tc>
      </w:tr>
      <w:tr>
        <w:trPr>
          <w:trHeight w:val="162"/>
        </w:trPr>
        <w:tc>
          <w:tcPr>
            <w:tcW w:w="7820" w:type="dxa"/>
            <w:vAlign w:val="bottom"/>
            <w:shd w:val="clear" w:color="auto" w:fill="E4E4E4"/>
          </w:tcPr>
          <w:p>
            <w:pPr>
              <w:spacing w:after="0" w:line="162" w:lineRule="exact"/>
              <w:rPr>
                <w:sz w:val="20"/>
                <w:szCs w:val="20"/>
                <w:color w:val="auto"/>
              </w:rPr>
            </w:pPr>
            <w:r>
              <w:rPr>
                <w:rFonts w:ascii="Times New Roman" w:cs="Times New Roman" w:eastAsia="Times New Roman" w:hAnsi="Times New Roman"/>
                <w:sz w:val="16"/>
                <w:szCs w:val="16"/>
                <w:b w:val="1"/>
                <w:bCs w:val="1"/>
                <w:color w:val="1E1E1E"/>
              </w:rPr>
              <w:t>Liabilities and stockholders’ equity</w:t>
            </w:r>
          </w:p>
        </w:tc>
        <w:tc>
          <w:tcPr>
            <w:tcW w:w="1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94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4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r>
      <w:tr>
        <w:trPr>
          <w:trHeight w:val="178"/>
        </w:trPr>
        <w:tc>
          <w:tcPr>
            <w:tcW w:w="7820" w:type="dxa"/>
            <w:vAlign w:val="bottom"/>
          </w:tcPr>
          <w:p>
            <w:pPr>
              <w:spacing w:after="0" w:line="178" w:lineRule="exact"/>
              <w:rPr>
                <w:sz w:val="20"/>
                <w:szCs w:val="20"/>
                <w:color w:val="auto"/>
              </w:rPr>
            </w:pPr>
            <w:r>
              <w:rPr>
                <w:rFonts w:ascii="Times New Roman" w:cs="Times New Roman" w:eastAsia="Times New Roman" w:hAnsi="Times New Roman"/>
                <w:sz w:val="16"/>
                <w:szCs w:val="16"/>
                <w:b w:val="1"/>
                <w:bCs w:val="1"/>
                <w:color w:val="1E1E1E"/>
              </w:rPr>
              <w:t>Current liabilities: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Accounts payable</w:t>
            </w:r>
          </w:p>
        </w:tc>
        <w:tc>
          <w:tcPr>
            <w:tcW w:w="260" w:type="dxa"/>
            <w:vAlign w:val="bottom"/>
            <w:gridSpan w:val="2"/>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w:t>
            </w: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24,710</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12,437</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Accrued expenses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41,845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33,433</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Contract liabilities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7,357</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8,729</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Income taxes payable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2,484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3,956</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Operating lease liabilities, current portion</w:t>
            </w:r>
          </w:p>
        </w:tc>
        <w:tc>
          <w:tcPr>
            <w:tcW w:w="16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9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6,799</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10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5,471</w:t>
            </w:r>
          </w:p>
        </w:tc>
        <w:tc>
          <w:tcPr>
            <w:tcW w:w="100" w:type="dxa"/>
            <w:vAlign w:val="bottom"/>
            <w:shd w:val="clear" w:color="auto" w:fill="E4E4E4"/>
          </w:tcPr>
          <w:p>
            <w:pPr>
              <w:spacing w:after="0"/>
              <w:rPr>
                <w:sz w:val="15"/>
                <w:szCs w:val="15"/>
                <w:color w:val="auto"/>
              </w:rPr>
            </w:pPr>
          </w:p>
        </w:tc>
      </w:tr>
      <w:tr>
        <w:trPr>
          <w:trHeight w:val="168"/>
        </w:trPr>
        <w:tc>
          <w:tcPr>
            <w:tcW w:w="7820" w:type="dxa"/>
            <w:vAlign w:val="bottom"/>
          </w:tcPr>
          <w:p>
            <w:pPr>
              <w:ind w:left="380"/>
              <w:spacing w:after="0" w:line="168" w:lineRule="exact"/>
              <w:rPr>
                <w:sz w:val="20"/>
                <w:szCs w:val="20"/>
                <w:color w:val="auto"/>
              </w:rPr>
            </w:pPr>
            <w:r>
              <w:rPr>
                <w:rFonts w:ascii="Times New Roman" w:cs="Times New Roman" w:eastAsia="Times New Roman" w:hAnsi="Times New Roman"/>
                <w:sz w:val="16"/>
                <w:szCs w:val="16"/>
                <w:b w:val="1"/>
                <w:bCs w:val="1"/>
                <w:color w:val="1E1E1E"/>
              </w:rPr>
              <w:t>Total current liabilities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1E1E1E"/>
              </w:rPr>
              <w:t>83,195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1E1E1E"/>
              </w:rPr>
              <w:t>64,026</w:t>
            </w:r>
          </w:p>
        </w:tc>
        <w:tc>
          <w:tcPr>
            <w:tcW w:w="100" w:type="dxa"/>
            <w:vAlign w:val="bottom"/>
          </w:tcPr>
          <w:p>
            <w:pPr>
              <w:spacing w:after="0"/>
              <w:rPr>
                <w:sz w:val="14"/>
                <w:szCs w:val="14"/>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Convertible notes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281,769</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279,909</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Operating lease liabilities, net of current portion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10,951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16,940</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Deferred income taxes</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275</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429</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Borders>
              <w:bottom w:val="single" w:sz="8" w:color="E4E4E4"/>
            </w:tcBorders>
          </w:tcPr>
          <w:p>
            <w:pPr>
              <w:ind w:left="200"/>
              <w:spacing w:after="0" w:line="178" w:lineRule="exact"/>
              <w:rPr>
                <w:sz w:val="20"/>
                <w:szCs w:val="20"/>
                <w:color w:val="auto"/>
              </w:rPr>
            </w:pPr>
            <w:r>
              <w:rPr>
                <w:rFonts w:ascii="Times New Roman" w:cs="Times New Roman" w:eastAsia="Times New Roman" w:hAnsi="Times New Roman"/>
                <w:sz w:val="16"/>
                <w:szCs w:val="16"/>
                <w:color w:val="1E1E1E"/>
              </w:rPr>
              <w:t>Other liabilities</w:t>
            </w:r>
          </w:p>
        </w:tc>
        <w:tc>
          <w:tcPr>
            <w:tcW w:w="16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940" w:type="dxa"/>
            <w:vAlign w:val="bottom"/>
            <w:tcBorders>
              <w:bottom w:val="single" w:sz="8" w:color="1E1E1E"/>
            </w:tcBorders>
          </w:tcPr>
          <w:p>
            <w:pPr>
              <w:jc w:val="right"/>
              <w:spacing w:after="0" w:line="178" w:lineRule="exact"/>
              <w:rPr>
                <w:sz w:val="20"/>
                <w:szCs w:val="20"/>
                <w:color w:val="auto"/>
              </w:rPr>
            </w:pPr>
            <w:r>
              <w:rPr>
                <w:rFonts w:ascii="Times New Roman" w:cs="Times New Roman" w:eastAsia="Times New Roman" w:hAnsi="Times New Roman"/>
                <w:sz w:val="16"/>
                <w:szCs w:val="16"/>
                <w:color w:val="1E1E1E"/>
              </w:rPr>
              <w:t>778</w:t>
            </w:r>
          </w:p>
        </w:tc>
        <w:tc>
          <w:tcPr>
            <w:tcW w:w="100" w:type="dxa"/>
            <w:vAlign w:val="bottom"/>
            <w:tcBorders>
              <w:bottom w:val="single" w:sz="8" w:color="E4E4E4"/>
            </w:tcBorders>
          </w:tcPr>
          <w:p>
            <w:pPr>
              <w:spacing w:after="0"/>
              <w:rPr>
                <w:sz w:val="15"/>
                <w:szCs w:val="15"/>
                <w:color w:val="auto"/>
              </w:rPr>
            </w:pPr>
          </w:p>
        </w:tc>
        <w:tc>
          <w:tcPr>
            <w:tcW w:w="12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1040" w:type="dxa"/>
            <w:vAlign w:val="bottom"/>
            <w:tcBorders>
              <w:bottom w:val="single" w:sz="8" w:color="1E1E1E"/>
            </w:tcBorders>
          </w:tcPr>
          <w:p>
            <w:pPr>
              <w:jc w:val="right"/>
              <w:spacing w:after="0" w:line="178" w:lineRule="exact"/>
              <w:rPr>
                <w:sz w:val="20"/>
                <w:szCs w:val="20"/>
                <w:color w:val="auto"/>
              </w:rPr>
            </w:pPr>
            <w:r>
              <w:rPr>
                <w:rFonts w:ascii="Times New Roman" w:cs="Times New Roman" w:eastAsia="Times New Roman" w:hAnsi="Times New Roman"/>
                <w:sz w:val="16"/>
                <w:szCs w:val="16"/>
                <w:color w:val="1E1E1E"/>
              </w:rPr>
              <w:t>1,011</w:t>
            </w:r>
          </w:p>
        </w:tc>
        <w:tc>
          <w:tcPr>
            <w:tcW w:w="100" w:type="dxa"/>
            <w:vAlign w:val="bottom"/>
            <w:tcBorders>
              <w:bottom w:val="single" w:sz="8" w:color="E4E4E4"/>
            </w:tcBorders>
          </w:tcPr>
          <w:p>
            <w:pPr>
              <w:spacing w:after="0"/>
              <w:rPr>
                <w:sz w:val="15"/>
                <w:szCs w:val="15"/>
                <w:color w:val="auto"/>
              </w:rPr>
            </w:pPr>
          </w:p>
        </w:tc>
      </w:tr>
      <w:tr>
        <w:trPr>
          <w:trHeight w:val="168"/>
        </w:trPr>
        <w:tc>
          <w:tcPr>
            <w:tcW w:w="7820" w:type="dxa"/>
            <w:vAlign w:val="bottom"/>
            <w:shd w:val="clear" w:color="auto" w:fill="E4E4E4"/>
          </w:tcPr>
          <w:p>
            <w:pPr>
              <w:ind w:left="380"/>
              <w:spacing w:after="0" w:line="168" w:lineRule="exact"/>
              <w:rPr>
                <w:sz w:val="20"/>
                <w:szCs w:val="20"/>
                <w:color w:val="auto"/>
              </w:rPr>
            </w:pPr>
            <w:r>
              <w:rPr>
                <w:rFonts w:ascii="Times New Roman" w:cs="Times New Roman" w:eastAsia="Times New Roman" w:hAnsi="Times New Roman"/>
                <w:sz w:val="16"/>
                <w:szCs w:val="16"/>
                <w:b w:val="1"/>
                <w:bCs w:val="1"/>
                <w:color w:val="1E1E1E"/>
              </w:rPr>
              <w:t>Total liabilities</w:t>
            </w:r>
          </w:p>
        </w:tc>
        <w:tc>
          <w:tcPr>
            <w:tcW w:w="160" w:type="dxa"/>
            <w:vAlign w:val="bottom"/>
            <w:shd w:val="clear" w:color="auto" w:fill="E4E4E4"/>
          </w:tcPr>
          <w:p>
            <w:pPr>
              <w:spacing w:after="0"/>
              <w:rPr>
                <w:sz w:val="14"/>
                <w:szCs w:val="14"/>
                <w:color w:val="auto"/>
              </w:rPr>
            </w:pPr>
          </w:p>
        </w:tc>
        <w:tc>
          <w:tcPr>
            <w:tcW w:w="100" w:type="dxa"/>
            <w:vAlign w:val="bottom"/>
            <w:tcBorders>
              <w:bottom w:val="single" w:sz="8" w:color="1E1E1E"/>
            </w:tcBorders>
            <w:shd w:val="clear" w:color="auto" w:fill="E4E4E4"/>
          </w:tcPr>
          <w:p>
            <w:pPr>
              <w:spacing w:after="0"/>
              <w:rPr>
                <w:sz w:val="14"/>
                <w:szCs w:val="14"/>
                <w:color w:val="auto"/>
              </w:rPr>
            </w:pPr>
          </w:p>
        </w:tc>
        <w:tc>
          <w:tcPr>
            <w:tcW w:w="94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376,968</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00" w:type="dxa"/>
            <w:vAlign w:val="bottom"/>
            <w:tcBorders>
              <w:bottom w:val="single" w:sz="8" w:color="1E1E1E"/>
            </w:tcBorders>
            <w:shd w:val="clear" w:color="auto" w:fill="E4E4E4"/>
          </w:tcPr>
          <w:p>
            <w:pPr>
              <w:spacing w:after="0"/>
              <w:rPr>
                <w:sz w:val="14"/>
                <w:szCs w:val="14"/>
                <w:color w:val="auto"/>
              </w:rPr>
            </w:pPr>
          </w:p>
        </w:tc>
        <w:tc>
          <w:tcPr>
            <w:tcW w:w="104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362,315</w:t>
            </w:r>
          </w:p>
        </w:tc>
        <w:tc>
          <w:tcPr>
            <w:tcW w:w="100" w:type="dxa"/>
            <w:vAlign w:val="bottom"/>
            <w:shd w:val="clear" w:color="auto" w:fill="E4E4E4"/>
          </w:tcPr>
          <w:p>
            <w:pPr>
              <w:spacing w:after="0"/>
              <w:rPr>
                <w:sz w:val="14"/>
                <w:szCs w:val="14"/>
                <w:color w:val="auto"/>
              </w:rPr>
            </w:pPr>
          </w:p>
        </w:tc>
      </w:tr>
      <w:tr>
        <w:trPr>
          <w:trHeight w:val="168"/>
        </w:trPr>
        <w:tc>
          <w:tcPr>
            <w:tcW w:w="78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1E1E1E"/>
              </w:rPr>
              <w:t>Commitments and contingencies (Note 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7820" w:type="dxa"/>
            <w:vAlign w:val="bottom"/>
            <w:shd w:val="clear" w:color="auto" w:fill="E4E4E4"/>
          </w:tcPr>
          <w:p>
            <w:pPr>
              <w:spacing w:after="0" w:line="178" w:lineRule="exact"/>
              <w:rPr>
                <w:sz w:val="20"/>
                <w:szCs w:val="20"/>
                <w:color w:val="auto"/>
              </w:rPr>
            </w:pPr>
            <w:r>
              <w:rPr>
                <w:rFonts w:ascii="Times New Roman" w:cs="Times New Roman" w:eastAsia="Times New Roman" w:hAnsi="Times New Roman"/>
                <w:sz w:val="16"/>
                <w:szCs w:val="16"/>
                <w:b w:val="1"/>
                <w:bCs w:val="1"/>
                <w:color w:val="1E1E1E"/>
              </w:rPr>
              <w:t>Stockholders’ equity</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r>
      <w:tr>
        <w:trPr>
          <w:trHeight w:val="162"/>
        </w:trPr>
        <w:tc>
          <w:tcPr>
            <w:tcW w:w="78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1E1E1E"/>
                <w:w w:val="98"/>
              </w:rPr>
              <w:t>Preferred stock, $0.000001 par value. Authorized; 50,000,000 shares; zero shares issued and outstanding as of December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1E1E1E"/>
              </w:rPr>
              <w:t>31, 2023 and 2022, respectively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62"/>
        </w:trPr>
        <w:tc>
          <w:tcPr>
            <w:tcW w:w="7820" w:type="dxa"/>
            <w:vAlign w:val="bottom"/>
            <w:shd w:val="clear" w:color="auto" w:fill="E4E4E4"/>
          </w:tcPr>
          <w:p>
            <w:pPr>
              <w:ind w:left="200"/>
              <w:spacing w:after="0" w:line="162" w:lineRule="exact"/>
              <w:rPr>
                <w:sz w:val="20"/>
                <w:szCs w:val="20"/>
                <w:color w:val="auto"/>
              </w:rPr>
            </w:pPr>
            <w:r>
              <w:rPr>
                <w:rFonts w:ascii="Times New Roman" w:cs="Times New Roman" w:eastAsia="Times New Roman" w:hAnsi="Times New Roman"/>
                <w:sz w:val="16"/>
                <w:szCs w:val="16"/>
                <w:color w:val="1E1E1E"/>
                <w:w w:val="98"/>
              </w:rPr>
              <w:t>Class A Common stock, $0.000001 par value. Authorized; 750,000,000 shares; 45,489,379 shares and 44,822,264 shares</w:t>
            </w:r>
          </w:p>
        </w:tc>
        <w:tc>
          <w:tcPr>
            <w:tcW w:w="1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94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4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r>
      <w:tr>
        <w:trPr>
          <w:trHeight w:val="195"/>
        </w:trPr>
        <w:tc>
          <w:tcPr>
            <w:tcW w:w="78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16"/>
                <w:szCs w:val="16"/>
                <w:color w:val="1E1E1E"/>
              </w:rPr>
              <w:t>issued and outstanding as of December 31, 2023 and 2022, respectively</w:t>
            </w:r>
          </w:p>
        </w:tc>
        <w:tc>
          <w:tcPr>
            <w:tcW w:w="160" w:type="dxa"/>
            <w:vAlign w:val="bottom"/>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1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shd w:val="clear" w:color="auto" w:fill="E4E4E4"/>
          </w:tcPr>
          <w:p>
            <w:pPr>
              <w:spacing w:after="0"/>
              <w:rPr>
                <w:sz w:val="16"/>
                <w:szCs w:val="16"/>
                <w:color w:val="auto"/>
              </w:rPr>
            </w:pPr>
          </w:p>
        </w:tc>
        <w:tc>
          <w:tcPr>
            <w:tcW w:w="11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62"/>
        </w:trPr>
        <w:tc>
          <w:tcPr>
            <w:tcW w:w="78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1E1E1E"/>
                <w:w w:val="98"/>
              </w:rPr>
              <w:t>Class B Common stock, $0.000001 par value. Authorized; 5,000,000 shares; 2,676,154 shares issued and outstanding as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1E1E1E"/>
              </w:rPr>
              <w:t>of December 31, 2023 and 2022, respectively</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Additional paid-in capital</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9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648,317</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623,081</w:t>
            </w:r>
          </w:p>
        </w:tc>
        <w:tc>
          <w:tcPr>
            <w:tcW w:w="100" w:type="dxa"/>
            <w:vAlign w:val="bottom"/>
            <w:shd w:val="clear" w:color="auto" w:fill="E4E4E4"/>
          </w:tcPr>
          <w:p>
            <w:pPr>
              <w:spacing w:after="0"/>
              <w:rPr>
                <w:sz w:val="15"/>
                <w:szCs w:val="15"/>
                <w:color w:val="auto"/>
              </w:rPr>
            </w:pPr>
          </w:p>
        </w:tc>
      </w:tr>
      <w:tr>
        <w:trPr>
          <w:trHeight w:val="178"/>
        </w:trPr>
        <w:tc>
          <w:tcPr>
            <w:tcW w:w="782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color w:val="1E1E1E"/>
              </w:rPr>
              <w:t>Accumulated other comprehensive income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1E1E1E"/>
              </w:rPr>
              <w:t>28</w:t>
            </w:r>
          </w:p>
        </w:tc>
        <w:tc>
          <w:tcPr>
            <w:tcW w:w="100" w:type="dxa"/>
            <w:vAlign w:val="bottom"/>
          </w:tcPr>
          <w:p>
            <w:pPr>
              <w:spacing w:after="0"/>
              <w:rPr>
                <w:sz w:val="15"/>
                <w:szCs w:val="15"/>
                <w:color w:val="auto"/>
              </w:rPr>
            </w:pPr>
          </w:p>
        </w:tc>
      </w:tr>
      <w:tr>
        <w:trPr>
          <w:trHeight w:val="178"/>
        </w:trPr>
        <w:tc>
          <w:tcPr>
            <w:tcW w:w="7820" w:type="dxa"/>
            <w:vAlign w:val="bottom"/>
            <w:shd w:val="clear" w:color="auto" w:fill="E4E4E4"/>
          </w:tcPr>
          <w:p>
            <w:pPr>
              <w:ind w:left="200"/>
              <w:spacing w:after="0" w:line="178" w:lineRule="exact"/>
              <w:rPr>
                <w:sz w:val="20"/>
                <w:szCs w:val="20"/>
                <w:color w:val="auto"/>
              </w:rPr>
            </w:pPr>
            <w:r>
              <w:rPr>
                <w:rFonts w:ascii="Times New Roman" w:cs="Times New Roman" w:eastAsia="Times New Roman" w:hAnsi="Times New Roman"/>
                <w:sz w:val="16"/>
                <w:szCs w:val="16"/>
                <w:color w:val="1E1E1E"/>
              </w:rPr>
              <w:t>Accumulated deficit</w:t>
            </w:r>
          </w:p>
        </w:tc>
        <w:tc>
          <w:tcPr>
            <w:tcW w:w="16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040" w:type="dxa"/>
            <w:vAlign w:val="bottom"/>
            <w:gridSpan w:val="2"/>
            <w:shd w:val="clear" w:color="auto" w:fill="E4E4E4"/>
          </w:tcPr>
          <w:p>
            <w:pPr>
              <w:jc w:val="right"/>
              <w:ind w:right="40"/>
              <w:spacing w:after="0" w:line="178" w:lineRule="exact"/>
              <w:rPr>
                <w:sz w:val="20"/>
                <w:szCs w:val="20"/>
                <w:color w:val="auto"/>
              </w:rPr>
            </w:pPr>
            <w:r>
              <w:rPr>
                <w:rFonts w:ascii="Times New Roman" w:cs="Times New Roman" w:eastAsia="Times New Roman" w:hAnsi="Times New Roman"/>
                <w:sz w:val="16"/>
                <w:szCs w:val="16"/>
                <w:color w:val="1E1E1E"/>
              </w:rPr>
              <w:t>(319,872)</w:t>
            </w:r>
          </w:p>
        </w:tc>
        <w:tc>
          <w:tcPr>
            <w:tcW w:w="120" w:type="dxa"/>
            <w:vAlign w:val="bottom"/>
            <w:shd w:val="clear" w:color="auto" w:fill="E4E4E4"/>
          </w:tcPr>
          <w:p>
            <w:pPr>
              <w:spacing w:after="0"/>
              <w:rPr>
                <w:sz w:val="15"/>
                <w:szCs w:val="15"/>
                <w:color w:val="auto"/>
              </w:rPr>
            </w:pPr>
          </w:p>
        </w:tc>
        <w:tc>
          <w:tcPr>
            <w:tcW w:w="100" w:type="dxa"/>
            <w:vAlign w:val="bottom"/>
            <w:shd w:val="clear" w:color="auto" w:fill="E4E4E4"/>
          </w:tcPr>
          <w:p>
            <w:pPr>
              <w:spacing w:after="0"/>
              <w:rPr>
                <w:sz w:val="15"/>
                <w:szCs w:val="15"/>
                <w:color w:val="auto"/>
              </w:rPr>
            </w:pPr>
          </w:p>
        </w:tc>
        <w:tc>
          <w:tcPr>
            <w:tcW w:w="1140" w:type="dxa"/>
            <w:vAlign w:val="bottom"/>
            <w:gridSpan w:val="2"/>
            <w:shd w:val="clear" w:color="auto" w:fill="E4E4E4"/>
          </w:tcPr>
          <w:p>
            <w:pPr>
              <w:jc w:val="right"/>
              <w:ind w:right="60"/>
              <w:spacing w:after="0" w:line="178" w:lineRule="exact"/>
              <w:rPr>
                <w:sz w:val="20"/>
                <w:szCs w:val="20"/>
                <w:color w:val="auto"/>
              </w:rPr>
            </w:pPr>
            <w:r>
              <w:rPr>
                <w:rFonts w:ascii="Times New Roman" w:cs="Times New Roman" w:eastAsia="Times New Roman" w:hAnsi="Times New Roman"/>
                <w:sz w:val="16"/>
                <w:szCs w:val="16"/>
                <w:color w:val="1E1E1E"/>
              </w:rPr>
              <w:t>(252,400)</w:t>
            </w:r>
          </w:p>
        </w:tc>
      </w:tr>
      <w:tr>
        <w:trPr>
          <w:trHeight w:val="168"/>
        </w:trPr>
        <w:tc>
          <w:tcPr>
            <w:tcW w:w="7820" w:type="dxa"/>
            <w:vAlign w:val="bottom"/>
          </w:tcPr>
          <w:p>
            <w:pPr>
              <w:spacing w:after="0" w:line="168" w:lineRule="exact"/>
              <w:rPr>
                <w:sz w:val="20"/>
                <w:szCs w:val="20"/>
                <w:color w:val="auto"/>
              </w:rPr>
            </w:pPr>
            <w:r>
              <w:rPr>
                <w:rFonts w:ascii="Times New Roman" w:cs="Times New Roman" w:eastAsia="Times New Roman" w:hAnsi="Times New Roman"/>
                <w:sz w:val="16"/>
                <w:szCs w:val="16"/>
                <w:b w:val="1"/>
                <w:bCs w:val="1"/>
                <w:color w:val="1E1E1E"/>
              </w:rPr>
              <w:t>Total stockholders’ equity</w:t>
            </w:r>
          </w:p>
        </w:tc>
        <w:tc>
          <w:tcPr>
            <w:tcW w:w="160" w:type="dxa"/>
            <w:vAlign w:val="bottom"/>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940" w:type="dxa"/>
            <w:vAlign w:val="bottom"/>
            <w:tcBorders>
              <w:top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329,300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1E1E1E"/>
            </w:tcBorders>
          </w:tcPr>
          <w:p>
            <w:pPr>
              <w:spacing w:after="0"/>
              <w:rPr>
                <w:sz w:val="14"/>
                <w:szCs w:val="14"/>
                <w:color w:val="auto"/>
              </w:rPr>
            </w:pPr>
          </w:p>
        </w:tc>
        <w:tc>
          <w:tcPr>
            <w:tcW w:w="1040" w:type="dxa"/>
            <w:vAlign w:val="bottom"/>
            <w:tcBorders>
              <w:top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370,709</w:t>
            </w:r>
          </w:p>
        </w:tc>
        <w:tc>
          <w:tcPr>
            <w:tcW w:w="100" w:type="dxa"/>
            <w:vAlign w:val="bottom"/>
          </w:tcPr>
          <w:p>
            <w:pPr>
              <w:spacing w:after="0"/>
              <w:rPr>
                <w:sz w:val="14"/>
                <w:szCs w:val="14"/>
                <w:color w:val="auto"/>
              </w:rPr>
            </w:pPr>
          </w:p>
        </w:tc>
      </w:tr>
      <w:tr>
        <w:trPr>
          <w:trHeight w:val="178"/>
        </w:trPr>
        <w:tc>
          <w:tcPr>
            <w:tcW w:w="7820" w:type="dxa"/>
            <w:vAlign w:val="bottom"/>
            <w:shd w:val="clear" w:color="auto" w:fill="E4E4E4"/>
          </w:tcPr>
          <w:p>
            <w:pPr>
              <w:ind w:left="380"/>
              <w:spacing w:after="0" w:line="178" w:lineRule="exact"/>
              <w:rPr>
                <w:sz w:val="20"/>
                <w:szCs w:val="20"/>
                <w:color w:val="auto"/>
              </w:rPr>
            </w:pPr>
            <w:r>
              <w:rPr>
                <w:rFonts w:ascii="Times New Roman" w:cs="Times New Roman" w:eastAsia="Times New Roman" w:hAnsi="Times New Roman"/>
                <w:sz w:val="16"/>
                <w:szCs w:val="16"/>
                <w:b w:val="1"/>
                <w:bCs w:val="1"/>
                <w:color w:val="1E1E1E"/>
              </w:rPr>
              <w:t>Noncontrolling interest</w:t>
            </w:r>
          </w:p>
        </w:tc>
        <w:tc>
          <w:tcPr>
            <w:tcW w:w="16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9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1,119</w:t>
            </w:r>
          </w:p>
        </w:tc>
        <w:tc>
          <w:tcPr>
            <w:tcW w:w="100" w:type="dxa"/>
            <w:vAlign w:val="bottom"/>
            <w:shd w:val="clear" w:color="auto" w:fill="E4E4E4"/>
          </w:tcPr>
          <w:p>
            <w:pPr>
              <w:spacing w:after="0"/>
              <w:rPr>
                <w:sz w:val="15"/>
                <w:szCs w:val="15"/>
                <w:color w:val="auto"/>
              </w:rPr>
            </w:pPr>
          </w:p>
        </w:tc>
        <w:tc>
          <w:tcPr>
            <w:tcW w:w="120" w:type="dxa"/>
            <w:vAlign w:val="bottom"/>
            <w:shd w:val="clear" w:color="auto" w:fill="E4E4E4"/>
          </w:tcPr>
          <w:p>
            <w:pPr>
              <w:spacing w:after="0"/>
              <w:rPr>
                <w:sz w:val="15"/>
                <w:szCs w:val="15"/>
                <w:color w:val="auto"/>
              </w:rPr>
            </w:pPr>
          </w:p>
        </w:tc>
        <w:tc>
          <w:tcPr>
            <w:tcW w:w="100" w:type="dxa"/>
            <w:vAlign w:val="bottom"/>
            <w:tcBorders>
              <w:bottom w:val="single" w:sz="8" w:color="1E1E1E"/>
            </w:tcBorders>
            <w:shd w:val="clear" w:color="auto" w:fill="E4E4E4"/>
          </w:tcPr>
          <w:p>
            <w:pPr>
              <w:spacing w:after="0"/>
              <w:rPr>
                <w:sz w:val="15"/>
                <w:szCs w:val="15"/>
                <w:color w:val="auto"/>
              </w:rPr>
            </w:pPr>
          </w:p>
        </w:tc>
        <w:tc>
          <w:tcPr>
            <w:tcW w:w="1040" w:type="dxa"/>
            <w:vAlign w:val="bottom"/>
            <w:tcBorders>
              <w:bottom w:val="single" w:sz="8" w:color="1E1E1E"/>
            </w:tcBorders>
            <w:shd w:val="clear" w:color="auto" w:fill="E4E4E4"/>
          </w:tcPr>
          <w:p>
            <w:pPr>
              <w:jc w:val="right"/>
              <w:spacing w:after="0" w:line="178" w:lineRule="exact"/>
              <w:rPr>
                <w:sz w:val="20"/>
                <w:szCs w:val="20"/>
                <w:color w:val="auto"/>
              </w:rPr>
            </w:pPr>
            <w:r>
              <w:rPr>
                <w:rFonts w:ascii="Times New Roman" w:cs="Times New Roman" w:eastAsia="Times New Roman" w:hAnsi="Times New Roman"/>
                <w:sz w:val="16"/>
                <w:szCs w:val="16"/>
                <w:color w:val="1E1E1E"/>
              </w:rPr>
              <w:t>1,090</w:t>
            </w:r>
          </w:p>
        </w:tc>
        <w:tc>
          <w:tcPr>
            <w:tcW w:w="100" w:type="dxa"/>
            <w:vAlign w:val="bottom"/>
            <w:shd w:val="clear" w:color="auto" w:fill="E4E4E4"/>
          </w:tcPr>
          <w:p>
            <w:pPr>
              <w:spacing w:after="0"/>
              <w:rPr>
                <w:sz w:val="15"/>
                <w:szCs w:val="15"/>
                <w:color w:val="auto"/>
              </w:rPr>
            </w:pPr>
          </w:p>
        </w:tc>
      </w:tr>
      <w:tr>
        <w:trPr>
          <w:trHeight w:val="168"/>
        </w:trPr>
        <w:tc>
          <w:tcPr>
            <w:tcW w:w="7820" w:type="dxa"/>
            <w:vAlign w:val="bottom"/>
            <w:tcBorders>
              <w:bottom w:val="single" w:sz="8" w:color="E4E4E4"/>
            </w:tcBorders>
          </w:tcPr>
          <w:p>
            <w:pPr>
              <w:ind w:left="380"/>
              <w:spacing w:after="0" w:line="168" w:lineRule="exact"/>
              <w:rPr>
                <w:sz w:val="20"/>
                <w:szCs w:val="20"/>
                <w:color w:val="auto"/>
              </w:rPr>
            </w:pPr>
            <w:r>
              <w:rPr>
                <w:rFonts w:ascii="Times New Roman" w:cs="Times New Roman" w:eastAsia="Times New Roman" w:hAnsi="Times New Roman"/>
                <w:sz w:val="16"/>
                <w:szCs w:val="16"/>
                <w:b w:val="1"/>
                <w:bCs w:val="1"/>
                <w:color w:val="1E1E1E"/>
              </w:rPr>
              <w:t>Total equity</w:t>
            </w:r>
          </w:p>
        </w:tc>
        <w:tc>
          <w:tcPr>
            <w:tcW w:w="160" w:type="dxa"/>
            <w:vAlign w:val="bottom"/>
            <w:tcBorders>
              <w:bottom w:val="single" w:sz="8" w:color="E4E4E4"/>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94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330,419</w:t>
            </w:r>
          </w:p>
        </w:tc>
        <w:tc>
          <w:tcPr>
            <w:tcW w:w="10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104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color w:val="1E1E1E"/>
              </w:rPr>
              <w:t>371,799</w:t>
            </w:r>
          </w:p>
        </w:tc>
        <w:tc>
          <w:tcPr>
            <w:tcW w:w="100" w:type="dxa"/>
            <w:vAlign w:val="bottom"/>
            <w:tcBorders>
              <w:bottom w:val="single" w:sz="8" w:color="E4E4E4"/>
            </w:tcBorders>
          </w:tcPr>
          <w:p>
            <w:pPr>
              <w:spacing w:after="0"/>
              <w:rPr>
                <w:sz w:val="14"/>
                <w:szCs w:val="14"/>
                <w:color w:val="auto"/>
              </w:rPr>
            </w:pPr>
          </w:p>
        </w:tc>
      </w:tr>
      <w:tr>
        <w:trPr>
          <w:trHeight w:val="168"/>
        </w:trPr>
        <w:tc>
          <w:tcPr>
            <w:tcW w:w="7820" w:type="dxa"/>
            <w:vAlign w:val="bottom"/>
            <w:shd w:val="clear" w:color="auto" w:fill="E4E4E4"/>
          </w:tcPr>
          <w:p>
            <w:pPr>
              <w:spacing w:after="0" w:line="168" w:lineRule="exact"/>
              <w:rPr>
                <w:sz w:val="20"/>
                <w:szCs w:val="20"/>
                <w:color w:val="auto"/>
              </w:rPr>
            </w:pPr>
            <w:r>
              <w:rPr>
                <w:rFonts w:ascii="Times New Roman" w:cs="Times New Roman" w:eastAsia="Times New Roman" w:hAnsi="Times New Roman"/>
                <w:sz w:val="16"/>
                <w:szCs w:val="16"/>
                <w:b w:val="1"/>
                <w:bCs w:val="1"/>
                <w:color w:val="1E1E1E"/>
              </w:rPr>
              <w:t>Total liabilities and stockholders’ equity</w:t>
            </w:r>
          </w:p>
        </w:tc>
        <w:tc>
          <w:tcPr>
            <w:tcW w:w="160" w:type="dxa"/>
            <w:vAlign w:val="bottom"/>
            <w:shd w:val="clear" w:color="auto" w:fill="E4E4E4"/>
          </w:tcPr>
          <w:p>
            <w:pPr>
              <w:spacing w:after="0"/>
              <w:rPr>
                <w:sz w:val="14"/>
                <w:szCs w:val="14"/>
                <w:color w:val="auto"/>
              </w:rPr>
            </w:pPr>
          </w:p>
        </w:tc>
        <w:tc>
          <w:tcPr>
            <w:tcW w:w="10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w w:val="74"/>
                <w:shd w:val="clear" w:color="auto" w:fill="E4E4E4"/>
              </w:rPr>
              <w:t>$</w:t>
            </w:r>
          </w:p>
        </w:tc>
        <w:tc>
          <w:tcPr>
            <w:tcW w:w="94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707,387</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10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tcBorders>
              <w:bottom w:val="single" w:sz="8" w:color="1E1E1E"/>
            </w:tcBorders>
            <w:shd w:val="clear" w:color="auto" w:fill="E4E4E4"/>
          </w:tcPr>
          <w:p>
            <w:pPr>
              <w:jc w:val="right"/>
              <w:spacing w:after="0" w:line="168" w:lineRule="exact"/>
              <w:rPr>
                <w:sz w:val="20"/>
                <w:szCs w:val="20"/>
                <w:color w:val="auto"/>
              </w:rPr>
            </w:pPr>
            <w:r>
              <w:rPr>
                <w:rFonts w:ascii="Times New Roman" w:cs="Times New Roman" w:eastAsia="Times New Roman" w:hAnsi="Times New Roman"/>
                <w:sz w:val="16"/>
                <w:szCs w:val="16"/>
                <w:color w:val="1E1E1E"/>
              </w:rPr>
              <w:t>734,114</w:t>
            </w:r>
          </w:p>
        </w:tc>
        <w:tc>
          <w:tcPr>
            <w:tcW w:w="100" w:type="dxa"/>
            <w:vAlign w:val="bottom"/>
            <w:shd w:val="clear" w:color="auto" w:fill="E4E4E4"/>
          </w:tcPr>
          <w:p>
            <w:pPr>
              <w:spacing w:after="0"/>
              <w:rPr>
                <w:sz w:val="14"/>
                <w:szCs w:val="14"/>
                <w:color w:val="auto"/>
              </w:rPr>
            </w:pPr>
          </w:p>
        </w:tc>
      </w:tr>
    </w:tbl>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1E1E1E"/>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-132080</wp:posOffset>
            </wp:positionV>
            <wp:extent cx="15246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4635" cy="9525"/>
                    </a:xfrm>
                    <a:prstGeom prst="rect">
                      <a:avLst/>
                    </a:prstGeom>
                    <a:noFill/>
                  </pic:spPr>
                </pic:pic>
              </a:graphicData>
            </a:graphic>
          </wp:anchor>
        </w:drawing>
      </w: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70</w:t>
      </w:r>
    </w:p>
    <w:p>
      <w:pPr>
        <w:sectPr>
          <w:pgSz w:w="11880" w:h="15480" w:orient="portrait"/>
          <w:cols w:equalWidth="0" w:num="1">
            <w:col w:w="10480"/>
          </w:cols>
          <w:pgMar w:left="700" w:top="953" w:right="700" w:bottom="215"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(In thousands, except share and per share data)</w:t>
      </w:r>
    </w:p>
    <w:p>
      <w:pPr>
        <w:spacing w:after="0" w:line="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6"/>
          <w:szCs w:val="16"/>
          <w:b w:val="1"/>
          <w:bCs w:val="1"/>
          <w:color w:val="1E1E1E"/>
        </w:rPr>
        <w:t>Year Ended</w:t>
      </w:r>
    </w:p>
    <w:p>
      <w:pPr>
        <w:ind w:left="7680"/>
        <w:spacing w:after="0"/>
        <w:rPr>
          <w:sz w:val="20"/>
          <w:szCs w:val="20"/>
          <w:color w:val="auto"/>
        </w:rPr>
      </w:pPr>
      <w:r>
        <w:rPr>
          <w:rFonts w:ascii="Times New Roman" w:cs="Times New Roman" w:eastAsia="Times New Roman" w:hAnsi="Times New Roman"/>
          <w:sz w:val="16"/>
          <w:szCs w:val="16"/>
          <w:b w:val="1"/>
          <w:bCs w:val="1"/>
          <w:color w:val="1E1E1E"/>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8890</wp:posOffset>
            </wp:positionV>
            <wp:extent cx="283591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5910" cy="635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1220" w:type="dxa"/>
            <w:vAlign w:val="bottom"/>
            <w:tcBorders>
              <w:bottom w:val="single" w:sz="8" w:color="1E1E1E"/>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40" w:type="dxa"/>
            <w:vAlign w:val="bottom"/>
            <w:tcBorders>
              <w:bottom w:val="single" w:sz="8" w:color="1E1E1E"/>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Revenue</w:t>
            </w:r>
          </w:p>
        </w:tc>
        <w:tc>
          <w:tcPr>
            <w:tcW w:w="260" w:type="dxa"/>
            <w:vAlign w:val="bottom"/>
            <w:tcBorders>
              <w:bottom w:val="single" w:sz="8" w:color="E4E4E4"/>
            </w:tcBorders>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463,406</w:t>
            </w:r>
          </w:p>
        </w:tc>
        <w:tc>
          <w:tcPr>
            <w:tcW w:w="400" w:type="dxa"/>
            <w:vAlign w:val="bottom"/>
            <w:tcBorders>
              <w:bottom w:val="single" w:sz="8" w:color="E4E4E4"/>
            </w:tcBorders>
            <w:gridSpan w:val="2"/>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380,921</w:t>
            </w:r>
          </w:p>
        </w:tc>
        <w:tc>
          <w:tcPr>
            <w:tcW w:w="380" w:type="dxa"/>
            <w:vAlign w:val="bottom"/>
            <w:tcBorders>
              <w:bottom w:val="single" w:sz="8" w:color="E4E4E4"/>
            </w:tcBorders>
            <w:gridSpan w:val="2"/>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218,336</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Cost of revenue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285,147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1E1E1E"/>
              </w:rPr>
              <w:t>234,930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161,195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5760" w:type="dxa"/>
            <w:vAlign w:val="bottom"/>
            <w:tcBorders>
              <w:top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6"/>
                <w:szCs w:val="16"/>
                <w:b w:val="1"/>
                <w:bCs w:val="1"/>
                <w:color w:val="1E1E1E"/>
              </w:rPr>
              <w:t>Gross profit</w:t>
            </w:r>
          </w:p>
        </w:tc>
        <w:tc>
          <w:tcPr>
            <w:tcW w:w="14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bottom w:val="single" w:sz="8" w:color="1E1E1E"/>
            </w:tcBorders>
            <w:shd w:val="clear" w:color="auto" w:fill="E4E4E4"/>
          </w:tcPr>
          <w:p>
            <w:pPr>
              <w:spacing w:after="0"/>
              <w:rPr>
                <w:sz w:val="18"/>
                <w:szCs w:val="18"/>
                <w:color w:val="auto"/>
              </w:rPr>
            </w:pPr>
          </w:p>
        </w:tc>
        <w:tc>
          <w:tcPr>
            <w:tcW w:w="12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178,259</w:t>
            </w:r>
          </w:p>
        </w:tc>
        <w:tc>
          <w:tcPr>
            <w:tcW w:w="14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300" w:type="dxa"/>
            <w:vAlign w:val="bottom"/>
            <w:tcBorders>
              <w:top w:val="single" w:sz="8" w:color="1E1E1E"/>
              <w:bottom w:val="single" w:sz="8" w:color="1E1E1E"/>
            </w:tcBorders>
            <w:shd w:val="clear" w:color="auto" w:fill="E4E4E4"/>
          </w:tcPr>
          <w:p>
            <w:pPr>
              <w:spacing w:after="0"/>
              <w:rPr>
                <w:sz w:val="18"/>
                <w:szCs w:val="18"/>
                <w:color w:val="auto"/>
              </w:rPr>
            </w:pPr>
          </w:p>
        </w:tc>
        <w:tc>
          <w:tcPr>
            <w:tcW w:w="10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145,991</w:t>
            </w:r>
          </w:p>
        </w:tc>
        <w:tc>
          <w:tcPr>
            <w:tcW w:w="16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300" w:type="dxa"/>
            <w:vAlign w:val="bottom"/>
            <w:tcBorders>
              <w:top w:val="single" w:sz="8" w:color="1E1E1E"/>
              <w:bottom w:val="single" w:sz="8" w:color="1E1E1E"/>
            </w:tcBorders>
            <w:shd w:val="clear" w:color="auto" w:fill="E4E4E4"/>
          </w:tcPr>
          <w:p>
            <w:pPr>
              <w:spacing w:after="0"/>
              <w:rPr>
                <w:sz w:val="18"/>
                <w:szCs w:val="18"/>
                <w:color w:val="auto"/>
              </w:rPr>
            </w:pPr>
          </w:p>
        </w:tc>
        <w:tc>
          <w:tcPr>
            <w:tcW w:w="10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57,141</w:t>
            </w:r>
          </w:p>
        </w:tc>
        <w:tc>
          <w:tcPr>
            <w:tcW w:w="10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Sales and marketing</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93,688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1E1E1E"/>
              </w:rPr>
              <w:t>84,371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39,422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5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Operations and support</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52,372</w:t>
            </w: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48,628</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23,683</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Product development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34,462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1E1E1E"/>
              </w:rPr>
              <w:t>31,013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17,780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General and administrative</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70,916</w:t>
            </w: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58,246</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34,942</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Impairment of assets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1E1E1E"/>
              </w:rPr>
              <w:t>824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760" w:type="dxa"/>
            <w:vAlign w:val="bottom"/>
            <w:tcBorders>
              <w:top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Total operating expenses</w:t>
            </w:r>
          </w:p>
        </w:tc>
        <w:tc>
          <w:tcPr>
            <w:tcW w:w="140" w:type="dxa"/>
            <w:vAlign w:val="bottom"/>
            <w:tcBorders>
              <w:top w:val="single" w:sz="8" w:color="E4E4E4"/>
            </w:tcBorders>
            <w:shd w:val="clear" w:color="auto" w:fill="E4E4E4"/>
          </w:tcPr>
          <w:p>
            <w:pPr>
              <w:spacing w:after="0"/>
              <w:rPr>
                <w:sz w:val="16"/>
                <w:szCs w:val="16"/>
                <w:color w:val="auto"/>
              </w:rPr>
            </w:pPr>
          </w:p>
        </w:tc>
        <w:tc>
          <w:tcPr>
            <w:tcW w:w="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1E1E1E"/>
            </w:tcBorders>
            <w:shd w:val="clear" w:color="auto" w:fill="E4E4E4"/>
          </w:tcPr>
          <w:p>
            <w:pPr>
              <w:spacing w:after="0"/>
              <w:rPr>
                <w:sz w:val="16"/>
                <w:szCs w:val="16"/>
                <w:color w:val="auto"/>
              </w:rPr>
            </w:pPr>
          </w:p>
        </w:tc>
        <w:tc>
          <w:tcPr>
            <w:tcW w:w="1220" w:type="dxa"/>
            <w:vAlign w:val="bottom"/>
            <w:tcBorders>
              <w:top w:val="single" w:sz="8" w:color="1E1E1E"/>
            </w:tcBorders>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251,835</w:t>
            </w:r>
          </w:p>
        </w:tc>
        <w:tc>
          <w:tcPr>
            <w:tcW w:w="14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E4E4E4"/>
            </w:tcBorders>
            <w:shd w:val="clear" w:color="auto" w:fill="E4E4E4"/>
          </w:tcPr>
          <w:p>
            <w:pPr>
              <w:spacing w:after="0"/>
              <w:rPr>
                <w:sz w:val="16"/>
                <w:szCs w:val="16"/>
                <w:color w:val="auto"/>
              </w:rPr>
            </w:pPr>
          </w:p>
        </w:tc>
        <w:tc>
          <w:tcPr>
            <w:tcW w:w="300" w:type="dxa"/>
            <w:vAlign w:val="bottom"/>
            <w:tcBorders>
              <w:top w:val="single" w:sz="8" w:color="1E1E1E"/>
            </w:tcBorders>
            <w:shd w:val="clear" w:color="auto" w:fill="E4E4E4"/>
          </w:tcPr>
          <w:p>
            <w:pPr>
              <w:spacing w:after="0"/>
              <w:rPr>
                <w:sz w:val="16"/>
                <w:szCs w:val="16"/>
                <w:color w:val="auto"/>
              </w:rPr>
            </w:pPr>
          </w:p>
        </w:tc>
        <w:tc>
          <w:tcPr>
            <w:tcW w:w="1020" w:type="dxa"/>
            <w:vAlign w:val="bottom"/>
            <w:tcBorders>
              <w:top w:val="single" w:sz="8" w:color="1E1E1E"/>
            </w:tcBorders>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223,082</w:t>
            </w:r>
          </w:p>
        </w:tc>
        <w:tc>
          <w:tcPr>
            <w:tcW w:w="160" w:type="dxa"/>
            <w:vAlign w:val="bottom"/>
            <w:tcBorders>
              <w:top w:val="single" w:sz="8" w:color="E4E4E4"/>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300" w:type="dxa"/>
            <w:vAlign w:val="bottom"/>
            <w:tcBorders>
              <w:top w:val="single" w:sz="8" w:color="1E1E1E"/>
            </w:tcBorders>
            <w:shd w:val="clear" w:color="auto" w:fill="E4E4E4"/>
          </w:tcPr>
          <w:p>
            <w:pPr>
              <w:spacing w:after="0"/>
              <w:rPr>
                <w:sz w:val="16"/>
                <w:szCs w:val="16"/>
                <w:color w:val="auto"/>
              </w:rPr>
            </w:pPr>
          </w:p>
        </w:tc>
        <w:tc>
          <w:tcPr>
            <w:tcW w:w="1040" w:type="dxa"/>
            <w:vAlign w:val="bottom"/>
            <w:tcBorders>
              <w:top w:val="single" w:sz="8" w:color="1E1E1E"/>
            </w:tcBorders>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115,827</w:t>
            </w:r>
          </w:p>
        </w:tc>
        <w:tc>
          <w:tcPr>
            <w:tcW w:w="100" w:type="dxa"/>
            <w:vAlign w:val="bottom"/>
            <w:tcBorders>
              <w:top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5760" w:type="dxa"/>
            <w:vAlign w:val="bottom"/>
            <w:shd w:val="clear" w:color="auto" w:fill="E4E4E4"/>
          </w:tcPr>
          <w:p>
            <w:pPr>
              <w:spacing w:after="0"/>
              <w:rPr>
                <w:sz w:val="5"/>
                <w:szCs w:val="5"/>
                <w:color w:val="auto"/>
              </w:rPr>
            </w:pPr>
          </w:p>
        </w:tc>
        <w:tc>
          <w:tcPr>
            <w:tcW w:w="140" w:type="dxa"/>
            <w:vAlign w:val="bottom"/>
            <w:shd w:val="clear" w:color="auto" w:fill="E4E4E4"/>
          </w:tcPr>
          <w:p>
            <w:pPr>
              <w:spacing w:after="0"/>
              <w:rPr>
                <w:sz w:val="5"/>
                <w:szCs w:val="5"/>
                <w:color w:val="auto"/>
              </w:rPr>
            </w:pPr>
          </w:p>
        </w:tc>
        <w:tc>
          <w:tcPr>
            <w:tcW w:w="20" w:type="dxa"/>
            <w:vAlign w:val="bottom"/>
            <w:shd w:val="clear" w:color="auto" w:fill="E4E4E4"/>
          </w:tcPr>
          <w:p>
            <w:pPr>
              <w:spacing w:after="0"/>
              <w:rPr>
                <w:sz w:val="5"/>
                <w:szCs w:val="5"/>
                <w:color w:val="auto"/>
              </w:rPr>
            </w:pPr>
          </w:p>
        </w:tc>
        <w:tc>
          <w:tcPr>
            <w:tcW w:w="100" w:type="dxa"/>
            <w:vAlign w:val="bottom"/>
            <w:tcBorders>
              <w:bottom w:val="single" w:sz="8" w:color="1E1E1E"/>
            </w:tcBorders>
            <w:shd w:val="clear" w:color="auto" w:fill="E4E4E4"/>
          </w:tcPr>
          <w:p>
            <w:pPr>
              <w:spacing w:after="0"/>
              <w:rPr>
                <w:sz w:val="5"/>
                <w:szCs w:val="5"/>
                <w:color w:val="auto"/>
              </w:rPr>
            </w:pPr>
          </w:p>
        </w:tc>
        <w:tc>
          <w:tcPr>
            <w:tcW w:w="1220" w:type="dxa"/>
            <w:vAlign w:val="bottom"/>
            <w:tcBorders>
              <w:bottom w:val="single" w:sz="8" w:color="1E1E1E"/>
            </w:tcBorders>
            <w:vMerge w:val="continue"/>
            <w:shd w:val="clear" w:color="auto" w:fill="E4E4E4"/>
          </w:tcPr>
          <w:p>
            <w:pPr>
              <w:spacing w:after="0"/>
              <w:rPr>
                <w:sz w:val="5"/>
                <w:szCs w:val="5"/>
                <w:color w:val="auto"/>
              </w:rPr>
            </w:pPr>
          </w:p>
        </w:tc>
        <w:tc>
          <w:tcPr>
            <w:tcW w:w="140" w:type="dxa"/>
            <w:vAlign w:val="bottom"/>
            <w:shd w:val="clear" w:color="auto" w:fill="E4E4E4"/>
          </w:tcPr>
          <w:p>
            <w:pPr>
              <w:spacing w:after="0"/>
              <w:rPr>
                <w:sz w:val="5"/>
                <w:szCs w:val="5"/>
                <w:color w:val="auto"/>
              </w:rPr>
            </w:pPr>
          </w:p>
        </w:tc>
        <w:tc>
          <w:tcPr>
            <w:tcW w:w="100" w:type="dxa"/>
            <w:vAlign w:val="bottom"/>
            <w:shd w:val="clear" w:color="auto" w:fill="E4E4E4"/>
          </w:tcPr>
          <w:p>
            <w:pPr>
              <w:spacing w:after="0"/>
              <w:rPr>
                <w:sz w:val="5"/>
                <w:szCs w:val="5"/>
                <w:color w:val="auto"/>
              </w:rPr>
            </w:pPr>
          </w:p>
        </w:tc>
        <w:tc>
          <w:tcPr>
            <w:tcW w:w="300" w:type="dxa"/>
            <w:vAlign w:val="bottom"/>
            <w:tcBorders>
              <w:bottom w:val="single" w:sz="8" w:color="1E1E1E"/>
            </w:tcBorders>
            <w:shd w:val="clear" w:color="auto" w:fill="E4E4E4"/>
          </w:tcPr>
          <w:p>
            <w:pPr>
              <w:spacing w:after="0"/>
              <w:rPr>
                <w:sz w:val="5"/>
                <w:szCs w:val="5"/>
                <w:color w:val="auto"/>
              </w:rPr>
            </w:pPr>
          </w:p>
        </w:tc>
        <w:tc>
          <w:tcPr>
            <w:tcW w:w="1020" w:type="dxa"/>
            <w:vAlign w:val="bottom"/>
            <w:tcBorders>
              <w:bottom w:val="single" w:sz="8" w:color="1E1E1E"/>
            </w:tcBorders>
            <w:vMerge w:val="continue"/>
            <w:shd w:val="clear" w:color="auto" w:fill="E4E4E4"/>
          </w:tcPr>
          <w:p>
            <w:pPr>
              <w:spacing w:after="0"/>
              <w:rPr>
                <w:sz w:val="5"/>
                <w:szCs w:val="5"/>
                <w:color w:val="auto"/>
              </w:rPr>
            </w:pPr>
          </w:p>
        </w:tc>
        <w:tc>
          <w:tcPr>
            <w:tcW w:w="160" w:type="dxa"/>
            <w:vAlign w:val="bottom"/>
            <w:shd w:val="clear" w:color="auto" w:fill="E4E4E4"/>
          </w:tcPr>
          <w:p>
            <w:pPr>
              <w:spacing w:after="0"/>
              <w:rPr>
                <w:sz w:val="5"/>
                <w:szCs w:val="5"/>
                <w:color w:val="auto"/>
              </w:rPr>
            </w:pPr>
          </w:p>
        </w:tc>
        <w:tc>
          <w:tcPr>
            <w:tcW w:w="80" w:type="dxa"/>
            <w:vAlign w:val="bottom"/>
            <w:shd w:val="clear" w:color="auto" w:fill="E4E4E4"/>
          </w:tcPr>
          <w:p>
            <w:pPr>
              <w:spacing w:after="0"/>
              <w:rPr>
                <w:sz w:val="5"/>
                <w:szCs w:val="5"/>
                <w:color w:val="auto"/>
              </w:rPr>
            </w:pPr>
          </w:p>
        </w:tc>
        <w:tc>
          <w:tcPr>
            <w:tcW w:w="300" w:type="dxa"/>
            <w:vAlign w:val="bottom"/>
            <w:tcBorders>
              <w:bottom w:val="single" w:sz="8" w:color="1E1E1E"/>
            </w:tcBorders>
            <w:shd w:val="clear" w:color="auto" w:fill="E4E4E4"/>
          </w:tcPr>
          <w:p>
            <w:pPr>
              <w:spacing w:after="0"/>
              <w:rPr>
                <w:sz w:val="5"/>
                <w:szCs w:val="5"/>
                <w:color w:val="auto"/>
              </w:rPr>
            </w:pPr>
          </w:p>
        </w:tc>
        <w:tc>
          <w:tcPr>
            <w:tcW w:w="1040" w:type="dxa"/>
            <w:vAlign w:val="bottom"/>
            <w:tcBorders>
              <w:bottom w:val="single" w:sz="8" w:color="1E1E1E"/>
            </w:tcBorders>
            <w:vMerge w:val="continue"/>
            <w:shd w:val="clear" w:color="auto" w:fill="E4E4E4"/>
          </w:tcPr>
          <w:p>
            <w:pPr>
              <w:spacing w:after="0"/>
              <w:rPr>
                <w:sz w:val="5"/>
                <w:szCs w:val="5"/>
                <w:color w:val="auto"/>
              </w:rPr>
            </w:pPr>
          </w:p>
        </w:tc>
        <w:tc>
          <w:tcPr>
            <w:tcW w:w="100" w:type="dxa"/>
            <w:vAlign w:val="bottom"/>
            <w:shd w:val="clear" w:color="auto" w:fill="E4E4E4"/>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57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1E1E1E"/>
              </w:rPr>
              <w:t>Loss from operations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(73,576)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(77,091)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(58,686)</w:t>
            </w:r>
          </w:p>
        </w:tc>
        <w:tc>
          <w:tcPr>
            <w:tcW w:w="0" w:type="dxa"/>
            <w:vAlign w:val="bottom"/>
          </w:tcPr>
          <w:p>
            <w:pPr>
              <w:spacing w:after="0"/>
              <w:rPr>
                <w:sz w:val="1"/>
                <w:szCs w:val="1"/>
                <w:color w:val="auto"/>
              </w:rPr>
            </w:pPr>
          </w:p>
        </w:tc>
      </w:tr>
      <w:tr>
        <w:trPr>
          <w:trHeight w:val="56"/>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E1E1E"/>
              </w:rPr>
              <w:t>Other income (expenses)</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Interest expense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(4,784)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(4,418)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(852)</w:t>
            </w: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Interest and dividend income</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11,607</w:t>
            </w: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4,115</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982</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Other expenses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(1,511)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(2,183)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(2,866)</w:t>
            </w: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Income from unconsolidated joint venture</w:t>
            </w:r>
          </w:p>
        </w:tc>
        <w:tc>
          <w:tcPr>
            <w:tcW w:w="140" w:type="dxa"/>
            <w:vAlign w:val="bottom"/>
            <w:tcBorders>
              <w:bottom w:val="single" w:sz="8" w:color="E4E4E4"/>
            </w:tcBorders>
            <w:shd w:val="clear" w:color="auto" w:fill="E4E4E4"/>
          </w:tcPr>
          <w:p>
            <w:pPr>
              <w:spacing w:after="0"/>
              <w:rPr>
                <w:sz w:val="22"/>
                <w:szCs w:val="22"/>
                <w:color w:val="auto"/>
              </w:rPr>
            </w:pPr>
          </w:p>
        </w:tc>
        <w:tc>
          <w:tcPr>
            <w:tcW w:w="2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446</w:t>
            </w:r>
          </w:p>
        </w:tc>
        <w:tc>
          <w:tcPr>
            <w:tcW w:w="10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570</w:t>
            </w:r>
          </w:p>
        </w:tc>
        <w:tc>
          <w:tcPr>
            <w:tcW w:w="80" w:type="dxa"/>
            <w:vAlign w:val="bottom"/>
            <w:tcBorders>
              <w:bottom w:val="single" w:sz="8" w:color="E4E4E4"/>
            </w:tcBorders>
            <w:shd w:val="clear" w:color="auto" w:fill="E4E4E4"/>
          </w:tcPr>
          <w:p>
            <w:pPr>
              <w:spacing w:after="0"/>
              <w:rPr>
                <w:sz w:val="22"/>
                <w:szCs w:val="22"/>
                <w:color w:val="auto"/>
              </w:rPr>
            </w:pP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41</w:t>
            </w:r>
          </w:p>
        </w:tc>
        <w:tc>
          <w:tcPr>
            <w:tcW w:w="100" w:type="dxa"/>
            <w:vAlign w:val="bottom"/>
            <w:tcBorders>
              <w:bottom w:val="single" w:sz="8" w:color="E4E4E4"/>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Total other income (expenses)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220" w:type="dxa"/>
            <w:vAlign w:val="bottom"/>
            <w:tcBorders>
              <w:top w:val="single" w:sz="8" w:color="1E1E1E"/>
            </w:tcBorders>
            <w:vMerge w:val="restart"/>
          </w:tcPr>
          <w:p>
            <w:pPr>
              <w:jc w:val="right"/>
              <w:spacing w:after="0"/>
              <w:rPr>
                <w:sz w:val="20"/>
                <w:szCs w:val="20"/>
                <w:color w:val="auto"/>
              </w:rPr>
            </w:pPr>
            <w:r>
              <w:rPr>
                <w:rFonts w:ascii="Times New Roman" w:cs="Times New Roman" w:eastAsia="Times New Roman" w:hAnsi="Times New Roman"/>
                <w:sz w:val="16"/>
                <w:szCs w:val="16"/>
                <w:color w:val="1E1E1E"/>
              </w:rPr>
              <w:t>5,758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1E1E1E"/>
            </w:tcBorders>
          </w:tcPr>
          <w:p>
            <w:pPr>
              <w:spacing w:after="0"/>
              <w:rPr>
                <w:sz w:val="16"/>
                <w:szCs w:val="16"/>
                <w:color w:val="auto"/>
              </w:rPr>
            </w:pPr>
          </w:p>
        </w:tc>
        <w:tc>
          <w:tcPr>
            <w:tcW w:w="1020" w:type="dxa"/>
            <w:vAlign w:val="bottom"/>
            <w:tcBorders>
              <w:top w:val="single" w:sz="8" w:color="1E1E1E"/>
            </w:tcBorders>
            <w:vMerge w:val="restart"/>
          </w:tcPr>
          <w:p>
            <w:pPr>
              <w:jc w:val="right"/>
              <w:spacing w:after="0"/>
              <w:rPr>
                <w:sz w:val="20"/>
                <w:szCs w:val="20"/>
                <w:color w:val="auto"/>
              </w:rPr>
            </w:pPr>
            <w:r>
              <w:rPr>
                <w:rFonts w:ascii="Times New Roman" w:cs="Times New Roman" w:eastAsia="Times New Roman" w:hAnsi="Times New Roman"/>
                <w:sz w:val="16"/>
                <w:szCs w:val="16"/>
                <w:color w:val="1E1E1E"/>
              </w:rPr>
              <w:t>(1,916)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1E1E1E"/>
            </w:tcBorders>
          </w:tcPr>
          <w:p>
            <w:pPr>
              <w:spacing w:after="0"/>
              <w:rPr>
                <w:sz w:val="16"/>
                <w:szCs w:val="16"/>
                <w:color w:val="auto"/>
              </w:rPr>
            </w:pPr>
          </w:p>
        </w:tc>
        <w:tc>
          <w:tcPr>
            <w:tcW w:w="1040" w:type="dxa"/>
            <w:vAlign w:val="bottom"/>
            <w:tcBorders>
              <w:top w:val="single" w:sz="8" w:color="1E1E1E"/>
            </w:tcBorders>
            <w:vMerge w:val="restart"/>
          </w:tcPr>
          <w:p>
            <w:pPr>
              <w:jc w:val="right"/>
              <w:spacing w:after="0"/>
              <w:rPr>
                <w:sz w:val="20"/>
                <w:szCs w:val="20"/>
                <w:color w:val="auto"/>
              </w:rPr>
            </w:pPr>
            <w:r>
              <w:rPr>
                <w:rFonts w:ascii="Times New Roman" w:cs="Times New Roman" w:eastAsia="Times New Roman" w:hAnsi="Times New Roman"/>
                <w:sz w:val="16"/>
                <w:szCs w:val="16"/>
                <w:color w:val="1E1E1E"/>
              </w:rPr>
              <w:t>(2,695)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
        </w:trPr>
        <w:tc>
          <w:tcPr>
            <w:tcW w:w="5760" w:type="dxa"/>
            <w:vAlign w:val="bottom"/>
            <w:tcBorders>
              <w:bottom w:val="single" w:sz="8" w:color="E4E4E4"/>
            </w:tcBorders>
          </w:tcPr>
          <w:p>
            <w:pPr>
              <w:spacing w:after="0"/>
              <w:rPr>
                <w:sz w:val="5"/>
                <w:szCs w:val="5"/>
                <w:color w:val="auto"/>
              </w:rPr>
            </w:pPr>
          </w:p>
        </w:tc>
        <w:tc>
          <w:tcPr>
            <w:tcW w:w="140" w:type="dxa"/>
            <w:vAlign w:val="bottom"/>
            <w:tcBorders>
              <w:bottom w:val="single" w:sz="8" w:color="E4E4E4"/>
            </w:tcBorders>
          </w:tcPr>
          <w:p>
            <w:pPr>
              <w:spacing w:after="0"/>
              <w:rPr>
                <w:sz w:val="5"/>
                <w:szCs w:val="5"/>
                <w:color w:val="auto"/>
              </w:rPr>
            </w:pPr>
          </w:p>
        </w:tc>
        <w:tc>
          <w:tcPr>
            <w:tcW w:w="20" w:type="dxa"/>
            <w:vAlign w:val="bottom"/>
            <w:tcBorders>
              <w:bottom w:val="single" w:sz="8" w:color="E4E4E4"/>
            </w:tcBorders>
          </w:tcPr>
          <w:p>
            <w:pPr>
              <w:spacing w:after="0"/>
              <w:rPr>
                <w:sz w:val="5"/>
                <w:szCs w:val="5"/>
                <w:color w:val="auto"/>
              </w:rPr>
            </w:pPr>
          </w:p>
        </w:tc>
        <w:tc>
          <w:tcPr>
            <w:tcW w:w="100" w:type="dxa"/>
            <w:vAlign w:val="bottom"/>
            <w:tcBorders>
              <w:bottom w:val="single" w:sz="8" w:color="1E1E1E"/>
            </w:tcBorders>
          </w:tcPr>
          <w:p>
            <w:pPr>
              <w:spacing w:after="0"/>
              <w:rPr>
                <w:sz w:val="5"/>
                <w:szCs w:val="5"/>
                <w:color w:val="auto"/>
              </w:rPr>
            </w:pPr>
          </w:p>
        </w:tc>
        <w:tc>
          <w:tcPr>
            <w:tcW w:w="1220" w:type="dxa"/>
            <w:vAlign w:val="bottom"/>
            <w:tcBorders>
              <w:bottom w:val="single" w:sz="8" w:color="1E1E1E"/>
            </w:tcBorders>
            <w:vMerge w:val="continue"/>
          </w:tcPr>
          <w:p>
            <w:pPr>
              <w:spacing w:after="0"/>
              <w:rPr>
                <w:sz w:val="5"/>
                <w:szCs w:val="5"/>
                <w:color w:val="auto"/>
              </w:rPr>
            </w:pPr>
          </w:p>
        </w:tc>
        <w:tc>
          <w:tcPr>
            <w:tcW w:w="140" w:type="dxa"/>
            <w:vAlign w:val="bottom"/>
            <w:tcBorders>
              <w:bottom w:val="single" w:sz="8" w:color="E4E4E4"/>
            </w:tcBorders>
          </w:tcPr>
          <w:p>
            <w:pPr>
              <w:spacing w:after="0"/>
              <w:rPr>
                <w:sz w:val="5"/>
                <w:szCs w:val="5"/>
                <w:color w:val="auto"/>
              </w:rPr>
            </w:pPr>
          </w:p>
        </w:tc>
        <w:tc>
          <w:tcPr>
            <w:tcW w:w="100" w:type="dxa"/>
            <w:vAlign w:val="bottom"/>
            <w:tcBorders>
              <w:bottom w:val="single" w:sz="8" w:color="E4E4E4"/>
            </w:tcBorders>
          </w:tcPr>
          <w:p>
            <w:pPr>
              <w:spacing w:after="0"/>
              <w:rPr>
                <w:sz w:val="5"/>
                <w:szCs w:val="5"/>
                <w:color w:val="auto"/>
              </w:rPr>
            </w:pPr>
          </w:p>
        </w:tc>
        <w:tc>
          <w:tcPr>
            <w:tcW w:w="300" w:type="dxa"/>
            <w:vAlign w:val="bottom"/>
            <w:tcBorders>
              <w:bottom w:val="single" w:sz="8" w:color="1E1E1E"/>
            </w:tcBorders>
          </w:tcPr>
          <w:p>
            <w:pPr>
              <w:spacing w:after="0"/>
              <w:rPr>
                <w:sz w:val="5"/>
                <w:szCs w:val="5"/>
                <w:color w:val="auto"/>
              </w:rPr>
            </w:pPr>
          </w:p>
        </w:tc>
        <w:tc>
          <w:tcPr>
            <w:tcW w:w="1020" w:type="dxa"/>
            <w:vAlign w:val="bottom"/>
            <w:tcBorders>
              <w:bottom w:val="single" w:sz="8" w:color="1E1E1E"/>
            </w:tcBorders>
            <w:vMerge w:val="continue"/>
          </w:tcPr>
          <w:p>
            <w:pPr>
              <w:spacing w:after="0"/>
              <w:rPr>
                <w:sz w:val="5"/>
                <w:szCs w:val="5"/>
                <w:color w:val="auto"/>
              </w:rPr>
            </w:pPr>
          </w:p>
        </w:tc>
        <w:tc>
          <w:tcPr>
            <w:tcW w:w="160" w:type="dxa"/>
            <w:vAlign w:val="bottom"/>
            <w:tcBorders>
              <w:bottom w:val="single" w:sz="8" w:color="E4E4E4"/>
            </w:tcBorders>
          </w:tcPr>
          <w:p>
            <w:pPr>
              <w:spacing w:after="0"/>
              <w:rPr>
                <w:sz w:val="5"/>
                <w:szCs w:val="5"/>
                <w:color w:val="auto"/>
              </w:rPr>
            </w:pPr>
          </w:p>
        </w:tc>
        <w:tc>
          <w:tcPr>
            <w:tcW w:w="80" w:type="dxa"/>
            <w:vAlign w:val="bottom"/>
            <w:tcBorders>
              <w:bottom w:val="single" w:sz="8" w:color="E4E4E4"/>
            </w:tcBorders>
          </w:tcPr>
          <w:p>
            <w:pPr>
              <w:spacing w:after="0"/>
              <w:rPr>
                <w:sz w:val="5"/>
                <w:szCs w:val="5"/>
                <w:color w:val="auto"/>
              </w:rPr>
            </w:pPr>
          </w:p>
        </w:tc>
        <w:tc>
          <w:tcPr>
            <w:tcW w:w="300" w:type="dxa"/>
            <w:vAlign w:val="bottom"/>
            <w:tcBorders>
              <w:bottom w:val="single" w:sz="8" w:color="1E1E1E"/>
            </w:tcBorders>
          </w:tcPr>
          <w:p>
            <w:pPr>
              <w:spacing w:after="0"/>
              <w:rPr>
                <w:sz w:val="5"/>
                <w:szCs w:val="5"/>
                <w:color w:val="auto"/>
              </w:rPr>
            </w:pPr>
          </w:p>
        </w:tc>
        <w:tc>
          <w:tcPr>
            <w:tcW w:w="1040" w:type="dxa"/>
            <w:vAlign w:val="bottom"/>
            <w:tcBorders>
              <w:bottom w:val="single" w:sz="8" w:color="1E1E1E"/>
            </w:tcBorders>
            <w:vMerge w:val="continue"/>
          </w:tcPr>
          <w:p>
            <w:pPr>
              <w:spacing w:after="0"/>
              <w:rPr>
                <w:sz w:val="5"/>
                <w:szCs w:val="5"/>
                <w:color w:val="auto"/>
              </w:rPr>
            </w:pPr>
          </w:p>
        </w:tc>
        <w:tc>
          <w:tcPr>
            <w:tcW w:w="100" w:type="dxa"/>
            <w:vAlign w:val="bottom"/>
            <w:tcBorders>
              <w:bottom w:val="single" w:sz="8" w:color="E4E4E4"/>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6"/>
                <w:szCs w:val="16"/>
                <w:b w:val="1"/>
                <w:bCs w:val="1"/>
                <w:color w:val="1E1E1E"/>
              </w:rPr>
              <w:t>Loss before income taxes</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(67,818)</w:t>
            </w:r>
          </w:p>
        </w:tc>
        <w:tc>
          <w:tcPr>
            <w:tcW w:w="1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(79,007)</w:t>
            </w:r>
          </w:p>
        </w:tc>
        <w:tc>
          <w:tcPr>
            <w:tcW w:w="1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(61,381)</w:t>
            </w:r>
          </w:p>
        </w:tc>
        <w:tc>
          <w:tcPr>
            <w:tcW w:w="1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Benefit (provision) for income taxes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353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53"/>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760" w:type="dxa"/>
            <w:vAlign w:val="bottom"/>
            <w:tcBorders>
              <w:top w:val="single" w:sz="8" w:color="E4E4E4"/>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6"/>
                <w:szCs w:val="16"/>
                <w:b w:val="1"/>
                <w:bCs w:val="1"/>
                <w:color w:val="1E1E1E"/>
              </w:rPr>
              <w:t>Net loss</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1E1E1E"/>
              <w:bottom w:val="single" w:sz="8" w:color="E4E4E4"/>
            </w:tcBorders>
            <w:shd w:val="clear" w:color="auto" w:fill="E4E4E4"/>
          </w:tcPr>
          <w:p>
            <w:pPr>
              <w:spacing w:after="0"/>
              <w:rPr>
                <w:sz w:val="20"/>
                <w:szCs w:val="20"/>
                <w:color w:val="auto"/>
              </w:rPr>
            </w:pPr>
          </w:p>
        </w:tc>
        <w:tc>
          <w:tcPr>
            <w:tcW w:w="12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(67,465)</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300" w:type="dxa"/>
            <w:vAlign w:val="bottom"/>
            <w:tcBorders>
              <w:top w:val="single" w:sz="8" w:color="1E1E1E"/>
              <w:bottom w:val="single" w:sz="8" w:color="E4E4E4"/>
            </w:tcBorders>
            <w:shd w:val="clear" w:color="auto" w:fill="E4E4E4"/>
          </w:tcPr>
          <w:p>
            <w:pPr>
              <w:spacing w:after="0"/>
              <w:rPr>
                <w:sz w:val="20"/>
                <w:szCs w:val="20"/>
                <w:color w:val="auto"/>
              </w:rPr>
            </w:pPr>
          </w:p>
        </w:tc>
        <w:tc>
          <w:tcPr>
            <w:tcW w:w="10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(79,043)</w:t>
            </w:r>
          </w:p>
        </w:tc>
        <w:tc>
          <w:tcPr>
            <w:tcW w:w="16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300" w:type="dxa"/>
            <w:vAlign w:val="bottom"/>
            <w:tcBorders>
              <w:top w:val="single" w:sz="8" w:color="1E1E1E"/>
              <w:bottom w:val="single" w:sz="8" w:color="E4E4E4"/>
            </w:tcBorders>
            <w:shd w:val="clear" w:color="auto" w:fill="E4E4E4"/>
          </w:tcPr>
          <w:p>
            <w:pPr>
              <w:spacing w:after="0"/>
              <w:rPr>
                <w:sz w:val="20"/>
                <w:szCs w:val="20"/>
                <w:color w:val="auto"/>
              </w:rPr>
            </w:pPr>
          </w:p>
        </w:tc>
        <w:tc>
          <w:tcPr>
            <w:tcW w:w="10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(61,381)</w:t>
            </w: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1E1E1E"/>
              </w:rPr>
              <w:t>Net income (loss) attributable to noncontrolling interest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1E1E1E"/>
              </w:rPr>
              <w:t>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1E1E1E"/>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(2)</w:t>
            </w: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60" w:type="dxa"/>
            <w:vAlign w:val="bottom"/>
            <w:tcBorders>
              <w:top w:val="single" w:sz="8" w:color="E4E4E4"/>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6"/>
                <w:szCs w:val="16"/>
                <w:b w:val="1"/>
                <w:bCs w:val="1"/>
                <w:color w:val="1E1E1E"/>
              </w:rPr>
              <w:t>Net loss attributable to common stockholders</w:t>
            </w:r>
          </w:p>
        </w:tc>
        <w:tc>
          <w:tcPr>
            <w:tcW w:w="140" w:type="dxa"/>
            <w:vAlign w:val="bottom"/>
            <w:tcBorders>
              <w:top w:val="single" w:sz="8" w:color="E4E4E4"/>
              <w:bottom w:val="single" w:sz="8" w:color="E4E4E4"/>
            </w:tcBorders>
            <w:shd w:val="clear" w:color="auto" w:fill="E4E4E4"/>
          </w:tcPr>
          <w:p>
            <w:pPr>
              <w:spacing w:after="0"/>
              <w:rPr>
                <w:sz w:val="21"/>
                <w:szCs w:val="21"/>
                <w:color w:val="auto"/>
              </w:rPr>
            </w:pPr>
          </w:p>
        </w:tc>
        <w:tc>
          <w:tcPr>
            <w:tcW w:w="20" w:type="dxa"/>
            <w:vAlign w:val="bottom"/>
            <w:tcBorders>
              <w:top w:val="single" w:sz="8" w:color="E4E4E4"/>
              <w:bottom w:val="single" w:sz="8" w:color="E4E4E4"/>
            </w:tcBorders>
            <w:shd w:val="clear" w:color="auto" w:fill="E4E4E4"/>
          </w:tcPr>
          <w:p>
            <w:pPr>
              <w:spacing w:after="0"/>
              <w:rPr>
                <w:sz w:val="21"/>
                <w:szCs w:val="21"/>
                <w:color w:val="auto"/>
              </w:rPr>
            </w:pPr>
          </w:p>
        </w:tc>
        <w:tc>
          <w:tcPr>
            <w:tcW w:w="1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1"/>
                <w:szCs w:val="11"/>
                <w:color w:val="1E1E1E"/>
                <w:w w:val="71"/>
                <w:shd w:val="clear" w:color="auto" w:fill="E4E4E4"/>
              </w:rPr>
              <w:t>$</w:t>
            </w:r>
          </w:p>
        </w:tc>
        <w:tc>
          <w:tcPr>
            <w:tcW w:w="12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(67,472)</w:t>
            </w:r>
          </w:p>
        </w:tc>
        <w:tc>
          <w:tcPr>
            <w:tcW w:w="140" w:type="dxa"/>
            <w:vAlign w:val="bottom"/>
            <w:tcBorders>
              <w:top w:val="single" w:sz="8" w:color="E4E4E4"/>
              <w:bottom w:val="single" w:sz="8" w:color="E4E4E4"/>
            </w:tcBorders>
            <w:shd w:val="clear" w:color="auto" w:fill="E4E4E4"/>
          </w:tcPr>
          <w:p>
            <w:pPr>
              <w:spacing w:after="0"/>
              <w:rPr>
                <w:sz w:val="21"/>
                <w:szCs w:val="21"/>
                <w:color w:val="auto"/>
              </w:rPr>
            </w:pPr>
          </w:p>
        </w:tc>
        <w:tc>
          <w:tcPr>
            <w:tcW w:w="100" w:type="dxa"/>
            <w:vAlign w:val="bottom"/>
            <w:tcBorders>
              <w:top w:val="single" w:sz="8" w:color="E4E4E4"/>
              <w:bottom w:val="single" w:sz="8" w:color="E4E4E4"/>
            </w:tcBorders>
            <w:shd w:val="clear" w:color="auto" w:fill="E4E4E4"/>
          </w:tcPr>
          <w:p>
            <w:pPr>
              <w:spacing w:after="0"/>
              <w:rPr>
                <w:sz w:val="21"/>
                <w:szCs w:val="21"/>
                <w:color w:val="auto"/>
              </w:rPr>
            </w:pPr>
          </w:p>
        </w:tc>
        <w:tc>
          <w:tcPr>
            <w:tcW w:w="300" w:type="dxa"/>
            <w:vAlign w:val="bottom"/>
            <w:tcBorders>
              <w:top w:val="single" w:sz="8" w:color="1E1E1E"/>
              <w:bottom w:val="single" w:sz="8" w:color="1E1E1E"/>
            </w:tcBorders>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w w:val="74"/>
              </w:rPr>
              <w:t>$</w:t>
            </w:r>
          </w:p>
        </w:tc>
        <w:tc>
          <w:tcPr>
            <w:tcW w:w="10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(79,059)</w:t>
            </w:r>
          </w:p>
        </w:tc>
        <w:tc>
          <w:tcPr>
            <w:tcW w:w="160" w:type="dxa"/>
            <w:vAlign w:val="bottom"/>
            <w:tcBorders>
              <w:top w:val="single" w:sz="8" w:color="E4E4E4"/>
              <w:bottom w:val="single" w:sz="8" w:color="E4E4E4"/>
            </w:tcBorders>
            <w:shd w:val="clear" w:color="auto" w:fill="E4E4E4"/>
          </w:tcPr>
          <w:p>
            <w:pPr>
              <w:spacing w:after="0"/>
              <w:rPr>
                <w:sz w:val="21"/>
                <w:szCs w:val="21"/>
                <w:color w:val="auto"/>
              </w:rPr>
            </w:pPr>
          </w:p>
        </w:tc>
        <w:tc>
          <w:tcPr>
            <w:tcW w:w="80" w:type="dxa"/>
            <w:vAlign w:val="bottom"/>
            <w:tcBorders>
              <w:top w:val="single" w:sz="8" w:color="E4E4E4"/>
              <w:bottom w:val="single" w:sz="8" w:color="E4E4E4"/>
            </w:tcBorders>
            <w:shd w:val="clear" w:color="auto" w:fill="E4E4E4"/>
          </w:tcPr>
          <w:p>
            <w:pPr>
              <w:spacing w:after="0"/>
              <w:rPr>
                <w:sz w:val="21"/>
                <w:szCs w:val="21"/>
                <w:color w:val="auto"/>
              </w:rPr>
            </w:pPr>
          </w:p>
        </w:tc>
        <w:tc>
          <w:tcPr>
            <w:tcW w:w="300" w:type="dxa"/>
            <w:vAlign w:val="bottom"/>
            <w:tcBorders>
              <w:top w:val="single" w:sz="8" w:color="1E1E1E"/>
              <w:bottom w:val="single" w:sz="8" w:color="1E1E1E"/>
            </w:tcBorders>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(61,379)</w:t>
            </w:r>
          </w:p>
        </w:tc>
        <w:tc>
          <w:tcPr>
            <w:tcW w:w="100" w:type="dxa"/>
            <w:vAlign w:val="bottom"/>
            <w:tcBorders>
              <w:top w:val="single" w:sz="8" w:color="E4E4E4"/>
              <w:bottom w:val="single" w:sz="8" w:color="E4E4E4"/>
            </w:tcBorders>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color w:val="1E1E1E"/>
              </w:rPr>
              <w:t>Net loss per share, basic and diluted, of Class A and Class B common stock</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1E1E1E"/>
                <w:w w:val="74"/>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(1.68)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1E1E1E"/>
                <w:w w:val="7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5760" w:type="dxa"/>
            <w:vAlign w:val="bottom"/>
            <w:tcBorders>
              <w:bottom w:val="single" w:sz="8" w:color="E4E4E4"/>
            </w:tcBorders>
          </w:tcPr>
          <w:p>
            <w:pPr>
              <w:spacing w:after="0"/>
              <w:rPr>
                <w:sz w:val="9"/>
                <w:szCs w:val="9"/>
                <w:color w:val="auto"/>
              </w:rPr>
            </w:pPr>
          </w:p>
        </w:tc>
        <w:tc>
          <w:tcPr>
            <w:tcW w:w="140" w:type="dxa"/>
            <w:vAlign w:val="bottom"/>
            <w:tcBorders>
              <w:bottom w:val="single" w:sz="8" w:color="E4E4E4"/>
            </w:tcBorders>
          </w:tcPr>
          <w:p>
            <w:pPr>
              <w:spacing w:after="0"/>
              <w:rPr>
                <w:sz w:val="9"/>
                <w:szCs w:val="9"/>
                <w:color w:val="auto"/>
              </w:rPr>
            </w:pPr>
          </w:p>
        </w:tc>
        <w:tc>
          <w:tcPr>
            <w:tcW w:w="20" w:type="dxa"/>
            <w:vAlign w:val="bottom"/>
            <w:tcBorders>
              <w:bottom w:val="single" w:sz="8" w:color="E4E4E4"/>
            </w:tcBorders>
          </w:tcPr>
          <w:p>
            <w:pPr>
              <w:spacing w:after="0"/>
              <w:rPr>
                <w:sz w:val="9"/>
                <w:szCs w:val="9"/>
                <w:color w:val="auto"/>
              </w:rPr>
            </w:pPr>
          </w:p>
        </w:tc>
        <w:tc>
          <w:tcPr>
            <w:tcW w:w="100" w:type="dxa"/>
            <w:vAlign w:val="bottom"/>
            <w:tcBorders>
              <w:bottom w:val="single" w:sz="8" w:color="1E1E1E"/>
            </w:tcBorders>
            <w:vMerge w:val="continue"/>
          </w:tcPr>
          <w:p>
            <w:pPr>
              <w:spacing w:after="0"/>
              <w:rPr>
                <w:sz w:val="9"/>
                <w:szCs w:val="9"/>
                <w:color w:val="auto"/>
              </w:rPr>
            </w:pPr>
          </w:p>
        </w:tc>
        <w:tc>
          <w:tcPr>
            <w:tcW w:w="1220" w:type="dxa"/>
            <w:vAlign w:val="bottom"/>
            <w:tcBorders>
              <w:bottom w:val="single" w:sz="8" w:color="1E1E1E"/>
            </w:tcBorders>
            <w:vMerge w:val="continue"/>
          </w:tcPr>
          <w:p>
            <w:pPr>
              <w:spacing w:after="0"/>
              <w:rPr>
                <w:sz w:val="9"/>
                <w:szCs w:val="9"/>
                <w:color w:val="auto"/>
              </w:rPr>
            </w:pPr>
          </w:p>
        </w:tc>
        <w:tc>
          <w:tcPr>
            <w:tcW w:w="140" w:type="dxa"/>
            <w:vAlign w:val="bottom"/>
            <w:tcBorders>
              <w:bottom w:val="single" w:sz="8" w:color="E4E4E4"/>
            </w:tcBorders>
          </w:tcPr>
          <w:p>
            <w:pPr>
              <w:spacing w:after="0"/>
              <w:rPr>
                <w:sz w:val="9"/>
                <w:szCs w:val="9"/>
                <w:color w:val="auto"/>
              </w:rPr>
            </w:pPr>
          </w:p>
        </w:tc>
        <w:tc>
          <w:tcPr>
            <w:tcW w:w="100" w:type="dxa"/>
            <w:vAlign w:val="bottom"/>
            <w:tcBorders>
              <w:bottom w:val="single" w:sz="8" w:color="E4E4E4"/>
            </w:tcBorders>
          </w:tcPr>
          <w:p>
            <w:pPr>
              <w:spacing w:after="0"/>
              <w:rPr>
                <w:sz w:val="9"/>
                <w:szCs w:val="9"/>
                <w:color w:val="auto"/>
              </w:rPr>
            </w:pPr>
          </w:p>
        </w:tc>
        <w:tc>
          <w:tcPr>
            <w:tcW w:w="300" w:type="dxa"/>
            <w:vAlign w:val="bottom"/>
            <w:tcBorders>
              <w:bottom w:val="single" w:sz="8" w:color="1E1E1E"/>
            </w:tcBorders>
            <w:vMerge w:val="continue"/>
          </w:tcPr>
          <w:p>
            <w:pPr>
              <w:spacing w:after="0"/>
              <w:rPr>
                <w:sz w:val="9"/>
                <w:szCs w:val="9"/>
                <w:color w:val="auto"/>
              </w:rPr>
            </w:pPr>
          </w:p>
        </w:tc>
        <w:tc>
          <w:tcPr>
            <w:tcW w:w="1020" w:type="dxa"/>
            <w:vAlign w:val="bottom"/>
            <w:tcBorders>
              <w:bottom w:val="single" w:sz="8" w:color="1E1E1E"/>
            </w:tcBorders>
            <w:vMerge w:val="continue"/>
          </w:tcPr>
          <w:p>
            <w:pPr>
              <w:spacing w:after="0"/>
              <w:rPr>
                <w:sz w:val="9"/>
                <w:szCs w:val="9"/>
                <w:color w:val="auto"/>
              </w:rPr>
            </w:pPr>
          </w:p>
        </w:tc>
        <w:tc>
          <w:tcPr>
            <w:tcW w:w="160" w:type="dxa"/>
            <w:vAlign w:val="bottom"/>
            <w:tcBorders>
              <w:bottom w:val="single" w:sz="8" w:color="E4E4E4"/>
            </w:tcBorders>
          </w:tcPr>
          <w:p>
            <w:pPr>
              <w:spacing w:after="0"/>
              <w:rPr>
                <w:sz w:val="9"/>
                <w:szCs w:val="9"/>
                <w:color w:val="auto"/>
              </w:rPr>
            </w:pPr>
          </w:p>
        </w:tc>
        <w:tc>
          <w:tcPr>
            <w:tcW w:w="80" w:type="dxa"/>
            <w:vAlign w:val="bottom"/>
            <w:tcBorders>
              <w:bottom w:val="single" w:sz="8" w:color="E4E4E4"/>
            </w:tcBorders>
          </w:tcPr>
          <w:p>
            <w:pPr>
              <w:spacing w:after="0"/>
              <w:rPr>
                <w:sz w:val="9"/>
                <w:szCs w:val="9"/>
                <w:color w:val="auto"/>
              </w:rPr>
            </w:pPr>
          </w:p>
        </w:tc>
        <w:tc>
          <w:tcPr>
            <w:tcW w:w="300" w:type="dxa"/>
            <w:vAlign w:val="bottom"/>
            <w:tcBorders>
              <w:bottom w:val="single" w:sz="8" w:color="1E1E1E"/>
            </w:tcBorders>
            <w:vMerge w:val="continue"/>
          </w:tcPr>
          <w:p>
            <w:pPr>
              <w:spacing w:after="0"/>
              <w:rPr>
                <w:sz w:val="9"/>
                <w:szCs w:val="9"/>
                <w:color w:val="auto"/>
              </w:rPr>
            </w:pPr>
          </w:p>
        </w:tc>
        <w:tc>
          <w:tcPr>
            <w:tcW w:w="1040" w:type="dxa"/>
            <w:vAlign w:val="bottom"/>
            <w:tcBorders>
              <w:bottom w:val="single" w:sz="8" w:color="1E1E1E"/>
            </w:tcBorders>
            <w:vMerge w:val="continue"/>
          </w:tcPr>
          <w:p>
            <w:pPr>
              <w:spacing w:after="0"/>
              <w:rPr>
                <w:sz w:val="9"/>
                <w:szCs w:val="9"/>
                <w:color w:val="auto"/>
              </w:rPr>
            </w:pPr>
          </w:p>
        </w:tc>
        <w:tc>
          <w:tcPr>
            <w:tcW w:w="100" w:type="dxa"/>
            <w:vAlign w:val="bottom"/>
            <w:tcBorders>
              <w:bottom w:val="single" w:sz="8" w:color="E4E4E4"/>
            </w:tcBorders>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5760" w:type="dxa"/>
            <w:vAlign w:val="bottom"/>
            <w:shd w:val="clear" w:color="auto" w:fill="E4E4E4"/>
          </w:tcPr>
          <w:p>
            <w:pPr>
              <w:spacing w:after="0" w:line="145" w:lineRule="exact"/>
              <w:rPr>
                <w:sz w:val="20"/>
                <w:szCs w:val="20"/>
                <w:color w:val="auto"/>
              </w:rPr>
            </w:pPr>
            <w:r>
              <w:rPr>
                <w:rFonts w:ascii="Times New Roman" w:cs="Times New Roman" w:eastAsia="Times New Roman" w:hAnsi="Times New Roman"/>
                <w:sz w:val="16"/>
                <w:szCs w:val="16"/>
                <w:color w:val="1E1E1E"/>
              </w:rPr>
              <w:t>Weighted-average number of shares outstanding used to compute</w:t>
            </w:r>
          </w:p>
        </w:tc>
        <w:tc>
          <w:tcPr>
            <w:tcW w:w="140" w:type="dxa"/>
            <w:vAlign w:val="bottom"/>
            <w:shd w:val="clear" w:color="auto" w:fill="E4E4E4"/>
          </w:tcPr>
          <w:p>
            <w:pPr>
              <w:spacing w:after="0"/>
              <w:rPr>
                <w:sz w:val="12"/>
                <w:szCs w:val="12"/>
                <w:color w:val="auto"/>
              </w:rPr>
            </w:pPr>
          </w:p>
        </w:tc>
        <w:tc>
          <w:tcPr>
            <w:tcW w:w="20" w:type="dxa"/>
            <w:vAlign w:val="bottom"/>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1220" w:type="dxa"/>
            <w:vAlign w:val="bottom"/>
            <w:shd w:val="clear" w:color="auto" w:fill="E4E4E4"/>
          </w:tcPr>
          <w:p>
            <w:pPr>
              <w:spacing w:after="0"/>
              <w:rPr>
                <w:sz w:val="12"/>
                <w:szCs w:val="12"/>
                <w:color w:val="auto"/>
              </w:rPr>
            </w:pPr>
          </w:p>
        </w:tc>
        <w:tc>
          <w:tcPr>
            <w:tcW w:w="140" w:type="dxa"/>
            <w:vAlign w:val="bottom"/>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300" w:type="dxa"/>
            <w:vAlign w:val="bottom"/>
            <w:shd w:val="clear" w:color="auto" w:fill="E4E4E4"/>
          </w:tcPr>
          <w:p>
            <w:pPr>
              <w:spacing w:after="0"/>
              <w:rPr>
                <w:sz w:val="12"/>
                <w:szCs w:val="12"/>
                <w:color w:val="auto"/>
              </w:rPr>
            </w:pPr>
          </w:p>
        </w:tc>
        <w:tc>
          <w:tcPr>
            <w:tcW w:w="1020" w:type="dxa"/>
            <w:vAlign w:val="bottom"/>
            <w:shd w:val="clear" w:color="auto" w:fill="E4E4E4"/>
          </w:tcPr>
          <w:p>
            <w:pPr>
              <w:spacing w:after="0"/>
              <w:rPr>
                <w:sz w:val="12"/>
                <w:szCs w:val="12"/>
                <w:color w:val="auto"/>
              </w:rPr>
            </w:pPr>
          </w:p>
        </w:tc>
        <w:tc>
          <w:tcPr>
            <w:tcW w:w="160" w:type="dxa"/>
            <w:vAlign w:val="bottom"/>
            <w:shd w:val="clear" w:color="auto" w:fill="E4E4E4"/>
          </w:tcPr>
          <w:p>
            <w:pPr>
              <w:spacing w:after="0"/>
              <w:rPr>
                <w:sz w:val="12"/>
                <w:szCs w:val="12"/>
                <w:color w:val="auto"/>
              </w:rPr>
            </w:pPr>
          </w:p>
        </w:tc>
        <w:tc>
          <w:tcPr>
            <w:tcW w:w="80" w:type="dxa"/>
            <w:vAlign w:val="bottom"/>
            <w:shd w:val="clear" w:color="auto" w:fill="E4E4E4"/>
          </w:tcPr>
          <w:p>
            <w:pPr>
              <w:spacing w:after="0"/>
              <w:rPr>
                <w:sz w:val="12"/>
                <w:szCs w:val="12"/>
                <w:color w:val="auto"/>
              </w:rPr>
            </w:pPr>
          </w:p>
        </w:tc>
        <w:tc>
          <w:tcPr>
            <w:tcW w:w="300" w:type="dxa"/>
            <w:vAlign w:val="bottom"/>
            <w:shd w:val="clear" w:color="auto" w:fill="E4E4E4"/>
          </w:tcPr>
          <w:p>
            <w:pPr>
              <w:spacing w:after="0"/>
              <w:rPr>
                <w:sz w:val="12"/>
                <w:szCs w:val="12"/>
                <w:color w:val="auto"/>
              </w:rPr>
            </w:pPr>
          </w:p>
        </w:tc>
        <w:tc>
          <w:tcPr>
            <w:tcW w:w="1040" w:type="dxa"/>
            <w:vAlign w:val="bottom"/>
            <w:shd w:val="clear" w:color="auto" w:fill="E4E4E4"/>
          </w:tcPr>
          <w:p>
            <w:pPr>
              <w:spacing w:after="0"/>
              <w:rPr>
                <w:sz w:val="12"/>
                <w:szCs w:val="12"/>
                <w:color w:val="auto"/>
              </w:rPr>
            </w:pPr>
          </w:p>
        </w:tc>
        <w:tc>
          <w:tcPr>
            <w:tcW w:w="100" w:type="dxa"/>
            <w:vAlign w:val="bottom"/>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760" w:type="dxa"/>
            <w:vAlign w:val="bottom"/>
            <w:tcBorders>
              <w:bottom w:val="single" w:sz="8" w:color="E4E4E4"/>
            </w:tcBorders>
            <w:shd w:val="clear" w:color="auto" w:fill="E4E4E4"/>
          </w:tcPr>
          <w:p>
            <w:pPr>
              <w:ind w:left="120"/>
              <w:spacing w:after="0"/>
              <w:rPr>
                <w:sz w:val="20"/>
                <w:szCs w:val="20"/>
                <w:color w:val="auto"/>
              </w:rPr>
            </w:pPr>
            <w:r>
              <w:rPr>
                <w:rFonts w:ascii="Times New Roman" w:cs="Times New Roman" w:eastAsia="Times New Roman" w:hAnsi="Times New Roman"/>
                <w:sz w:val="16"/>
                <w:szCs w:val="16"/>
                <w:color w:val="1E1E1E"/>
              </w:rPr>
              <w:t>net loss per share, basic and diluted, of Class A and Class B common stock</w:t>
            </w:r>
          </w:p>
        </w:tc>
        <w:tc>
          <w:tcPr>
            <w:tcW w:w="140" w:type="dxa"/>
            <w:vAlign w:val="bottom"/>
            <w:tcBorders>
              <w:bottom w:val="single" w:sz="8" w:color="E4E4E4"/>
            </w:tcBorders>
            <w:shd w:val="clear" w:color="auto" w:fill="E4E4E4"/>
          </w:tcPr>
          <w:p>
            <w:pPr>
              <w:spacing w:after="0"/>
              <w:rPr>
                <w:sz w:val="18"/>
                <w:szCs w:val="18"/>
                <w:color w:val="auto"/>
              </w:rPr>
            </w:pPr>
          </w:p>
        </w:tc>
        <w:tc>
          <w:tcPr>
            <w:tcW w:w="2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1E1E1E"/>
            </w:tcBorders>
            <w:shd w:val="clear" w:color="auto" w:fill="E4E4E4"/>
          </w:tcPr>
          <w:p>
            <w:pPr>
              <w:spacing w:after="0"/>
              <w:rPr>
                <w:sz w:val="18"/>
                <w:szCs w:val="18"/>
                <w:color w:val="auto"/>
              </w:rPr>
            </w:pPr>
          </w:p>
        </w:tc>
        <w:tc>
          <w:tcPr>
            <w:tcW w:w="12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47,914,039</w:t>
            </w:r>
          </w:p>
        </w:tc>
        <w:tc>
          <w:tcPr>
            <w:tcW w:w="140" w:type="dxa"/>
            <w:vAlign w:val="bottom"/>
            <w:tcBorders>
              <w:bottom w:val="single" w:sz="8" w:color="E4E4E4"/>
            </w:tcBorders>
            <w:shd w:val="clear" w:color="auto" w:fill="E4E4E4"/>
          </w:tcPr>
          <w:p>
            <w:pPr>
              <w:spacing w:after="0"/>
              <w:rPr>
                <w:sz w:val="18"/>
                <w:szCs w:val="18"/>
                <w:color w:val="auto"/>
              </w:rPr>
            </w:pPr>
          </w:p>
        </w:tc>
        <w:tc>
          <w:tcPr>
            <w:tcW w:w="100" w:type="dxa"/>
            <w:vAlign w:val="bottom"/>
            <w:tcBorders>
              <w:bottom w:val="single" w:sz="8" w:color="E4E4E4"/>
            </w:tcBorders>
            <w:shd w:val="clear" w:color="auto" w:fill="E4E4E4"/>
          </w:tcPr>
          <w:p>
            <w:pPr>
              <w:spacing w:after="0"/>
              <w:rPr>
                <w:sz w:val="18"/>
                <w:szCs w:val="18"/>
                <w:color w:val="auto"/>
              </w:rPr>
            </w:pPr>
          </w:p>
        </w:tc>
        <w:tc>
          <w:tcPr>
            <w:tcW w:w="300" w:type="dxa"/>
            <w:vAlign w:val="bottom"/>
            <w:tcBorders>
              <w:bottom w:val="single" w:sz="8" w:color="1E1E1E"/>
            </w:tcBorders>
            <w:shd w:val="clear" w:color="auto" w:fill="E4E4E4"/>
          </w:tcPr>
          <w:p>
            <w:pPr>
              <w:spacing w:after="0"/>
              <w:rPr>
                <w:sz w:val="18"/>
                <w:szCs w:val="18"/>
                <w:color w:val="auto"/>
              </w:rPr>
            </w:pPr>
          </w:p>
        </w:tc>
        <w:tc>
          <w:tcPr>
            <w:tcW w:w="102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47,158,247</w:t>
            </w:r>
          </w:p>
        </w:tc>
        <w:tc>
          <w:tcPr>
            <w:tcW w:w="160" w:type="dxa"/>
            <w:vAlign w:val="bottom"/>
            <w:tcBorders>
              <w:bottom w:val="single" w:sz="8" w:color="E4E4E4"/>
            </w:tcBorders>
            <w:shd w:val="clear" w:color="auto" w:fill="E4E4E4"/>
          </w:tcPr>
          <w:p>
            <w:pPr>
              <w:spacing w:after="0"/>
              <w:rPr>
                <w:sz w:val="18"/>
                <w:szCs w:val="18"/>
                <w:color w:val="auto"/>
              </w:rPr>
            </w:pPr>
          </w:p>
        </w:tc>
        <w:tc>
          <w:tcPr>
            <w:tcW w:w="80" w:type="dxa"/>
            <w:vAlign w:val="bottom"/>
            <w:tcBorders>
              <w:bottom w:val="single" w:sz="8" w:color="E4E4E4"/>
            </w:tcBorders>
            <w:shd w:val="clear" w:color="auto" w:fill="E4E4E4"/>
          </w:tcPr>
          <w:p>
            <w:pPr>
              <w:spacing w:after="0"/>
              <w:rPr>
                <w:sz w:val="18"/>
                <w:szCs w:val="18"/>
                <w:color w:val="auto"/>
              </w:rPr>
            </w:pPr>
          </w:p>
        </w:tc>
        <w:tc>
          <w:tcPr>
            <w:tcW w:w="300" w:type="dxa"/>
            <w:vAlign w:val="bottom"/>
            <w:tcBorders>
              <w:bottom w:val="single" w:sz="8" w:color="1E1E1E"/>
            </w:tcBorders>
            <w:shd w:val="clear" w:color="auto" w:fill="E4E4E4"/>
          </w:tcPr>
          <w:p>
            <w:pPr>
              <w:spacing w:after="0"/>
              <w:rPr>
                <w:sz w:val="18"/>
                <w:szCs w:val="18"/>
                <w:color w:val="auto"/>
              </w:rPr>
            </w:pPr>
          </w:p>
        </w:tc>
        <w:tc>
          <w:tcPr>
            <w:tcW w:w="10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26,318,349</w:t>
            </w:r>
          </w:p>
        </w:tc>
        <w:tc>
          <w:tcPr>
            <w:tcW w:w="100" w:type="dxa"/>
            <w:vAlign w:val="bottom"/>
            <w:tcBorders>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color w:val="1E1E1E"/>
              </w:rPr>
              <w:t>Comprehensive loss: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5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5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ind w:left="200"/>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260" w:type="dxa"/>
            <w:vAlign w:val="bottom"/>
            <w:tcBorders>
              <w:bottom w:val="single" w:sz="8" w:color="E4E4E4"/>
            </w:tcBorders>
            <w:gridSpan w:val="3"/>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849</w:t>
            </w:r>
          </w:p>
        </w:tc>
        <w:tc>
          <w:tcPr>
            <w:tcW w:w="400" w:type="dxa"/>
            <w:vAlign w:val="bottom"/>
            <w:tcBorders>
              <w:bottom w:val="single" w:sz="8" w:color="E4E4E4"/>
            </w:tcBorders>
            <w:gridSpan w:val="2"/>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18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6"/>
                <w:szCs w:val="16"/>
                <w:color w:val="1E1E1E"/>
              </w:rPr>
              <w:t>(81)</w:t>
            </w:r>
          </w:p>
        </w:tc>
        <w:tc>
          <w:tcPr>
            <w:tcW w:w="380" w:type="dxa"/>
            <w:vAlign w:val="bottom"/>
            <w:tcBorders>
              <w:bottom w:val="single" w:sz="8" w:color="E4E4E4"/>
            </w:tcBorders>
            <w:gridSpan w:val="2"/>
            <w:shd w:val="clear" w:color="auto" w:fill="E4E4E4"/>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1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6"/>
                <w:szCs w:val="16"/>
                <w:color w:val="1E1E1E"/>
              </w:rPr>
              <w:t>(61)</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1E1E1E"/>
              </w:rPr>
              <w:t>Total other comprehensive income (loss)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1220" w:type="dxa"/>
            <w:vAlign w:val="bottom"/>
            <w:shd w:val="clear" w:color="auto" w:fill="1E1E1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14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(81)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(61)</w:t>
            </w:r>
          </w:p>
        </w:tc>
        <w:tc>
          <w:tcPr>
            <w:tcW w:w="0" w:type="dxa"/>
            <w:vAlign w:val="bottom"/>
          </w:tcPr>
          <w:p>
            <w:pPr>
              <w:spacing w:after="0"/>
              <w:rPr>
                <w:sz w:val="1"/>
                <w:szCs w:val="1"/>
                <w:color w:val="auto"/>
              </w:rPr>
            </w:pPr>
          </w:p>
        </w:tc>
      </w:tr>
      <w:tr>
        <w:trPr>
          <w:trHeight w:val="63"/>
        </w:trPr>
        <w:tc>
          <w:tcPr>
            <w:tcW w:w="5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760" w:type="dxa"/>
            <w:vAlign w:val="bottom"/>
            <w:tcBorders>
              <w:top w:val="single" w:sz="8" w:color="E4E4E4"/>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b w:val="1"/>
                <w:bCs w:val="1"/>
                <w:color w:val="1E1E1E"/>
              </w:rPr>
              <w:t>Net loss</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1E1E1E"/>
              <w:bottom w:val="single" w:sz="8" w:color="E4E4E4"/>
            </w:tcBorders>
            <w:shd w:val="clear" w:color="auto" w:fill="E4E4E4"/>
          </w:tcPr>
          <w:p>
            <w:pPr>
              <w:spacing w:after="0"/>
              <w:rPr>
                <w:sz w:val="20"/>
                <w:szCs w:val="20"/>
                <w:color w:val="auto"/>
              </w:rPr>
            </w:pPr>
          </w:p>
        </w:tc>
        <w:tc>
          <w:tcPr>
            <w:tcW w:w="12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(67,465)</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300" w:type="dxa"/>
            <w:vAlign w:val="bottom"/>
            <w:tcBorders>
              <w:top w:val="single" w:sz="8" w:color="1E1E1E"/>
              <w:bottom w:val="single" w:sz="8" w:color="E4E4E4"/>
            </w:tcBorders>
            <w:shd w:val="clear" w:color="auto" w:fill="E4E4E4"/>
          </w:tcPr>
          <w:p>
            <w:pPr>
              <w:spacing w:after="0"/>
              <w:rPr>
                <w:sz w:val="20"/>
                <w:szCs w:val="20"/>
                <w:color w:val="auto"/>
              </w:rPr>
            </w:pPr>
          </w:p>
        </w:tc>
        <w:tc>
          <w:tcPr>
            <w:tcW w:w="102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(79,043)</w:t>
            </w:r>
          </w:p>
        </w:tc>
        <w:tc>
          <w:tcPr>
            <w:tcW w:w="16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300" w:type="dxa"/>
            <w:vAlign w:val="bottom"/>
            <w:tcBorders>
              <w:top w:val="single" w:sz="8" w:color="1E1E1E"/>
              <w:bottom w:val="single" w:sz="8" w:color="E4E4E4"/>
            </w:tcBorders>
            <w:shd w:val="clear" w:color="auto" w:fill="E4E4E4"/>
          </w:tcPr>
          <w:p>
            <w:pPr>
              <w:spacing w:after="0"/>
              <w:rPr>
                <w:sz w:val="20"/>
                <w:szCs w:val="20"/>
                <w:color w:val="auto"/>
              </w:rPr>
            </w:pPr>
          </w:p>
        </w:tc>
        <w:tc>
          <w:tcPr>
            <w:tcW w:w="104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(61,381)</w:t>
            </w: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Comprehensive loss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1220" w:type="dxa"/>
            <w:vAlign w:val="bottom"/>
            <w:shd w:val="clear" w:color="auto" w:fill="1E1E1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(66,616)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(79,124)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(61,442)</w:t>
            </w:r>
          </w:p>
        </w:tc>
        <w:tc>
          <w:tcPr>
            <w:tcW w:w="0" w:type="dxa"/>
            <w:vAlign w:val="bottom"/>
          </w:tcPr>
          <w:p>
            <w:pPr>
              <w:spacing w:after="0"/>
              <w:rPr>
                <w:sz w:val="1"/>
                <w:szCs w:val="1"/>
                <w:color w:val="auto"/>
              </w:rPr>
            </w:pPr>
          </w:p>
        </w:tc>
      </w:tr>
      <w:tr>
        <w:trPr>
          <w:trHeight w:val="56"/>
        </w:trPr>
        <w:tc>
          <w:tcPr>
            <w:tcW w:w="5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7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6"/>
                <w:szCs w:val="16"/>
                <w:color w:val="1E1E1E"/>
              </w:rPr>
              <w:t>Comprehensive income attributable to noncontrolling interest</w:t>
            </w:r>
          </w:p>
        </w:tc>
        <w:tc>
          <w:tcPr>
            <w:tcW w:w="140" w:type="dxa"/>
            <w:vAlign w:val="bottom"/>
            <w:tcBorders>
              <w:bottom w:val="single" w:sz="8" w:color="E4E4E4"/>
            </w:tcBorders>
            <w:shd w:val="clear" w:color="auto" w:fill="E4E4E4"/>
          </w:tcPr>
          <w:p>
            <w:pPr>
              <w:spacing w:after="0"/>
              <w:rPr>
                <w:sz w:val="20"/>
                <w:szCs w:val="20"/>
                <w:color w:val="auto"/>
              </w:rPr>
            </w:pPr>
          </w:p>
        </w:tc>
        <w:tc>
          <w:tcPr>
            <w:tcW w:w="2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6"/>
                <w:szCs w:val="16"/>
                <w:color w:val="1E1E1E"/>
              </w:rPr>
              <w:t>29</w:t>
            </w:r>
          </w:p>
        </w:tc>
        <w:tc>
          <w:tcPr>
            <w:tcW w:w="10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6"/>
                <w:szCs w:val="16"/>
                <w:color w:val="1E1E1E"/>
              </w:rPr>
              <w:t>56</w:t>
            </w:r>
          </w:p>
        </w:tc>
        <w:tc>
          <w:tcPr>
            <w:tcW w:w="8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1E1E1E"/>
              </w:rPr>
              <w:t>Total comprehensive loss attributable to common stockholders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1E1E1E"/>
          </w:tcPr>
          <w:p>
            <w:pPr>
              <w:spacing w:after="0" w:line="20" w:lineRule="exact"/>
              <w:rPr>
                <w:sz w:val="1"/>
                <w:szCs w:val="1"/>
                <w:color w:val="auto"/>
              </w:rPr>
            </w:pPr>
          </w:p>
        </w:tc>
        <w:tc>
          <w:tcPr>
            <w:tcW w:w="1220" w:type="dxa"/>
            <w:vAlign w:val="bottom"/>
            <w:shd w:val="clear" w:color="auto" w:fill="1E1E1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20" w:type="dxa"/>
            <w:vAlign w:val="bottom"/>
            <w:shd w:val="clear" w:color="auto" w:fill="1E1E1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1E1E1E"/>
          </w:tcPr>
          <w:p>
            <w:pPr>
              <w:spacing w:after="0" w:line="20" w:lineRule="exact"/>
              <w:rPr>
                <w:sz w:val="1"/>
                <w:szCs w:val="1"/>
                <w:color w:val="auto"/>
              </w:rPr>
            </w:pPr>
          </w:p>
        </w:tc>
        <w:tc>
          <w:tcPr>
            <w:tcW w:w="104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(66,645)</w:t>
            </w:r>
          </w:p>
        </w:tc>
        <w:tc>
          <w:tcPr>
            <w:tcW w:w="40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1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1E1E1E"/>
              </w:rPr>
              <w:t>(79,180)</w:t>
            </w:r>
          </w:p>
        </w:tc>
        <w:tc>
          <w:tcPr>
            <w:tcW w:w="3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6"/>
                <w:szCs w:val="16"/>
                <w:color w:val="1E1E1E"/>
              </w:rPr>
              <w:t>$</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1E1E1E"/>
              </w:rPr>
              <w:t>(61,442)</w:t>
            </w:r>
          </w:p>
        </w:tc>
        <w:tc>
          <w:tcPr>
            <w:tcW w:w="0" w:type="dxa"/>
            <w:vAlign w:val="bottom"/>
          </w:tcPr>
          <w:p>
            <w:pPr>
              <w:spacing w:after="0"/>
              <w:rPr>
                <w:sz w:val="1"/>
                <w:szCs w:val="1"/>
                <w:color w:val="auto"/>
              </w:rPr>
            </w:pPr>
          </w:p>
        </w:tc>
      </w:tr>
      <w:tr>
        <w:trPr>
          <w:trHeight w:val="56"/>
        </w:trPr>
        <w:tc>
          <w:tcPr>
            <w:tcW w:w="576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1220" w:type="dxa"/>
            <w:vAlign w:val="bottom"/>
            <w:tcBorders>
              <w:top w:val="single" w:sz="8" w:color="1E1E1E"/>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1E1E1E"/>
        </w:rPr>
        <w:t>See accompanying notes to the consolidated financial statements.</w:t>
      </w:r>
    </w:p>
    <w:p>
      <w:pPr>
        <w:sectPr>
          <w:pgSz w:w="11880" w:h="15480" w:orient="portrait"/>
          <w:cols w:equalWidth="0" w:num="1">
            <w:col w:w="10480"/>
          </w:cols>
          <w:pgMar w:left="700" w:top="953" w:right="70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71</w:t>
      </w:r>
    </w:p>
    <w:p>
      <w:pPr>
        <w:sectPr>
          <w:pgSz w:w="11880" w:h="15480" w:orient="portrait"/>
          <w:cols w:equalWidth="0" w:num="1">
            <w:col w:w="10480"/>
          </w:cols>
          <w:pgMar w:left="700" w:top="953" w:right="700" w:bottom="215" w:gutter="0" w:footer="0" w:header="0"/>
          <w:type w:val="continuous"/>
        </w:sectPr>
      </w:pPr>
    </w:p>
    <w:bookmarkStart w:id="77" w:name="page78"/>
    <w:bookmarkEnd w:id="77"/>
    <w:p>
      <w:pPr>
        <w:jc w:val="center"/>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Consolidated Statements of Changes in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(In thousands, except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2380" w:type="dxa"/>
            <w:vAlign w:val="bottom"/>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1820" w:type="dxa"/>
            <w:vAlign w:val="bottom"/>
            <w:gridSpan w:val="6"/>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1E1E1E"/>
                <w:w w:val="96"/>
              </w:rPr>
              <w:t>Seed-1, Seed-2, Series A-1,</w:t>
            </w:r>
          </w:p>
        </w:tc>
        <w:tc>
          <w:tcPr>
            <w:tcW w:w="6000" w:type="dxa"/>
            <w:vAlign w:val="bottom"/>
            <w:gridSpan w:val="26"/>
          </w:tcPr>
          <w:p>
            <w:pPr>
              <w:spacing w:after="0"/>
              <w:rPr>
                <w:sz w:val="4"/>
                <w:szCs w:val="4"/>
                <w:color w:val="auto"/>
              </w:rPr>
            </w:pPr>
          </w:p>
        </w:tc>
        <w:tc>
          <w:tcPr>
            <w:tcW w:w="92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1E1E1E"/>
                <w:w w:val="96"/>
              </w:rPr>
              <w:t>Accumulated</w:t>
            </w:r>
          </w:p>
        </w:tc>
        <w:tc>
          <w:tcPr>
            <w:tcW w:w="3700" w:type="dxa"/>
            <w:vAlign w:val="bottom"/>
            <w:gridSpan w:val="28"/>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2380" w:type="dxa"/>
            <w:vAlign w:val="bottom"/>
            <w:gridSpan w:val="4"/>
          </w:tcPr>
          <w:p>
            <w:pPr>
              <w:spacing w:after="0"/>
              <w:rPr>
                <w:sz w:val="9"/>
                <w:szCs w:val="9"/>
                <w:color w:val="auto"/>
              </w:rPr>
            </w:pPr>
          </w:p>
        </w:tc>
        <w:tc>
          <w:tcPr>
            <w:tcW w:w="20" w:type="dxa"/>
            <w:vAlign w:val="bottom"/>
            <w:vMerge w:val="continue"/>
          </w:tcPr>
          <w:p>
            <w:pPr>
              <w:spacing w:after="0"/>
              <w:rPr>
                <w:sz w:val="9"/>
                <w:szCs w:val="9"/>
                <w:color w:val="auto"/>
              </w:rPr>
            </w:pPr>
          </w:p>
        </w:tc>
        <w:tc>
          <w:tcPr>
            <w:tcW w:w="1820" w:type="dxa"/>
            <w:vAlign w:val="bottom"/>
            <w:gridSpan w:val="6"/>
            <w:vMerge w:val="continue"/>
          </w:tcPr>
          <w:p>
            <w:pPr>
              <w:spacing w:after="0"/>
              <w:rPr>
                <w:sz w:val="9"/>
                <w:szCs w:val="9"/>
                <w:color w:val="auto"/>
              </w:rPr>
            </w:pPr>
          </w:p>
        </w:tc>
        <w:tc>
          <w:tcPr>
            <w:tcW w:w="6000" w:type="dxa"/>
            <w:vAlign w:val="bottom"/>
            <w:tcBorders>
              <w:left w:val="single" w:sz="8" w:color="1E1E1E"/>
            </w:tcBorders>
            <w:gridSpan w:val="26"/>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3700" w:type="dxa"/>
            <w:vAlign w:val="bottom"/>
            <w:gridSpan w:val="28"/>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20" w:type="dxa"/>
            <w:vAlign w:val="bottom"/>
            <w:gridSpan w:val="6"/>
          </w:tcPr>
          <w:p>
            <w:pPr>
              <w:jc w:val="center"/>
              <w:ind w:right="280"/>
              <w:spacing w:after="0" w:line="134" w:lineRule="exact"/>
              <w:rPr>
                <w:sz w:val="20"/>
                <w:szCs w:val="20"/>
                <w:color w:val="auto"/>
              </w:rPr>
            </w:pPr>
            <w:r>
              <w:rPr>
                <w:rFonts w:ascii="Times New Roman" w:cs="Times New Roman" w:eastAsia="Times New Roman" w:hAnsi="Times New Roman"/>
                <w:sz w:val="12"/>
                <w:szCs w:val="12"/>
                <w:b w:val="1"/>
                <w:bCs w:val="1"/>
                <w:color w:val="1E1E1E"/>
                <w:w w:val="96"/>
              </w:rPr>
              <w:t>Series A-2, Series B, Series C,</w:t>
            </w:r>
          </w:p>
        </w:tc>
        <w:tc>
          <w:tcPr>
            <w:tcW w:w="140" w:type="dxa"/>
            <w:vAlign w:val="bottom"/>
            <w:tcBorders>
              <w:left w:val="single" w:sz="8" w:color="1E1E1E"/>
            </w:tcBorders>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4"/>
          </w:tcPr>
          <w:p>
            <w:pPr>
              <w:jc w:val="right"/>
              <w:ind w:right="240"/>
              <w:spacing w:after="0" w:line="134" w:lineRule="exact"/>
              <w:rPr>
                <w:sz w:val="20"/>
                <w:szCs w:val="20"/>
                <w:color w:val="auto"/>
              </w:rPr>
            </w:pPr>
            <w:r>
              <w:rPr>
                <w:rFonts w:ascii="Times New Roman" w:cs="Times New Roman" w:eastAsia="Times New Roman" w:hAnsi="Times New Roman"/>
                <w:sz w:val="12"/>
                <w:szCs w:val="12"/>
                <w:b w:val="1"/>
                <w:bCs w:val="1"/>
                <w:color w:val="1E1E1E"/>
                <w:w w:val="95"/>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2"/>
                <w:szCs w:val="12"/>
                <w:b w:val="1"/>
                <w:bCs w:val="1"/>
                <w:color w:val="1E1E1E"/>
                <w:w w:val="97"/>
              </w:rPr>
              <w:t>Other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6"/>
          </w:tcPr>
          <w:p>
            <w:pPr>
              <w:jc w:val="center"/>
              <w:ind w:right="202"/>
              <w:spacing w:after="0" w:line="134" w:lineRule="exact"/>
              <w:rPr>
                <w:sz w:val="20"/>
                <w:szCs w:val="20"/>
                <w:color w:val="auto"/>
              </w:rPr>
            </w:pPr>
            <w:r>
              <w:rPr>
                <w:rFonts w:ascii="Times New Roman" w:cs="Times New Roman" w:eastAsia="Times New Roman" w:hAnsi="Times New Roman"/>
                <w:sz w:val="12"/>
                <w:szCs w:val="12"/>
                <w:b w:val="1"/>
                <w:bCs w:val="1"/>
                <w:color w:val="1E1E1E"/>
                <w:w w:val="94"/>
              </w:rPr>
              <w:t>Total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6"/>
          </w:tcPr>
          <w:p>
            <w:pPr>
              <w:jc w:val="center"/>
              <w:ind w:right="280"/>
              <w:spacing w:after="0"/>
              <w:rPr>
                <w:sz w:val="20"/>
                <w:szCs w:val="20"/>
                <w:color w:val="auto"/>
              </w:rPr>
            </w:pPr>
            <w:r>
              <w:rPr>
                <w:rFonts w:ascii="Times New Roman" w:cs="Times New Roman" w:eastAsia="Times New Roman" w:hAnsi="Times New Roman"/>
                <w:sz w:val="12"/>
                <w:szCs w:val="12"/>
                <w:b w:val="1"/>
                <w:bCs w:val="1"/>
                <w:color w:val="1E1E1E"/>
                <w:w w:val="95"/>
              </w:rPr>
              <w:t>Series D, Series E</w:t>
            </w:r>
          </w:p>
        </w:tc>
        <w:tc>
          <w:tcPr>
            <w:tcW w:w="140" w:type="dxa"/>
            <w:vAlign w:val="bottom"/>
            <w:tcBorders>
              <w:left w:val="single" w:sz="8" w:color="1E1E1E"/>
            </w:tcBorders>
          </w:tcPr>
          <w:p>
            <w:pPr>
              <w:spacing w:after="0"/>
              <w:rPr>
                <w:sz w:val="13"/>
                <w:szCs w:val="13"/>
                <w:color w:val="auto"/>
              </w:rPr>
            </w:pPr>
          </w:p>
        </w:tc>
        <w:tc>
          <w:tcPr>
            <w:tcW w:w="1180" w:type="dxa"/>
            <w:vAlign w:val="bottom"/>
            <w:gridSpan w:val="3"/>
          </w:tcPr>
          <w:p>
            <w:pPr>
              <w:jc w:val="right"/>
              <w:ind w:right="24"/>
              <w:spacing w:after="0"/>
              <w:rPr>
                <w:sz w:val="20"/>
                <w:szCs w:val="20"/>
                <w:color w:val="auto"/>
              </w:rPr>
            </w:pPr>
            <w:r>
              <w:rPr>
                <w:rFonts w:ascii="Times New Roman" w:cs="Times New Roman" w:eastAsia="Times New Roman" w:hAnsi="Times New Roman"/>
                <w:sz w:val="12"/>
                <w:szCs w:val="12"/>
                <w:b w:val="1"/>
                <w:bCs w:val="1"/>
                <w:color w:val="1E1E1E"/>
              </w:rPr>
              <w:t>Common Stock</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7"/>
          </w:tcPr>
          <w:p>
            <w:pPr>
              <w:ind w:left="60"/>
              <w:spacing w:after="0"/>
              <w:rPr>
                <w:sz w:val="20"/>
                <w:szCs w:val="20"/>
                <w:color w:val="auto"/>
              </w:rPr>
            </w:pPr>
            <w:r>
              <w:rPr>
                <w:rFonts w:ascii="Times New Roman" w:cs="Times New Roman" w:eastAsia="Times New Roman" w:hAnsi="Times New Roman"/>
                <w:sz w:val="12"/>
                <w:szCs w:val="12"/>
                <w:b w:val="1"/>
                <w:bCs w:val="1"/>
                <w:color w:val="1E1E1E"/>
              </w:rPr>
              <w:t>Class A - Common Stock</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2"/>
                <w:szCs w:val="12"/>
                <w:b w:val="1"/>
                <w:bCs w:val="1"/>
                <w:color w:val="1E1E1E"/>
                <w:w w:val="97"/>
              </w:rPr>
              <w:t>Class B - Common Stock</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1E1E1E"/>
              </w:rPr>
              <w:t>Paid-In</w:t>
            </w:r>
          </w:p>
        </w:tc>
        <w:tc>
          <w:tcPr>
            <w:tcW w:w="120" w:type="dxa"/>
            <w:vAlign w:val="bottom"/>
          </w:tcPr>
          <w:p>
            <w:pPr>
              <w:spacing w:after="0"/>
              <w:rPr>
                <w:sz w:val="13"/>
                <w:szCs w:val="13"/>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1E1E1E"/>
                <w:w w:val="97"/>
              </w:rPr>
              <w:t>Comprehensive</w:t>
            </w:r>
          </w:p>
        </w:tc>
        <w:tc>
          <w:tcPr>
            <w:tcW w:w="92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1E1E1E"/>
                <w:w w:val="96"/>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1E1E1E"/>
              </w:rPr>
              <w:t>Stockholders'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1E1E1E"/>
              </w:rPr>
              <w:t>Noncontrolling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5"/>
          </w:tcPr>
          <w:p>
            <w:pPr>
              <w:jc w:val="center"/>
              <w:ind w:right="220"/>
              <w:spacing w:after="0"/>
              <w:rPr>
                <w:sz w:val="20"/>
                <w:szCs w:val="20"/>
                <w:color w:val="auto"/>
              </w:rPr>
            </w:pPr>
            <w:r>
              <w:rPr>
                <w:rFonts w:ascii="Times New Roman" w:cs="Times New Roman" w:eastAsia="Times New Roman" w:hAnsi="Times New Roman"/>
                <w:sz w:val="12"/>
                <w:szCs w:val="12"/>
                <w:b w:val="1"/>
                <w:bCs w:val="1"/>
                <w:color w:val="1E1E1E"/>
                <w:w w:val="94"/>
              </w:rPr>
              <w:t>Total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Borders>
              <w:top w:val="single" w:sz="8" w:color="1E1E1E"/>
            </w:tcBorders>
            <w:gridSpan w:val="2"/>
          </w:tcPr>
          <w:p>
            <w:pPr>
              <w:jc w:val="right"/>
              <w:ind w:right="460"/>
              <w:spacing w:after="0" w:line="135" w:lineRule="exact"/>
              <w:rPr>
                <w:sz w:val="20"/>
                <w:szCs w:val="20"/>
                <w:color w:val="auto"/>
              </w:rPr>
            </w:pPr>
            <w:r>
              <w:rPr>
                <w:rFonts w:ascii="Times New Roman" w:cs="Times New Roman" w:eastAsia="Times New Roman" w:hAnsi="Times New Roman"/>
                <w:sz w:val="12"/>
                <w:szCs w:val="12"/>
                <w:b w:val="1"/>
                <w:bCs w:val="1"/>
                <w:color w:val="1E1E1E"/>
              </w:rPr>
              <w:t>Shares</w:t>
            </w:r>
          </w:p>
        </w:tc>
        <w:tc>
          <w:tcPr>
            <w:tcW w:w="60" w:type="dxa"/>
            <w:vAlign w:val="bottom"/>
            <w:tcBorders>
              <w:top w:val="single" w:sz="8" w:color="1E1E1E"/>
            </w:tcBorders>
          </w:tcPr>
          <w:p>
            <w:pPr>
              <w:spacing w:after="0"/>
              <w:rPr>
                <w:sz w:val="11"/>
                <w:szCs w:val="11"/>
                <w:color w:val="auto"/>
              </w:rPr>
            </w:pPr>
          </w:p>
        </w:tc>
        <w:tc>
          <w:tcPr>
            <w:tcW w:w="500" w:type="dxa"/>
            <w:vAlign w:val="bottom"/>
            <w:tcBorders>
              <w:top w:val="single" w:sz="8" w:color="1E1E1E"/>
            </w:tcBorders>
            <w:gridSpan w:val="2"/>
          </w:tcPr>
          <w:p>
            <w:pPr>
              <w:jc w:val="right"/>
              <w:ind w:right="26"/>
              <w:spacing w:after="0" w:line="135" w:lineRule="exact"/>
              <w:rPr>
                <w:sz w:val="20"/>
                <w:szCs w:val="20"/>
                <w:color w:val="auto"/>
              </w:rPr>
            </w:pPr>
            <w:r>
              <w:rPr>
                <w:rFonts w:ascii="Times New Roman" w:cs="Times New Roman" w:eastAsia="Times New Roman" w:hAnsi="Times New Roman"/>
                <w:sz w:val="12"/>
                <w:szCs w:val="12"/>
                <w:b w:val="1"/>
                <w:bCs w:val="1"/>
                <w:color w:val="1E1E1E"/>
                <w:w w:val="95"/>
              </w:rPr>
              <w:t>Amount</w:t>
            </w:r>
          </w:p>
        </w:tc>
        <w:tc>
          <w:tcPr>
            <w:tcW w:w="260" w:type="dxa"/>
            <w:vAlign w:val="bottom"/>
          </w:tcPr>
          <w:p>
            <w:pPr>
              <w:spacing w:after="0"/>
              <w:rPr>
                <w:sz w:val="11"/>
                <w:szCs w:val="11"/>
                <w:color w:val="auto"/>
              </w:rPr>
            </w:pPr>
          </w:p>
        </w:tc>
        <w:tc>
          <w:tcPr>
            <w:tcW w:w="140" w:type="dxa"/>
            <w:vAlign w:val="bottom"/>
            <w:tcBorders>
              <w:left w:val="single" w:sz="8" w:color="1E1E1E"/>
            </w:tcBorders>
          </w:tcPr>
          <w:p>
            <w:pPr>
              <w:spacing w:after="0"/>
              <w:rPr>
                <w:sz w:val="11"/>
                <w:szCs w:val="11"/>
                <w:color w:val="auto"/>
              </w:rPr>
            </w:pPr>
          </w:p>
        </w:tc>
        <w:tc>
          <w:tcPr>
            <w:tcW w:w="1020" w:type="dxa"/>
            <w:vAlign w:val="bottom"/>
            <w:tcBorders>
              <w:top w:val="single" w:sz="8" w:color="1E1E1E"/>
            </w:tcBorders>
            <w:gridSpan w:val="2"/>
          </w:tcPr>
          <w:p>
            <w:pPr>
              <w:jc w:val="right"/>
              <w:ind w:right="480"/>
              <w:spacing w:after="0" w:line="135" w:lineRule="exact"/>
              <w:rPr>
                <w:sz w:val="20"/>
                <w:szCs w:val="20"/>
                <w:color w:val="auto"/>
              </w:rPr>
            </w:pPr>
            <w:r>
              <w:rPr>
                <w:rFonts w:ascii="Times New Roman" w:cs="Times New Roman" w:eastAsia="Times New Roman" w:hAnsi="Times New Roman"/>
                <w:sz w:val="12"/>
                <w:szCs w:val="12"/>
                <w:b w:val="1"/>
                <w:bCs w:val="1"/>
                <w:color w:val="1E1E1E"/>
              </w:rPr>
              <w:t>Shares</w:t>
            </w:r>
          </w:p>
        </w:tc>
        <w:tc>
          <w:tcPr>
            <w:tcW w:w="400" w:type="dxa"/>
            <w:vAlign w:val="bottom"/>
            <w:tcBorders>
              <w:top w:val="single" w:sz="8" w:color="1E1E1E"/>
            </w:tcBorders>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1E1E1E"/>
                <w:w w:val="90"/>
              </w:rPr>
              <w:t>Amount</w:t>
            </w:r>
          </w:p>
        </w:tc>
        <w:tc>
          <w:tcPr>
            <w:tcW w:w="260" w:type="dxa"/>
            <w:vAlign w:val="bottom"/>
          </w:tcPr>
          <w:p>
            <w:pPr>
              <w:spacing w:after="0"/>
              <w:rPr>
                <w:sz w:val="11"/>
                <w:szCs w:val="11"/>
                <w:color w:val="auto"/>
              </w:rPr>
            </w:pPr>
          </w:p>
        </w:tc>
        <w:tc>
          <w:tcPr>
            <w:tcW w:w="920" w:type="dxa"/>
            <w:vAlign w:val="bottom"/>
            <w:tcBorders>
              <w:top w:val="single" w:sz="8" w:color="1E1E1E"/>
            </w:tcBorders>
            <w:gridSpan w:val="4"/>
          </w:tcPr>
          <w:p>
            <w:pPr>
              <w:ind w:left="160"/>
              <w:spacing w:after="0" w:line="135" w:lineRule="exact"/>
              <w:rPr>
                <w:sz w:val="20"/>
                <w:szCs w:val="20"/>
                <w:color w:val="auto"/>
              </w:rPr>
            </w:pPr>
            <w:r>
              <w:rPr>
                <w:rFonts w:ascii="Times New Roman" w:cs="Times New Roman" w:eastAsia="Times New Roman" w:hAnsi="Times New Roman"/>
                <w:sz w:val="12"/>
                <w:szCs w:val="12"/>
                <w:b w:val="1"/>
                <w:bCs w:val="1"/>
                <w:color w:val="1E1E1E"/>
              </w:rPr>
              <w:t>Shares</w:t>
            </w:r>
          </w:p>
        </w:tc>
        <w:tc>
          <w:tcPr>
            <w:tcW w:w="420" w:type="dxa"/>
            <w:vAlign w:val="bottom"/>
            <w:tcBorders>
              <w:top w:val="single" w:sz="8" w:color="1E1E1E"/>
            </w:tcBorders>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1E1E1E"/>
                <w:w w:val="95"/>
              </w:rPr>
              <w:t>Amount</w:t>
            </w:r>
          </w:p>
        </w:tc>
        <w:tc>
          <w:tcPr>
            <w:tcW w:w="260" w:type="dxa"/>
            <w:vAlign w:val="bottom"/>
          </w:tcPr>
          <w:p>
            <w:pPr>
              <w:spacing w:after="0"/>
              <w:rPr>
                <w:sz w:val="11"/>
                <w:szCs w:val="11"/>
                <w:color w:val="auto"/>
              </w:rPr>
            </w:pPr>
          </w:p>
        </w:tc>
        <w:tc>
          <w:tcPr>
            <w:tcW w:w="740" w:type="dxa"/>
            <w:vAlign w:val="bottom"/>
            <w:tcBorders>
              <w:top w:val="single" w:sz="8" w:color="1E1E1E"/>
            </w:tcBorders>
            <w:gridSpan w:val="2"/>
          </w:tcPr>
          <w:p>
            <w:pPr>
              <w:ind w:left="140"/>
              <w:spacing w:after="0" w:line="135" w:lineRule="exact"/>
              <w:rPr>
                <w:sz w:val="20"/>
                <w:szCs w:val="20"/>
                <w:color w:val="auto"/>
              </w:rPr>
            </w:pPr>
            <w:r>
              <w:rPr>
                <w:rFonts w:ascii="Times New Roman" w:cs="Times New Roman" w:eastAsia="Times New Roman" w:hAnsi="Times New Roman"/>
                <w:sz w:val="12"/>
                <w:szCs w:val="12"/>
                <w:b w:val="1"/>
                <w:bCs w:val="1"/>
                <w:color w:val="1E1E1E"/>
              </w:rPr>
              <w:t>Shares</w:t>
            </w:r>
          </w:p>
        </w:tc>
        <w:tc>
          <w:tcPr>
            <w:tcW w:w="140" w:type="dxa"/>
            <w:vAlign w:val="bottom"/>
            <w:tcBorders>
              <w:top w:val="single" w:sz="8" w:color="1E1E1E"/>
            </w:tcBorders>
          </w:tcPr>
          <w:p>
            <w:pPr>
              <w:spacing w:after="0"/>
              <w:rPr>
                <w:sz w:val="11"/>
                <w:szCs w:val="11"/>
                <w:color w:val="auto"/>
              </w:rPr>
            </w:pPr>
          </w:p>
        </w:tc>
        <w:tc>
          <w:tcPr>
            <w:tcW w:w="400" w:type="dxa"/>
            <w:vAlign w:val="bottom"/>
            <w:tcBorders>
              <w:top w:val="single" w:sz="8" w:color="1E1E1E"/>
            </w:tcBorders>
            <w:gridSpan w:val="2"/>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1E1E1E"/>
                <w:w w:val="90"/>
              </w:rPr>
              <w:t>Amount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1E1E1E"/>
              </w:rPr>
              <w:t>Capital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4"/>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1E1E1E"/>
                <w:w w:val="96"/>
              </w:rPr>
              <w:t>Income (Loss)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4"/>
          </w:tcPr>
          <w:p>
            <w:pPr>
              <w:jc w:val="center"/>
              <w:ind w:right="199"/>
              <w:spacing w:after="0" w:line="135" w:lineRule="exact"/>
              <w:rPr>
                <w:sz w:val="20"/>
                <w:szCs w:val="20"/>
                <w:color w:val="auto"/>
              </w:rPr>
            </w:pPr>
            <w:r>
              <w:rPr>
                <w:rFonts w:ascii="Times New Roman" w:cs="Times New Roman" w:eastAsia="Times New Roman" w:hAnsi="Times New Roman"/>
                <w:sz w:val="12"/>
                <w:szCs w:val="12"/>
                <w:b w:val="1"/>
                <w:bCs w:val="1"/>
                <w:color w:val="1E1E1E"/>
                <w:w w:val="94"/>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6"/>
          </w:tcPr>
          <w:p>
            <w:pPr>
              <w:jc w:val="center"/>
              <w:ind w:right="202"/>
              <w:spacing w:after="0" w:line="135" w:lineRule="exact"/>
              <w:rPr>
                <w:sz w:val="20"/>
                <w:szCs w:val="20"/>
                <w:color w:val="auto"/>
              </w:rPr>
            </w:pPr>
            <w:r>
              <w:rPr>
                <w:rFonts w:ascii="Times New Roman" w:cs="Times New Roman" w:eastAsia="Times New Roman" w:hAnsi="Times New Roman"/>
                <w:sz w:val="12"/>
                <w:szCs w:val="12"/>
                <w:b w:val="1"/>
                <w:bCs w:val="1"/>
                <w:color w:val="1E1E1E"/>
                <w:w w:val="97"/>
              </w:rPr>
              <w:t>Equity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1E1E1E"/>
              </w:rPr>
              <w:t>Interest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1E1E1E"/>
                <w:w w:val="97"/>
              </w:rPr>
              <w:t>Equity</w:t>
            </w:r>
          </w:p>
        </w:tc>
        <w:tc>
          <w:tcPr>
            <w:tcW w:w="0" w:type="dxa"/>
            <w:vAlign w:val="bottom"/>
          </w:tcPr>
          <w:p>
            <w:pPr>
              <w:spacing w:after="0"/>
              <w:rPr>
                <w:sz w:val="1"/>
                <w:szCs w:val="1"/>
                <w:color w:val="auto"/>
              </w:rPr>
            </w:pPr>
          </w:p>
        </w:tc>
      </w:tr>
      <w:tr>
        <w:trPr>
          <w:trHeight w:val="135"/>
        </w:trPr>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1E1E1E"/>
              </w:rPr>
              <w:t>Balance, December 31, 2020</w:t>
            </w:r>
          </w:p>
        </w:tc>
        <w:tc>
          <w:tcPr>
            <w:tcW w:w="120" w:type="dxa"/>
            <w:vAlign w:val="bottom"/>
            <w:gridSpan w:val="3"/>
          </w:tcPr>
          <w:p>
            <w:pPr>
              <w:spacing w:after="0"/>
              <w:rPr>
                <w:sz w:val="11"/>
                <w:szCs w:val="11"/>
                <w:color w:val="auto"/>
              </w:rPr>
            </w:pPr>
          </w:p>
        </w:tc>
        <w:tc>
          <w:tcPr>
            <w:tcW w:w="740" w:type="dxa"/>
            <w:vAlign w:val="bottom"/>
            <w:tcBorders>
              <w:top w:val="single" w:sz="8" w:color="1E1E1E"/>
            </w:tcBorders>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top w:val="single" w:sz="8" w:color="1E1E1E"/>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left w:val="single" w:sz="8" w:color="1E1E1E"/>
            </w:tcBorders>
          </w:tcPr>
          <w:p>
            <w:pPr>
              <w:spacing w:after="0"/>
              <w:rPr>
                <w:sz w:val="11"/>
                <w:szCs w:val="11"/>
                <w:color w:val="auto"/>
              </w:rPr>
            </w:pPr>
          </w:p>
        </w:tc>
        <w:tc>
          <w:tcPr>
            <w:tcW w:w="760" w:type="dxa"/>
            <w:vAlign w:val="bottom"/>
            <w:tcBorders>
              <w:top w:val="single" w:sz="8" w:color="1E1E1E"/>
            </w:tcBorders>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Borders>
              <w:top w:val="single" w:sz="8" w:color="1E1E1E"/>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Borders>
              <w:top w:val="single" w:sz="8" w:color="1E1E1E"/>
            </w:tcBorders>
            <w:gridSpan w:val="3"/>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top w:val="single" w:sz="8" w:color="1E1E1E"/>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top w:val="single" w:sz="8" w:color="1E1E1E"/>
            </w:tcBorders>
          </w:tcPr>
          <w:p>
            <w:pPr>
              <w:spacing w:after="0"/>
              <w:rPr>
                <w:sz w:val="11"/>
                <w:szCs w:val="11"/>
                <w:color w:val="auto"/>
              </w:rPr>
            </w:pPr>
          </w:p>
        </w:tc>
        <w:tc>
          <w:tcPr>
            <w:tcW w:w="260" w:type="dxa"/>
            <w:vAlign w:val="bottom"/>
            <w:gridSpan w:val="2"/>
          </w:tcPr>
          <w:p>
            <w:pPr>
              <w:spacing w:after="0"/>
              <w:rPr>
                <w:sz w:val="11"/>
                <w:szCs w:val="11"/>
                <w:color w:val="auto"/>
              </w:rPr>
            </w:pPr>
          </w:p>
        </w:tc>
        <w:tc>
          <w:tcPr>
            <w:tcW w:w="400" w:type="dxa"/>
            <w:vAlign w:val="bottom"/>
            <w:tcBorders>
              <w:top w:val="single" w:sz="8" w:color="1E1E1E"/>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1E1E1E"/>
            </w:tcBorders>
            <w:gridSpan w:val="4"/>
          </w:tcPr>
          <w:p>
            <w:pPr>
              <w:spacing w:after="0"/>
              <w:rPr>
                <w:sz w:val="11"/>
                <w:szCs w:val="11"/>
                <w:color w:val="auto"/>
              </w:rPr>
            </w:pPr>
          </w:p>
        </w:tc>
        <w:tc>
          <w:tcPr>
            <w:tcW w:w="240" w:type="dxa"/>
            <w:vAlign w:val="bottom"/>
            <w:gridSpan w:val="2"/>
          </w:tcPr>
          <w:p>
            <w:pPr>
              <w:spacing w:after="0"/>
              <w:rPr>
                <w:sz w:val="11"/>
                <w:szCs w:val="11"/>
                <w:color w:val="auto"/>
              </w:rPr>
            </w:pPr>
          </w:p>
        </w:tc>
        <w:tc>
          <w:tcPr>
            <w:tcW w:w="860" w:type="dxa"/>
            <w:vAlign w:val="bottom"/>
            <w:tcBorders>
              <w:top w:val="single" w:sz="8" w:color="1E1E1E"/>
            </w:tcBorders>
            <w:gridSpan w:val="4"/>
          </w:tcPr>
          <w:p>
            <w:pPr>
              <w:spacing w:after="0"/>
              <w:rPr>
                <w:sz w:val="11"/>
                <w:szCs w:val="11"/>
                <w:color w:val="auto"/>
              </w:rPr>
            </w:pPr>
          </w:p>
        </w:tc>
        <w:tc>
          <w:tcPr>
            <w:tcW w:w="260" w:type="dxa"/>
            <w:vAlign w:val="bottom"/>
            <w:gridSpan w:val="2"/>
          </w:tcPr>
          <w:p>
            <w:pPr>
              <w:spacing w:after="0"/>
              <w:rPr>
                <w:sz w:val="11"/>
                <w:szCs w:val="11"/>
                <w:color w:val="auto"/>
              </w:rPr>
            </w:pPr>
          </w:p>
        </w:tc>
        <w:tc>
          <w:tcPr>
            <w:tcW w:w="700" w:type="dxa"/>
            <w:vAlign w:val="bottom"/>
            <w:tcBorders>
              <w:top w:val="single" w:sz="8" w:color="1E1E1E"/>
            </w:tcBorders>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880" w:type="dxa"/>
            <w:vAlign w:val="bottom"/>
            <w:tcBorders>
              <w:top w:val="single" w:sz="8" w:color="1E1E1E"/>
            </w:tcBorders>
            <w:gridSpan w:val="7"/>
          </w:tcPr>
          <w:p>
            <w:pPr>
              <w:spacing w:after="0"/>
              <w:rPr>
                <w:sz w:val="11"/>
                <w:szCs w:val="11"/>
                <w:color w:val="auto"/>
              </w:rPr>
            </w:pPr>
          </w:p>
        </w:tc>
        <w:tc>
          <w:tcPr>
            <w:tcW w:w="60" w:type="dxa"/>
            <w:vAlign w:val="bottom"/>
            <w:gridSpan w:val="2"/>
          </w:tcPr>
          <w:p>
            <w:pPr>
              <w:spacing w:after="0"/>
              <w:rPr>
                <w:sz w:val="11"/>
                <w:szCs w:val="11"/>
                <w:color w:val="auto"/>
              </w:rPr>
            </w:pPr>
          </w:p>
        </w:tc>
        <w:tc>
          <w:tcPr>
            <w:tcW w:w="920" w:type="dxa"/>
            <w:vAlign w:val="bottom"/>
            <w:tcBorders>
              <w:top w:val="single" w:sz="8" w:color="1E1E1E"/>
            </w:tcBorders>
            <w:gridSpan w:val="4"/>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1E1E1E"/>
            </w:tcBorders>
            <w:gridSpan w:val="7"/>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860" w:type="dxa"/>
            <w:vAlign w:val="bottom"/>
            <w:tcBorders>
              <w:bottom w:val="single" w:sz="8" w:color="E4E4E4"/>
            </w:tcBorders>
            <w:gridSpan w:val="4"/>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27,758,941</w:t>
            </w:r>
          </w:p>
        </w:tc>
        <w:tc>
          <w:tcPr>
            <w:tcW w:w="26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0"/>
                <w:szCs w:val="10"/>
                <w:color w:val="1E1E1E"/>
                <w:w w:val="79"/>
              </w:rPr>
              <w:t>$</w:t>
            </w:r>
          </w:p>
        </w:tc>
        <w:tc>
          <w:tcPr>
            <w:tcW w:w="50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160,713</w:t>
            </w:r>
          </w:p>
        </w:tc>
        <w:tc>
          <w:tcPr>
            <w:tcW w:w="260" w:type="dxa"/>
            <w:vAlign w:val="bottom"/>
            <w:tcBorders>
              <w:bottom w:val="single" w:sz="8" w:color="E4E4E4"/>
            </w:tcBorders>
            <w:shd w:val="clear" w:color="auto" w:fill="E4E4E4"/>
          </w:tcPr>
          <w:p>
            <w:pPr>
              <w:spacing w:after="0"/>
              <w:rPr>
                <w:sz w:val="10"/>
                <w:szCs w:val="10"/>
                <w:color w:val="auto"/>
              </w:rPr>
            </w:pPr>
          </w:p>
        </w:tc>
        <w:tc>
          <w:tcPr>
            <w:tcW w:w="900" w:type="dxa"/>
            <w:vAlign w:val="bottom"/>
            <w:tcBorders>
              <w:left w:val="single" w:sz="8" w:color="1E1E1E"/>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7,755,782</w:t>
            </w:r>
          </w:p>
        </w:tc>
        <w:tc>
          <w:tcPr>
            <w:tcW w:w="260" w:type="dxa"/>
            <w:vAlign w:val="bottom"/>
            <w:tcBorders>
              <w:bottom w:val="single" w:sz="8" w:color="E4E4E4"/>
            </w:tcBorders>
            <w:shd w:val="clear" w:color="auto" w:fill="E4E4E4"/>
          </w:tcPr>
          <w:p>
            <w:pPr>
              <w:spacing w:after="0"/>
              <w:rPr>
                <w:sz w:val="10"/>
                <w:szCs w:val="10"/>
                <w:color w:val="auto"/>
              </w:rPr>
            </w:pPr>
          </w:p>
        </w:tc>
        <w:tc>
          <w:tcPr>
            <w:tcW w:w="160" w:type="dxa"/>
            <w:vAlign w:val="bottom"/>
            <w:tcBorders>
              <w:bottom w:val="single" w:sz="8" w:color="E4E4E4"/>
            </w:tcBorders>
            <w:shd w:val="clear" w:color="auto" w:fill="E4E4E4"/>
          </w:tcPr>
          <w:p>
            <w:pPr>
              <w:jc w:val="right"/>
              <w:ind w:right="44"/>
              <w:spacing w:after="0"/>
              <w:rPr>
                <w:sz w:val="20"/>
                <w:szCs w:val="20"/>
                <w:color w:val="auto"/>
              </w:rPr>
            </w:pPr>
            <w:r>
              <w:rPr>
                <w:rFonts w:ascii="Times New Roman" w:cs="Times New Roman" w:eastAsia="Times New Roman" w:hAnsi="Times New Roman"/>
                <w:sz w:val="10"/>
                <w:szCs w:val="10"/>
                <w:color w:val="1E1E1E"/>
                <w:w w:val="79"/>
              </w:rPr>
              <w:t>$</w:t>
            </w: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Borders>
              <w:bottom w:val="single" w:sz="8" w:color="E4E4E4"/>
            </w:tcBorders>
            <w:shd w:val="clear" w:color="auto" w:fill="E4E4E4"/>
          </w:tcPr>
          <w:p>
            <w:pPr>
              <w:jc w:val="right"/>
              <w:ind w:right="64"/>
              <w:spacing w:after="0"/>
              <w:rPr>
                <w:sz w:val="20"/>
                <w:szCs w:val="20"/>
                <w:color w:val="auto"/>
              </w:rPr>
            </w:pPr>
            <w:r>
              <w:rPr>
                <w:rFonts w:ascii="Times New Roman" w:cs="Times New Roman" w:eastAsia="Times New Roman" w:hAnsi="Times New Roman"/>
                <w:sz w:val="10"/>
                <w:szCs w:val="10"/>
                <w:color w:val="1E1E1E"/>
                <w:w w:val="79"/>
              </w:rPr>
              <w:t>$</w:t>
            </w: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320" w:type="dxa"/>
            <w:vAlign w:val="bottom"/>
            <w:tcBorders>
              <w:bottom w:val="single" w:sz="8" w:color="E4E4E4"/>
            </w:tcBorders>
            <w:gridSpan w:val="2"/>
            <w:shd w:val="clear" w:color="auto" w:fill="E4E4E4"/>
          </w:tcPr>
          <w:p>
            <w:pPr>
              <w:jc w:val="right"/>
              <w:ind w:right="63"/>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2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34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4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503</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8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210</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240" w:type="dxa"/>
            <w:vAlign w:val="bottom"/>
            <w:tcBorders>
              <w:bottom w:val="single" w:sz="8" w:color="E4E4E4"/>
            </w:tcBorders>
            <w:gridSpan w:val="2"/>
            <w:shd w:val="clear" w:color="auto" w:fill="E4E4E4"/>
          </w:tcPr>
          <w:p>
            <w:pPr>
              <w:jc w:val="right"/>
              <w:ind w:right="13"/>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4E4E4"/>
            </w:tcBorders>
            <w:gridSpan w:val="4"/>
            <w:shd w:val="clear" w:color="auto" w:fill="E4E4E4"/>
          </w:tcPr>
          <w:p>
            <w:pPr>
              <w:jc w:val="right"/>
              <w:ind w:right="39"/>
              <w:spacing w:after="0" w:line="120" w:lineRule="exact"/>
              <w:rPr>
                <w:sz w:val="20"/>
                <w:szCs w:val="20"/>
                <w:color w:val="auto"/>
              </w:rPr>
            </w:pPr>
            <w:r>
              <w:rPr>
                <w:rFonts w:ascii="Times New Roman" w:cs="Times New Roman" w:eastAsia="Times New Roman" w:hAnsi="Times New Roman"/>
                <w:sz w:val="12"/>
                <w:szCs w:val="12"/>
                <w:color w:val="1E1E1E"/>
              </w:rPr>
              <w:t>(111,962)</w:t>
            </w:r>
          </w:p>
        </w:tc>
        <w:tc>
          <w:tcPr>
            <w:tcW w:w="260" w:type="dxa"/>
            <w:vAlign w:val="bottom"/>
            <w:tcBorders>
              <w:bottom w:val="single" w:sz="8" w:color="E4E4E4"/>
            </w:tcBorders>
            <w:gridSpan w:val="3"/>
            <w:shd w:val="clear" w:color="auto" w:fill="E4E4E4"/>
          </w:tcPr>
          <w:p>
            <w:pPr>
              <w:ind w:lef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bottom w:val="single" w:sz="8" w:color="E4E4E4"/>
            </w:tcBorders>
            <w:gridSpan w:val="6"/>
            <w:shd w:val="clear" w:color="auto" w:fill="E4E4E4"/>
          </w:tcPr>
          <w:p>
            <w:pPr>
              <w:jc w:val="right"/>
              <w:ind w:right="22"/>
              <w:spacing w:after="0" w:line="120" w:lineRule="exact"/>
              <w:rPr>
                <w:sz w:val="20"/>
                <w:szCs w:val="20"/>
                <w:color w:val="auto"/>
              </w:rPr>
            </w:pPr>
            <w:r>
              <w:rPr>
                <w:rFonts w:ascii="Times New Roman" w:cs="Times New Roman" w:eastAsia="Times New Roman" w:hAnsi="Times New Roman"/>
                <w:sz w:val="12"/>
                <w:szCs w:val="12"/>
                <w:color w:val="1E1E1E"/>
              </w:rPr>
              <w:t>(111,249)</w:t>
            </w:r>
          </w:p>
        </w:tc>
        <w:tc>
          <w:tcPr>
            <w:tcW w:w="260" w:type="dxa"/>
            <w:vAlign w:val="bottom"/>
            <w:tcBorders>
              <w:bottom w:val="single" w:sz="8" w:color="E4E4E4"/>
            </w:tcBorders>
            <w:gridSpan w:val="3"/>
            <w:shd w:val="clear" w:color="auto" w:fill="E4E4E4"/>
          </w:tcPr>
          <w:p>
            <w:pPr>
              <w:ind w:lef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80" w:type="dxa"/>
            <w:vAlign w:val="bottom"/>
            <w:tcBorders>
              <w:bottom w:val="single" w:sz="8" w:color="E4E4E4"/>
              <w:right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0" w:type="dxa"/>
            <w:vAlign w:val="bottom"/>
            <w:tcBorders>
              <w:bottom w:val="single" w:sz="8" w:color="E4E4E4"/>
              <w:right w:val="single" w:sz="8" w:color="E4E4E4"/>
            </w:tcBorders>
            <w:gridSpan w:val="5"/>
            <w:shd w:val="clear" w:color="auto" w:fill="E4E4E4"/>
          </w:tcPr>
          <w:p>
            <w:pPr>
              <w:jc w:val="right"/>
              <w:ind w:right="100"/>
              <w:spacing w:after="0" w:line="120" w:lineRule="exact"/>
              <w:rPr>
                <w:sz w:val="20"/>
                <w:szCs w:val="20"/>
                <w:color w:val="auto"/>
              </w:rPr>
            </w:pPr>
            <w:r>
              <w:rPr>
                <w:rFonts w:ascii="Times New Roman" w:cs="Times New Roman" w:eastAsia="Times New Roman" w:hAnsi="Times New Roman"/>
                <w:sz w:val="12"/>
                <w:szCs w:val="12"/>
                <w:color w:val="1E1E1E"/>
              </w:rPr>
              <w:t>(111,249)</w:t>
            </w:r>
          </w:p>
        </w:tc>
        <w:tc>
          <w:tcPr>
            <w:tcW w:w="0" w:type="dxa"/>
            <w:vAlign w:val="bottom"/>
          </w:tcPr>
          <w:p>
            <w:pPr>
              <w:spacing w:after="0"/>
              <w:rPr>
                <w:sz w:val="1"/>
                <w:szCs w:val="1"/>
                <w:color w:val="auto"/>
              </w:rPr>
            </w:pPr>
          </w:p>
        </w:tc>
      </w:tr>
      <w:tr>
        <w:trPr>
          <w:trHeight w:val="118"/>
        </w:trPr>
        <w:tc>
          <w:tcPr>
            <w:tcW w:w="4220" w:type="dxa"/>
            <w:vAlign w:val="bottom"/>
            <w:gridSpan w:val="11"/>
          </w:tcPr>
          <w:p>
            <w:pPr>
              <w:spacing w:after="0" w:line="118" w:lineRule="exact"/>
              <w:rPr>
                <w:sz w:val="20"/>
                <w:szCs w:val="20"/>
                <w:color w:val="auto"/>
              </w:rPr>
            </w:pPr>
            <w:r>
              <w:rPr>
                <w:rFonts w:ascii="Times New Roman" w:cs="Times New Roman" w:eastAsia="Times New Roman" w:hAnsi="Times New Roman"/>
                <w:sz w:val="13"/>
                <w:szCs w:val="13"/>
                <w:color w:val="1E1E1E"/>
                <w:w w:val="97"/>
              </w:rPr>
              <w:t>Conversion of convertible preferred stock in</w:t>
            </w:r>
          </w:p>
        </w:tc>
        <w:tc>
          <w:tcPr>
            <w:tcW w:w="10620" w:type="dxa"/>
            <w:vAlign w:val="bottom"/>
            <w:tcBorders>
              <w:left w:val="single" w:sz="8" w:color="1E1E1E"/>
            </w:tcBorders>
            <w:gridSpan w:val="58"/>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1E1E1E"/>
              </w:rPr>
              <w:t>connection with initial public offering</w:t>
            </w:r>
          </w:p>
        </w:tc>
        <w:tc>
          <w:tcPr>
            <w:tcW w:w="1120" w:type="dxa"/>
            <w:vAlign w:val="bottom"/>
            <w:gridSpan w:val="5"/>
          </w:tcPr>
          <w:p>
            <w:pPr>
              <w:jc w:val="right"/>
              <w:ind w:right="220"/>
              <w:spacing w:after="0"/>
              <w:rPr>
                <w:sz w:val="20"/>
                <w:szCs w:val="20"/>
                <w:color w:val="auto"/>
              </w:rPr>
            </w:pPr>
            <w:r>
              <w:rPr>
                <w:rFonts w:ascii="Times New Roman" w:cs="Times New Roman" w:eastAsia="Times New Roman" w:hAnsi="Times New Roman"/>
                <w:sz w:val="12"/>
                <w:szCs w:val="12"/>
                <w:color w:val="1E1E1E"/>
              </w:rPr>
              <w:t>(27,758,941)</w:t>
            </w:r>
          </w:p>
        </w:tc>
        <w:tc>
          <w:tcPr>
            <w:tcW w:w="6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1E1E1E"/>
              </w:rPr>
              <w:t>(160,713)</w:t>
            </w:r>
          </w:p>
        </w:tc>
        <w:tc>
          <w:tcPr>
            <w:tcW w:w="140" w:type="dxa"/>
            <w:vAlign w:val="bottom"/>
            <w:tcBorders>
              <w:left w:val="single" w:sz="8" w:color="1E1E1E"/>
            </w:tcBorders>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1E1E1E"/>
              </w:rPr>
              <w:t>27,351,633</w:t>
            </w:r>
          </w:p>
        </w:tc>
        <w:tc>
          <w:tcPr>
            <w:tcW w:w="1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407,308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160,713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79"/>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160,713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1E1E1E"/>
              </w:rPr>
              <w:t>160,713</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Exercise of common stock options</w:t>
            </w:r>
          </w:p>
        </w:tc>
        <w:tc>
          <w:tcPr>
            <w:tcW w:w="1180" w:type="dxa"/>
            <w:vAlign w:val="bottom"/>
            <w:gridSpan w:val="6"/>
          </w:tcPr>
          <w:p>
            <w:pPr>
              <w:spacing w:after="0"/>
              <w:rPr>
                <w:sz w:val="2"/>
                <w:szCs w:val="2"/>
                <w:color w:val="auto"/>
              </w:rPr>
            </w:pPr>
          </w:p>
        </w:tc>
        <w:tc>
          <w:tcPr>
            <w:tcW w:w="80" w:type="dxa"/>
            <w:vAlign w:val="bottom"/>
            <w:vMerge w:val="restart"/>
          </w:tcPr>
          <w:p>
            <w:pPr>
              <w:spacing w:after="0"/>
              <w:rPr>
                <w:sz w:val="2"/>
                <w:szCs w:val="2"/>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00" w:type="dxa"/>
            <w:vAlign w:val="bottom"/>
            <w:tcBorders>
              <w:left w:val="single" w:sz="8" w:color="1E1E1E"/>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910,015</w:t>
            </w:r>
          </w:p>
        </w:tc>
        <w:tc>
          <w:tcPr>
            <w:tcW w:w="260" w:type="dxa"/>
            <w:vAlign w:val="bottom"/>
            <w:tcBorders>
              <w:bottom w:val="single" w:sz="8" w:color="E4E4E4"/>
            </w:tcBorders>
            <w:shd w:val="clear" w:color="auto" w:fill="E4E4E4"/>
          </w:tcPr>
          <w:p>
            <w:pPr>
              <w:spacing w:after="0"/>
              <w:rPr>
                <w:sz w:val="10"/>
                <w:szCs w:val="10"/>
                <w:color w:val="auto"/>
              </w:rPr>
            </w:pP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178,402</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4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2,291</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2,291</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2,291</w:t>
            </w:r>
          </w:p>
        </w:tc>
        <w:tc>
          <w:tcPr>
            <w:tcW w:w="0" w:type="dxa"/>
            <w:vAlign w:val="bottom"/>
          </w:tcPr>
          <w:p>
            <w:pPr>
              <w:spacing w:after="0"/>
              <w:rPr>
                <w:sz w:val="1"/>
                <w:szCs w:val="1"/>
                <w:color w:val="auto"/>
              </w:rPr>
            </w:pPr>
          </w:p>
        </w:tc>
      </w:tr>
      <w:tr>
        <w:trPr>
          <w:trHeight w:val="118"/>
        </w:trPr>
        <w:tc>
          <w:tcPr>
            <w:tcW w:w="4220" w:type="dxa"/>
            <w:vAlign w:val="bottom"/>
            <w:gridSpan w:val="11"/>
          </w:tcPr>
          <w:p>
            <w:pPr>
              <w:spacing w:after="0" w:line="118" w:lineRule="exact"/>
              <w:rPr>
                <w:sz w:val="20"/>
                <w:szCs w:val="20"/>
                <w:color w:val="auto"/>
              </w:rPr>
            </w:pPr>
            <w:r>
              <w:rPr>
                <w:rFonts w:ascii="Times New Roman" w:cs="Times New Roman" w:eastAsia="Times New Roman" w:hAnsi="Times New Roman"/>
                <w:sz w:val="13"/>
                <w:szCs w:val="13"/>
                <w:color w:val="1E1E1E"/>
                <w:w w:val="99"/>
              </w:rPr>
              <w:t>Conversion of common stock in connection</w:t>
            </w:r>
          </w:p>
        </w:tc>
        <w:tc>
          <w:tcPr>
            <w:tcW w:w="10620" w:type="dxa"/>
            <w:vAlign w:val="bottom"/>
            <w:tcBorders>
              <w:left w:val="single" w:sz="8" w:color="1E1E1E"/>
            </w:tcBorders>
            <w:gridSpan w:val="58"/>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1E1E1E"/>
              </w:rPr>
              <w:t>with the initial public offering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160" w:type="dxa"/>
            <w:vAlign w:val="bottom"/>
            <w:tcBorders>
              <w:left w:val="single" w:sz="8" w:color="1E1E1E"/>
            </w:tcBorders>
            <w:gridSpan w:val="3"/>
          </w:tcPr>
          <w:p>
            <w:pPr>
              <w:jc w:val="right"/>
              <w:ind w:right="240"/>
              <w:spacing w:after="0"/>
              <w:rPr>
                <w:sz w:val="20"/>
                <w:szCs w:val="20"/>
                <w:color w:val="auto"/>
              </w:rPr>
            </w:pPr>
            <w:r>
              <w:rPr>
                <w:rFonts w:ascii="Times New Roman" w:cs="Times New Roman" w:eastAsia="Times New Roman" w:hAnsi="Times New Roman"/>
                <w:sz w:val="12"/>
                <w:szCs w:val="12"/>
                <w:color w:val="1E1E1E"/>
              </w:rPr>
              <w:t>(8,665,797)</w:t>
            </w:r>
          </w:p>
        </w:tc>
        <w:tc>
          <w:tcPr>
            <w:tcW w:w="1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1E1E1E"/>
              </w:rPr>
              <w:t>6,396,951</w:t>
            </w:r>
          </w:p>
        </w:tc>
        <w:tc>
          <w:tcPr>
            <w:tcW w:w="1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2,268,846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79"/>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6"/>
          </w:tcPr>
          <w:p>
            <w:pPr>
              <w:jc w:val="right"/>
              <w:ind w:right="62"/>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Exercise of warrants</w:t>
            </w: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24,242</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40" w:type="dxa"/>
            <w:vAlign w:val="bottom"/>
            <w:tcBorders>
              <w:bottom w:val="single" w:sz="8" w:color="E4E4E4"/>
            </w:tcBorders>
            <w:gridSpan w:val="2"/>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40</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40</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40</w:t>
            </w:r>
          </w:p>
        </w:tc>
        <w:tc>
          <w:tcPr>
            <w:tcW w:w="0" w:type="dxa"/>
            <w:vAlign w:val="bottom"/>
          </w:tcPr>
          <w:p>
            <w:pPr>
              <w:spacing w:after="0"/>
              <w:rPr>
                <w:sz w:val="1"/>
                <w:szCs w:val="1"/>
                <w:color w:val="auto"/>
              </w:rPr>
            </w:pPr>
          </w:p>
        </w:tc>
      </w:tr>
      <w:tr>
        <w:trPr>
          <w:trHeight w:val="118"/>
        </w:trPr>
        <w:tc>
          <w:tcPr>
            <w:tcW w:w="4220" w:type="dxa"/>
            <w:vAlign w:val="bottom"/>
            <w:gridSpan w:val="11"/>
          </w:tcPr>
          <w:p>
            <w:pPr>
              <w:spacing w:after="0" w:line="118" w:lineRule="exact"/>
              <w:rPr>
                <w:sz w:val="20"/>
                <w:szCs w:val="20"/>
                <w:color w:val="auto"/>
              </w:rPr>
            </w:pPr>
            <w:r>
              <w:rPr>
                <w:rFonts w:ascii="Times New Roman" w:cs="Times New Roman" w:eastAsia="Times New Roman" w:hAnsi="Times New Roman"/>
                <w:sz w:val="13"/>
                <w:szCs w:val="13"/>
                <w:color w:val="1E1E1E"/>
              </w:rPr>
              <w:t>Issuance of common stock in connection</w:t>
            </w:r>
          </w:p>
        </w:tc>
        <w:tc>
          <w:tcPr>
            <w:tcW w:w="10620" w:type="dxa"/>
            <w:vAlign w:val="bottom"/>
            <w:tcBorders>
              <w:left w:val="single" w:sz="8" w:color="1E1E1E"/>
            </w:tcBorders>
            <w:gridSpan w:val="58"/>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220" w:type="dxa"/>
            <w:vAlign w:val="bottom"/>
            <w:gridSpan w:val="11"/>
          </w:tcPr>
          <w:p>
            <w:pPr>
              <w:spacing w:after="0" w:line="146" w:lineRule="exact"/>
              <w:rPr>
                <w:sz w:val="20"/>
                <w:szCs w:val="20"/>
                <w:color w:val="auto"/>
              </w:rPr>
            </w:pPr>
            <w:r>
              <w:rPr>
                <w:rFonts w:ascii="Times New Roman" w:cs="Times New Roman" w:eastAsia="Times New Roman" w:hAnsi="Times New Roman"/>
                <w:sz w:val="13"/>
                <w:szCs w:val="13"/>
                <w:color w:val="1E1E1E"/>
              </w:rPr>
              <w:t>with the initial public offering, net of</w:t>
            </w:r>
          </w:p>
        </w:tc>
        <w:tc>
          <w:tcPr>
            <w:tcW w:w="10620" w:type="dxa"/>
            <w:vAlign w:val="bottom"/>
            <w:tcBorders>
              <w:left w:val="single" w:sz="8" w:color="1E1E1E"/>
            </w:tcBorders>
            <w:gridSpan w:val="58"/>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2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1E1E1E"/>
              </w:rPr>
              <w:t>underwriter's discount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2"/>
                <w:szCs w:val="12"/>
                <w:color w:val="1E1E1E"/>
              </w:rPr>
              <w:t>7,906,250</w:t>
            </w:r>
          </w:p>
        </w:tc>
        <w:tc>
          <w:tcPr>
            <w:tcW w:w="1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1E1E1E"/>
              </w:rPr>
              <w:t>325,263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ind w:right="79"/>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1E1E1E"/>
              </w:rPr>
              <w:t>325,263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1E1E1E"/>
              </w:rPr>
              <w:t>325,263</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Cost of initial public offering</w:t>
            </w:r>
          </w:p>
        </w:tc>
        <w:tc>
          <w:tcPr>
            <w:tcW w:w="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gridSpan w:val="4"/>
            <w:shd w:val="clear" w:color="auto" w:fill="E4E4E4"/>
          </w:tcPr>
          <w:p>
            <w:pPr>
              <w:jc w:val="right"/>
              <w:ind w:right="100"/>
              <w:spacing w:after="0" w:line="120" w:lineRule="exact"/>
              <w:rPr>
                <w:sz w:val="20"/>
                <w:szCs w:val="20"/>
                <w:color w:val="auto"/>
              </w:rPr>
            </w:pPr>
            <w:r>
              <w:rPr>
                <w:rFonts w:ascii="Times New Roman" w:cs="Times New Roman" w:eastAsia="Times New Roman" w:hAnsi="Times New Roman"/>
                <w:sz w:val="12"/>
                <w:szCs w:val="12"/>
                <w:color w:val="1E1E1E"/>
              </w:rPr>
              <w:t>(3,678)</w:t>
            </w: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6"/>
            <w:shd w:val="clear" w:color="auto" w:fill="E4E4E4"/>
          </w:tcPr>
          <w:p>
            <w:pPr>
              <w:jc w:val="right"/>
              <w:ind w:right="22"/>
              <w:spacing w:after="0" w:line="120" w:lineRule="exact"/>
              <w:rPr>
                <w:sz w:val="20"/>
                <w:szCs w:val="20"/>
                <w:color w:val="auto"/>
              </w:rPr>
            </w:pPr>
            <w:r>
              <w:rPr>
                <w:rFonts w:ascii="Times New Roman" w:cs="Times New Roman" w:eastAsia="Times New Roman" w:hAnsi="Times New Roman"/>
                <w:sz w:val="12"/>
                <w:szCs w:val="12"/>
                <w:color w:val="1E1E1E"/>
              </w:rPr>
              <w:t>(3,678)</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00"/>
              <w:spacing w:after="0" w:line="120" w:lineRule="exact"/>
              <w:rPr>
                <w:sz w:val="20"/>
                <w:szCs w:val="20"/>
                <w:color w:val="auto"/>
              </w:rPr>
            </w:pPr>
            <w:r>
              <w:rPr>
                <w:rFonts w:ascii="Times New Roman" w:cs="Times New Roman" w:eastAsia="Times New Roman" w:hAnsi="Times New Roman"/>
                <w:sz w:val="12"/>
                <w:szCs w:val="12"/>
                <w:color w:val="1E1E1E"/>
              </w:rPr>
              <w:t>(3,678)</w:t>
            </w:r>
          </w:p>
        </w:tc>
        <w:tc>
          <w:tcPr>
            <w:tcW w:w="0" w:type="dxa"/>
            <w:vAlign w:val="bottom"/>
          </w:tcPr>
          <w:p>
            <w:pPr>
              <w:spacing w:after="0"/>
              <w:rPr>
                <w:sz w:val="1"/>
                <w:szCs w:val="1"/>
                <w:color w:val="auto"/>
              </w:rPr>
            </w:pPr>
          </w:p>
        </w:tc>
      </w:tr>
      <w:tr>
        <w:trPr>
          <w:trHeight w:val="120"/>
        </w:trPr>
        <w:tc>
          <w:tcPr>
            <w:tcW w:w="22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1E1E1E"/>
              </w:rPr>
              <w:t>Shares issued in business combination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2,100,660</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1E1E1E"/>
              </w:rPr>
              <w:t>102,888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102,888</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102,888</w:t>
            </w:r>
          </w:p>
        </w:tc>
        <w:tc>
          <w:tcPr>
            <w:tcW w:w="0" w:type="dxa"/>
            <w:vAlign w:val="bottom"/>
          </w:tcPr>
          <w:p>
            <w:pPr>
              <w:spacing w:after="0"/>
              <w:rPr>
                <w:sz w:val="1"/>
                <w:szCs w:val="1"/>
                <w:color w:val="auto"/>
              </w:rPr>
            </w:pPr>
          </w:p>
        </w:tc>
      </w:tr>
      <w:tr>
        <w:trPr>
          <w:trHeight w:val="25"/>
        </w:trPr>
        <w:tc>
          <w:tcPr>
            <w:tcW w:w="226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1E1E1E"/>
              </w:rPr>
              <w:t>No</w:t>
            </w:r>
            <w:r>
              <w:rPr>
                <w:rFonts w:ascii="Times New Roman" w:cs="Times New Roman" w:eastAsia="Times New Roman" w:hAnsi="Times New Roman"/>
                <w:sz w:val="12"/>
                <w:szCs w:val="12"/>
                <w:color w:val="1E1E1E"/>
              </w:rPr>
              <w:t>ncontrolling interest acquired in business</w:t>
            </w:r>
          </w:p>
        </w:tc>
        <w:tc>
          <w:tcPr>
            <w:tcW w:w="1960" w:type="dxa"/>
            <w:vAlign w:val="bottom"/>
            <w:gridSpan w:val="10"/>
          </w:tcPr>
          <w:p>
            <w:pPr>
              <w:spacing w:after="0"/>
              <w:rPr>
                <w:sz w:val="2"/>
                <w:szCs w:val="2"/>
                <w:color w:val="auto"/>
              </w:rPr>
            </w:pP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260" w:type="dxa"/>
            <w:vAlign w:val="bottom"/>
            <w:vMerge w:val="continue"/>
          </w:tcPr>
          <w:p>
            <w:pPr>
              <w:spacing w:after="0"/>
              <w:rPr>
                <w:sz w:val="10"/>
                <w:szCs w:val="10"/>
                <w:color w:val="auto"/>
              </w:rPr>
            </w:pPr>
          </w:p>
        </w:tc>
        <w:tc>
          <w:tcPr>
            <w:tcW w:w="1960" w:type="dxa"/>
            <w:vAlign w:val="bottom"/>
            <w:gridSpan w:val="10"/>
            <w:shd w:val="clear" w:color="auto" w:fill="E4E4E4"/>
          </w:tcPr>
          <w:p>
            <w:pPr>
              <w:spacing w:after="0"/>
              <w:rPr>
                <w:sz w:val="10"/>
                <w:szCs w:val="10"/>
                <w:color w:val="auto"/>
              </w:rPr>
            </w:pPr>
          </w:p>
        </w:tc>
        <w:tc>
          <w:tcPr>
            <w:tcW w:w="7760" w:type="dxa"/>
            <w:vAlign w:val="bottom"/>
            <w:tcBorders>
              <w:left w:val="single" w:sz="8" w:color="1E1E1E"/>
              <w:right w:val="single" w:sz="8" w:color="E4E4E4"/>
            </w:tcBorders>
            <w:gridSpan w:val="35"/>
            <w:shd w:val="clear" w:color="auto" w:fill="E4E4E4"/>
          </w:tcPr>
          <w:p>
            <w:pPr>
              <w:spacing w:after="0"/>
              <w:rPr>
                <w:sz w:val="10"/>
                <w:szCs w:val="10"/>
                <w:color w:val="auto"/>
              </w:rPr>
            </w:pPr>
          </w:p>
        </w:tc>
        <w:tc>
          <w:tcPr>
            <w:tcW w:w="1960" w:type="dxa"/>
            <w:vAlign w:val="bottom"/>
            <w:tcBorders>
              <w:right w:val="single" w:sz="8" w:color="E4E4E4"/>
            </w:tcBorders>
            <w:gridSpan w:val="15"/>
            <w:shd w:val="clear" w:color="auto" w:fill="E4E4E4"/>
          </w:tcPr>
          <w:p>
            <w:pPr>
              <w:spacing w:after="0"/>
              <w:rPr>
                <w:sz w:val="10"/>
                <w:szCs w:val="10"/>
                <w:color w:val="auto"/>
              </w:rPr>
            </w:pPr>
          </w:p>
        </w:tc>
        <w:tc>
          <w:tcPr>
            <w:tcW w:w="100" w:type="dxa"/>
            <w:vAlign w:val="bottom"/>
            <w:tcBorders>
              <w:right w:val="single" w:sz="8" w:color="E4E4E4"/>
            </w:tcBorders>
            <w:shd w:val="clear" w:color="auto" w:fill="E4E4E4"/>
          </w:tcPr>
          <w:p>
            <w:pPr>
              <w:spacing w:after="0"/>
              <w:rPr>
                <w:sz w:val="10"/>
                <w:szCs w:val="10"/>
                <w:color w:val="auto"/>
              </w:rPr>
            </w:pPr>
          </w:p>
        </w:tc>
        <w:tc>
          <w:tcPr>
            <w:tcW w:w="720" w:type="dxa"/>
            <w:vAlign w:val="bottom"/>
            <w:gridSpan w:val="6"/>
            <w:shd w:val="clear" w:color="auto" w:fill="E4E4E4"/>
          </w:tcPr>
          <w:p>
            <w:pPr>
              <w:spacing w:after="0"/>
              <w:rPr>
                <w:sz w:val="10"/>
                <w:szCs w:val="10"/>
                <w:color w:val="auto"/>
              </w:rPr>
            </w:pPr>
          </w:p>
        </w:tc>
        <w:tc>
          <w:tcPr>
            <w:tcW w:w="80" w:type="dxa"/>
            <w:vAlign w:val="bottom"/>
            <w:tcBorders>
              <w:left w:val="single" w:sz="8" w:color="E4E4E4"/>
              <w:right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1E1E1E"/>
              </w:rPr>
              <w:t>combination</w:t>
            </w:r>
          </w:p>
        </w:tc>
        <w:tc>
          <w:tcPr>
            <w:tcW w:w="20" w:type="dxa"/>
            <w:vAlign w:val="bottom"/>
            <w:tcBorders>
              <w:bottom w:val="single" w:sz="8" w:color="E4E4E4"/>
            </w:tcBorders>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bottom w:val="single" w:sz="8" w:color="E4E4E4"/>
            </w:tcBorders>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100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bottom w:val="single" w:sz="8" w:color="E4E4E4"/>
            </w:tcBorders>
            <w:shd w:val="clear" w:color="auto" w:fill="E4E4E4"/>
          </w:tcPr>
          <w:p>
            <w:pPr>
              <w:spacing w:after="0"/>
              <w:rPr>
                <w:sz w:val="13"/>
                <w:szCs w:val="13"/>
                <w:color w:val="auto"/>
              </w:rPr>
            </w:pPr>
          </w:p>
        </w:tc>
        <w:tc>
          <w:tcPr>
            <w:tcW w:w="68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bottom w:val="single" w:sz="8" w:color="E4E4E4"/>
            </w:tcBorders>
            <w:shd w:val="clear" w:color="auto" w:fill="E4E4E4"/>
          </w:tcPr>
          <w:p>
            <w:pPr>
              <w:spacing w:after="0"/>
              <w:rPr>
                <w:sz w:val="13"/>
                <w:szCs w:val="13"/>
                <w:color w:val="auto"/>
              </w:rPr>
            </w:pPr>
          </w:p>
        </w:tc>
        <w:tc>
          <w:tcPr>
            <w:tcW w:w="102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4E4E4"/>
            </w:tcBorders>
            <w:shd w:val="clear" w:color="auto" w:fill="E4E4E4"/>
          </w:tcPr>
          <w:p>
            <w:pPr>
              <w:spacing w:after="0"/>
              <w:rPr>
                <w:sz w:val="13"/>
                <w:szCs w:val="13"/>
                <w:color w:val="auto"/>
              </w:rPr>
            </w:pPr>
          </w:p>
        </w:tc>
        <w:tc>
          <w:tcPr>
            <w:tcW w:w="50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180" w:type="dxa"/>
            <w:vAlign w:val="bottom"/>
            <w:tcBorders>
              <w:bottom w:val="single" w:sz="8" w:color="E4E4E4"/>
            </w:tcBorders>
            <w:shd w:val="clear" w:color="auto" w:fill="E4E4E4"/>
          </w:tcPr>
          <w:p>
            <w:pPr>
              <w:spacing w:after="0"/>
              <w:rPr>
                <w:sz w:val="13"/>
                <w:szCs w:val="13"/>
                <w:color w:val="auto"/>
              </w:rPr>
            </w:pPr>
          </w:p>
        </w:tc>
        <w:tc>
          <w:tcPr>
            <w:tcW w:w="500" w:type="dxa"/>
            <w:vAlign w:val="bottom"/>
            <w:tcBorders>
              <w:bottom w:val="single" w:sz="8" w:color="E4E4E4"/>
            </w:tcBorders>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3"/>
                <w:szCs w:val="13"/>
                <w:color w:val="auto"/>
              </w:rPr>
            </w:pPr>
          </w:p>
        </w:tc>
        <w:tc>
          <w:tcPr>
            <w:tcW w:w="180" w:type="dxa"/>
            <w:vAlign w:val="bottom"/>
            <w:tcBorders>
              <w:bottom w:val="single" w:sz="8" w:color="E4E4E4"/>
            </w:tcBorders>
            <w:shd w:val="clear" w:color="auto" w:fill="E4E4E4"/>
          </w:tcPr>
          <w:p>
            <w:pPr>
              <w:spacing w:after="0"/>
              <w:rPr>
                <w:sz w:val="13"/>
                <w:szCs w:val="13"/>
                <w:color w:val="auto"/>
              </w:rPr>
            </w:pPr>
          </w:p>
        </w:tc>
        <w:tc>
          <w:tcPr>
            <w:tcW w:w="22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bottom w:val="single" w:sz="8" w:color="E4E4E4"/>
            </w:tcBorders>
            <w:shd w:val="clear" w:color="auto" w:fill="E4E4E4"/>
          </w:tcPr>
          <w:p>
            <w:pPr>
              <w:spacing w:after="0"/>
              <w:rPr>
                <w:sz w:val="13"/>
                <w:szCs w:val="13"/>
                <w:color w:val="auto"/>
              </w:rPr>
            </w:pPr>
          </w:p>
        </w:tc>
        <w:tc>
          <w:tcPr>
            <w:tcW w:w="40" w:type="dxa"/>
            <w:vAlign w:val="bottom"/>
            <w:tcBorders>
              <w:bottom w:val="single" w:sz="8" w:color="E4E4E4"/>
            </w:tcBorders>
            <w:shd w:val="clear" w:color="auto" w:fill="E4E4E4"/>
          </w:tcPr>
          <w:p>
            <w:pPr>
              <w:spacing w:after="0"/>
              <w:rPr>
                <w:sz w:val="13"/>
                <w:szCs w:val="13"/>
                <w:color w:val="auto"/>
              </w:rPr>
            </w:pPr>
          </w:p>
        </w:tc>
        <w:tc>
          <w:tcPr>
            <w:tcW w:w="740" w:type="dxa"/>
            <w:vAlign w:val="bottom"/>
            <w:tcBorders>
              <w:bottom w:val="single" w:sz="8" w:color="E4E4E4"/>
            </w:tcBorders>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3"/>
                <w:szCs w:val="13"/>
                <w:color w:val="auto"/>
              </w:rPr>
            </w:pPr>
          </w:p>
        </w:tc>
        <w:tc>
          <w:tcPr>
            <w:tcW w:w="6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bottom w:val="single" w:sz="8" w:color="E4E4E4"/>
            </w:tcBorders>
            <w:shd w:val="clear" w:color="auto" w:fill="E4E4E4"/>
          </w:tcPr>
          <w:p>
            <w:pPr>
              <w:spacing w:after="0"/>
              <w:rPr>
                <w:sz w:val="13"/>
                <w:szCs w:val="13"/>
                <w:color w:val="auto"/>
              </w:rPr>
            </w:pPr>
          </w:p>
        </w:tc>
        <w:tc>
          <w:tcPr>
            <w:tcW w:w="840" w:type="dxa"/>
            <w:vAlign w:val="bottom"/>
            <w:tcBorders>
              <w:bottom w:val="single" w:sz="8" w:color="E4E4E4"/>
            </w:tcBorders>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3"/>
                <w:szCs w:val="13"/>
                <w:color w:val="auto"/>
              </w:rPr>
            </w:pPr>
          </w:p>
        </w:tc>
        <w:tc>
          <w:tcPr>
            <w:tcW w:w="100" w:type="dxa"/>
            <w:vAlign w:val="bottom"/>
            <w:tcBorders>
              <w:bottom w:val="single" w:sz="8" w:color="E4E4E4"/>
            </w:tcBorders>
            <w:shd w:val="clear" w:color="auto" w:fill="E4E4E4"/>
          </w:tcPr>
          <w:p>
            <w:pPr>
              <w:spacing w:after="0"/>
              <w:rPr>
                <w:sz w:val="13"/>
                <w:szCs w:val="13"/>
                <w:color w:val="auto"/>
              </w:rPr>
            </w:pPr>
          </w:p>
        </w:tc>
        <w:tc>
          <w:tcPr>
            <w:tcW w:w="60" w:type="dxa"/>
            <w:vAlign w:val="bottom"/>
            <w:tcBorders>
              <w:bottom w:val="single" w:sz="8" w:color="E4E4E4"/>
            </w:tcBorders>
            <w:shd w:val="clear" w:color="auto" w:fill="E4E4E4"/>
          </w:tcPr>
          <w:p>
            <w:pPr>
              <w:spacing w:after="0"/>
              <w:rPr>
                <w:sz w:val="13"/>
                <w:szCs w:val="13"/>
                <w:color w:val="auto"/>
              </w:rPr>
            </w:pPr>
          </w:p>
        </w:tc>
        <w:tc>
          <w:tcPr>
            <w:tcW w:w="620" w:type="dxa"/>
            <w:vAlign w:val="bottom"/>
            <w:tcBorders>
              <w:bottom w:val="single" w:sz="8" w:color="E4E4E4"/>
            </w:tcBorders>
            <w:gridSpan w:val="3"/>
            <w:shd w:val="clear" w:color="auto" w:fill="E4E4E4"/>
          </w:tcPr>
          <w:p>
            <w:pPr>
              <w:jc w:val="right"/>
              <w:ind w:right="79"/>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3"/>
                <w:szCs w:val="13"/>
                <w:color w:val="auto"/>
              </w:rPr>
            </w:pPr>
          </w:p>
        </w:tc>
        <w:tc>
          <w:tcPr>
            <w:tcW w:w="120" w:type="dxa"/>
            <w:vAlign w:val="bottom"/>
            <w:tcBorders>
              <w:bottom w:val="single" w:sz="8" w:color="E4E4E4"/>
            </w:tcBorders>
            <w:shd w:val="clear" w:color="auto" w:fill="E4E4E4"/>
          </w:tcPr>
          <w:p>
            <w:pPr>
              <w:spacing w:after="0"/>
              <w:rPr>
                <w:sz w:val="13"/>
                <w:szCs w:val="13"/>
                <w:color w:val="auto"/>
              </w:rPr>
            </w:pPr>
          </w:p>
        </w:tc>
        <w:tc>
          <w:tcPr>
            <w:tcW w:w="120" w:type="dxa"/>
            <w:vAlign w:val="bottom"/>
            <w:tcBorders>
              <w:bottom w:val="single" w:sz="8" w:color="E4E4E4"/>
            </w:tcBorders>
            <w:shd w:val="clear" w:color="auto" w:fill="E4E4E4"/>
          </w:tcPr>
          <w:p>
            <w:pPr>
              <w:spacing w:after="0"/>
              <w:rPr>
                <w:sz w:val="13"/>
                <w:szCs w:val="13"/>
                <w:color w:val="auto"/>
              </w:rPr>
            </w:pPr>
          </w:p>
        </w:tc>
        <w:tc>
          <w:tcPr>
            <w:tcW w:w="680" w:type="dxa"/>
            <w:vAlign w:val="bottom"/>
            <w:tcBorders>
              <w:bottom w:val="single" w:sz="8" w:color="E4E4E4"/>
            </w:tcBorders>
            <w:gridSpan w:val="6"/>
            <w:shd w:val="clear" w:color="auto" w:fill="E4E4E4"/>
          </w:tcPr>
          <w:p>
            <w:pPr>
              <w:jc w:val="right"/>
              <w:ind w:right="62"/>
              <w:spacing w:after="0"/>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3"/>
                <w:szCs w:val="13"/>
                <w:color w:val="auto"/>
              </w:rPr>
            </w:pPr>
          </w:p>
        </w:tc>
        <w:tc>
          <w:tcPr>
            <w:tcW w:w="120" w:type="dxa"/>
            <w:vAlign w:val="bottom"/>
            <w:tcBorders>
              <w:bottom w:val="single" w:sz="8" w:color="E4E4E4"/>
            </w:tcBorders>
            <w:shd w:val="clear" w:color="auto" w:fill="E4E4E4"/>
          </w:tcPr>
          <w:p>
            <w:pPr>
              <w:spacing w:after="0"/>
              <w:rPr>
                <w:sz w:val="13"/>
                <w:szCs w:val="13"/>
                <w:color w:val="auto"/>
              </w:rPr>
            </w:pPr>
          </w:p>
        </w:tc>
        <w:tc>
          <w:tcPr>
            <w:tcW w:w="120" w:type="dxa"/>
            <w:vAlign w:val="bottom"/>
            <w:tcBorders>
              <w:bottom w:val="single" w:sz="8" w:color="E4E4E4"/>
            </w:tcBorders>
            <w:shd w:val="clear" w:color="auto" w:fill="E4E4E4"/>
          </w:tcPr>
          <w:p>
            <w:pPr>
              <w:spacing w:after="0"/>
              <w:rPr>
                <w:sz w:val="13"/>
                <w:szCs w:val="13"/>
                <w:color w:val="auto"/>
              </w:rPr>
            </w:pPr>
          </w:p>
        </w:tc>
        <w:tc>
          <w:tcPr>
            <w:tcW w:w="64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2"/>
                <w:szCs w:val="12"/>
                <w:color w:val="1E1E1E"/>
              </w:rPr>
              <w:t>1,036</w:t>
            </w:r>
          </w:p>
        </w:tc>
        <w:tc>
          <w:tcPr>
            <w:tcW w:w="40" w:type="dxa"/>
            <w:vAlign w:val="bottom"/>
            <w:tcBorders>
              <w:bottom w:val="single" w:sz="8" w:color="E4E4E4"/>
              <w:right w:val="single" w:sz="8" w:color="E4E4E4"/>
            </w:tcBorders>
            <w:shd w:val="clear" w:color="auto" w:fill="E4E4E4"/>
          </w:tcPr>
          <w:p>
            <w:pPr>
              <w:spacing w:after="0"/>
              <w:rPr>
                <w:sz w:val="13"/>
                <w:szCs w:val="13"/>
                <w:color w:val="auto"/>
              </w:rPr>
            </w:pPr>
          </w:p>
        </w:tc>
        <w:tc>
          <w:tcPr>
            <w:tcW w:w="100" w:type="dxa"/>
            <w:vAlign w:val="bottom"/>
            <w:tcBorders>
              <w:bottom w:val="single" w:sz="8" w:color="E4E4E4"/>
              <w:right w:val="single" w:sz="8" w:color="E4E4E4"/>
            </w:tcBorders>
            <w:shd w:val="clear" w:color="auto" w:fill="E4E4E4"/>
          </w:tcPr>
          <w:p>
            <w:pPr>
              <w:spacing w:after="0"/>
              <w:rPr>
                <w:sz w:val="13"/>
                <w:szCs w:val="13"/>
                <w:color w:val="auto"/>
              </w:rPr>
            </w:pPr>
          </w:p>
        </w:tc>
        <w:tc>
          <w:tcPr>
            <w:tcW w:w="12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bottom w:val="single" w:sz="8" w:color="E4E4E4"/>
            </w:tcBorders>
            <w:shd w:val="clear" w:color="auto" w:fill="E4E4E4"/>
          </w:tcPr>
          <w:p>
            <w:pPr>
              <w:spacing w:after="0"/>
              <w:rPr>
                <w:sz w:val="13"/>
                <w:szCs w:val="13"/>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2"/>
                <w:szCs w:val="12"/>
                <w:color w:val="1E1E1E"/>
              </w:rPr>
              <w:t>1,036</w:t>
            </w:r>
          </w:p>
        </w:tc>
        <w:tc>
          <w:tcPr>
            <w:tcW w:w="20" w:type="dxa"/>
            <w:vAlign w:val="bottom"/>
            <w:tcBorders>
              <w:bottom w:val="single" w:sz="8" w:color="E4E4E4"/>
            </w:tcBorders>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20" w:type="dxa"/>
            <w:vAlign w:val="bottom"/>
            <w:tcBorders>
              <w:bottom w:val="single" w:sz="8" w:color="E4E4E4"/>
            </w:tcBorders>
            <w:shd w:val="clear" w:color="auto" w:fill="E4E4E4"/>
          </w:tcPr>
          <w:p>
            <w:pPr>
              <w:spacing w:after="0"/>
              <w:rPr>
                <w:sz w:val="13"/>
                <w:szCs w:val="13"/>
                <w:color w:val="auto"/>
              </w:rPr>
            </w:pPr>
          </w:p>
        </w:tc>
        <w:tc>
          <w:tcPr>
            <w:tcW w:w="80" w:type="dxa"/>
            <w:vAlign w:val="bottom"/>
            <w:tcBorders>
              <w:left w:val="single" w:sz="8" w:color="E4E4E4"/>
              <w:bottom w:val="single" w:sz="8" w:color="E4E4E4"/>
              <w:right w:val="single" w:sz="8" w:color="E4E4E4"/>
            </w:tcBorders>
            <w:shd w:val="clear" w:color="auto" w:fill="E4E4E4"/>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260" w:type="dxa"/>
            <w:vAlign w:val="bottom"/>
          </w:tcPr>
          <w:p>
            <w:pPr>
              <w:spacing w:after="0" w:line="120" w:lineRule="exact"/>
              <w:rPr>
                <w:sz w:val="20"/>
                <w:szCs w:val="20"/>
                <w:color w:val="auto"/>
              </w:rPr>
            </w:pPr>
            <w:r>
              <w:rPr>
                <w:rFonts w:ascii="Times New Roman" w:cs="Times New Roman" w:eastAsia="Times New Roman" w:hAnsi="Times New Roman"/>
                <w:sz w:val="13"/>
                <w:szCs w:val="13"/>
                <w:color w:val="1E1E1E"/>
              </w:rPr>
              <w:t>Donated common stock</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40,266</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1E1E1E"/>
              </w:rPr>
              <w:t>2,226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2,226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2,226</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Stock based compensation</w:t>
            </w:r>
          </w:p>
        </w:tc>
        <w:tc>
          <w:tcPr>
            <w:tcW w:w="20" w:type="dxa"/>
            <w:vAlign w:val="bottom"/>
          </w:tcPr>
          <w:p>
            <w:pPr>
              <w:spacing w:after="0"/>
              <w:rPr>
                <w:sz w:val="3"/>
                <w:szCs w:val="3"/>
                <w:color w:val="auto"/>
              </w:rPr>
            </w:pPr>
          </w:p>
        </w:tc>
        <w:tc>
          <w:tcPr>
            <w:tcW w:w="1920" w:type="dxa"/>
            <w:vAlign w:val="bottom"/>
            <w:tcBorders>
              <w:bottom w:val="single" w:sz="8" w:color="E4E4E4"/>
            </w:tcBorders>
            <w:gridSpan w:val="8"/>
          </w:tcPr>
          <w:p>
            <w:pPr>
              <w:spacing w:after="0"/>
              <w:rPr>
                <w:sz w:val="3"/>
                <w:szCs w:val="3"/>
                <w:color w:val="auto"/>
              </w:rPr>
            </w:pPr>
          </w:p>
        </w:tc>
        <w:tc>
          <w:tcPr>
            <w:tcW w:w="10480" w:type="dxa"/>
            <w:vAlign w:val="bottom"/>
            <w:tcBorders>
              <w:left w:val="single" w:sz="8" w:color="1E1E1E"/>
              <w:bottom w:val="single" w:sz="8" w:color="E4E4E4"/>
            </w:tcBorders>
            <w:gridSpan w:val="54"/>
          </w:tcPr>
          <w:p>
            <w:pPr>
              <w:spacing w:after="0"/>
              <w:rPr>
                <w:sz w:val="3"/>
                <w:szCs w:val="3"/>
                <w:color w:val="auto"/>
              </w:rPr>
            </w:pPr>
          </w:p>
        </w:tc>
        <w:tc>
          <w:tcPr>
            <w:tcW w:w="140" w:type="dxa"/>
            <w:vAlign w:val="bottom"/>
            <w:gridSpan w:val="4"/>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2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10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0" w:type="dxa"/>
            <w:vAlign w:val="bottom"/>
            <w:tcBorders>
              <w:bottom w:val="single" w:sz="8" w:color="E4E4E4"/>
            </w:tcBorders>
            <w:shd w:val="clear" w:color="auto" w:fill="E4E4E4"/>
          </w:tcPr>
          <w:p>
            <w:pPr>
              <w:spacing w:after="0"/>
              <w:rPr>
                <w:sz w:val="7"/>
                <w:szCs w:val="7"/>
                <w:color w:val="auto"/>
              </w:rPr>
            </w:pPr>
          </w:p>
        </w:tc>
        <w:tc>
          <w:tcPr>
            <w:tcW w:w="80" w:type="dxa"/>
            <w:vAlign w:val="bottom"/>
            <w:tcBorders>
              <w:bottom w:val="single" w:sz="8" w:color="E4E4E4"/>
            </w:tcBorders>
            <w:shd w:val="clear" w:color="auto" w:fill="E4E4E4"/>
          </w:tcPr>
          <w:p>
            <w:pPr>
              <w:spacing w:after="0"/>
              <w:rPr>
                <w:sz w:val="7"/>
                <w:szCs w:val="7"/>
                <w:color w:val="auto"/>
              </w:rPr>
            </w:pPr>
          </w:p>
        </w:tc>
        <w:tc>
          <w:tcPr>
            <w:tcW w:w="68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left w:val="single" w:sz="8" w:color="1E1E1E"/>
              <w:bottom w:val="single" w:sz="8" w:color="E4E4E4"/>
            </w:tcBorders>
            <w:shd w:val="clear" w:color="auto" w:fill="E4E4E4"/>
          </w:tcPr>
          <w:p>
            <w:pPr>
              <w:spacing w:after="0"/>
              <w:rPr>
                <w:sz w:val="7"/>
                <w:szCs w:val="7"/>
                <w:color w:val="auto"/>
              </w:rPr>
            </w:pPr>
          </w:p>
        </w:tc>
        <w:tc>
          <w:tcPr>
            <w:tcW w:w="102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Borders>
              <w:bottom w:val="single" w:sz="8" w:color="E4E4E4"/>
            </w:tcBorders>
            <w:shd w:val="clear" w:color="auto" w:fill="E4E4E4"/>
          </w:tcPr>
          <w:p>
            <w:pPr>
              <w:spacing w:after="0"/>
              <w:rPr>
                <w:sz w:val="7"/>
                <w:szCs w:val="7"/>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920" w:type="dxa"/>
            <w:vAlign w:val="bottom"/>
            <w:tcBorders>
              <w:bottom w:val="single" w:sz="8" w:color="E4E4E4"/>
            </w:tcBorders>
            <w:gridSpan w:val="4"/>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80" w:type="dxa"/>
            <w:vAlign w:val="bottom"/>
            <w:tcBorders>
              <w:bottom w:val="single" w:sz="8" w:color="E4E4E4"/>
            </w:tcBorders>
            <w:shd w:val="clear" w:color="auto" w:fill="E4E4E4"/>
          </w:tcPr>
          <w:p>
            <w:pPr>
              <w:spacing w:after="0"/>
              <w:rPr>
                <w:sz w:val="7"/>
                <w:szCs w:val="7"/>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tcBorders>
              <w:bottom w:val="single" w:sz="8" w:color="E4E4E4"/>
            </w:tcBorders>
            <w:gridSpan w:val="2"/>
            <w:shd w:val="clear" w:color="auto" w:fill="E4E4E4"/>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22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Borders>
              <w:bottom w:val="single" w:sz="8" w:color="E4E4E4"/>
            </w:tcBorders>
            <w:shd w:val="clear" w:color="auto" w:fill="E4E4E4"/>
          </w:tcPr>
          <w:p>
            <w:pPr>
              <w:spacing w:after="0"/>
              <w:rPr>
                <w:sz w:val="7"/>
                <w:szCs w:val="7"/>
                <w:color w:val="auto"/>
              </w:rPr>
            </w:pPr>
          </w:p>
        </w:tc>
        <w:tc>
          <w:tcPr>
            <w:tcW w:w="80" w:type="dxa"/>
            <w:vAlign w:val="bottom"/>
            <w:tcBorders>
              <w:bottom w:val="single" w:sz="8" w:color="E4E4E4"/>
            </w:tcBorders>
            <w:shd w:val="clear" w:color="auto" w:fill="E4E4E4"/>
          </w:tcPr>
          <w:p>
            <w:pPr>
              <w:spacing w:after="0"/>
              <w:rPr>
                <w:sz w:val="7"/>
                <w:szCs w:val="7"/>
                <w:color w:val="auto"/>
              </w:rPr>
            </w:pPr>
          </w:p>
        </w:tc>
        <w:tc>
          <w:tcPr>
            <w:tcW w:w="640" w:type="dxa"/>
            <w:vAlign w:val="bottom"/>
            <w:tcBorders>
              <w:bottom w:val="single" w:sz="8" w:color="E4E4E4"/>
            </w:tcBorders>
            <w:gridSpan w:val="2"/>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7,395</w:t>
            </w:r>
          </w:p>
        </w:tc>
        <w:tc>
          <w:tcPr>
            <w:tcW w:w="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60" w:type="dxa"/>
            <w:vAlign w:val="bottom"/>
            <w:tcBorders>
              <w:bottom w:val="single" w:sz="8" w:color="E4E4E4"/>
            </w:tcBorders>
            <w:shd w:val="clear" w:color="auto" w:fill="E4E4E4"/>
          </w:tcPr>
          <w:p>
            <w:pPr>
              <w:spacing w:after="0"/>
              <w:rPr>
                <w:sz w:val="7"/>
                <w:szCs w:val="7"/>
                <w:color w:val="auto"/>
              </w:rPr>
            </w:pPr>
          </w:p>
        </w:tc>
        <w:tc>
          <w:tcPr>
            <w:tcW w:w="80" w:type="dxa"/>
            <w:vAlign w:val="bottom"/>
            <w:tcBorders>
              <w:bottom w:val="single" w:sz="8" w:color="E4E4E4"/>
            </w:tcBorders>
            <w:shd w:val="clear" w:color="auto" w:fill="E4E4E4"/>
          </w:tcPr>
          <w:p>
            <w:pPr>
              <w:spacing w:after="0"/>
              <w:rPr>
                <w:sz w:val="7"/>
                <w:szCs w:val="7"/>
                <w:color w:val="auto"/>
              </w:rPr>
            </w:pPr>
          </w:p>
        </w:tc>
        <w:tc>
          <w:tcPr>
            <w:tcW w:w="840" w:type="dxa"/>
            <w:vAlign w:val="bottom"/>
            <w:tcBorders>
              <w:bottom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7"/>
                <w:szCs w:val="7"/>
                <w:color w:val="auto"/>
              </w:rPr>
            </w:pPr>
          </w:p>
        </w:tc>
        <w:tc>
          <w:tcPr>
            <w:tcW w:w="100" w:type="dxa"/>
            <w:vAlign w:val="bottom"/>
            <w:tcBorders>
              <w:bottom w:val="single" w:sz="8" w:color="E4E4E4"/>
            </w:tcBorders>
            <w:shd w:val="clear" w:color="auto" w:fill="E4E4E4"/>
          </w:tcPr>
          <w:p>
            <w:pPr>
              <w:spacing w:after="0"/>
              <w:rPr>
                <w:sz w:val="7"/>
                <w:szCs w:val="7"/>
                <w:color w:val="auto"/>
              </w:rPr>
            </w:pPr>
          </w:p>
        </w:tc>
        <w:tc>
          <w:tcPr>
            <w:tcW w:w="60" w:type="dxa"/>
            <w:vAlign w:val="bottom"/>
            <w:tcBorders>
              <w:bottom w:val="single" w:sz="8" w:color="E4E4E4"/>
            </w:tcBorders>
            <w:shd w:val="clear" w:color="auto" w:fill="E4E4E4"/>
          </w:tcPr>
          <w:p>
            <w:pPr>
              <w:spacing w:after="0"/>
              <w:rPr>
                <w:sz w:val="7"/>
                <w:szCs w:val="7"/>
                <w:color w:val="auto"/>
              </w:rPr>
            </w:pPr>
          </w:p>
        </w:tc>
        <w:tc>
          <w:tcPr>
            <w:tcW w:w="620" w:type="dxa"/>
            <w:vAlign w:val="bottom"/>
            <w:tcBorders>
              <w:bottom w:val="single" w:sz="8" w:color="E4E4E4"/>
            </w:tcBorders>
            <w:gridSpan w:val="3"/>
            <w:shd w:val="clear" w:color="auto" w:fill="E4E4E4"/>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5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7,395</w:t>
            </w:r>
          </w:p>
        </w:tc>
        <w:tc>
          <w:tcPr>
            <w:tcW w:w="2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4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12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7"/>
                <w:szCs w:val="7"/>
                <w:color w:val="auto"/>
              </w:rPr>
            </w:pPr>
          </w:p>
        </w:tc>
        <w:tc>
          <w:tcPr>
            <w:tcW w:w="80" w:type="dxa"/>
            <w:vAlign w:val="bottom"/>
            <w:tcBorders>
              <w:bottom w:val="single" w:sz="8" w:color="E4E4E4"/>
            </w:tcBorders>
            <w:shd w:val="clear" w:color="auto" w:fill="E4E4E4"/>
          </w:tcPr>
          <w:p>
            <w:pPr>
              <w:spacing w:after="0"/>
              <w:rPr>
                <w:sz w:val="7"/>
                <w:szCs w:val="7"/>
                <w:color w:val="auto"/>
              </w:rPr>
            </w:pPr>
          </w:p>
        </w:tc>
        <w:tc>
          <w:tcPr>
            <w:tcW w:w="4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7,395</w:t>
            </w:r>
          </w:p>
        </w:tc>
        <w:tc>
          <w:tcPr>
            <w:tcW w:w="2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20" w:type="dxa"/>
            <w:vAlign w:val="bottom"/>
            <w:tcBorders>
              <w:bottom w:val="single" w:sz="8" w:color="E4E4E4"/>
            </w:tcBorders>
            <w:shd w:val="clear" w:color="auto" w:fill="E4E4E4"/>
          </w:tcPr>
          <w:p>
            <w:pPr>
              <w:spacing w:after="0"/>
              <w:rPr>
                <w:sz w:val="7"/>
                <w:szCs w:val="7"/>
                <w:color w:val="auto"/>
              </w:rPr>
            </w:pPr>
          </w:p>
        </w:tc>
        <w:tc>
          <w:tcPr>
            <w:tcW w:w="80" w:type="dxa"/>
            <w:vAlign w:val="bottom"/>
            <w:tcBorders>
              <w:left w:val="single" w:sz="8" w:color="E4E4E4"/>
              <w:bottom w:val="single" w:sz="8" w:color="E4E4E4"/>
              <w:right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4220" w:type="dxa"/>
            <w:vAlign w:val="bottom"/>
            <w:gridSpan w:val="11"/>
          </w:tcPr>
          <w:p>
            <w:pPr>
              <w:spacing w:after="0" w:line="118" w:lineRule="exact"/>
              <w:rPr>
                <w:sz w:val="20"/>
                <w:szCs w:val="20"/>
                <w:color w:val="auto"/>
              </w:rPr>
            </w:pPr>
            <w:r>
              <w:rPr>
                <w:rFonts w:ascii="Times New Roman" w:cs="Times New Roman" w:eastAsia="Times New Roman" w:hAnsi="Times New Roman"/>
                <w:sz w:val="13"/>
                <w:szCs w:val="13"/>
                <w:color w:val="1E1E1E"/>
              </w:rPr>
              <w:t>Comprehensive income</w:t>
            </w:r>
          </w:p>
        </w:tc>
        <w:tc>
          <w:tcPr>
            <w:tcW w:w="10620" w:type="dxa"/>
            <w:vAlign w:val="bottom"/>
            <w:tcBorders>
              <w:left w:val="single" w:sz="8" w:color="1E1E1E"/>
            </w:tcBorders>
            <w:gridSpan w:val="58"/>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280" w:type="dxa"/>
            <w:vAlign w:val="bottom"/>
            <w:gridSpan w:val="2"/>
            <w:vMerge w:val="restart"/>
          </w:tcPr>
          <w:p>
            <w:pPr>
              <w:ind w:left="160"/>
              <w:spacing w:after="0" w:line="147" w:lineRule="exact"/>
              <w:rPr>
                <w:sz w:val="20"/>
                <w:szCs w:val="20"/>
                <w:color w:val="auto"/>
              </w:rPr>
            </w:pPr>
            <w:r>
              <w:rPr>
                <w:rFonts w:ascii="Times New Roman" w:cs="Times New Roman" w:eastAsia="Times New Roman" w:hAnsi="Times New Roman"/>
                <w:sz w:val="13"/>
                <w:szCs w:val="13"/>
                <w:color w:val="1E1E1E"/>
              </w:rPr>
              <w:t>Foreign currency translation</w:t>
            </w:r>
          </w:p>
        </w:tc>
        <w:tc>
          <w:tcPr>
            <w:tcW w:w="2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8660" w:type="dxa"/>
            <w:vAlign w:val="bottom"/>
            <w:tcBorders>
              <w:left w:val="single" w:sz="8" w:color="1E1E1E"/>
              <w:bottom w:val="single" w:sz="8" w:color="E4E4E4"/>
            </w:tcBorders>
            <w:gridSpan w:val="40"/>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E4E4E4"/>
            </w:tcBorders>
            <w:gridSpan w:val="4"/>
          </w:tcPr>
          <w:p>
            <w:pPr>
              <w:spacing w:after="0"/>
              <w:rPr>
                <w:sz w:val="4"/>
                <w:szCs w:val="4"/>
                <w:color w:val="auto"/>
              </w:rPr>
            </w:pPr>
          </w:p>
        </w:tc>
        <w:tc>
          <w:tcPr>
            <w:tcW w:w="1840" w:type="dxa"/>
            <w:vAlign w:val="bottom"/>
            <w:gridSpan w:val="13"/>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920" w:type="dxa"/>
            <w:vAlign w:val="bottom"/>
            <w:tcBorders>
              <w:bottom w:val="single" w:sz="8" w:color="E4E4E4"/>
            </w:tcBorders>
            <w:gridSpan w:val="4"/>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tcBorders>
              <w:bottom w:val="single" w:sz="8" w:color="E4E4E4"/>
            </w:tcBorders>
            <w:gridSpan w:val="2"/>
            <w:shd w:val="clear" w:color="auto" w:fill="E4E4E4"/>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740" w:type="dxa"/>
            <w:vAlign w:val="bottom"/>
            <w:tcBorders>
              <w:bottom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tcBorders>
            <w:gridSpan w:val="2"/>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(61</w:t>
            </w:r>
          </w:p>
        </w:tc>
        <w:tc>
          <w:tcPr>
            <w:tcW w:w="140" w:type="dxa"/>
            <w:vAlign w:val="bottom"/>
            <w:tcBorders>
              <w:bottom w:val="single" w:sz="8" w:color="E4E4E4"/>
            </w:tcBorders>
            <w:gridSpan w:val="2"/>
            <w:shd w:val="clear" w:color="auto" w:fill="E4E4E4"/>
          </w:tcPr>
          <w:p>
            <w:pPr>
              <w:jc w:val="right"/>
              <w:ind w:right="100"/>
              <w:spacing w:after="0" w:line="80" w:lineRule="exact"/>
              <w:rPr>
                <w:sz w:val="20"/>
                <w:szCs w:val="20"/>
                <w:color w:val="auto"/>
              </w:rPr>
            </w:pPr>
            <w:r>
              <w:rPr>
                <w:rFonts w:ascii="Times New Roman" w:cs="Times New Roman" w:eastAsia="Times New Roman" w:hAnsi="Times New Roman"/>
                <w:sz w:val="8"/>
                <w:szCs w:val="8"/>
                <w:color w:val="1E1E1E"/>
                <w:w w:val="73"/>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(61</w:t>
            </w:r>
          </w:p>
        </w:tc>
        <w:tc>
          <w:tcPr>
            <w:tcW w:w="20" w:type="dxa"/>
            <w:vAlign w:val="bottom"/>
          </w:tcPr>
          <w:p>
            <w:pPr>
              <w:spacing w:after="0"/>
              <w:rPr>
                <w:sz w:val="10"/>
                <w:szCs w:val="10"/>
                <w:color w:val="auto"/>
              </w:rPr>
            </w:pPr>
          </w:p>
        </w:tc>
        <w:tc>
          <w:tcPr>
            <w:tcW w:w="100" w:type="dxa"/>
            <w:vAlign w:val="bottom"/>
            <w:tcBorders>
              <w:bottom w:val="single" w:sz="8" w:color="E4E4E4"/>
            </w:tcBorders>
            <w:gridSpan w:val="4"/>
            <w:shd w:val="clear" w:color="auto" w:fill="E4E4E4"/>
          </w:tcPr>
          <w:p>
            <w:pPr>
              <w:jc w:val="right"/>
              <w:ind w:right="22"/>
              <w:spacing w:after="0"/>
              <w:rPr>
                <w:sz w:val="20"/>
                <w:szCs w:val="20"/>
                <w:color w:val="auto"/>
              </w:rPr>
            </w:pPr>
            <w:r>
              <w:rPr>
                <w:rFonts w:ascii="Times New Roman" w:cs="Times New Roman" w:eastAsia="Times New Roman" w:hAnsi="Times New Roman"/>
                <w:sz w:val="1"/>
                <w:szCs w:val="1"/>
                <w:color w:val="1E1E1E"/>
                <w:w w:val="4294967281"/>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480" w:type="dxa"/>
            <w:vAlign w:val="bottom"/>
            <w:tcBorders>
              <w:bottom w:val="single" w:sz="8" w:color="E4E4E4"/>
            </w:tcBorders>
            <w:gridSpan w:val="2"/>
            <w:shd w:val="clear" w:color="auto" w:fill="E4E4E4"/>
          </w:tcPr>
          <w:p>
            <w:pPr>
              <w:jc w:val="right"/>
              <w:ind w:right="20"/>
              <w:spacing w:after="0" w:line="80" w:lineRule="exact"/>
              <w:rPr>
                <w:sz w:val="20"/>
                <w:szCs w:val="20"/>
                <w:color w:val="auto"/>
              </w:rPr>
            </w:pPr>
            <w:r>
              <w:rPr>
                <w:rFonts w:ascii="Times New Roman" w:cs="Times New Roman" w:eastAsia="Times New Roman" w:hAnsi="Times New Roman"/>
                <w:sz w:val="9"/>
                <w:szCs w:val="9"/>
                <w:color w:val="1E1E1E"/>
              </w:rPr>
              <w:t>(61)</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left w:val="single" w:sz="8" w:color="E4E4E4"/>
              <w:bottom w:val="single" w:sz="8" w:color="E4E4E4"/>
              <w:right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2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1E1E1E"/>
              </w:rPr>
              <w:t>Net (loss) income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tcPr>
          <w:p>
            <w:pPr>
              <w:jc w:val="right"/>
              <w:ind w:right="260"/>
              <w:spacing w:after="0" w:line="89" w:lineRule="exact"/>
              <w:rPr>
                <w:sz w:val="20"/>
                <w:szCs w:val="20"/>
                <w:color w:val="auto"/>
              </w:rPr>
            </w:pPr>
            <w:r>
              <w:rPr>
                <w:rFonts w:ascii="Times New Roman" w:cs="Times New Roman" w:eastAsia="Times New Roman" w:hAnsi="Times New Roman"/>
                <w:sz w:val="10"/>
                <w:szCs w:val="10"/>
                <w:color w:val="1E1E1E"/>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260"/>
              <w:spacing w:after="0" w:line="89"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left w:val="single" w:sz="8" w:color="1E1E1E"/>
            </w:tcBorders>
          </w:tcPr>
          <w:p>
            <w:pPr>
              <w:spacing w:after="0"/>
              <w:rPr>
                <w:sz w:val="9"/>
                <w:szCs w:val="9"/>
                <w:color w:val="auto"/>
              </w:rPr>
            </w:pPr>
          </w:p>
        </w:tc>
        <w:tc>
          <w:tcPr>
            <w:tcW w:w="102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9"/>
                <w:szCs w:val="9"/>
                <w:color w:val="auto"/>
              </w:rPr>
            </w:pPr>
          </w:p>
        </w:tc>
        <w:tc>
          <w:tcPr>
            <w:tcW w:w="50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Pr>
          <w:p>
            <w:pPr>
              <w:spacing w:after="0"/>
              <w:rPr>
                <w:sz w:val="9"/>
                <w:szCs w:val="9"/>
                <w:color w:val="auto"/>
              </w:rPr>
            </w:pPr>
          </w:p>
        </w:tc>
        <w:tc>
          <w:tcPr>
            <w:tcW w:w="50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4"/>
          </w:tcPr>
          <w:p>
            <w:pPr>
              <w:jc w:val="right"/>
              <w:ind w:right="39"/>
              <w:spacing w:after="0" w:line="106" w:lineRule="exact"/>
              <w:rPr>
                <w:sz w:val="20"/>
                <w:szCs w:val="20"/>
                <w:color w:val="auto"/>
              </w:rPr>
            </w:pPr>
            <w:r>
              <w:rPr>
                <w:rFonts w:ascii="Times New Roman" w:cs="Times New Roman" w:eastAsia="Times New Roman" w:hAnsi="Times New Roman"/>
                <w:sz w:val="12"/>
                <w:szCs w:val="12"/>
                <w:color w:val="1E1E1E"/>
              </w:rPr>
              <w:t>(61,379</w:t>
            </w:r>
            <w:r>
              <w:rPr>
                <w:rFonts w:ascii="Times New Roman" w:cs="Times New Roman" w:eastAsia="Times New Roman" w:hAnsi="Times New Roman"/>
                <w:sz w:val="11"/>
                <w:szCs w:val="11"/>
                <w:color w:val="1E1E1E"/>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1E1E1E"/>
              </w:rPr>
              <w:t>(61,379)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right"/>
              <w:ind w:right="100"/>
              <w:spacing w:after="0" w:line="106" w:lineRule="exact"/>
              <w:rPr>
                <w:sz w:val="20"/>
                <w:szCs w:val="20"/>
                <w:color w:val="auto"/>
              </w:rPr>
            </w:pPr>
            <w:r>
              <w:rPr>
                <w:rFonts w:ascii="Times New Roman" w:cs="Times New Roman" w:eastAsia="Times New Roman" w:hAnsi="Times New Roman"/>
                <w:sz w:val="12"/>
                <w:szCs w:val="12"/>
                <w:color w:val="1E1E1E"/>
              </w:rPr>
              <w:t>(2)</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20"/>
              <w:spacing w:after="0" w:line="106" w:lineRule="exact"/>
              <w:rPr>
                <w:sz w:val="20"/>
                <w:szCs w:val="20"/>
                <w:color w:val="auto"/>
              </w:rPr>
            </w:pPr>
            <w:r>
              <w:rPr>
                <w:rFonts w:ascii="Times New Roman" w:cs="Times New Roman" w:eastAsia="Times New Roman" w:hAnsi="Times New Roman"/>
                <w:sz w:val="12"/>
                <w:szCs w:val="12"/>
                <w:color w:val="1E1E1E"/>
              </w:rPr>
              <w:t>(61,381</w:t>
            </w:r>
          </w:p>
        </w:tc>
        <w:tc>
          <w:tcPr>
            <w:tcW w:w="120" w:type="dxa"/>
            <w:vAlign w:val="bottom"/>
            <w:gridSpan w:val="3"/>
          </w:tcPr>
          <w:p>
            <w:pPr>
              <w:jc w:val="right"/>
              <w:ind w:right="100"/>
              <w:spacing w:after="0"/>
              <w:rPr>
                <w:sz w:val="20"/>
                <w:szCs w:val="20"/>
                <w:color w:val="auto"/>
              </w:rPr>
            </w:pPr>
            <w:r>
              <w:rPr>
                <w:rFonts w:ascii="Times New Roman" w:cs="Times New Roman" w:eastAsia="Times New Roman" w:hAnsi="Times New Roman"/>
                <w:sz w:val="1"/>
                <w:szCs w:val="1"/>
                <w:color w:val="1E1E1E"/>
                <w:w w:val="4294967281"/>
              </w:rPr>
              <w:t>)</w:t>
            </w:r>
          </w:p>
        </w:tc>
        <w:tc>
          <w:tcPr>
            <w:tcW w:w="0" w:type="dxa"/>
            <w:vAlign w:val="bottom"/>
          </w:tcPr>
          <w:p>
            <w:pPr>
              <w:spacing w:after="0"/>
              <w:rPr>
                <w:sz w:val="1"/>
                <w:szCs w:val="1"/>
                <w:color w:val="auto"/>
              </w:rPr>
            </w:pPr>
          </w:p>
        </w:tc>
      </w:tr>
      <w:tr>
        <w:trPr>
          <w:trHeight w:val="135"/>
        </w:trPr>
        <w:tc>
          <w:tcPr>
            <w:tcW w:w="2400" w:type="dxa"/>
            <w:vAlign w:val="bottom"/>
            <w:tcBorders>
              <w:top w:val="single" w:sz="8" w:color="E4E4E4"/>
            </w:tcBorders>
            <w:gridSpan w:val="5"/>
            <w:shd w:val="clear" w:color="auto" w:fill="E4E4E4"/>
          </w:tcPr>
          <w:p>
            <w:pPr>
              <w:spacing w:after="0" w:line="135" w:lineRule="exact"/>
              <w:rPr>
                <w:sz w:val="20"/>
                <w:szCs w:val="20"/>
                <w:color w:val="auto"/>
              </w:rPr>
            </w:pPr>
            <w:r>
              <w:rPr>
                <w:rFonts w:ascii="Times New Roman" w:cs="Times New Roman" w:eastAsia="Times New Roman" w:hAnsi="Times New Roman"/>
                <w:sz w:val="13"/>
                <w:szCs w:val="13"/>
                <w:color w:val="1E1E1E"/>
              </w:rPr>
              <w:t>Total comprehensive (loss) income</w:t>
            </w:r>
          </w:p>
        </w:tc>
        <w:tc>
          <w:tcPr>
            <w:tcW w:w="74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560" w:type="dxa"/>
            <w:vAlign w:val="bottom"/>
            <w:tcBorders>
              <w:top w:val="single" w:sz="8" w:color="1E1E1E"/>
              <w:bottom w:val="single" w:sz="8" w:color="1E1E1E"/>
            </w:tcBorders>
            <w:gridSpan w:val="3"/>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40" w:type="dxa"/>
            <w:vAlign w:val="bottom"/>
            <w:tcBorders>
              <w:top w:val="single" w:sz="8" w:color="E4E4E4"/>
              <w:left w:val="single" w:sz="8" w:color="1E1E1E"/>
            </w:tcBorders>
            <w:shd w:val="clear" w:color="auto" w:fill="E4E4E4"/>
          </w:tcPr>
          <w:p>
            <w:pPr>
              <w:spacing w:after="0"/>
              <w:rPr>
                <w:sz w:val="11"/>
                <w:szCs w:val="11"/>
                <w:color w:val="auto"/>
              </w:rPr>
            </w:pPr>
          </w:p>
        </w:tc>
        <w:tc>
          <w:tcPr>
            <w:tcW w:w="76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40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700" w:type="dxa"/>
            <w:vAlign w:val="bottom"/>
            <w:tcBorders>
              <w:top w:val="single" w:sz="8" w:color="1E1E1E"/>
              <w:bottom w:val="single" w:sz="8" w:color="1E1E1E"/>
            </w:tcBorders>
            <w:gridSpan w:val="3"/>
            <w:shd w:val="clear" w:color="auto" w:fill="E4E4E4"/>
          </w:tcPr>
          <w:p>
            <w:pPr>
              <w:jc w:val="right"/>
              <w:ind w:right="40"/>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20" w:type="dxa"/>
            <w:vAlign w:val="bottom"/>
            <w:tcBorders>
              <w:top w:val="single" w:sz="8" w:color="E4E4E4"/>
            </w:tcBorders>
            <w:shd w:val="clear" w:color="auto" w:fill="E4E4E4"/>
          </w:tcPr>
          <w:p>
            <w:pPr>
              <w:spacing w:after="0"/>
              <w:rPr>
                <w:sz w:val="11"/>
                <w:szCs w:val="11"/>
                <w:color w:val="auto"/>
              </w:rPr>
            </w:pPr>
          </w:p>
        </w:tc>
        <w:tc>
          <w:tcPr>
            <w:tcW w:w="42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62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gridSpan w:val="2"/>
            <w:shd w:val="clear" w:color="auto" w:fill="E4E4E4"/>
          </w:tcPr>
          <w:p>
            <w:pPr>
              <w:spacing w:after="0"/>
              <w:rPr>
                <w:sz w:val="11"/>
                <w:szCs w:val="11"/>
                <w:color w:val="auto"/>
              </w:rPr>
            </w:pPr>
          </w:p>
        </w:tc>
        <w:tc>
          <w:tcPr>
            <w:tcW w:w="40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740" w:type="dxa"/>
            <w:vAlign w:val="bottom"/>
            <w:tcBorders>
              <w:top w:val="single" w:sz="8" w:color="1E1E1E"/>
              <w:bottom w:val="single" w:sz="8" w:color="1E1E1E"/>
            </w:tcBorders>
            <w:gridSpan w:val="4"/>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40" w:type="dxa"/>
            <w:vAlign w:val="bottom"/>
            <w:tcBorders>
              <w:top w:val="single" w:sz="8" w:color="E4E4E4"/>
            </w:tcBorders>
            <w:gridSpan w:val="2"/>
            <w:shd w:val="clear" w:color="auto" w:fill="E4E4E4"/>
          </w:tcPr>
          <w:p>
            <w:pPr>
              <w:spacing w:after="0"/>
              <w:rPr>
                <w:sz w:val="11"/>
                <w:szCs w:val="11"/>
                <w:color w:val="auto"/>
              </w:rPr>
            </w:pPr>
          </w:p>
        </w:tc>
        <w:tc>
          <w:tcPr>
            <w:tcW w:w="860" w:type="dxa"/>
            <w:vAlign w:val="bottom"/>
            <w:tcBorders>
              <w:top w:val="single" w:sz="8" w:color="1E1E1E"/>
              <w:bottom w:val="single" w:sz="8" w:color="1E1E1E"/>
            </w:tcBorders>
            <w:gridSpan w:val="4"/>
            <w:shd w:val="clear" w:color="auto" w:fill="E4E4E4"/>
          </w:tcPr>
          <w:p>
            <w:pPr>
              <w:jc w:val="right"/>
              <w:ind w:right="819"/>
              <w:spacing w:after="0"/>
              <w:rPr>
                <w:sz w:val="20"/>
                <w:szCs w:val="20"/>
                <w:color w:val="auto"/>
              </w:rPr>
            </w:pPr>
            <w:r>
              <w:rPr>
                <w:rFonts w:ascii="Times New Roman" w:cs="Times New Roman" w:eastAsia="Times New Roman" w:hAnsi="Times New Roman"/>
                <w:sz w:val="12"/>
                <w:szCs w:val="12"/>
                <w:color w:val="1E1E1E"/>
              </w:rPr>
              <w:t>(61)</w:t>
            </w:r>
          </w:p>
        </w:tc>
        <w:tc>
          <w:tcPr>
            <w:tcW w:w="260" w:type="dxa"/>
            <w:vAlign w:val="bottom"/>
            <w:tcBorders>
              <w:top w:val="single" w:sz="8" w:color="E4E4E4"/>
              <w:bottom w:val="single" w:sz="8" w:color="E4E4E4"/>
            </w:tcBorders>
            <w:gridSpan w:val="2"/>
            <w:shd w:val="clear" w:color="auto" w:fill="E4E4E4"/>
          </w:tcPr>
          <w:p>
            <w:pPr>
              <w:spacing w:after="0"/>
              <w:rPr>
                <w:sz w:val="11"/>
                <w:szCs w:val="11"/>
                <w:color w:val="auto"/>
              </w:rPr>
            </w:pPr>
          </w:p>
        </w:tc>
        <w:tc>
          <w:tcPr>
            <w:tcW w:w="700" w:type="dxa"/>
            <w:vAlign w:val="bottom"/>
            <w:tcBorders>
              <w:top w:val="single" w:sz="8" w:color="1E1E1E"/>
              <w:bottom w:val="single" w:sz="8" w:color="1E1E1E"/>
              <w:right w:val="single" w:sz="8" w:color="E4E4E4"/>
            </w:tcBorders>
            <w:gridSpan w:val="4"/>
            <w:shd w:val="clear" w:color="auto" w:fill="E4E4E4"/>
          </w:tcPr>
          <w:p>
            <w:pPr>
              <w:jc w:val="right"/>
              <w:ind w:right="700"/>
              <w:spacing w:after="0"/>
              <w:rPr>
                <w:sz w:val="20"/>
                <w:szCs w:val="20"/>
                <w:color w:val="auto"/>
              </w:rPr>
            </w:pPr>
            <w:r>
              <w:rPr>
                <w:rFonts w:ascii="Times New Roman" w:cs="Times New Roman" w:eastAsia="Times New Roman" w:hAnsi="Times New Roman"/>
                <w:sz w:val="12"/>
                <w:szCs w:val="12"/>
                <w:color w:val="1E1E1E"/>
              </w:rPr>
              <w:t>(61,379</w:t>
            </w:r>
          </w:p>
        </w:tc>
        <w:tc>
          <w:tcPr>
            <w:tcW w:w="220" w:type="dxa"/>
            <w:vAlign w:val="bottom"/>
            <w:tcBorders>
              <w:top w:val="single" w:sz="8" w:color="E4E4E4"/>
              <w:bottom w:val="single" w:sz="8" w:color="E4E4E4"/>
            </w:tcBorders>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8"/>
                <w:szCs w:val="8"/>
                <w:color w:val="1E1E1E"/>
                <w:w w:val="73"/>
              </w:rPr>
              <w:t>)</w:t>
            </w:r>
          </w:p>
        </w:tc>
        <w:tc>
          <w:tcPr>
            <w:tcW w:w="760" w:type="dxa"/>
            <w:vAlign w:val="bottom"/>
            <w:tcBorders>
              <w:top w:val="single" w:sz="8" w:color="1E1E1E"/>
              <w:bottom w:val="single" w:sz="8" w:color="1E1E1E"/>
            </w:tcBorders>
            <w:gridSpan w:val="6"/>
            <w:shd w:val="clear" w:color="auto" w:fill="E4E4E4"/>
          </w:tcPr>
          <w:p>
            <w:pPr>
              <w:jc w:val="right"/>
              <w:ind w:right="713"/>
              <w:spacing w:after="0"/>
              <w:rPr>
                <w:sz w:val="20"/>
                <w:szCs w:val="20"/>
                <w:color w:val="auto"/>
              </w:rPr>
            </w:pPr>
            <w:r>
              <w:rPr>
                <w:rFonts w:ascii="Times New Roman" w:cs="Times New Roman" w:eastAsia="Times New Roman" w:hAnsi="Times New Roman"/>
                <w:sz w:val="12"/>
                <w:szCs w:val="12"/>
                <w:color w:val="1E1E1E"/>
              </w:rPr>
              <w:t>(61,440</w:t>
            </w:r>
          </w:p>
        </w:tc>
        <w:tc>
          <w:tcPr>
            <w:tcW w:w="180" w:type="dxa"/>
            <w:vAlign w:val="bottom"/>
            <w:tcBorders>
              <w:top w:val="single" w:sz="8" w:color="E4E4E4"/>
              <w:bottom w:val="single" w:sz="8" w:color="E4E4E4"/>
            </w:tcBorders>
            <w:gridSpan w:val="3"/>
            <w:shd w:val="clear" w:color="auto" w:fill="E4E4E4"/>
          </w:tcPr>
          <w:p>
            <w:pPr>
              <w:jc w:val="right"/>
              <w:ind w:right="162"/>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800" w:type="dxa"/>
            <w:vAlign w:val="bottom"/>
            <w:tcBorders>
              <w:top w:val="single" w:sz="8" w:color="1E1E1E"/>
              <w:bottom w:val="single" w:sz="8" w:color="1E1E1E"/>
            </w:tcBorders>
            <w:gridSpan w:val="3"/>
          </w:tcPr>
          <w:p>
            <w:pPr>
              <w:jc w:val="right"/>
              <w:ind w:right="800"/>
              <w:spacing w:after="0"/>
              <w:rPr>
                <w:sz w:val="20"/>
                <w:szCs w:val="20"/>
                <w:color w:val="auto"/>
              </w:rPr>
            </w:pPr>
            <w:r>
              <w:rPr>
                <w:rFonts w:ascii="Times New Roman" w:cs="Times New Roman" w:eastAsia="Times New Roman" w:hAnsi="Times New Roman"/>
                <w:sz w:val="12"/>
                <w:szCs w:val="12"/>
                <w:color w:val="1E1E1E"/>
              </w:rPr>
              <w:t>(2)</w:t>
            </w:r>
          </w:p>
        </w:tc>
        <w:tc>
          <w:tcPr>
            <w:tcW w:w="100" w:type="dxa"/>
            <w:vAlign w:val="bottom"/>
            <w:tcBorders>
              <w:right w:val="single" w:sz="8" w:color="E4E4E4"/>
            </w:tcBorders>
          </w:tcPr>
          <w:p>
            <w:pPr>
              <w:spacing w:after="0"/>
              <w:rPr>
                <w:sz w:val="11"/>
                <w:szCs w:val="11"/>
                <w:color w:val="auto"/>
              </w:rPr>
            </w:pPr>
          </w:p>
        </w:tc>
        <w:tc>
          <w:tcPr>
            <w:tcW w:w="120" w:type="dxa"/>
            <w:vAlign w:val="bottom"/>
            <w:tcBorders>
              <w:top w:val="single" w:sz="8" w:color="E4E4E4"/>
              <w:bottom w:val="single" w:sz="8" w:color="E4E4E4"/>
            </w:tcBorders>
            <w:shd w:val="clear" w:color="auto" w:fill="E4E4E4"/>
          </w:tcPr>
          <w:p>
            <w:pPr>
              <w:spacing w:after="0"/>
              <w:rPr>
                <w:sz w:val="11"/>
                <w:szCs w:val="11"/>
                <w:color w:val="auto"/>
              </w:rPr>
            </w:pPr>
          </w:p>
        </w:tc>
        <w:tc>
          <w:tcPr>
            <w:tcW w:w="600" w:type="dxa"/>
            <w:vAlign w:val="bottom"/>
            <w:tcBorders>
              <w:top w:val="single" w:sz="8" w:color="1E1E1E"/>
              <w:bottom w:val="single" w:sz="8" w:color="1E1E1E"/>
            </w:tcBorders>
            <w:gridSpan w:val="5"/>
            <w:shd w:val="clear" w:color="auto" w:fill="E4E4E4"/>
          </w:tcPr>
          <w:p>
            <w:pPr>
              <w:jc w:val="right"/>
              <w:ind w:right="600"/>
              <w:spacing w:after="0"/>
              <w:rPr>
                <w:sz w:val="20"/>
                <w:szCs w:val="20"/>
                <w:color w:val="auto"/>
              </w:rPr>
            </w:pPr>
            <w:r>
              <w:rPr>
                <w:rFonts w:ascii="Times New Roman" w:cs="Times New Roman" w:eastAsia="Times New Roman" w:hAnsi="Times New Roman"/>
                <w:sz w:val="12"/>
                <w:szCs w:val="12"/>
                <w:color w:val="1E1E1E"/>
              </w:rPr>
              <w:t>(61,442)</w:t>
            </w:r>
          </w:p>
        </w:tc>
        <w:tc>
          <w:tcPr>
            <w:tcW w:w="80" w:type="dxa"/>
            <w:vAlign w:val="bottom"/>
            <w:tcBorders>
              <w:top w:val="single" w:sz="8" w:color="1E1E1E"/>
              <w:left w:val="single" w:sz="8" w:color="E4E4E4"/>
              <w:bottom w:val="single" w:sz="8" w:color="1E1E1E"/>
              <w:right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400" w:type="dxa"/>
            <w:vAlign w:val="bottom"/>
            <w:gridSpan w:val="5"/>
          </w:tcPr>
          <w:p>
            <w:pPr>
              <w:spacing w:after="0" w:line="110" w:lineRule="exact"/>
              <w:rPr>
                <w:sz w:val="20"/>
                <w:szCs w:val="20"/>
                <w:color w:val="auto"/>
              </w:rPr>
            </w:pPr>
            <w:r>
              <w:rPr>
                <w:rFonts w:ascii="Times New Roman" w:cs="Times New Roman" w:eastAsia="Times New Roman" w:hAnsi="Times New Roman"/>
                <w:sz w:val="12"/>
                <w:szCs w:val="12"/>
                <w:color w:val="1E1E1E"/>
              </w:rPr>
              <w:t>Balance, December 31, 2021</w:t>
            </w:r>
          </w:p>
        </w:tc>
        <w:tc>
          <w:tcPr>
            <w:tcW w:w="1140" w:type="dxa"/>
            <w:vAlign w:val="bottom"/>
            <w:gridSpan w:val="4"/>
          </w:tcPr>
          <w:p>
            <w:pPr>
              <w:jc w:val="right"/>
              <w:ind w:right="342"/>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68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320" w:type="dxa"/>
            <w:vAlign w:val="bottom"/>
            <w:tcBorders>
              <w:left w:val="single" w:sz="8" w:color="1E1E1E"/>
            </w:tcBorders>
            <w:gridSpan w:val="4"/>
          </w:tcPr>
          <w:p>
            <w:pPr>
              <w:spacing w:after="0"/>
              <w:rPr>
                <w:sz w:val="20"/>
                <w:szCs w:val="20"/>
                <w:color w:val="auto"/>
              </w:rPr>
            </w:pPr>
            <w:r>
              <w:rPr>
                <w:rFonts w:ascii="Times New Roman" w:cs="Times New Roman" w:eastAsia="Times New Roman" w:hAnsi="Times New Roman"/>
                <w:sz w:val="12"/>
                <w:szCs w:val="12"/>
                <w:color w:val="1E1E1E"/>
              </w:rPr>
              <w:t>—</w:t>
            </w:r>
          </w:p>
        </w:tc>
        <w:tc>
          <w:tcPr>
            <w:tcW w:w="5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100" w:type="dxa"/>
            <w:vAlign w:val="bottom"/>
            <w:gridSpan w:val="5"/>
          </w:tcPr>
          <w:p>
            <w:pPr>
              <w:jc w:val="right"/>
              <w:ind w:right="384"/>
              <w:spacing w:after="0" w:line="110" w:lineRule="exact"/>
              <w:rPr>
                <w:sz w:val="20"/>
                <w:szCs w:val="20"/>
                <w:color w:val="auto"/>
              </w:rPr>
            </w:pPr>
            <w:r>
              <w:rPr>
                <w:rFonts w:ascii="Times New Roman" w:cs="Times New Roman" w:eastAsia="Times New Roman" w:hAnsi="Times New Roman"/>
                <w:sz w:val="12"/>
                <w:szCs w:val="12"/>
                <w:color w:val="1E1E1E"/>
              </w:rPr>
              <w:t>43,998,404</w:t>
            </w:r>
          </w:p>
        </w:tc>
        <w:tc>
          <w:tcPr>
            <w:tcW w:w="5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060" w:type="dxa"/>
            <w:vAlign w:val="bottom"/>
            <w:gridSpan w:val="4"/>
          </w:tcPr>
          <w:p>
            <w:pPr>
              <w:jc w:val="right"/>
              <w:ind w:right="383"/>
              <w:spacing w:after="0" w:line="110" w:lineRule="exact"/>
              <w:rPr>
                <w:sz w:val="20"/>
                <w:szCs w:val="20"/>
                <w:color w:val="auto"/>
              </w:rPr>
            </w:pPr>
            <w:r>
              <w:rPr>
                <w:rFonts w:ascii="Times New Roman" w:cs="Times New Roman" w:eastAsia="Times New Roman" w:hAnsi="Times New Roman"/>
                <w:sz w:val="12"/>
                <w:szCs w:val="12"/>
                <w:color w:val="1E1E1E"/>
              </w:rPr>
              <w:t>2,676,154</w:t>
            </w:r>
          </w:p>
        </w:tc>
        <w:tc>
          <w:tcPr>
            <w:tcW w:w="560" w:type="dxa"/>
            <w:vAlign w:val="bottom"/>
            <w:gridSpan w:val="3"/>
          </w:tcPr>
          <w:p>
            <w:pPr>
              <w:jc w:val="right"/>
              <w:ind w:right="284"/>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960" w:type="dxa"/>
            <w:vAlign w:val="bottom"/>
            <w:gridSpan w:val="6"/>
          </w:tcPr>
          <w:p>
            <w:pPr>
              <w:jc w:val="right"/>
              <w:ind w:right="263"/>
              <w:spacing w:after="0" w:line="110" w:lineRule="exact"/>
              <w:rPr>
                <w:sz w:val="20"/>
                <w:szCs w:val="20"/>
                <w:color w:val="auto"/>
              </w:rPr>
            </w:pPr>
            <w:r>
              <w:rPr>
                <w:rFonts w:ascii="Times New Roman" w:cs="Times New Roman" w:eastAsia="Times New Roman" w:hAnsi="Times New Roman"/>
                <w:sz w:val="12"/>
                <w:szCs w:val="12"/>
                <w:color w:val="1E1E1E"/>
              </w:rPr>
              <w:t>597,641</w:t>
            </w:r>
          </w:p>
        </w:tc>
        <w:tc>
          <w:tcPr>
            <w:tcW w:w="1160" w:type="dxa"/>
            <w:vAlign w:val="bottom"/>
            <w:gridSpan w:val="6"/>
          </w:tcPr>
          <w:p>
            <w:pPr>
              <w:jc w:val="right"/>
              <w:ind w:right="333"/>
              <w:spacing w:after="0" w:line="110" w:lineRule="exact"/>
              <w:rPr>
                <w:sz w:val="20"/>
                <w:szCs w:val="20"/>
                <w:color w:val="auto"/>
              </w:rPr>
            </w:pPr>
            <w:r>
              <w:rPr>
                <w:rFonts w:ascii="Times New Roman" w:cs="Times New Roman" w:eastAsia="Times New Roman" w:hAnsi="Times New Roman"/>
                <w:sz w:val="12"/>
                <w:szCs w:val="12"/>
                <w:color w:val="1E1E1E"/>
              </w:rPr>
              <w:t>149</w:t>
            </w:r>
          </w:p>
        </w:tc>
        <w:tc>
          <w:tcPr>
            <w:tcW w:w="940" w:type="dxa"/>
            <w:vAlign w:val="bottom"/>
            <w:gridSpan w:val="7"/>
          </w:tcPr>
          <w:p>
            <w:pPr>
              <w:jc w:val="right"/>
              <w:ind w:right="322"/>
              <w:spacing w:after="0" w:line="110" w:lineRule="exact"/>
              <w:rPr>
                <w:sz w:val="20"/>
                <w:szCs w:val="20"/>
                <w:color w:val="auto"/>
              </w:rPr>
            </w:pPr>
            <w:r>
              <w:rPr>
                <w:rFonts w:ascii="Times New Roman" w:cs="Times New Roman" w:eastAsia="Times New Roman" w:hAnsi="Times New Roman"/>
                <w:sz w:val="12"/>
                <w:szCs w:val="12"/>
                <w:color w:val="1E1E1E"/>
              </w:rPr>
              <w:t>(173,341)</w:t>
            </w:r>
          </w:p>
        </w:tc>
        <w:tc>
          <w:tcPr>
            <w:tcW w:w="940" w:type="dxa"/>
            <w:vAlign w:val="bottom"/>
            <w:gridSpan w:val="9"/>
          </w:tcPr>
          <w:p>
            <w:pPr>
              <w:jc w:val="right"/>
              <w:ind w:right="322"/>
              <w:spacing w:after="0" w:line="110" w:lineRule="exact"/>
              <w:rPr>
                <w:sz w:val="20"/>
                <w:szCs w:val="20"/>
                <w:color w:val="auto"/>
              </w:rPr>
            </w:pPr>
            <w:r>
              <w:rPr>
                <w:rFonts w:ascii="Times New Roman" w:cs="Times New Roman" w:eastAsia="Times New Roman" w:hAnsi="Times New Roman"/>
                <w:sz w:val="12"/>
                <w:szCs w:val="12"/>
                <w:color w:val="1E1E1E"/>
              </w:rPr>
              <w:t>424,449</w:t>
            </w:r>
          </w:p>
        </w:tc>
        <w:tc>
          <w:tcPr>
            <w:tcW w:w="980" w:type="dxa"/>
            <w:vAlign w:val="bottom"/>
            <w:gridSpan w:val="5"/>
          </w:tcPr>
          <w:p>
            <w:pPr>
              <w:jc w:val="right"/>
              <w:ind w:right="282"/>
              <w:spacing w:after="0" w:line="110" w:lineRule="exact"/>
              <w:rPr>
                <w:sz w:val="20"/>
                <w:szCs w:val="20"/>
                <w:color w:val="auto"/>
              </w:rPr>
            </w:pPr>
            <w:r>
              <w:rPr>
                <w:rFonts w:ascii="Times New Roman" w:cs="Times New Roman" w:eastAsia="Times New Roman" w:hAnsi="Times New Roman"/>
                <w:sz w:val="12"/>
                <w:szCs w:val="12"/>
                <w:color w:val="1E1E1E"/>
              </w:rPr>
              <w:t>1,034</w:t>
            </w:r>
          </w:p>
        </w:tc>
        <w:tc>
          <w:tcPr>
            <w:tcW w:w="600" w:type="dxa"/>
            <w:vAlign w:val="bottom"/>
            <w:gridSpan w:val="5"/>
          </w:tcPr>
          <w:p>
            <w:pPr>
              <w:jc w:val="right"/>
              <w:ind w:right="140"/>
              <w:spacing w:after="0" w:line="110" w:lineRule="exact"/>
              <w:rPr>
                <w:sz w:val="20"/>
                <w:szCs w:val="20"/>
                <w:color w:val="auto"/>
              </w:rPr>
            </w:pPr>
            <w:r>
              <w:rPr>
                <w:rFonts w:ascii="Times New Roman" w:cs="Times New Roman" w:eastAsia="Times New Roman" w:hAnsi="Times New Roman"/>
                <w:sz w:val="12"/>
                <w:szCs w:val="12"/>
                <w:color w:val="1E1E1E"/>
              </w:rPr>
              <w:t>425,483</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Exercise of common stock options</w:t>
            </w:r>
          </w:p>
        </w:tc>
        <w:tc>
          <w:tcPr>
            <w:tcW w:w="20" w:type="dxa"/>
            <w:vAlign w:val="bottom"/>
          </w:tcPr>
          <w:p>
            <w:pPr>
              <w:spacing w:after="0"/>
              <w:rPr>
                <w:sz w:val="2"/>
                <w:szCs w:val="2"/>
                <w:color w:val="auto"/>
              </w:rPr>
            </w:pPr>
          </w:p>
        </w:tc>
        <w:tc>
          <w:tcPr>
            <w:tcW w:w="1920" w:type="dxa"/>
            <w:vAlign w:val="bottom"/>
            <w:tcBorders>
              <w:bottom w:val="single" w:sz="8" w:color="E4E4E4"/>
            </w:tcBorders>
            <w:gridSpan w:val="8"/>
          </w:tcPr>
          <w:p>
            <w:pPr>
              <w:spacing w:after="0"/>
              <w:rPr>
                <w:sz w:val="2"/>
                <w:szCs w:val="2"/>
                <w:color w:val="auto"/>
              </w:rPr>
            </w:pPr>
          </w:p>
        </w:tc>
        <w:tc>
          <w:tcPr>
            <w:tcW w:w="5700" w:type="dxa"/>
            <w:vAlign w:val="bottom"/>
            <w:tcBorders>
              <w:left w:val="single" w:sz="8" w:color="1E1E1E"/>
              <w:bottom w:val="single" w:sz="8" w:color="E4E4E4"/>
            </w:tcBorders>
            <w:gridSpan w:val="23"/>
          </w:tcPr>
          <w:p>
            <w:pPr>
              <w:spacing w:after="0"/>
              <w:rPr>
                <w:sz w:val="2"/>
                <w:szCs w:val="2"/>
                <w:color w:val="auto"/>
              </w:rPr>
            </w:pPr>
          </w:p>
        </w:tc>
        <w:tc>
          <w:tcPr>
            <w:tcW w:w="4820" w:type="dxa"/>
            <w:vAlign w:val="bottom"/>
            <w:gridSpan w:val="33"/>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0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920" w:type="dxa"/>
            <w:vAlign w:val="bottom"/>
            <w:tcBorders>
              <w:bottom w:val="single" w:sz="8" w:color="E4E4E4"/>
            </w:tcBorders>
            <w:gridSpan w:val="4"/>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684,916</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740" w:type="dxa"/>
            <w:vAlign w:val="bottom"/>
            <w:tcBorders>
              <w:bottom w:val="single" w:sz="8" w:color="E4E4E4"/>
            </w:tcBorders>
            <w:gridSpan w:val="2"/>
            <w:shd w:val="clear" w:color="auto" w:fill="E4E4E4"/>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40" w:type="dxa"/>
            <w:vAlign w:val="bottom"/>
            <w:tcBorders>
              <w:bottom w:val="single" w:sz="8" w:color="E4E4E4"/>
            </w:tcBorders>
            <w:gridSpan w:val="2"/>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3,715</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3,715</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3"/>
            <w:shd w:val="clear" w:color="auto" w:fill="E4E4E4"/>
          </w:tcPr>
          <w:p>
            <w:pPr>
              <w:jc w:val="right"/>
              <w:ind w:right="34"/>
              <w:spacing w:after="0" w:line="100" w:lineRule="exact"/>
              <w:rPr>
                <w:sz w:val="20"/>
                <w:szCs w:val="20"/>
                <w:color w:val="auto"/>
              </w:rPr>
            </w:pPr>
            <w:r>
              <w:rPr>
                <w:rFonts w:ascii="Times New Roman" w:cs="Times New Roman" w:eastAsia="Times New Roman" w:hAnsi="Times New Roman"/>
                <w:sz w:val="10"/>
                <w:szCs w:val="10"/>
                <w:color w:val="1E1E1E"/>
              </w:rPr>
              <w:t>3,715</w:t>
            </w:r>
          </w:p>
        </w:tc>
        <w:tc>
          <w:tcPr>
            <w:tcW w:w="20" w:type="dxa"/>
            <w:vAlign w:val="bottom"/>
            <w:vMerge w:val="continue"/>
          </w:tcPr>
          <w:p>
            <w:pPr>
              <w:spacing w:after="0"/>
              <w:rPr>
                <w:sz w:val="10"/>
                <w:szCs w:val="10"/>
                <w:color w:val="auto"/>
              </w:rPr>
            </w:pPr>
          </w:p>
        </w:tc>
        <w:tc>
          <w:tcPr>
            <w:tcW w:w="80" w:type="dxa"/>
            <w:vAlign w:val="bottom"/>
            <w:tcBorders>
              <w:left w:val="single" w:sz="8" w:color="E4E4E4"/>
              <w:bottom w:val="single" w:sz="8" w:color="E4E4E4"/>
              <w:right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2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color w:val="1E1E1E"/>
              </w:rPr>
              <w:t>Vesting of restricted stock units</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left w:val="single" w:sz="8" w:color="1E1E1E"/>
            </w:tcBorders>
          </w:tcPr>
          <w:p>
            <w:pPr>
              <w:spacing w:after="0"/>
              <w:rPr>
                <w:sz w:val="8"/>
                <w:szCs w:val="8"/>
                <w:color w:val="auto"/>
              </w:rPr>
            </w:pPr>
          </w:p>
        </w:tc>
        <w:tc>
          <w:tcPr>
            <w:tcW w:w="102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60" w:type="dxa"/>
            <w:vAlign w:val="bottom"/>
          </w:tcPr>
          <w:p>
            <w:pPr>
              <w:spacing w:after="0"/>
              <w:rPr>
                <w:sz w:val="8"/>
                <w:szCs w:val="8"/>
                <w:color w:val="auto"/>
              </w:rPr>
            </w:pPr>
          </w:p>
        </w:tc>
        <w:tc>
          <w:tcPr>
            <w:tcW w:w="5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920" w:type="dxa"/>
            <w:vAlign w:val="bottom"/>
            <w:gridSpan w:val="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72,968</w:t>
            </w:r>
          </w:p>
        </w:tc>
        <w:tc>
          <w:tcPr>
            <w:tcW w:w="180" w:type="dxa"/>
            <w:vAlign w:val="bottom"/>
          </w:tcPr>
          <w:p>
            <w:pPr>
              <w:spacing w:after="0"/>
              <w:rPr>
                <w:sz w:val="8"/>
                <w:szCs w:val="8"/>
                <w:color w:val="auto"/>
              </w:rPr>
            </w:pPr>
          </w:p>
        </w:tc>
        <w:tc>
          <w:tcPr>
            <w:tcW w:w="5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740" w:type="dxa"/>
            <w:vAlign w:val="bottom"/>
            <w:gridSpan w:val="2"/>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jc w:val="right"/>
              <w:ind w:right="79"/>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jc w:val="right"/>
              <w:ind w:right="2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3"/>
          </w:tcPr>
          <w:p>
            <w:pPr>
              <w:jc w:val="right"/>
              <w:ind w:right="34"/>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Other common stock issued</w:t>
            </w:r>
          </w:p>
        </w:tc>
        <w:tc>
          <w:tcPr>
            <w:tcW w:w="20" w:type="dxa"/>
            <w:vAlign w:val="bottom"/>
          </w:tcPr>
          <w:p>
            <w:pPr>
              <w:spacing w:after="0"/>
              <w:rPr>
                <w:sz w:val="3"/>
                <w:szCs w:val="3"/>
                <w:color w:val="auto"/>
              </w:rPr>
            </w:pPr>
          </w:p>
        </w:tc>
        <w:tc>
          <w:tcPr>
            <w:tcW w:w="1920" w:type="dxa"/>
            <w:vAlign w:val="bottom"/>
            <w:tcBorders>
              <w:bottom w:val="single" w:sz="8" w:color="E4E4E4"/>
            </w:tcBorders>
            <w:gridSpan w:val="8"/>
          </w:tcPr>
          <w:p>
            <w:pPr>
              <w:spacing w:after="0"/>
              <w:rPr>
                <w:sz w:val="3"/>
                <w:szCs w:val="3"/>
                <w:color w:val="auto"/>
              </w:rPr>
            </w:pPr>
          </w:p>
        </w:tc>
        <w:tc>
          <w:tcPr>
            <w:tcW w:w="10540" w:type="dxa"/>
            <w:vAlign w:val="bottom"/>
            <w:tcBorders>
              <w:left w:val="single" w:sz="8" w:color="1E1E1E"/>
              <w:bottom w:val="single" w:sz="8" w:color="E4E4E4"/>
            </w:tcBorders>
            <w:gridSpan w:val="57"/>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2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10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68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left w:val="single" w:sz="8" w:color="1E1E1E"/>
              <w:bottom w:val="single" w:sz="8" w:color="E4E4E4"/>
            </w:tcBorders>
            <w:shd w:val="clear" w:color="auto" w:fill="E4E4E4"/>
          </w:tcPr>
          <w:p>
            <w:pPr>
              <w:spacing w:after="0"/>
              <w:rPr>
                <w:sz w:val="9"/>
                <w:szCs w:val="9"/>
                <w:color w:val="auto"/>
              </w:rPr>
            </w:pPr>
          </w:p>
        </w:tc>
        <w:tc>
          <w:tcPr>
            <w:tcW w:w="102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Borders>
              <w:bottom w:val="single" w:sz="8" w:color="E4E4E4"/>
            </w:tcBorders>
            <w:shd w:val="clear" w:color="auto" w:fill="E4E4E4"/>
          </w:tcPr>
          <w:p>
            <w:pPr>
              <w:spacing w:after="0"/>
              <w:rPr>
                <w:sz w:val="9"/>
                <w:szCs w:val="9"/>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5,577</w:t>
            </w:r>
          </w:p>
        </w:tc>
        <w:tc>
          <w:tcPr>
            <w:tcW w:w="2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220" w:type="dxa"/>
            <w:vAlign w:val="bottom"/>
            <w:tcBorders>
              <w:bottom w:val="single" w:sz="8" w:color="E4E4E4"/>
            </w:tcBorders>
            <w:shd w:val="clear" w:color="auto" w:fill="E4E4E4"/>
          </w:tcPr>
          <w:p>
            <w:pPr>
              <w:spacing w:after="0"/>
              <w:rPr>
                <w:sz w:val="9"/>
                <w:szCs w:val="9"/>
                <w:color w:val="auto"/>
              </w:rPr>
            </w:pPr>
          </w:p>
        </w:tc>
        <w:tc>
          <w:tcPr>
            <w:tcW w:w="180" w:type="dxa"/>
            <w:vAlign w:val="bottom"/>
            <w:tcBorders>
              <w:bottom w:val="single" w:sz="8" w:color="E4E4E4"/>
            </w:tcBorders>
            <w:shd w:val="clear" w:color="auto" w:fill="E4E4E4"/>
          </w:tcPr>
          <w:p>
            <w:pPr>
              <w:spacing w:after="0"/>
              <w:rPr>
                <w:sz w:val="9"/>
                <w:szCs w:val="9"/>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tcBorders>
              <w:bottom w:val="single" w:sz="8" w:color="E4E4E4"/>
            </w:tcBorders>
            <w:gridSpan w:val="2"/>
            <w:shd w:val="clear" w:color="auto" w:fill="E4E4E4"/>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9"/>
                <w:szCs w:val="9"/>
                <w:color w:val="auto"/>
              </w:rPr>
            </w:pPr>
          </w:p>
        </w:tc>
        <w:tc>
          <w:tcPr>
            <w:tcW w:w="180" w:type="dxa"/>
            <w:vAlign w:val="bottom"/>
            <w:tcBorders>
              <w:bottom w:val="single" w:sz="8" w:color="E4E4E4"/>
            </w:tcBorders>
            <w:shd w:val="clear" w:color="auto" w:fill="E4E4E4"/>
          </w:tcPr>
          <w:p>
            <w:pPr>
              <w:spacing w:after="0"/>
              <w:rPr>
                <w:sz w:val="9"/>
                <w:szCs w:val="9"/>
                <w:color w:val="auto"/>
              </w:rPr>
            </w:pPr>
          </w:p>
        </w:tc>
        <w:tc>
          <w:tcPr>
            <w:tcW w:w="22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640" w:type="dxa"/>
            <w:vAlign w:val="bottom"/>
            <w:tcBorders>
              <w:bottom w:val="single" w:sz="8" w:color="E4E4E4"/>
            </w:tcBorders>
            <w:gridSpan w:val="2"/>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281</w:t>
            </w:r>
          </w:p>
        </w:tc>
        <w:tc>
          <w:tcPr>
            <w:tcW w:w="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840" w:type="dxa"/>
            <w:vAlign w:val="bottom"/>
            <w:tcBorders>
              <w:bottom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9"/>
                <w:szCs w:val="9"/>
                <w:color w:val="auto"/>
              </w:rPr>
            </w:pPr>
          </w:p>
        </w:tc>
        <w:tc>
          <w:tcPr>
            <w:tcW w:w="100" w:type="dxa"/>
            <w:vAlign w:val="bottom"/>
            <w:tcBorders>
              <w:bottom w:val="single" w:sz="8" w:color="E4E4E4"/>
            </w:tcBorders>
            <w:shd w:val="clear" w:color="auto" w:fill="E4E4E4"/>
          </w:tcPr>
          <w:p>
            <w:pPr>
              <w:spacing w:after="0"/>
              <w:rPr>
                <w:sz w:val="9"/>
                <w:szCs w:val="9"/>
                <w:color w:val="auto"/>
              </w:rPr>
            </w:pPr>
          </w:p>
        </w:tc>
        <w:tc>
          <w:tcPr>
            <w:tcW w:w="60" w:type="dxa"/>
            <w:vAlign w:val="bottom"/>
            <w:tcBorders>
              <w:bottom w:val="single" w:sz="8" w:color="E4E4E4"/>
            </w:tcBorders>
            <w:shd w:val="clear" w:color="auto" w:fill="E4E4E4"/>
          </w:tcPr>
          <w:p>
            <w:pPr>
              <w:spacing w:after="0"/>
              <w:rPr>
                <w:sz w:val="9"/>
                <w:szCs w:val="9"/>
                <w:color w:val="auto"/>
              </w:rPr>
            </w:pPr>
          </w:p>
        </w:tc>
        <w:tc>
          <w:tcPr>
            <w:tcW w:w="620" w:type="dxa"/>
            <w:vAlign w:val="bottom"/>
            <w:tcBorders>
              <w:bottom w:val="single" w:sz="8" w:color="E4E4E4"/>
            </w:tcBorders>
            <w:gridSpan w:val="3"/>
            <w:shd w:val="clear" w:color="auto" w:fill="E4E4E4"/>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5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281</w:t>
            </w:r>
          </w:p>
        </w:tc>
        <w:tc>
          <w:tcPr>
            <w:tcW w:w="2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4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520" w:type="dxa"/>
            <w:vAlign w:val="bottom"/>
            <w:tcBorders>
              <w:bottom w:val="single" w:sz="8" w:color="E4E4E4"/>
            </w:tcBorders>
            <w:gridSpan w:val="4"/>
            <w:shd w:val="clear" w:color="auto" w:fill="E4E4E4"/>
          </w:tcPr>
          <w:p>
            <w:pPr>
              <w:jc w:val="right"/>
              <w:ind w:right="60"/>
              <w:spacing w:after="0" w:line="80" w:lineRule="exact"/>
              <w:rPr>
                <w:sz w:val="20"/>
                <w:szCs w:val="20"/>
                <w:color w:val="auto"/>
              </w:rPr>
            </w:pPr>
            <w:r>
              <w:rPr>
                <w:rFonts w:ascii="Times New Roman" w:cs="Times New Roman" w:eastAsia="Times New Roman" w:hAnsi="Times New Roman"/>
                <w:sz w:val="9"/>
                <w:szCs w:val="9"/>
                <w:color w:val="1E1E1E"/>
              </w:rPr>
              <w:t>281</w:t>
            </w:r>
          </w:p>
        </w:tc>
        <w:tc>
          <w:tcPr>
            <w:tcW w:w="80" w:type="dxa"/>
            <w:vAlign w:val="bottom"/>
            <w:tcBorders>
              <w:left w:val="single" w:sz="8" w:color="E4E4E4"/>
              <w:right w:val="single" w:sz="8" w:color="E4E4E4"/>
            </w:tcBorders>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8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color w:val="1E1E1E"/>
              </w:rPr>
              <w:t>Donated common stock</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left w:val="single" w:sz="8" w:color="1E1E1E"/>
            </w:tcBorders>
          </w:tcPr>
          <w:p>
            <w:pPr>
              <w:spacing w:after="0"/>
              <w:rPr>
                <w:sz w:val="8"/>
                <w:szCs w:val="8"/>
                <w:color w:val="auto"/>
              </w:rPr>
            </w:pPr>
          </w:p>
        </w:tc>
        <w:tc>
          <w:tcPr>
            <w:tcW w:w="102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60" w:type="dxa"/>
            <w:vAlign w:val="bottom"/>
          </w:tcPr>
          <w:p>
            <w:pPr>
              <w:spacing w:after="0"/>
              <w:rPr>
                <w:sz w:val="8"/>
                <w:szCs w:val="8"/>
                <w:color w:val="auto"/>
              </w:rPr>
            </w:pPr>
          </w:p>
        </w:tc>
        <w:tc>
          <w:tcPr>
            <w:tcW w:w="5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1E1E1E"/>
              </w:rPr>
              <w:t>60,399</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740" w:type="dxa"/>
            <w:vAlign w:val="bottom"/>
            <w:gridSpan w:val="2"/>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spacing w:after="0" w:line="100" w:lineRule="exact"/>
              <w:rPr>
                <w:sz w:val="20"/>
                <w:szCs w:val="20"/>
                <w:color w:val="auto"/>
              </w:rPr>
            </w:pPr>
            <w:r>
              <w:rPr>
                <w:rFonts w:ascii="Times New Roman" w:cs="Times New Roman" w:eastAsia="Times New Roman" w:hAnsi="Times New Roman"/>
                <w:sz w:val="10"/>
                <w:szCs w:val="10"/>
                <w:color w:val="1E1E1E"/>
              </w:rPr>
              <w:t>2,272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gridSpan w:val="3"/>
          </w:tcPr>
          <w:p>
            <w:pPr>
              <w:jc w:val="right"/>
              <w:ind w:right="79"/>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0" w:lineRule="exact"/>
              <w:rPr>
                <w:sz w:val="20"/>
                <w:szCs w:val="20"/>
                <w:color w:val="auto"/>
              </w:rPr>
            </w:pPr>
            <w:r>
              <w:rPr>
                <w:rFonts w:ascii="Times New Roman" w:cs="Times New Roman" w:eastAsia="Times New Roman" w:hAnsi="Times New Roman"/>
                <w:sz w:val="10"/>
                <w:szCs w:val="10"/>
                <w:color w:val="1E1E1E"/>
              </w:rPr>
              <w:t>2,272</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3"/>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4"/>
          </w:tcPr>
          <w:p>
            <w:pPr>
              <w:jc w:val="right"/>
              <w:ind w:right="60"/>
              <w:spacing w:after="0" w:line="100" w:lineRule="exact"/>
              <w:rPr>
                <w:sz w:val="20"/>
                <w:szCs w:val="20"/>
                <w:color w:val="auto"/>
              </w:rPr>
            </w:pPr>
            <w:r>
              <w:rPr>
                <w:rFonts w:ascii="Times New Roman" w:cs="Times New Roman" w:eastAsia="Times New Roman" w:hAnsi="Times New Roman"/>
                <w:sz w:val="10"/>
                <w:szCs w:val="10"/>
                <w:color w:val="1E1E1E"/>
              </w:rPr>
              <w:t>2,272</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Stock based compensation</w:t>
            </w:r>
          </w:p>
        </w:tc>
        <w:tc>
          <w:tcPr>
            <w:tcW w:w="20" w:type="dxa"/>
            <w:vAlign w:val="bottom"/>
          </w:tcPr>
          <w:p>
            <w:pPr>
              <w:spacing w:after="0"/>
              <w:rPr>
                <w:sz w:val="2"/>
                <w:szCs w:val="2"/>
                <w:color w:val="auto"/>
              </w:rPr>
            </w:pPr>
          </w:p>
        </w:tc>
        <w:tc>
          <w:tcPr>
            <w:tcW w:w="1920" w:type="dxa"/>
            <w:vAlign w:val="bottom"/>
            <w:tcBorders>
              <w:bottom w:val="single" w:sz="8" w:color="E4E4E4"/>
            </w:tcBorders>
            <w:gridSpan w:val="8"/>
          </w:tcPr>
          <w:p>
            <w:pPr>
              <w:spacing w:after="0"/>
              <w:rPr>
                <w:sz w:val="2"/>
                <w:szCs w:val="2"/>
                <w:color w:val="auto"/>
              </w:rPr>
            </w:pPr>
          </w:p>
        </w:tc>
        <w:tc>
          <w:tcPr>
            <w:tcW w:w="10620" w:type="dxa"/>
            <w:vAlign w:val="bottom"/>
            <w:tcBorders>
              <w:left w:val="single" w:sz="8" w:color="1E1E1E"/>
              <w:bottom w:val="single" w:sz="8" w:color="E4E4E4"/>
            </w:tcBorders>
            <w:gridSpan w:val="58"/>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0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920" w:type="dxa"/>
            <w:vAlign w:val="bottom"/>
            <w:tcBorders>
              <w:bottom w:val="single" w:sz="8" w:color="E4E4E4"/>
            </w:tcBorders>
            <w:gridSpan w:val="4"/>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740" w:type="dxa"/>
            <w:vAlign w:val="bottom"/>
            <w:tcBorders>
              <w:bottom w:val="single" w:sz="8" w:color="E4E4E4"/>
            </w:tcBorders>
            <w:gridSpan w:val="2"/>
            <w:shd w:val="clear" w:color="auto" w:fill="E4E4E4"/>
          </w:tcPr>
          <w:p>
            <w:pPr>
              <w:jc w:val="right"/>
              <w:ind w:right="12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40" w:type="dxa"/>
            <w:vAlign w:val="bottom"/>
            <w:tcBorders>
              <w:bottom w:val="single" w:sz="8" w:color="E4E4E4"/>
            </w:tcBorders>
            <w:gridSpan w:val="2"/>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19,172</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100" w:lineRule="exact"/>
              <w:rPr>
                <w:sz w:val="20"/>
                <w:szCs w:val="20"/>
                <w:color w:val="auto"/>
              </w:rPr>
            </w:pPr>
            <w:r>
              <w:rPr>
                <w:rFonts w:ascii="Times New Roman" w:cs="Times New Roman" w:eastAsia="Times New Roman" w:hAnsi="Times New Roman"/>
                <w:sz w:val="10"/>
                <w:szCs w:val="10"/>
                <w:color w:val="1E1E1E"/>
              </w:rPr>
              <w:t>19,172</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100" w:lineRule="exact"/>
              <w:rPr>
                <w:sz w:val="20"/>
                <w:szCs w:val="20"/>
                <w:color w:val="auto"/>
              </w:rPr>
            </w:pPr>
            <w:r>
              <w:rPr>
                <w:rFonts w:ascii="Times New Roman" w:cs="Times New Roman" w:eastAsia="Times New Roman" w:hAnsi="Times New Roman"/>
                <w:sz w:val="10"/>
                <w:szCs w:val="10"/>
                <w:color w:val="1E1E1E"/>
              </w:rPr>
              <w:t>19,172</w:t>
            </w:r>
          </w:p>
        </w:tc>
        <w:tc>
          <w:tcPr>
            <w:tcW w:w="0" w:type="dxa"/>
            <w:vAlign w:val="bottom"/>
          </w:tcPr>
          <w:p>
            <w:pPr>
              <w:spacing w:after="0"/>
              <w:rPr>
                <w:sz w:val="1"/>
                <w:szCs w:val="1"/>
                <w:color w:val="auto"/>
              </w:rPr>
            </w:pPr>
          </w:p>
        </w:tc>
      </w:tr>
      <w:tr>
        <w:trPr>
          <w:trHeight w:val="100"/>
        </w:trPr>
        <w:tc>
          <w:tcPr>
            <w:tcW w:w="2400" w:type="dxa"/>
            <w:vAlign w:val="bottom"/>
            <w:gridSpan w:val="5"/>
          </w:tcPr>
          <w:p>
            <w:pPr>
              <w:spacing w:after="0" w:line="100" w:lineRule="exact"/>
              <w:rPr>
                <w:sz w:val="20"/>
                <w:szCs w:val="20"/>
                <w:color w:val="auto"/>
              </w:rPr>
            </w:pPr>
            <w:r>
              <w:rPr>
                <w:rFonts w:ascii="Times New Roman" w:cs="Times New Roman" w:eastAsia="Times New Roman" w:hAnsi="Times New Roman"/>
                <w:sz w:val="11"/>
                <w:szCs w:val="11"/>
                <w:color w:val="1E1E1E"/>
              </w:rPr>
              <w:t>Comprehensive income</w:t>
            </w:r>
          </w:p>
        </w:tc>
        <w:tc>
          <w:tcPr>
            <w:tcW w:w="1140" w:type="dxa"/>
            <w:vAlign w:val="bottom"/>
            <w:gridSpan w:val="4"/>
          </w:tcPr>
          <w:p>
            <w:pPr>
              <w:jc w:val="right"/>
              <w:ind w:right="342"/>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680" w:type="dxa"/>
            <w:vAlign w:val="bottom"/>
            <w:gridSpan w:val="2"/>
          </w:tcPr>
          <w:p>
            <w:pPr>
              <w:jc w:val="right"/>
              <w:ind w:right="2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1320" w:type="dxa"/>
            <w:vAlign w:val="bottom"/>
            <w:tcBorders>
              <w:left w:val="single" w:sz="8" w:color="1E1E1E"/>
            </w:tcBorders>
            <w:gridSpan w:val="4"/>
          </w:tcPr>
          <w:p>
            <w:pPr>
              <w:spacing w:after="0"/>
              <w:rPr>
                <w:sz w:val="20"/>
                <w:szCs w:val="20"/>
                <w:color w:val="auto"/>
              </w:rPr>
            </w:pPr>
            <w:r>
              <w:rPr>
                <w:rFonts w:ascii="Times New Roman" w:cs="Times New Roman" w:eastAsia="Times New Roman" w:hAnsi="Times New Roman"/>
                <w:sz w:val="10"/>
                <w:szCs w:val="10"/>
                <w:color w:val="1E1E1E"/>
              </w:rPr>
              <w:t>—</w:t>
            </w:r>
          </w:p>
        </w:tc>
        <w:tc>
          <w:tcPr>
            <w:tcW w:w="9300" w:type="dxa"/>
            <w:vAlign w:val="bottom"/>
            <w:gridSpan w:val="54"/>
          </w:tcPr>
          <w:p>
            <w:pPr>
              <w:jc w:val="right"/>
              <w:ind w:right="9060"/>
              <w:spacing w:after="0" w:line="100" w:lineRule="exact"/>
              <w:rPr>
                <w:sz w:val="20"/>
                <w:szCs w:val="20"/>
                <w:color w:val="auto"/>
              </w:rPr>
            </w:pPr>
            <w:r>
              <w:rPr>
                <w:rFonts w:ascii="Times New Roman" w:cs="Times New Roman" w:eastAsia="Times New Roman" w:hAnsi="Times New Roman"/>
                <w:sz w:val="10"/>
                <w:szCs w:val="10"/>
                <w:color w:val="1E1E1E"/>
              </w:rPr>
              <w:t>—</w:t>
            </w:r>
          </w:p>
        </w:tc>
        <w:tc>
          <w:tcPr>
            <w:tcW w:w="0" w:type="dxa"/>
            <w:vAlign w:val="bottom"/>
          </w:tcPr>
          <w:p>
            <w:pPr>
              <w:spacing w:after="0"/>
              <w:rPr>
                <w:sz w:val="1"/>
                <w:szCs w:val="1"/>
                <w:color w:val="auto"/>
              </w:rPr>
            </w:pPr>
          </w:p>
        </w:tc>
      </w:tr>
      <w:tr>
        <w:trPr>
          <w:trHeight w:val="45"/>
        </w:trPr>
        <w:tc>
          <w:tcPr>
            <w:tcW w:w="2280" w:type="dxa"/>
            <w:vAlign w:val="bottom"/>
            <w:gridSpan w:val="2"/>
            <w:vMerge w:val="restart"/>
          </w:tcPr>
          <w:p>
            <w:pPr>
              <w:ind w:left="160"/>
              <w:spacing w:after="0" w:line="146" w:lineRule="exact"/>
              <w:rPr>
                <w:sz w:val="20"/>
                <w:szCs w:val="20"/>
                <w:color w:val="auto"/>
              </w:rPr>
            </w:pPr>
            <w:r>
              <w:rPr>
                <w:rFonts w:ascii="Times New Roman" w:cs="Times New Roman" w:eastAsia="Times New Roman" w:hAnsi="Times New Roman"/>
                <w:sz w:val="13"/>
                <w:szCs w:val="13"/>
                <w:color w:val="1E1E1E"/>
              </w:rPr>
              <w:t>Foreign currency translation</w:t>
            </w:r>
          </w:p>
        </w:tc>
        <w:tc>
          <w:tcPr>
            <w:tcW w:w="20" w:type="dxa"/>
            <w:vAlign w:val="bottom"/>
          </w:tcPr>
          <w:p>
            <w:pPr>
              <w:spacing w:after="0"/>
              <w:rPr>
                <w:sz w:val="3"/>
                <w:szCs w:val="3"/>
                <w:color w:val="auto"/>
              </w:rPr>
            </w:pPr>
          </w:p>
        </w:tc>
        <w:tc>
          <w:tcPr>
            <w:tcW w:w="1920" w:type="dxa"/>
            <w:vAlign w:val="bottom"/>
            <w:tcBorders>
              <w:bottom w:val="single" w:sz="8" w:color="E4E4E4"/>
            </w:tcBorders>
            <w:gridSpan w:val="8"/>
          </w:tcPr>
          <w:p>
            <w:pPr>
              <w:spacing w:after="0"/>
              <w:rPr>
                <w:sz w:val="3"/>
                <w:szCs w:val="3"/>
                <w:color w:val="auto"/>
              </w:rPr>
            </w:pPr>
          </w:p>
        </w:tc>
        <w:tc>
          <w:tcPr>
            <w:tcW w:w="8700" w:type="dxa"/>
            <w:vAlign w:val="bottom"/>
            <w:tcBorders>
              <w:left w:val="single" w:sz="8" w:color="1E1E1E"/>
              <w:bottom w:val="single" w:sz="8" w:color="E4E4E4"/>
            </w:tcBorders>
            <w:gridSpan w:val="42"/>
          </w:tcPr>
          <w:p>
            <w:pPr>
              <w:spacing w:after="0"/>
              <w:rPr>
                <w:sz w:val="3"/>
                <w:szCs w:val="3"/>
                <w:color w:val="auto"/>
              </w:rPr>
            </w:pPr>
          </w:p>
        </w:tc>
        <w:tc>
          <w:tcPr>
            <w:tcW w:w="20" w:type="dxa"/>
            <w:vAlign w:val="bottom"/>
          </w:tcPr>
          <w:p>
            <w:pPr>
              <w:spacing w:after="0"/>
              <w:rPr>
                <w:sz w:val="3"/>
                <w:szCs w:val="3"/>
                <w:color w:val="auto"/>
              </w:rPr>
            </w:pPr>
          </w:p>
        </w:tc>
        <w:tc>
          <w:tcPr>
            <w:tcW w:w="1900" w:type="dxa"/>
            <w:vAlign w:val="bottom"/>
            <w:tcBorders>
              <w:bottom w:val="single" w:sz="8" w:color="E4E4E4"/>
            </w:tcBorders>
            <w:gridSpan w:val="15"/>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0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920" w:type="dxa"/>
            <w:vAlign w:val="bottom"/>
            <w:tcBorders>
              <w:bottom w:val="single" w:sz="8" w:color="E4E4E4"/>
            </w:tcBorders>
            <w:gridSpan w:val="4"/>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tcBorders>
              <w:bottom w:val="single" w:sz="8" w:color="E4E4E4"/>
            </w:tcBorders>
            <w:gridSpan w:val="2"/>
            <w:shd w:val="clear" w:color="auto" w:fill="E4E4E4"/>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740" w:type="dxa"/>
            <w:vAlign w:val="bottom"/>
            <w:tcBorders>
              <w:bottom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920" w:type="dxa"/>
            <w:vAlign w:val="bottom"/>
            <w:tcBorders>
              <w:bottom w:val="single" w:sz="8" w:color="E4E4E4"/>
            </w:tcBorders>
            <w:gridSpan w:val="4"/>
            <w:shd w:val="clear" w:color="auto" w:fill="E4E4E4"/>
          </w:tcPr>
          <w:p>
            <w:pPr>
              <w:jc w:val="right"/>
              <w:ind w:right="100"/>
              <w:spacing w:after="0" w:line="80" w:lineRule="exact"/>
              <w:rPr>
                <w:sz w:val="20"/>
                <w:szCs w:val="20"/>
                <w:color w:val="auto"/>
              </w:rPr>
            </w:pPr>
            <w:r>
              <w:rPr>
                <w:rFonts w:ascii="Times New Roman" w:cs="Times New Roman" w:eastAsia="Times New Roman" w:hAnsi="Times New Roman"/>
                <w:sz w:val="9"/>
                <w:szCs w:val="9"/>
                <w:color w:val="1E1E1E"/>
              </w:rPr>
              <w:t>(121)</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tcBorders>
            <w:gridSpan w:val="3"/>
            <w:shd w:val="clear" w:color="auto" w:fill="E4E4E4"/>
          </w:tcPr>
          <w:p>
            <w:pPr>
              <w:jc w:val="right"/>
              <w:ind w:right="34"/>
              <w:spacing w:after="0" w:line="80" w:lineRule="exact"/>
              <w:rPr>
                <w:sz w:val="20"/>
                <w:szCs w:val="20"/>
                <w:color w:val="auto"/>
              </w:rPr>
            </w:pPr>
            <w:r>
              <w:rPr>
                <w:rFonts w:ascii="Times New Roman" w:cs="Times New Roman" w:eastAsia="Times New Roman" w:hAnsi="Times New Roman"/>
                <w:sz w:val="9"/>
                <w:szCs w:val="9"/>
                <w:color w:val="1E1E1E"/>
              </w:rPr>
              <w:t>(121</w:t>
            </w:r>
          </w:p>
        </w:tc>
        <w:tc>
          <w:tcPr>
            <w:tcW w:w="20" w:type="dxa"/>
            <w:vAlign w:val="bottom"/>
          </w:tcPr>
          <w:p>
            <w:pPr>
              <w:spacing w:after="0"/>
              <w:rPr>
                <w:sz w:val="10"/>
                <w:szCs w:val="10"/>
                <w:color w:val="auto"/>
              </w:rPr>
            </w:pPr>
          </w:p>
        </w:tc>
        <w:tc>
          <w:tcPr>
            <w:tcW w:w="60" w:type="dxa"/>
            <w:vAlign w:val="bottom"/>
            <w:tcBorders>
              <w:bottom w:val="single" w:sz="8" w:color="E4E4E4"/>
            </w:tcBorders>
            <w:gridSpan w:val="2"/>
            <w:shd w:val="clear" w:color="auto" w:fill="E4E4E4"/>
          </w:tcPr>
          <w:p>
            <w:pPr>
              <w:jc w:val="right"/>
              <w:ind w:right="22"/>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40</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(81)</w:t>
            </w:r>
          </w:p>
        </w:tc>
        <w:tc>
          <w:tcPr>
            <w:tcW w:w="0" w:type="dxa"/>
            <w:vAlign w:val="bottom"/>
          </w:tcPr>
          <w:p>
            <w:pPr>
              <w:spacing w:after="0"/>
              <w:rPr>
                <w:sz w:val="1"/>
                <w:szCs w:val="1"/>
                <w:color w:val="auto"/>
              </w:rPr>
            </w:pPr>
          </w:p>
        </w:tc>
      </w:tr>
      <w:tr>
        <w:trPr>
          <w:trHeight w:val="105"/>
        </w:trPr>
        <w:tc>
          <w:tcPr>
            <w:tcW w:w="2280" w:type="dxa"/>
            <w:vAlign w:val="bottom"/>
            <w:gridSpan w:val="2"/>
          </w:tcPr>
          <w:p>
            <w:pPr>
              <w:ind w:left="160"/>
              <w:spacing w:after="0" w:line="105" w:lineRule="exact"/>
              <w:rPr>
                <w:sz w:val="20"/>
                <w:szCs w:val="20"/>
                <w:color w:val="auto"/>
              </w:rPr>
            </w:pPr>
            <w:r>
              <w:rPr>
                <w:rFonts w:ascii="Times New Roman" w:cs="Times New Roman" w:eastAsia="Times New Roman" w:hAnsi="Times New Roman"/>
                <w:sz w:val="12"/>
                <w:szCs w:val="12"/>
                <w:color w:val="1E1E1E"/>
              </w:rPr>
              <w:t>Net (loss) income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9"/>
                <w:szCs w:val="9"/>
                <w:color w:val="auto"/>
              </w:rPr>
            </w:pPr>
          </w:p>
        </w:tc>
        <w:tc>
          <w:tcPr>
            <w:tcW w:w="102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9"/>
                <w:szCs w:val="9"/>
                <w:color w:val="auto"/>
              </w:rPr>
            </w:pPr>
          </w:p>
        </w:tc>
        <w:tc>
          <w:tcPr>
            <w:tcW w:w="50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Pr>
          <w:p>
            <w:pPr>
              <w:spacing w:after="0"/>
              <w:rPr>
                <w:sz w:val="9"/>
                <w:szCs w:val="9"/>
                <w:color w:val="auto"/>
              </w:rPr>
            </w:pPr>
          </w:p>
        </w:tc>
        <w:tc>
          <w:tcPr>
            <w:tcW w:w="500" w:type="dxa"/>
            <w:vAlign w:val="bottom"/>
            <w:gridSpan w:val="2"/>
          </w:tcPr>
          <w:p>
            <w:pPr>
              <w:jc w:val="right"/>
              <w:ind w:right="26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jc w:val="right"/>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4"/>
          </w:tcPr>
          <w:p>
            <w:pPr>
              <w:jc w:val="right"/>
              <w:ind w:right="39"/>
              <w:spacing w:after="0" w:line="106" w:lineRule="exact"/>
              <w:rPr>
                <w:sz w:val="20"/>
                <w:szCs w:val="20"/>
                <w:color w:val="auto"/>
              </w:rPr>
            </w:pPr>
            <w:r>
              <w:rPr>
                <w:rFonts w:ascii="Times New Roman" w:cs="Times New Roman" w:eastAsia="Times New Roman" w:hAnsi="Times New Roman"/>
                <w:sz w:val="12"/>
                <w:szCs w:val="12"/>
                <w:color w:val="1E1E1E"/>
              </w:rPr>
              <w:t>(79,059)</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3"/>
          </w:tcPr>
          <w:p>
            <w:pPr>
              <w:jc w:val="right"/>
              <w:ind w:right="34"/>
              <w:spacing w:after="0" w:line="106" w:lineRule="exact"/>
              <w:rPr>
                <w:sz w:val="20"/>
                <w:szCs w:val="20"/>
                <w:color w:val="auto"/>
              </w:rPr>
            </w:pPr>
            <w:r>
              <w:rPr>
                <w:rFonts w:ascii="Times New Roman" w:cs="Times New Roman" w:eastAsia="Times New Roman" w:hAnsi="Times New Roman"/>
                <w:sz w:val="12"/>
                <w:szCs w:val="12"/>
                <w:color w:val="1E1E1E"/>
              </w:rPr>
              <w:t>(79,059)</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2"/>
                <w:szCs w:val="12"/>
                <w:color w:val="1E1E1E"/>
              </w:rPr>
              <w:t>16</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5"/>
          </w:tcPr>
          <w:p>
            <w:pPr>
              <w:jc w:val="right"/>
              <w:ind w:right="140"/>
              <w:spacing w:after="0" w:line="106" w:lineRule="exact"/>
              <w:rPr>
                <w:sz w:val="20"/>
                <w:szCs w:val="20"/>
                <w:color w:val="auto"/>
              </w:rPr>
            </w:pPr>
            <w:r>
              <w:rPr>
                <w:rFonts w:ascii="Times New Roman" w:cs="Times New Roman" w:eastAsia="Times New Roman" w:hAnsi="Times New Roman"/>
                <w:sz w:val="12"/>
                <w:szCs w:val="12"/>
                <w:color w:val="1E1E1E"/>
              </w:rPr>
              <w:t>(79,043)</w:t>
            </w:r>
          </w:p>
        </w:tc>
        <w:tc>
          <w:tcPr>
            <w:tcW w:w="0" w:type="dxa"/>
            <w:vAlign w:val="bottom"/>
          </w:tcPr>
          <w:p>
            <w:pPr>
              <w:spacing w:after="0"/>
              <w:rPr>
                <w:sz w:val="1"/>
                <w:szCs w:val="1"/>
                <w:color w:val="auto"/>
              </w:rPr>
            </w:pPr>
          </w:p>
        </w:tc>
      </w:tr>
      <w:tr>
        <w:trPr>
          <w:trHeight w:val="135"/>
        </w:trPr>
        <w:tc>
          <w:tcPr>
            <w:tcW w:w="2300" w:type="dxa"/>
            <w:vAlign w:val="bottom"/>
            <w:tcBorders>
              <w:top w:val="single" w:sz="8" w:color="E4E4E4"/>
            </w:tcBorders>
            <w:gridSpan w:val="3"/>
            <w:shd w:val="clear" w:color="auto" w:fill="E4E4E4"/>
          </w:tcPr>
          <w:p>
            <w:pPr>
              <w:spacing w:after="0" w:line="135" w:lineRule="exact"/>
              <w:rPr>
                <w:sz w:val="20"/>
                <w:szCs w:val="20"/>
                <w:color w:val="auto"/>
              </w:rPr>
            </w:pPr>
            <w:r>
              <w:rPr>
                <w:rFonts w:ascii="Times New Roman" w:cs="Times New Roman" w:eastAsia="Times New Roman" w:hAnsi="Times New Roman"/>
                <w:sz w:val="13"/>
                <w:szCs w:val="13"/>
                <w:color w:val="1E1E1E"/>
              </w:rPr>
              <w:t>Total comprehensive (loss) income</w:t>
            </w:r>
          </w:p>
        </w:tc>
        <w:tc>
          <w:tcPr>
            <w:tcW w:w="80" w:type="dxa"/>
            <w:vAlign w:val="bottom"/>
            <w:tcBorders>
              <w:top w:val="single" w:sz="8" w:color="E4E4E4"/>
              <w:bottom w:val="single" w:sz="8" w:color="E4E4E4"/>
            </w:tcBorders>
            <w:shd w:val="clear" w:color="auto" w:fill="E4E4E4"/>
          </w:tcPr>
          <w:p>
            <w:pPr>
              <w:spacing w:after="0"/>
              <w:rPr>
                <w:sz w:val="11"/>
                <w:szCs w:val="11"/>
                <w:color w:val="auto"/>
              </w:rPr>
            </w:pPr>
          </w:p>
        </w:tc>
        <w:tc>
          <w:tcPr>
            <w:tcW w:w="20" w:type="dxa"/>
            <w:vAlign w:val="bottom"/>
            <w:tcBorders>
              <w:top w:val="single" w:sz="8" w:color="E4E4E4"/>
            </w:tcBorders>
            <w:shd w:val="clear" w:color="auto" w:fill="E4E4E4"/>
          </w:tcPr>
          <w:p>
            <w:pPr>
              <w:spacing w:after="0"/>
              <w:rPr>
                <w:sz w:val="11"/>
                <w:szCs w:val="11"/>
                <w:color w:val="auto"/>
              </w:rPr>
            </w:pPr>
          </w:p>
        </w:tc>
        <w:tc>
          <w:tcPr>
            <w:tcW w:w="74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560" w:type="dxa"/>
            <w:vAlign w:val="bottom"/>
            <w:tcBorders>
              <w:top w:val="single" w:sz="8" w:color="1E1E1E"/>
              <w:bottom w:val="single" w:sz="8" w:color="1E1E1E"/>
            </w:tcBorders>
            <w:gridSpan w:val="3"/>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40" w:type="dxa"/>
            <w:vAlign w:val="bottom"/>
            <w:tcBorders>
              <w:top w:val="single" w:sz="8" w:color="E4E4E4"/>
              <w:left w:val="single" w:sz="8" w:color="1E1E1E"/>
            </w:tcBorders>
            <w:shd w:val="clear" w:color="auto" w:fill="E4E4E4"/>
          </w:tcPr>
          <w:p>
            <w:pPr>
              <w:spacing w:after="0"/>
              <w:rPr>
                <w:sz w:val="11"/>
                <w:szCs w:val="11"/>
                <w:color w:val="auto"/>
              </w:rPr>
            </w:pPr>
          </w:p>
        </w:tc>
        <w:tc>
          <w:tcPr>
            <w:tcW w:w="76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40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700" w:type="dxa"/>
            <w:vAlign w:val="bottom"/>
            <w:tcBorders>
              <w:top w:val="single" w:sz="8" w:color="1E1E1E"/>
              <w:bottom w:val="single" w:sz="8" w:color="1E1E1E"/>
            </w:tcBorders>
            <w:gridSpan w:val="3"/>
            <w:shd w:val="clear" w:color="auto" w:fill="E4E4E4"/>
          </w:tcPr>
          <w:p>
            <w:pPr>
              <w:jc w:val="right"/>
              <w:ind w:right="40"/>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20" w:type="dxa"/>
            <w:vAlign w:val="bottom"/>
            <w:tcBorders>
              <w:top w:val="single" w:sz="8" w:color="E4E4E4"/>
            </w:tcBorders>
            <w:shd w:val="clear" w:color="auto" w:fill="E4E4E4"/>
          </w:tcPr>
          <w:p>
            <w:pPr>
              <w:spacing w:after="0"/>
              <w:rPr>
                <w:sz w:val="11"/>
                <w:szCs w:val="11"/>
                <w:color w:val="auto"/>
              </w:rPr>
            </w:pPr>
          </w:p>
        </w:tc>
        <w:tc>
          <w:tcPr>
            <w:tcW w:w="42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62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gridSpan w:val="2"/>
            <w:shd w:val="clear" w:color="auto" w:fill="E4E4E4"/>
          </w:tcPr>
          <w:p>
            <w:pPr>
              <w:spacing w:after="0"/>
              <w:rPr>
                <w:sz w:val="11"/>
                <w:szCs w:val="11"/>
                <w:color w:val="auto"/>
              </w:rPr>
            </w:pPr>
          </w:p>
        </w:tc>
        <w:tc>
          <w:tcPr>
            <w:tcW w:w="400" w:type="dxa"/>
            <w:vAlign w:val="bottom"/>
            <w:tcBorders>
              <w:top w:val="single" w:sz="8" w:color="1E1E1E"/>
              <w:bottom w:val="single" w:sz="8" w:color="1E1E1E"/>
            </w:tcBorders>
            <w:gridSpan w:val="2"/>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740" w:type="dxa"/>
            <w:vAlign w:val="bottom"/>
            <w:tcBorders>
              <w:top w:val="single" w:sz="8" w:color="1E1E1E"/>
              <w:bottom w:val="single" w:sz="8" w:color="1E1E1E"/>
            </w:tcBorders>
            <w:gridSpan w:val="4"/>
            <w:shd w:val="clear" w:color="auto" w:fill="E4E4E4"/>
          </w:tcPr>
          <w:p>
            <w:pPr>
              <w:spacing w:after="0"/>
              <w:rPr>
                <w:sz w:val="20"/>
                <w:szCs w:val="20"/>
                <w:color w:val="auto"/>
              </w:rPr>
            </w:pPr>
            <w:r>
              <w:rPr>
                <w:rFonts w:ascii="Times New Roman" w:cs="Times New Roman" w:eastAsia="Times New Roman" w:hAnsi="Times New Roman"/>
                <w:sz w:val="12"/>
                <w:szCs w:val="12"/>
                <w:color w:val="1E1E1E"/>
              </w:rPr>
              <w:t>—</w:t>
            </w:r>
          </w:p>
        </w:tc>
        <w:tc>
          <w:tcPr>
            <w:tcW w:w="240" w:type="dxa"/>
            <w:vAlign w:val="bottom"/>
            <w:tcBorders>
              <w:top w:val="single" w:sz="8" w:color="E4E4E4"/>
            </w:tcBorders>
            <w:gridSpan w:val="2"/>
            <w:shd w:val="clear" w:color="auto" w:fill="E4E4E4"/>
          </w:tcPr>
          <w:p>
            <w:pPr>
              <w:spacing w:after="0"/>
              <w:rPr>
                <w:sz w:val="11"/>
                <w:szCs w:val="11"/>
                <w:color w:val="auto"/>
              </w:rPr>
            </w:pPr>
          </w:p>
        </w:tc>
        <w:tc>
          <w:tcPr>
            <w:tcW w:w="860" w:type="dxa"/>
            <w:vAlign w:val="bottom"/>
            <w:tcBorders>
              <w:top w:val="single" w:sz="8" w:color="1E1E1E"/>
              <w:bottom w:val="single" w:sz="8" w:color="1E1E1E"/>
            </w:tcBorders>
            <w:gridSpan w:val="4"/>
            <w:shd w:val="clear" w:color="auto" w:fill="E4E4E4"/>
          </w:tcPr>
          <w:p>
            <w:pPr>
              <w:jc w:val="right"/>
              <w:ind w:right="819"/>
              <w:spacing w:after="0"/>
              <w:rPr>
                <w:sz w:val="20"/>
                <w:szCs w:val="20"/>
                <w:color w:val="auto"/>
              </w:rPr>
            </w:pPr>
            <w:r>
              <w:rPr>
                <w:rFonts w:ascii="Times New Roman" w:cs="Times New Roman" w:eastAsia="Times New Roman" w:hAnsi="Times New Roman"/>
                <w:sz w:val="12"/>
                <w:szCs w:val="12"/>
                <w:color w:val="1E1E1E"/>
              </w:rPr>
              <w:t>(121)</w:t>
            </w:r>
          </w:p>
        </w:tc>
        <w:tc>
          <w:tcPr>
            <w:tcW w:w="260" w:type="dxa"/>
            <w:vAlign w:val="bottom"/>
            <w:tcBorders>
              <w:top w:val="single" w:sz="8" w:color="E4E4E4"/>
              <w:bottom w:val="single" w:sz="8" w:color="E4E4E4"/>
            </w:tcBorders>
            <w:gridSpan w:val="2"/>
            <w:shd w:val="clear" w:color="auto" w:fill="E4E4E4"/>
          </w:tcPr>
          <w:p>
            <w:pPr>
              <w:spacing w:after="0"/>
              <w:rPr>
                <w:sz w:val="11"/>
                <w:szCs w:val="11"/>
                <w:color w:val="auto"/>
              </w:rPr>
            </w:pPr>
          </w:p>
        </w:tc>
        <w:tc>
          <w:tcPr>
            <w:tcW w:w="700" w:type="dxa"/>
            <w:vAlign w:val="bottom"/>
            <w:tcBorders>
              <w:top w:val="single" w:sz="8" w:color="1E1E1E"/>
              <w:bottom w:val="single" w:sz="8" w:color="1E1E1E"/>
              <w:right w:val="single" w:sz="8" w:color="E4E4E4"/>
            </w:tcBorders>
            <w:gridSpan w:val="4"/>
            <w:shd w:val="clear" w:color="auto" w:fill="E4E4E4"/>
          </w:tcPr>
          <w:p>
            <w:pPr>
              <w:jc w:val="right"/>
              <w:ind w:right="700"/>
              <w:spacing w:after="0"/>
              <w:rPr>
                <w:sz w:val="20"/>
                <w:szCs w:val="20"/>
                <w:color w:val="auto"/>
              </w:rPr>
            </w:pPr>
            <w:r>
              <w:rPr>
                <w:rFonts w:ascii="Times New Roman" w:cs="Times New Roman" w:eastAsia="Times New Roman" w:hAnsi="Times New Roman"/>
                <w:sz w:val="12"/>
                <w:szCs w:val="12"/>
                <w:color w:val="1E1E1E"/>
              </w:rPr>
              <w:t>(79,059)</w:t>
            </w:r>
          </w:p>
        </w:tc>
        <w:tc>
          <w:tcPr>
            <w:tcW w:w="220" w:type="dxa"/>
            <w:vAlign w:val="bottom"/>
            <w:tcBorders>
              <w:top w:val="single" w:sz="8" w:color="E4E4E4"/>
              <w:bottom w:val="single" w:sz="8" w:color="E4E4E4"/>
            </w:tcBorders>
            <w:gridSpan w:val="3"/>
            <w:shd w:val="clear" w:color="auto" w:fill="E4E4E4"/>
          </w:tcPr>
          <w:p>
            <w:pPr>
              <w:spacing w:after="0"/>
              <w:rPr>
                <w:sz w:val="11"/>
                <w:szCs w:val="11"/>
                <w:color w:val="auto"/>
              </w:rPr>
            </w:pPr>
          </w:p>
        </w:tc>
        <w:tc>
          <w:tcPr>
            <w:tcW w:w="760" w:type="dxa"/>
            <w:vAlign w:val="bottom"/>
            <w:tcBorders>
              <w:top w:val="single" w:sz="8" w:color="1E1E1E"/>
              <w:bottom w:val="single" w:sz="8" w:color="1E1E1E"/>
            </w:tcBorders>
            <w:gridSpan w:val="6"/>
            <w:shd w:val="clear" w:color="auto" w:fill="E4E4E4"/>
          </w:tcPr>
          <w:p>
            <w:pPr>
              <w:jc w:val="right"/>
              <w:ind w:right="713"/>
              <w:spacing w:after="0"/>
              <w:rPr>
                <w:sz w:val="20"/>
                <w:szCs w:val="20"/>
                <w:color w:val="auto"/>
              </w:rPr>
            </w:pPr>
            <w:r>
              <w:rPr>
                <w:rFonts w:ascii="Times New Roman" w:cs="Times New Roman" w:eastAsia="Times New Roman" w:hAnsi="Times New Roman"/>
                <w:sz w:val="12"/>
                <w:szCs w:val="12"/>
                <w:color w:val="1E1E1E"/>
              </w:rPr>
              <w:t>(79,180)</w:t>
            </w:r>
          </w:p>
        </w:tc>
        <w:tc>
          <w:tcPr>
            <w:tcW w:w="60" w:type="dxa"/>
            <w:vAlign w:val="bottom"/>
            <w:tcBorders>
              <w:top w:val="single" w:sz="8" w:color="E4E4E4"/>
              <w:bottom w:val="single" w:sz="8" w:color="E4E4E4"/>
            </w:tcBorders>
            <w:gridSpan w:val="2"/>
            <w:shd w:val="clear" w:color="auto" w:fill="E4E4E4"/>
          </w:tcPr>
          <w:p>
            <w:pPr>
              <w:spacing w:after="0"/>
              <w:rPr>
                <w:sz w:val="11"/>
                <w:szCs w:val="11"/>
                <w:color w:val="auto"/>
              </w:rPr>
            </w:pPr>
          </w:p>
        </w:tc>
        <w:tc>
          <w:tcPr>
            <w:tcW w:w="120" w:type="dxa"/>
            <w:vAlign w:val="bottom"/>
            <w:tcBorders>
              <w:top w:val="single" w:sz="8" w:color="1E1E1E"/>
              <w:bottom w:val="single" w:sz="8" w:color="E4E4E4"/>
            </w:tcBorders>
            <w:shd w:val="clear" w:color="auto" w:fill="E4E4E4"/>
          </w:tcPr>
          <w:p>
            <w:pPr>
              <w:spacing w:after="0"/>
              <w:rPr>
                <w:sz w:val="11"/>
                <w:szCs w:val="11"/>
                <w:color w:val="auto"/>
              </w:rPr>
            </w:pPr>
          </w:p>
        </w:tc>
        <w:tc>
          <w:tcPr>
            <w:tcW w:w="800" w:type="dxa"/>
            <w:vAlign w:val="bottom"/>
            <w:tcBorders>
              <w:top w:val="single" w:sz="8" w:color="1E1E1E"/>
              <w:bottom w:val="single" w:sz="8" w:color="1E1E1E"/>
              <w:right w:val="single" w:sz="8" w:color="E4E4E4"/>
            </w:tcBorders>
            <w:gridSpan w:val="3"/>
            <w:shd w:val="clear" w:color="auto" w:fill="E4E4E4"/>
          </w:tcPr>
          <w:p>
            <w:pPr>
              <w:jc w:val="right"/>
              <w:ind w:right="800"/>
              <w:spacing w:after="0"/>
              <w:rPr>
                <w:sz w:val="20"/>
                <w:szCs w:val="20"/>
                <w:color w:val="auto"/>
              </w:rPr>
            </w:pPr>
            <w:r>
              <w:rPr>
                <w:rFonts w:ascii="Times New Roman" w:cs="Times New Roman" w:eastAsia="Times New Roman" w:hAnsi="Times New Roman"/>
                <w:sz w:val="12"/>
                <w:szCs w:val="12"/>
                <w:color w:val="1E1E1E"/>
              </w:rPr>
              <w:t>56</w:t>
            </w:r>
          </w:p>
        </w:tc>
        <w:tc>
          <w:tcPr>
            <w:tcW w:w="100" w:type="dxa"/>
            <w:vAlign w:val="bottom"/>
            <w:tcBorders>
              <w:top w:val="single" w:sz="8" w:color="E4E4E4"/>
              <w:bottom w:val="single" w:sz="8" w:color="E4E4E4"/>
              <w:right w:val="single" w:sz="8" w:color="E4E4E4"/>
            </w:tcBorders>
            <w:shd w:val="clear" w:color="auto" w:fill="E4E4E4"/>
          </w:tcPr>
          <w:p>
            <w:pPr>
              <w:spacing w:after="0"/>
              <w:rPr>
                <w:sz w:val="11"/>
                <w:szCs w:val="11"/>
                <w:color w:val="auto"/>
              </w:rPr>
            </w:pPr>
          </w:p>
        </w:tc>
        <w:tc>
          <w:tcPr>
            <w:tcW w:w="120" w:type="dxa"/>
            <w:vAlign w:val="bottom"/>
            <w:tcBorders>
              <w:top w:val="single" w:sz="8" w:color="1E1E1E"/>
              <w:bottom w:val="single" w:sz="8" w:color="E4E4E4"/>
            </w:tcBorders>
            <w:shd w:val="clear" w:color="auto" w:fill="E4E4E4"/>
          </w:tcPr>
          <w:p>
            <w:pPr>
              <w:spacing w:after="0"/>
              <w:rPr>
                <w:sz w:val="11"/>
                <w:szCs w:val="11"/>
                <w:color w:val="auto"/>
              </w:rPr>
            </w:pPr>
          </w:p>
        </w:tc>
        <w:tc>
          <w:tcPr>
            <w:tcW w:w="680" w:type="dxa"/>
            <w:vAlign w:val="bottom"/>
            <w:tcBorders>
              <w:top w:val="single" w:sz="8" w:color="1E1E1E"/>
              <w:bottom w:val="single" w:sz="8" w:color="1E1E1E"/>
              <w:right w:val="single" w:sz="8" w:color="E4E4E4"/>
            </w:tcBorders>
            <w:gridSpan w:val="6"/>
            <w:shd w:val="clear" w:color="auto" w:fill="E4E4E4"/>
          </w:tcPr>
          <w:p>
            <w:pPr>
              <w:jc w:val="right"/>
              <w:ind w:right="680"/>
              <w:spacing w:after="0"/>
              <w:rPr>
                <w:sz w:val="20"/>
                <w:szCs w:val="20"/>
                <w:color w:val="auto"/>
              </w:rPr>
            </w:pPr>
            <w:r>
              <w:rPr>
                <w:rFonts w:ascii="Times New Roman" w:cs="Times New Roman" w:eastAsia="Times New Roman" w:hAnsi="Times New Roman"/>
                <w:sz w:val="12"/>
                <w:szCs w:val="12"/>
                <w:color w:val="1E1E1E"/>
              </w:rPr>
              <w:t>(79,124)</w:t>
            </w:r>
          </w:p>
        </w:tc>
        <w:tc>
          <w:tcPr>
            <w:tcW w:w="0" w:type="dxa"/>
            <w:vAlign w:val="bottom"/>
          </w:tcPr>
          <w:p>
            <w:pPr>
              <w:spacing w:after="0"/>
              <w:rPr>
                <w:sz w:val="1"/>
                <w:szCs w:val="1"/>
                <w:color w:val="auto"/>
              </w:rPr>
            </w:pPr>
          </w:p>
        </w:tc>
      </w:tr>
      <w:tr>
        <w:trPr>
          <w:trHeight w:val="115"/>
        </w:trPr>
        <w:tc>
          <w:tcPr>
            <w:tcW w:w="2300" w:type="dxa"/>
            <w:vAlign w:val="bottom"/>
            <w:gridSpan w:val="3"/>
          </w:tcPr>
          <w:p>
            <w:pPr>
              <w:spacing w:after="0" w:line="110" w:lineRule="exact"/>
              <w:rPr>
                <w:sz w:val="20"/>
                <w:szCs w:val="20"/>
                <w:color w:val="auto"/>
              </w:rPr>
            </w:pPr>
            <w:r>
              <w:rPr>
                <w:rFonts w:ascii="Times New Roman" w:cs="Times New Roman" w:eastAsia="Times New Roman" w:hAnsi="Times New Roman"/>
                <w:sz w:val="12"/>
                <w:szCs w:val="12"/>
                <w:color w:val="1E1E1E"/>
              </w:rPr>
              <w:t>Balance, December 31, 2022</w:t>
            </w:r>
          </w:p>
        </w:tc>
        <w:tc>
          <w:tcPr>
            <w:tcW w:w="80" w:type="dxa"/>
            <w:vAlign w:val="bottom"/>
            <w:tcBorders>
              <w:bottom w:val="single" w:sz="8" w:color="E4E4E4"/>
            </w:tcBorders>
            <w:shd w:val="clear" w:color="auto" w:fill="E4E4E4"/>
          </w:tcPr>
          <w:p>
            <w:pPr>
              <w:spacing w:after="0"/>
              <w:rPr>
                <w:sz w:val="10"/>
                <w:szCs w:val="10"/>
                <w:color w:val="auto"/>
              </w:rPr>
            </w:pPr>
          </w:p>
        </w:tc>
        <w:tc>
          <w:tcPr>
            <w:tcW w:w="1160" w:type="dxa"/>
            <w:vAlign w:val="bottom"/>
            <w:gridSpan w:val="5"/>
          </w:tcPr>
          <w:p>
            <w:pPr>
              <w:spacing w:after="0"/>
              <w:rPr>
                <w:sz w:val="20"/>
                <w:szCs w:val="20"/>
                <w:color w:val="auto"/>
              </w:rPr>
            </w:pPr>
            <w:r>
              <w:rPr>
                <w:rFonts w:ascii="Times New Roman" w:cs="Times New Roman" w:eastAsia="Times New Roman" w:hAnsi="Times New Roman"/>
                <w:sz w:val="12"/>
                <w:szCs w:val="12"/>
                <w:color w:val="1E1E1E"/>
              </w:rPr>
              <w:t>—</w:t>
            </w:r>
          </w:p>
        </w:tc>
        <w:tc>
          <w:tcPr>
            <w:tcW w:w="68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320" w:type="dxa"/>
            <w:vAlign w:val="bottom"/>
            <w:tcBorders>
              <w:left w:val="single" w:sz="8" w:color="1E1E1E"/>
            </w:tcBorders>
            <w:gridSpan w:val="4"/>
          </w:tcPr>
          <w:p>
            <w:pPr>
              <w:spacing w:after="0"/>
              <w:rPr>
                <w:sz w:val="20"/>
                <w:szCs w:val="20"/>
                <w:color w:val="auto"/>
              </w:rPr>
            </w:pPr>
            <w:r>
              <w:rPr>
                <w:rFonts w:ascii="Times New Roman" w:cs="Times New Roman" w:eastAsia="Times New Roman" w:hAnsi="Times New Roman"/>
                <w:sz w:val="12"/>
                <w:szCs w:val="12"/>
                <w:color w:val="1E1E1E"/>
              </w:rPr>
              <w:t>—</w:t>
            </w:r>
          </w:p>
        </w:tc>
        <w:tc>
          <w:tcPr>
            <w:tcW w:w="5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100" w:type="dxa"/>
            <w:vAlign w:val="bottom"/>
            <w:gridSpan w:val="5"/>
          </w:tcPr>
          <w:p>
            <w:pPr>
              <w:jc w:val="right"/>
              <w:ind w:right="384"/>
              <w:spacing w:after="0" w:line="110" w:lineRule="exact"/>
              <w:rPr>
                <w:sz w:val="20"/>
                <w:szCs w:val="20"/>
                <w:color w:val="auto"/>
              </w:rPr>
            </w:pPr>
            <w:r>
              <w:rPr>
                <w:rFonts w:ascii="Times New Roman" w:cs="Times New Roman" w:eastAsia="Times New Roman" w:hAnsi="Times New Roman"/>
                <w:sz w:val="12"/>
                <w:szCs w:val="12"/>
                <w:color w:val="1E1E1E"/>
              </w:rPr>
              <w:t>44,822,264</w:t>
            </w:r>
          </w:p>
        </w:tc>
        <w:tc>
          <w:tcPr>
            <w:tcW w:w="500" w:type="dxa"/>
            <w:vAlign w:val="bottom"/>
            <w:gridSpan w:val="2"/>
          </w:tcPr>
          <w:p>
            <w:pPr>
              <w:jc w:val="right"/>
              <w:ind w:right="260"/>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1060" w:type="dxa"/>
            <w:vAlign w:val="bottom"/>
            <w:gridSpan w:val="4"/>
          </w:tcPr>
          <w:p>
            <w:pPr>
              <w:jc w:val="right"/>
              <w:ind w:right="383"/>
              <w:spacing w:after="0" w:line="110" w:lineRule="exact"/>
              <w:rPr>
                <w:sz w:val="20"/>
                <w:szCs w:val="20"/>
                <w:color w:val="auto"/>
              </w:rPr>
            </w:pPr>
            <w:r>
              <w:rPr>
                <w:rFonts w:ascii="Times New Roman" w:cs="Times New Roman" w:eastAsia="Times New Roman" w:hAnsi="Times New Roman"/>
                <w:sz w:val="12"/>
                <w:szCs w:val="12"/>
                <w:color w:val="1E1E1E"/>
              </w:rPr>
              <w:t>2,676,154</w:t>
            </w:r>
          </w:p>
        </w:tc>
        <w:tc>
          <w:tcPr>
            <w:tcW w:w="560" w:type="dxa"/>
            <w:vAlign w:val="bottom"/>
            <w:gridSpan w:val="3"/>
          </w:tcPr>
          <w:p>
            <w:pPr>
              <w:jc w:val="right"/>
              <w:ind w:right="284"/>
              <w:spacing w:after="0" w:line="110" w:lineRule="exact"/>
              <w:rPr>
                <w:sz w:val="20"/>
                <w:szCs w:val="20"/>
                <w:color w:val="auto"/>
              </w:rPr>
            </w:pPr>
            <w:r>
              <w:rPr>
                <w:rFonts w:ascii="Times New Roman" w:cs="Times New Roman" w:eastAsia="Times New Roman" w:hAnsi="Times New Roman"/>
                <w:sz w:val="12"/>
                <w:szCs w:val="12"/>
                <w:color w:val="1E1E1E"/>
              </w:rPr>
              <w:t>—</w:t>
            </w:r>
          </w:p>
        </w:tc>
        <w:tc>
          <w:tcPr>
            <w:tcW w:w="960" w:type="dxa"/>
            <w:vAlign w:val="bottom"/>
            <w:gridSpan w:val="6"/>
          </w:tcPr>
          <w:p>
            <w:pPr>
              <w:jc w:val="right"/>
              <w:ind w:right="263"/>
              <w:spacing w:after="0" w:line="110" w:lineRule="exact"/>
              <w:rPr>
                <w:sz w:val="20"/>
                <w:szCs w:val="20"/>
                <w:color w:val="auto"/>
              </w:rPr>
            </w:pPr>
            <w:r>
              <w:rPr>
                <w:rFonts w:ascii="Times New Roman" w:cs="Times New Roman" w:eastAsia="Times New Roman" w:hAnsi="Times New Roman"/>
                <w:sz w:val="12"/>
                <w:szCs w:val="12"/>
                <w:color w:val="1E1E1E"/>
              </w:rPr>
              <w:t>623,081</w:t>
            </w:r>
          </w:p>
        </w:tc>
        <w:tc>
          <w:tcPr>
            <w:tcW w:w="1160" w:type="dxa"/>
            <w:vAlign w:val="bottom"/>
            <w:gridSpan w:val="6"/>
          </w:tcPr>
          <w:p>
            <w:pPr>
              <w:jc w:val="right"/>
              <w:ind w:right="333"/>
              <w:spacing w:after="0" w:line="110" w:lineRule="exact"/>
              <w:rPr>
                <w:sz w:val="20"/>
                <w:szCs w:val="20"/>
                <w:color w:val="auto"/>
              </w:rPr>
            </w:pPr>
            <w:r>
              <w:rPr>
                <w:rFonts w:ascii="Times New Roman" w:cs="Times New Roman" w:eastAsia="Times New Roman" w:hAnsi="Times New Roman"/>
                <w:sz w:val="12"/>
                <w:szCs w:val="12"/>
                <w:color w:val="1E1E1E"/>
              </w:rPr>
              <w:t>28</w:t>
            </w:r>
          </w:p>
        </w:tc>
        <w:tc>
          <w:tcPr>
            <w:tcW w:w="940" w:type="dxa"/>
            <w:vAlign w:val="bottom"/>
            <w:gridSpan w:val="7"/>
          </w:tcPr>
          <w:p>
            <w:pPr>
              <w:jc w:val="right"/>
              <w:ind w:right="322"/>
              <w:spacing w:after="0" w:line="110" w:lineRule="exact"/>
              <w:rPr>
                <w:sz w:val="20"/>
                <w:szCs w:val="20"/>
                <w:color w:val="auto"/>
              </w:rPr>
            </w:pPr>
            <w:r>
              <w:rPr>
                <w:rFonts w:ascii="Times New Roman" w:cs="Times New Roman" w:eastAsia="Times New Roman" w:hAnsi="Times New Roman"/>
                <w:sz w:val="12"/>
                <w:szCs w:val="12"/>
                <w:color w:val="1E1E1E"/>
              </w:rPr>
              <w:t>(252,400)</w:t>
            </w:r>
          </w:p>
        </w:tc>
        <w:tc>
          <w:tcPr>
            <w:tcW w:w="940" w:type="dxa"/>
            <w:vAlign w:val="bottom"/>
            <w:gridSpan w:val="9"/>
          </w:tcPr>
          <w:p>
            <w:pPr>
              <w:jc w:val="right"/>
              <w:ind w:right="322"/>
              <w:spacing w:after="0" w:line="110" w:lineRule="exact"/>
              <w:rPr>
                <w:sz w:val="20"/>
                <w:szCs w:val="20"/>
                <w:color w:val="auto"/>
              </w:rPr>
            </w:pPr>
            <w:r>
              <w:rPr>
                <w:rFonts w:ascii="Times New Roman" w:cs="Times New Roman" w:eastAsia="Times New Roman" w:hAnsi="Times New Roman"/>
                <w:sz w:val="12"/>
                <w:szCs w:val="12"/>
                <w:color w:val="1E1E1E"/>
              </w:rPr>
              <w:t>370,709</w:t>
            </w:r>
          </w:p>
        </w:tc>
        <w:tc>
          <w:tcPr>
            <w:tcW w:w="980" w:type="dxa"/>
            <w:vAlign w:val="bottom"/>
            <w:gridSpan w:val="5"/>
          </w:tcPr>
          <w:p>
            <w:pPr>
              <w:jc w:val="right"/>
              <w:ind w:right="282"/>
              <w:spacing w:after="0" w:line="110" w:lineRule="exact"/>
              <w:rPr>
                <w:sz w:val="20"/>
                <w:szCs w:val="20"/>
                <w:color w:val="auto"/>
              </w:rPr>
            </w:pPr>
            <w:r>
              <w:rPr>
                <w:rFonts w:ascii="Times New Roman" w:cs="Times New Roman" w:eastAsia="Times New Roman" w:hAnsi="Times New Roman"/>
                <w:sz w:val="12"/>
                <w:szCs w:val="12"/>
                <w:color w:val="1E1E1E"/>
              </w:rPr>
              <w:t>1,090</w:t>
            </w:r>
          </w:p>
        </w:tc>
        <w:tc>
          <w:tcPr>
            <w:tcW w:w="600" w:type="dxa"/>
            <w:vAlign w:val="bottom"/>
            <w:gridSpan w:val="5"/>
          </w:tcPr>
          <w:p>
            <w:pPr>
              <w:jc w:val="right"/>
              <w:ind w:right="140"/>
              <w:spacing w:after="0" w:line="110" w:lineRule="exact"/>
              <w:rPr>
                <w:sz w:val="20"/>
                <w:szCs w:val="20"/>
                <w:color w:val="auto"/>
              </w:rPr>
            </w:pPr>
            <w:r>
              <w:rPr>
                <w:rFonts w:ascii="Times New Roman" w:cs="Times New Roman" w:eastAsia="Times New Roman" w:hAnsi="Times New Roman"/>
                <w:sz w:val="12"/>
                <w:szCs w:val="12"/>
                <w:color w:val="1E1E1E"/>
              </w:rPr>
              <w:t>371,799</w:t>
            </w:r>
          </w:p>
        </w:tc>
        <w:tc>
          <w:tcPr>
            <w:tcW w:w="0" w:type="dxa"/>
            <w:vAlign w:val="bottom"/>
          </w:tcPr>
          <w:p>
            <w:pPr>
              <w:spacing w:after="0"/>
              <w:rPr>
                <w:sz w:val="1"/>
                <w:szCs w:val="1"/>
                <w:color w:val="auto"/>
              </w:rPr>
            </w:pPr>
          </w:p>
        </w:tc>
      </w:tr>
      <w:tr>
        <w:trPr>
          <w:trHeight w:val="120"/>
        </w:trPr>
        <w:tc>
          <w:tcPr>
            <w:tcW w:w="22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1E1E1E"/>
              </w:rPr>
              <w:t>Exercise of common stock options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274,680</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1E1E1E"/>
              </w:rPr>
              <w:t>1,909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1,909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1,909</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Vesting of restricted stock units</w:t>
            </w:r>
          </w:p>
        </w:tc>
        <w:tc>
          <w:tcPr>
            <w:tcW w:w="1940" w:type="dxa"/>
            <w:vAlign w:val="bottom"/>
            <w:gridSpan w:val="9"/>
          </w:tcPr>
          <w:p>
            <w:pPr>
              <w:spacing w:after="0"/>
              <w:rPr>
                <w:sz w:val="2"/>
                <w:szCs w:val="2"/>
                <w:color w:val="auto"/>
              </w:rPr>
            </w:pP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0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tcBorders>
              <w:bottom w:val="single" w:sz="8" w:color="E4E4E4"/>
            </w:tcBorders>
            <w:gridSpan w:val="4"/>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328,474</w:t>
            </w: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tcBorders>
              <w:bottom w:val="single" w:sz="8" w:color="E4E4E4"/>
            </w:tcBorders>
            <w:gridSpan w:val="2"/>
            <w:shd w:val="clear" w:color="auto" w:fill="E4E4E4"/>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740" w:type="dxa"/>
            <w:vAlign w:val="bottom"/>
            <w:tcBorders>
              <w:bottom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80" w:type="dxa"/>
            <w:vAlign w:val="bottom"/>
            <w:tcBorders>
              <w:bottom w:val="single" w:sz="8" w:color="E4E4E4"/>
            </w:tcBorders>
            <w:gridSpan w:val="6"/>
            <w:shd w:val="clear" w:color="auto" w:fill="E4E4E4"/>
          </w:tcPr>
          <w:p>
            <w:pPr>
              <w:jc w:val="right"/>
              <w:ind w:right="62"/>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0" w:type="dxa"/>
            <w:vAlign w:val="bottom"/>
          </w:tcPr>
          <w:p>
            <w:pPr>
              <w:spacing w:after="0"/>
              <w:rPr>
                <w:sz w:val="1"/>
                <w:szCs w:val="1"/>
                <w:color w:val="auto"/>
              </w:rPr>
            </w:pPr>
          </w:p>
        </w:tc>
      </w:tr>
      <w:tr>
        <w:trPr>
          <w:trHeight w:val="120"/>
        </w:trPr>
        <w:tc>
          <w:tcPr>
            <w:tcW w:w="2280" w:type="dxa"/>
            <w:vAlign w:val="bottom"/>
            <w:gridSpan w:val="2"/>
          </w:tcPr>
          <w:p>
            <w:pPr>
              <w:spacing w:after="0" w:line="120" w:lineRule="exact"/>
              <w:rPr>
                <w:sz w:val="20"/>
                <w:szCs w:val="20"/>
                <w:color w:val="auto"/>
              </w:rPr>
            </w:pPr>
            <w:r>
              <w:rPr>
                <w:rFonts w:ascii="Times New Roman" w:cs="Times New Roman" w:eastAsia="Times New Roman" w:hAnsi="Times New Roman"/>
                <w:sz w:val="13"/>
                <w:szCs w:val="13"/>
                <w:color w:val="1E1E1E"/>
              </w:rPr>
              <w:t>Shares issued in business combination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3,562</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1E1E1E"/>
              </w:rPr>
              <w:t>180</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180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180</w:t>
            </w:r>
          </w:p>
        </w:tc>
        <w:tc>
          <w:tcPr>
            <w:tcW w:w="0" w:type="dxa"/>
            <w:vAlign w:val="bottom"/>
          </w:tcPr>
          <w:p>
            <w:pPr>
              <w:spacing w:after="0"/>
              <w:rPr>
                <w:sz w:val="1"/>
                <w:szCs w:val="1"/>
                <w:color w:val="auto"/>
              </w:rPr>
            </w:pPr>
          </w:p>
        </w:tc>
      </w:tr>
      <w:tr>
        <w:trPr>
          <w:trHeight w:val="45"/>
        </w:trPr>
        <w:tc>
          <w:tcPr>
            <w:tcW w:w="2280" w:type="dxa"/>
            <w:vAlign w:val="bottom"/>
            <w:gridSpan w:val="2"/>
            <w:vMerge w:val="restart"/>
          </w:tcPr>
          <w:p>
            <w:pPr>
              <w:spacing w:after="0" w:line="146" w:lineRule="exact"/>
              <w:rPr>
                <w:sz w:val="20"/>
                <w:szCs w:val="20"/>
                <w:color w:val="auto"/>
              </w:rPr>
            </w:pPr>
            <w:r>
              <w:rPr>
                <w:rFonts w:ascii="Times New Roman" w:cs="Times New Roman" w:eastAsia="Times New Roman" w:hAnsi="Times New Roman"/>
                <w:sz w:val="13"/>
                <w:szCs w:val="13"/>
                <w:color w:val="1E1E1E"/>
              </w:rPr>
              <w:t>Donated common stock</w:t>
            </w:r>
          </w:p>
        </w:tc>
        <w:tc>
          <w:tcPr>
            <w:tcW w:w="100" w:type="dxa"/>
            <w:vAlign w:val="bottom"/>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6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2"/>
                <w:szCs w:val="12"/>
                <w:color w:val="1E1E1E"/>
              </w:rPr>
              <w:t>—</w:t>
            </w:r>
          </w:p>
        </w:tc>
        <w:tc>
          <w:tcPr>
            <w:tcW w:w="8740" w:type="dxa"/>
            <w:vAlign w:val="bottom"/>
            <w:tcBorders>
              <w:left w:val="single" w:sz="8" w:color="1E1E1E"/>
              <w:bottom w:val="single" w:sz="8" w:color="E4E4E4"/>
            </w:tcBorders>
            <w:gridSpan w:val="44"/>
          </w:tcPr>
          <w:p>
            <w:pPr>
              <w:spacing w:after="0"/>
              <w:rPr>
                <w:sz w:val="3"/>
                <w:szCs w:val="3"/>
                <w:color w:val="auto"/>
              </w:rPr>
            </w:pPr>
          </w:p>
        </w:tc>
        <w:tc>
          <w:tcPr>
            <w:tcW w:w="1880" w:type="dxa"/>
            <w:vAlign w:val="bottom"/>
            <w:gridSpan w:val="14"/>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40" w:type="dxa"/>
            <w:vAlign w:val="bottom"/>
            <w:tcBorders>
              <w:left w:val="single" w:sz="8" w:color="1E1E1E"/>
              <w:bottom w:val="single" w:sz="8" w:color="E4E4E4"/>
            </w:tcBorders>
            <w:shd w:val="clear" w:color="auto" w:fill="E4E4E4"/>
          </w:tcPr>
          <w:p>
            <w:pPr>
              <w:spacing w:after="0"/>
              <w:rPr>
                <w:sz w:val="10"/>
                <w:szCs w:val="10"/>
                <w:color w:val="auto"/>
              </w:rPr>
            </w:pPr>
          </w:p>
        </w:tc>
        <w:tc>
          <w:tcPr>
            <w:tcW w:w="102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80" w:type="dxa"/>
            <w:vAlign w:val="bottom"/>
            <w:tcBorders>
              <w:bottom w:val="single" w:sz="8" w:color="E4E4E4"/>
            </w:tcBorders>
            <w:gridSpan w:val="2"/>
            <w:shd w:val="clear" w:color="auto" w:fill="E4E4E4"/>
          </w:tcPr>
          <w:p>
            <w:pPr>
              <w:jc w:val="right"/>
              <w:ind w:right="20"/>
              <w:spacing w:after="0" w:line="80" w:lineRule="exact"/>
              <w:rPr>
                <w:sz w:val="20"/>
                <w:szCs w:val="20"/>
                <w:color w:val="auto"/>
              </w:rPr>
            </w:pPr>
            <w:r>
              <w:rPr>
                <w:rFonts w:ascii="Times New Roman" w:cs="Times New Roman" w:eastAsia="Times New Roman" w:hAnsi="Times New Roman"/>
                <w:sz w:val="9"/>
                <w:szCs w:val="9"/>
                <w:color w:val="1E1E1E"/>
              </w:rPr>
              <w:t>60,399</w:t>
            </w:r>
          </w:p>
        </w:tc>
        <w:tc>
          <w:tcPr>
            <w:tcW w:w="2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500" w:type="dxa"/>
            <w:vAlign w:val="bottom"/>
            <w:tcBorders>
              <w:bottom w:val="single" w:sz="8" w:color="E4E4E4"/>
            </w:tcBorders>
            <w:gridSpan w:val="2"/>
            <w:shd w:val="clear" w:color="auto" w:fill="E4E4E4"/>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tcBorders>
              <w:bottom w:val="single" w:sz="8" w:color="E4E4E4"/>
            </w:tcBorders>
            <w:gridSpan w:val="2"/>
            <w:shd w:val="clear" w:color="auto" w:fill="E4E4E4"/>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80" w:type="dxa"/>
            <w:vAlign w:val="bottom"/>
            <w:tcBorders>
              <w:bottom w:val="single" w:sz="8" w:color="E4E4E4"/>
            </w:tcBorders>
            <w:shd w:val="clear" w:color="auto" w:fill="E4E4E4"/>
          </w:tcPr>
          <w:p>
            <w:pPr>
              <w:spacing w:after="0"/>
              <w:rPr>
                <w:sz w:val="10"/>
                <w:szCs w:val="10"/>
                <w:color w:val="auto"/>
              </w:rPr>
            </w:pPr>
          </w:p>
        </w:tc>
        <w:tc>
          <w:tcPr>
            <w:tcW w:w="22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40" w:type="dxa"/>
            <w:vAlign w:val="bottom"/>
            <w:tcBorders>
              <w:bottom w:val="single" w:sz="8" w:color="E4E4E4"/>
            </w:tcBorders>
            <w:gridSpan w:val="2"/>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1,029</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840" w:type="dxa"/>
            <w:vAlign w:val="bottom"/>
            <w:tcBorders>
              <w:bottom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bottom w:val="single" w:sz="8" w:color="E4E4E4"/>
            </w:tcBorders>
            <w:shd w:val="clear" w:color="auto" w:fill="E4E4E4"/>
          </w:tcPr>
          <w:p>
            <w:pPr>
              <w:spacing w:after="0"/>
              <w:rPr>
                <w:sz w:val="10"/>
                <w:szCs w:val="10"/>
                <w:color w:val="auto"/>
              </w:rPr>
            </w:pPr>
          </w:p>
        </w:tc>
        <w:tc>
          <w:tcPr>
            <w:tcW w:w="100" w:type="dxa"/>
            <w:vAlign w:val="bottom"/>
            <w:tcBorders>
              <w:bottom w:val="single" w:sz="8" w:color="E4E4E4"/>
            </w:tcBorders>
            <w:shd w:val="clear" w:color="auto" w:fill="E4E4E4"/>
          </w:tcPr>
          <w:p>
            <w:pPr>
              <w:spacing w:after="0"/>
              <w:rPr>
                <w:sz w:val="10"/>
                <w:szCs w:val="10"/>
                <w:color w:val="auto"/>
              </w:rPr>
            </w:pPr>
          </w:p>
        </w:tc>
        <w:tc>
          <w:tcPr>
            <w:tcW w:w="60" w:type="dxa"/>
            <w:vAlign w:val="bottom"/>
            <w:tcBorders>
              <w:bottom w:val="single" w:sz="8" w:color="E4E4E4"/>
            </w:tcBorders>
            <w:shd w:val="clear" w:color="auto" w:fill="E4E4E4"/>
          </w:tcPr>
          <w:p>
            <w:pPr>
              <w:spacing w:after="0"/>
              <w:rPr>
                <w:sz w:val="10"/>
                <w:szCs w:val="10"/>
                <w:color w:val="auto"/>
              </w:rPr>
            </w:pPr>
          </w:p>
        </w:tc>
        <w:tc>
          <w:tcPr>
            <w:tcW w:w="620" w:type="dxa"/>
            <w:vAlign w:val="bottom"/>
            <w:tcBorders>
              <w:bottom w:val="single" w:sz="8" w:color="E4E4E4"/>
            </w:tcBorders>
            <w:gridSpan w:val="3"/>
            <w:shd w:val="clear" w:color="auto" w:fill="E4E4E4"/>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560" w:type="dxa"/>
            <w:vAlign w:val="bottom"/>
            <w:tcBorders>
              <w:bottom w:val="single" w:sz="8" w:color="E4E4E4"/>
            </w:tcBorders>
            <w:shd w:val="clear" w:color="auto" w:fill="E4E4E4"/>
          </w:tcPr>
          <w:p>
            <w:pPr>
              <w:jc w:val="right"/>
              <w:spacing w:after="0" w:line="80" w:lineRule="exact"/>
              <w:rPr>
                <w:sz w:val="20"/>
                <w:szCs w:val="20"/>
                <w:color w:val="auto"/>
              </w:rPr>
            </w:pPr>
            <w:r>
              <w:rPr>
                <w:rFonts w:ascii="Times New Roman" w:cs="Times New Roman" w:eastAsia="Times New Roman" w:hAnsi="Times New Roman"/>
                <w:sz w:val="9"/>
                <w:szCs w:val="9"/>
                <w:color w:val="1E1E1E"/>
              </w:rPr>
              <w:t>1,029</w:t>
            </w: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40" w:type="dxa"/>
            <w:vAlign w:val="bottom"/>
            <w:tcBorders>
              <w:bottom w:val="single" w:sz="8" w:color="E4E4E4"/>
            </w:tcBorders>
            <w:shd w:val="clear" w:color="auto" w:fill="E4E4E4"/>
          </w:tcPr>
          <w:p>
            <w:pPr>
              <w:spacing w:after="0"/>
              <w:rPr>
                <w:sz w:val="10"/>
                <w:szCs w:val="10"/>
                <w:color w:val="auto"/>
              </w:rPr>
            </w:pPr>
          </w:p>
        </w:tc>
        <w:tc>
          <w:tcPr>
            <w:tcW w:w="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120" w:type="dxa"/>
            <w:vAlign w:val="bottom"/>
            <w:tcBorders>
              <w:bottom w:val="single" w:sz="8" w:color="E4E4E4"/>
            </w:tcBorders>
            <w:shd w:val="clear" w:color="auto" w:fill="E4E4E4"/>
          </w:tcPr>
          <w:p>
            <w:pPr>
              <w:spacing w:after="0"/>
              <w:rPr>
                <w:sz w:val="10"/>
                <w:szCs w:val="10"/>
                <w:color w:val="auto"/>
              </w:rPr>
            </w:pPr>
          </w:p>
        </w:tc>
        <w:tc>
          <w:tcPr>
            <w:tcW w:w="780" w:type="dxa"/>
            <w:vAlign w:val="bottom"/>
            <w:tcBorders>
              <w:bottom w:val="single" w:sz="8" w:color="E4E4E4"/>
              <w:right w:val="single" w:sz="8" w:color="E4E4E4"/>
            </w:tcBorders>
            <w:gridSpan w:val="3"/>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Borders>
              <w:bottom w:val="single" w:sz="8" w:color="E4E4E4"/>
            </w:tcBorders>
            <w:shd w:val="clear" w:color="auto" w:fill="E4E4E4"/>
          </w:tcPr>
          <w:p>
            <w:pPr>
              <w:spacing w:after="0"/>
              <w:rPr>
                <w:sz w:val="10"/>
                <w:szCs w:val="10"/>
                <w:color w:val="auto"/>
              </w:rPr>
            </w:pPr>
          </w:p>
        </w:tc>
        <w:tc>
          <w:tcPr>
            <w:tcW w:w="80" w:type="dxa"/>
            <w:vAlign w:val="bottom"/>
            <w:tcBorders>
              <w:bottom w:val="single" w:sz="8" w:color="E4E4E4"/>
            </w:tcBorders>
            <w:shd w:val="clear" w:color="auto" w:fill="E4E4E4"/>
          </w:tcPr>
          <w:p>
            <w:pPr>
              <w:spacing w:after="0"/>
              <w:rPr>
                <w:sz w:val="10"/>
                <w:szCs w:val="10"/>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1,029</w:t>
            </w:r>
          </w:p>
        </w:tc>
        <w:tc>
          <w:tcPr>
            <w:tcW w:w="0" w:type="dxa"/>
            <w:vAlign w:val="bottom"/>
          </w:tcPr>
          <w:p>
            <w:pPr>
              <w:spacing w:after="0"/>
              <w:rPr>
                <w:sz w:val="1"/>
                <w:szCs w:val="1"/>
                <w:color w:val="auto"/>
              </w:rPr>
            </w:pPr>
          </w:p>
        </w:tc>
      </w:tr>
      <w:tr>
        <w:trPr>
          <w:trHeight w:val="80"/>
        </w:trPr>
        <w:tc>
          <w:tcPr>
            <w:tcW w:w="2280" w:type="dxa"/>
            <w:vAlign w:val="bottom"/>
            <w:gridSpan w:val="2"/>
          </w:tcPr>
          <w:p>
            <w:pPr>
              <w:spacing w:after="0" w:line="80" w:lineRule="exact"/>
              <w:rPr>
                <w:sz w:val="20"/>
                <w:szCs w:val="20"/>
                <w:color w:val="auto"/>
              </w:rPr>
            </w:pPr>
            <w:r>
              <w:rPr>
                <w:rFonts w:ascii="Times New Roman" w:cs="Times New Roman" w:eastAsia="Times New Roman" w:hAnsi="Times New Roman"/>
                <w:sz w:val="9"/>
                <w:szCs w:val="9"/>
                <w:color w:val="1E1E1E"/>
              </w:rPr>
              <w:t>Stock based compensation</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gridSpan w:val="2"/>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2"/>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Borders>
              <w:left w:val="single" w:sz="8" w:color="1E1E1E"/>
            </w:tcBorders>
          </w:tcPr>
          <w:p>
            <w:pPr>
              <w:spacing w:after="0"/>
              <w:rPr>
                <w:sz w:val="6"/>
                <w:szCs w:val="6"/>
                <w:color w:val="auto"/>
              </w:rPr>
            </w:pPr>
          </w:p>
        </w:tc>
        <w:tc>
          <w:tcPr>
            <w:tcW w:w="1020" w:type="dxa"/>
            <w:vAlign w:val="bottom"/>
            <w:gridSpan w:val="2"/>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160" w:type="dxa"/>
            <w:vAlign w:val="bottom"/>
          </w:tcPr>
          <w:p>
            <w:pPr>
              <w:spacing w:after="0"/>
              <w:rPr>
                <w:sz w:val="6"/>
                <w:szCs w:val="6"/>
                <w:color w:val="auto"/>
              </w:rPr>
            </w:pPr>
          </w:p>
        </w:tc>
        <w:tc>
          <w:tcPr>
            <w:tcW w:w="500" w:type="dxa"/>
            <w:vAlign w:val="bottom"/>
            <w:gridSpan w:val="2"/>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680" w:type="dxa"/>
            <w:vAlign w:val="bottom"/>
            <w:gridSpan w:val="2"/>
          </w:tcPr>
          <w:p>
            <w:pPr>
              <w:jc w:val="right"/>
              <w:ind w:right="20"/>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gridSpan w:val="2"/>
          </w:tcPr>
          <w:p>
            <w:pPr>
              <w:jc w:val="right"/>
              <w:ind w:right="260"/>
              <w:spacing w:after="0" w:line="80" w:lineRule="exact"/>
              <w:rPr>
                <w:sz w:val="20"/>
                <w:szCs w:val="20"/>
                <w:color w:val="auto"/>
              </w:rPr>
            </w:pPr>
            <w:r>
              <w:rPr>
                <w:rFonts w:ascii="Times New Roman" w:cs="Times New Roman" w:eastAsia="Times New Roman" w:hAnsi="Times New Roman"/>
                <w:sz w:val="9"/>
                <w:szCs w:val="9"/>
                <w:color w:val="1E1E1E"/>
              </w:rPr>
              <w:t>—</w:t>
            </w:r>
          </w:p>
        </w:tc>
        <w:tc>
          <w:tcPr>
            <w:tcW w:w="740" w:type="dxa"/>
            <w:vAlign w:val="bottom"/>
            <w:gridSpan w:val="2"/>
          </w:tcPr>
          <w:p>
            <w:pPr>
              <w:jc w:val="right"/>
              <w:ind w:right="12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color w:val="1E1E1E"/>
              </w:rPr>
              <w:t>—</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tcPr>
          <w:p>
            <w:pPr>
              <w:jc w:val="right"/>
              <w:spacing w:after="0" w:line="80" w:lineRule="exact"/>
              <w:rPr>
                <w:sz w:val="20"/>
                <w:szCs w:val="20"/>
                <w:color w:val="auto"/>
              </w:rPr>
            </w:pPr>
            <w:r>
              <w:rPr>
                <w:rFonts w:ascii="Times New Roman" w:cs="Times New Roman" w:eastAsia="Times New Roman" w:hAnsi="Times New Roman"/>
                <w:sz w:val="9"/>
                <w:szCs w:val="9"/>
                <w:color w:val="1E1E1E"/>
              </w:rPr>
              <w:t>22,118</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3"/>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gridSpan w:val="3"/>
          </w:tcPr>
          <w:p>
            <w:pPr>
              <w:jc w:val="right"/>
              <w:ind w:right="79"/>
              <w:spacing w:after="0" w:line="80" w:lineRule="exact"/>
              <w:rPr>
                <w:sz w:val="20"/>
                <w:szCs w:val="20"/>
                <w:color w:val="auto"/>
              </w:rPr>
            </w:pPr>
            <w:r>
              <w:rPr>
                <w:rFonts w:ascii="Times New Roman" w:cs="Times New Roman" w:eastAsia="Times New Roman" w:hAnsi="Times New Roman"/>
                <w:sz w:val="9"/>
                <w:szCs w:val="9"/>
                <w:color w:val="1E1E1E"/>
              </w:rPr>
              <w:t>—</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color w:val="1E1E1E"/>
              </w:rPr>
              <w:t>22,118</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gridSpan w:val="3"/>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5"/>
          </w:tcPr>
          <w:p>
            <w:pPr>
              <w:jc w:val="right"/>
              <w:ind w:right="140"/>
              <w:spacing w:after="0" w:line="80" w:lineRule="exact"/>
              <w:rPr>
                <w:sz w:val="20"/>
                <w:szCs w:val="20"/>
                <w:color w:val="auto"/>
              </w:rPr>
            </w:pPr>
            <w:r>
              <w:rPr>
                <w:rFonts w:ascii="Times New Roman" w:cs="Times New Roman" w:eastAsia="Times New Roman" w:hAnsi="Times New Roman"/>
                <w:sz w:val="9"/>
                <w:szCs w:val="9"/>
                <w:color w:val="1E1E1E"/>
              </w:rPr>
              <w:t>22,118</w:t>
            </w:r>
          </w:p>
        </w:tc>
        <w:tc>
          <w:tcPr>
            <w:tcW w:w="0" w:type="dxa"/>
            <w:vAlign w:val="bottom"/>
          </w:tcPr>
          <w:p>
            <w:pPr>
              <w:spacing w:after="0"/>
              <w:rPr>
                <w:sz w:val="1"/>
                <w:szCs w:val="1"/>
                <w:color w:val="auto"/>
              </w:rPr>
            </w:pPr>
          </w:p>
        </w:tc>
      </w:tr>
      <w:tr>
        <w:trPr>
          <w:trHeight w:val="25"/>
        </w:trPr>
        <w:tc>
          <w:tcPr>
            <w:tcW w:w="228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1E1E1E"/>
              </w:rPr>
              <w:t>Comprehensive income</w:t>
            </w:r>
          </w:p>
        </w:tc>
        <w:tc>
          <w:tcPr>
            <w:tcW w:w="1940" w:type="dxa"/>
            <w:vAlign w:val="bottom"/>
            <w:gridSpan w:val="9"/>
          </w:tcPr>
          <w:p>
            <w:pPr>
              <w:spacing w:after="0"/>
              <w:rPr>
                <w:sz w:val="2"/>
                <w:szCs w:val="2"/>
                <w:color w:val="auto"/>
              </w:rPr>
            </w:pPr>
          </w:p>
        </w:tc>
        <w:tc>
          <w:tcPr>
            <w:tcW w:w="10620" w:type="dxa"/>
            <w:vAlign w:val="bottom"/>
            <w:tcBorders>
              <w:left w:val="single" w:sz="8" w:color="1E1E1E"/>
            </w:tcBorders>
            <w:gridSpan w:val="5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280" w:type="dxa"/>
            <w:vAlign w:val="bottom"/>
            <w:gridSpan w:val="2"/>
            <w:vMerge w:val="continue"/>
          </w:tcPr>
          <w:p>
            <w:pPr>
              <w:spacing w:after="0"/>
              <w:rPr>
                <w:sz w:val="10"/>
                <w:szCs w:val="10"/>
                <w:color w:val="auto"/>
              </w:rPr>
            </w:pPr>
          </w:p>
        </w:tc>
        <w:tc>
          <w:tcPr>
            <w:tcW w:w="1940" w:type="dxa"/>
            <w:vAlign w:val="bottom"/>
            <w:gridSpan w:val="9"/>
          </w:tcPr>
          <w:p>
            <w:pPr>
              <w:spacing w:after="0"/>
              <w:rPr>
                <w:sz w:val="10"/>
                <w:szCs w:val="10"/>
                <w:color w:val="auto"/>
              </w:rPr>
            </w:pPr>
          </w:p>
        </w:tc>
        <w:tc>
          <w:tcPr>
            <w:tcW w:w="7760" w:type="dxa"/>
            <w:vAlign w:val="bottom"/>
            <w:tcBorders>
              <w:left w:val="single" w:sz="8" w:color="1E1E1E"/>
              <w:bottom w:val="single" w:sz="8" w:color="E4E4E4"/>
              <w:right w:val="single" w:sz="8" w:color="E4E4E4"/>
            </w:tcBorders>
            <w:gridSpan w:val="35"/>
            <w:shd w:val="clear" w:color="auto" w:fill="E4E4E4"/>
          </w:tcPr>
          <w:p>
            <w:pPr>
              <w:spacing w:after="0"/>
              <w:rPr>
                <w:sz w:val="10"/>
                <w:szCs w:val="10"/>
                <w:color w:val="auto"/>
              </w:rPr>
            </w:pPr>
          </w:p>
        </w:tc>
        <w:tc>
          <w:tcPr>
            <w:tcW w:w="1960" w:type="dxa"/>
            <w:vAlign w:val="bottom"/>
            <w:tcBorders>
              <w:bottom w:val="single" w:sz="8" w:color="E4E4E4"/>
              <w:right w:val="single" w:sz="8" w:color="E4E4E4"/>
            </w:tcBorders>
            <w:gridSpan w:val="15"/>
            <w:shd w:val="clear" w:color="auto" w:fill="E4E4E4"/>
          </w:tcPr>
          <w:p>
            <w:pPr>
              <w:spacing w:after="0"/>
              <w:rPr>
                <w:sz w:val="10"/>
                <w:szCs w:val="10"/>
                <w:color w:val="auto"/>
              </w:rPr>
            </w:pPr>
          </w:p>
        </w:tc>
        <w:tc>
          <w:tcPr>
            <w:tcW w:w="100" w:type="dxa"/>
            <w:vAlign w:val="bottom"/>
            <w:tcBorders>
              <w:bottom w:val="single" w:sz="8" w:color="E4E4E4"/>
              <w:right w:val="single" w:sz="8" w:color="E4E4E4"/>
            </w:tcBorders>
            <w:shd w:val="clear" w:color="auto" w:fill="E4E4E4"/>
          </w:tcPr>
          <w:p>
            <w:pPr>
              <w:spacing w:after="0"/>
              <w:rPr>
                <w:sz w:val="10"/>
                <w:szCs w:val="10"/>
                <w:color w:val="auto"/>
              </w:rPr>
            </w:pPr>
          </w:p>
        </w:tc>
        <w:tc>
          <w:tcPr>
            <w:tcW w:w="720" w:type="dxa"/>
            <w:vAlign w:val="bottom"/>
            <w:tcBorders>
              <w:bottom w:val="single" w:sz="8" w:color="E4E4E4"/>
            </w:tcBorders>
            <w:gridSpan w:val="6"/>
            <w:shd w:val="clear" w:color="auto" w:fill="E4E4E4"/>
          </w:tcPr>
          <w:p>
            <w:pPr>
              <w:spacing w:after="0"/>
              <w:rPr>
                <w:sz w:val="10"/>
                <w:szCs w:val="10"/>
                <w:color w:val="auto"/>
              </w:rPr>
            </w:pPr>
          </w:p>
        </w:tc>
        <w:tc>
          <w:tcPr>
            <w:tcW w:w="80" w:type="dxa"/>
            <w:vAlign w:val="bottom"/>
            <w:tcBorders>
              <w:left w:val="single" w:sz="8" w:color="E4E4E4"/>
              <w:bottom w:val="single" w:sz="8" w:color="E4E4E4"/>
              <w:right w:val="single" w:sz="8" w:color="E4E4E4"/>
            </w:tcBorders>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280" w:type="dxa"/>
            <w:vAlign w:val="bottom"/>
            <w:gridSpan w:val="2"/>
          </w:tcPr>
          <w:p>
            <w:pPr>
              <w:ind w:left="160"/>
              <w:spacing w:after="0" w:line="120" w:lineRule="exact"/>
              <w:rPr>
                <w:sz w:val="20"/>
                <w:szCs w:val="20"/>
                <w:color w:val="auto"/>
              </w:rPr>
            </w:pPr>
            <w:r>
              <w:rPr>
                <w:rFonts w:ascii="Times New Roman" w:cs="Times New Roman" w:eastAsia="Times New Roman" w:hAnsi="Times New Roman"/>
                <w:sz w:val="13"/>
                <w:szCs w:val="13"/>
                <w:color w:val="1E1E1E"/>
              </w:rPr>
              <w:t>Foreign currency translation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827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right"/>
              <w:ind w:right="79"/>
              <w:spacing w:after="0" w:line="120" w:lineRule="exact"/>
              <w:rPr>
                <w:sz w:val="20"/>
                <w:szCs w:val="20"/>
                <w:color w:val="auto"/>
              </w:rPr>
            </w:pPr>
            <w:r>
              <w:rPr>
                <w:rFonts w:ascii="Times New Roman" w:cs="Times New Roman" w:eastAsia="Times New Roman" w:hAnsi="Times New Roman"/>
                <w:sz w:val="12"/>
                <w:szCs w:val="12"/>
                <w:color w:val="1E1E1E"/>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6"/>
          </w:tcPr>
          <w:p>
            <w:pPr>
              <w:jc w:val="right"/>
              <w:ind w:right="62"/>
              <w:spacing w:after="0" w:line="120" w:lineRule="exact"/>
              <w:rPr>
                <w:sz w:val="20"/>
                <w:szCs w:val="20"/>
                <w:color w:val="auto"/>
              </w:rPr>
            </w:pPr>
            <w:r>
              <w:rPr>
                <w:rFonts w:ascii="Times New Roman" w:cs="Times New Roman" w:eastAsia="Times New Roman" w:hAnsi="Times New Roman"/>
                <w:sz w:val="12"/>
                <w:szCs w:val="12"/>
                <w:color w:val="1E1E1E"/>
              </w:rPr>
              <w:t>827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tcPr>
          <w:p>
            <w:pPr>
              <w:jc w:val="right"/>
              <w:ind w:right="140"/>
              <w:spacing w:after="0" w:line="120" w:lineRule="exact"/>
              <w:rPr>
                <w:sz w:val="20"/>
                <w:szCs w:val="20"/>
                <w:color w:val="auto"/>
              </w:rPr>
            </w:pPr>
            <w:r>
              <w:rPr>
                <w:rFonts w:ascii="Times New Roman" w:cs="Times New Roman" w:eastAsia="Times New Roman" w:hAnsi="Times New Roman"/>
                <w:sz w:val="12"/>
                <w:szCs w:val="12"/>
                <w:color w:val="1E1E1E"/>
              </w:rPr>
              <w:t>849</w:t>
            </w:r>
          </w:p>
        </w:tc>
        <w:tc>
          <w:tcPr>
            <w:tcW w:w="0" w:type="dxa"/>
            <w:vAlign w:val="bottom"/>
          </w:tcPr>
          <w:p>
            <w:pPr>
              <w:spacing w:after="0"/>
              <w:rPr>
                <w:sz w:val="1"/>
                <w:szCs w:val="1"/>
                <w:color w:val="auto"/>
              </w:rPr>
            </w:pPr>
          </w:p>
        </w:tc>
      </w:tr>
      <w:tr>
        <w:trPr>
          <w:trHeight w:val="65"/>
        </w:trPr>
        <w:tc>
          <w:tcPr>
            <w:tcW w:w="2280" w:type="dxa"/>
            <w:vAlign w:val="bottom"/>
            <w:gridSpan w:val="2"/>
            <w:vMerge w:val="restart"/>
          </w:tcPr>
          <w:p>
            <w:pPr>
              <w:ind w:left="160"/>
              <w:spacing w:after="0" w:line="146" w:lineRule="exact"/>
              <w:rPr>
                <w:sz w:val="20"/>
                <w:szCs w:val="20"/>
                <w:color w:val="auto"/>
              </w:rPr>
            </w:pPr>
            <w:r>
              <w:rPr>
                <w:rFonts w:ascii="Times New Roman" w:cs="Times New Roman" w:eastAsia="Times New Roman" w:hAnsi="Times New Roman"/>
                <w:sz w:val="13"/>
                <w:szCs w:val="13"/>
                <w:color w:val="1E1E1E"/>
              </w:rPr>
              <w:t>Net loss</w:t>
            </w:r>
          </w:p>
        </w:tc>
        <w:tc>
          <w:tcPr>
            <w:tcW w:w="20" w:type="dxa"/>
            <w:vAlign w:val="bottom"/>
          </w:tcPr>
          <w:p>
            <w:pPr>
              <w:spacing w:after="0"/>
              <w:rPr>
                <w:sz w:val="5"/>
                <w:szCs w:val="5"/>
                <w:color w:val="auto"/>
              </w:rPr>
            </w:pPr>
          </w:p>
        </w:tc>
        <w:tc>
          <w:tcPr>
            <w:tcW w:w="1920" w:type="dxa"/>
            <w:vAlign w:val="bottom"/>
            <w:tcBorders>
              <w:bottom w:val="single" w:sz="8" w:color="E4E4E4"/>
            </w:tcBorders>
            <w:gridSpan w:val="8"/>
          </w:tcPr>
          <w:p>
            <w:pPr>
              <w:spacing w:after="0"/>
              <w:rPr>
                <w:sz w:val="5"/>
                <w:szCs w:val="5"/>
                <w:color w:val="auto"/>
              </w:rPr>
            </w:pPr>
          </w:p>
        </w:tc>
        <w:tc>
          <w:tcPr>
            <w:tcW w:w="7720" w:type="dxa"/>
            <w:vAlign w:val="bottom"/>
            <w:tcBorders>
              <w:left w:val="single" w:sz="8" w:color="1E1E1E"/>
              <w:bottom w:val="single" w:sz="8" w:color="E4E4E4"/>
            </w:tcBorders>
            <w:gridSpan w:val="34"/>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bottom w:val="single" w:sz="8" w:color="E4E4E4"/>
            </w:tcBorders>
            <w:gridSpan w:val="14"/>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bottom w:val="single" w:sz="8" w:color="E4E4E4"/>
            </w:tcBorders>
            <w:gridSpan w:val="8"/>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2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1000" w:type="dxa"/>
            <w:vAlign w:val="bottom"/>
            <w:tcBorders>
              <w:bottom w:val="single" w:sz="8" w:color="E4E4E4"/>
            </w:tcBorders>
            <w:gridSpan w:val="2"/>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680" w:type="dxa"/>
            <w:vAlign w:val="bottom"/>
            <w:tcBorders>
              <w:bottom w:val="single" w:sz="8" w:color="E4E4E4"/>
            </w:tcBorders>
            <w:gridSpan w:val="2"/>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140" w:type="dxa"/>
            <w:vAlign w:val="bottom"/>
            <w:tcBorders>
              <w:left w:val="single" w:sz="8" w:color="1E1E1E"/>
              <w:bottom w:val="single" w:sz="8" w:color="E4E4E4"/>
            </w:tcBorders>
            <w:shd w:val="clear" w:color="auto" w:fill="E4E4E4"/>
          </w:tcPr>
          <w:p>
            <w:pPr>
              <w:spacing w:after="0"/>
              <w:rPr>
                <w:sz w:val="9"/>
                <w:szCs w:val="9"/>
                <w:color w:val="auto"/>
              </w:rPr>
            </w:pPr>
          </w:p>
        </w:tc>
        <w:tc>
          <w:tcPr>
            <w:tcW w:w="1020" w:type="dxa"/>
            <w:vAlign w:val="bottom"/>
            <w:tcBorders>
              <w:bottom w:val="single" w:sz="8" w:color="E4E4E4"/>
            </w:tcBorders>
            <w:gridSpan w:val="2"/>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160" w:type="dxa"/>
            <w:vAlign w:val="bottom"/>
            <w:tcBorders>
              <w:bottom w:val="single" w:sz="8" w:color="E4E4E4"/>
            </w:tcBorders>
            <w:shd w:val="clear" w:color="auto" w:fill="E4E4E4"/>
          </w:tcPr>
          <w:p>
            <w:pPr>
              <w:spacing w:after="0"/>
              <w:rPr>
                <w:sz w:val="9"/>
                <w:szCs w:val="9"/>
                <w:color w:val="auto"/>
              </w:rPr>
            </w:pPr>
          </w:p>
        </w:tc>
        <w:tc>
          <w:tcPr>
            <w:tcW w:w="500" w:type="dxa"/>
            <w:vAlign w:val="bottom"/>
            <w:tcBorders>
              <w:bottom w:val="single" w:sz="8" w:color="E4E4E4"/>
            </w:tcBorders>
            <w:gridSpan w:val="2"/>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920" w:type="dxa"/>
            <w:vAlign w:val="bottom"/>
            <w:tcBorders>
              <w:bottom w:val="single" w:sz="8" w:color="E4E4E4"/>
            </w:tcBorders>
            <w:gridSpan w:val="4"/>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180" w:type="dxa"/>
            <w:vAlign w:val="bottom"/>
            <w:tcBorders>
              <w:bottom w:val="single" w:sz="8" w:color="E4E4E4"/>
            </w:tcBorders>
            <w:shd w:val="clear" w:color="auto" w:fill="E4E4E4"/>
          </w:tcPr>
          <w:p>
            <w:pPr>
              <w:spacing w:after="0"/>
              <w:rPr>
                <w:sz w:val="9"/>
                <w:szCs w:val="9"/>
                <w:color w:val="auto"/>
              </w:rPr>
            </w:pPr>
          </w:p>
        </w:tc>
        <w:tc>
          <w:tcPr>
            <w:tcW w:w="500" w:type="dxa"/>
            <w:vAlign w:val="bottom"/>
            <w:tcBorders>
              <w:bottom w:val="single" w:sz="8" w:color="E4E4E4"/>
            </w:tcBorders>
            <w:gridSpan w:val="2"/>
            <w:shd w:val="clear" w:color="auto" w:fill="E4E4E4"/>
          </w:tcPr>
          <w:p>
            <w:pPr>
              <w:jc w:val="right"/>
              <w:ind w:right="260"/>
              <w:spacing w:after="0" w:line="60" w:lineRule="exact"/>
              <w:rPr>
                <w:sz w:val="20"/>
                <w:szCs w:val="20"/>
                <w:color w:val="auto"/>
              </w:rPr>
            </w:pPr>
            <w:r>
              <w:rPr>
                <w:rFonts w:ascii="Times New Roman" w:cs="Times New Roman" w:eastAsia="Times New Roman" w:hAnsi="Times New Roman"/>
                <w:sz w:val="6"/>
                <w:szCs w:val="6"/>
                <w:color w:val="1E1E1E"/>
              </w:rPr>
              <w:t>—</w:t>
            </w:r>
          </w:p>
        </w:tc>
        <w:tc>
          <w:tcPr>
            <w:tcW w:w="740" w:type="dxa"/>
            <w:vAlign w:val="bottom"/>
            <w:tcBorders>
              <w:bottom w:val="single" w:sz="8" w:color="E4E4E4"/>
            </w:tcBorders>
            <w:gridSpan w:val="2"/>
            <w:shd w:val="clear" w:color="auto" w:fill="E4E4E4"/>
          </w:tcPr>
          <w:p>
            <w:pPr>
              <w:jc w:val="right"/>
              <w:ind w:right="120"/>
              <w:spacing w:after="0" w:line="60" w:lineRule="exact"/>
              <w:rPr>
                <w:sz w:val="20"/>
                <w:szCs w:val="20"/>
                <w:color w:val="auto"/>
              </w:rPr>
            </w:pPr>
            <w:r>
              <w:rPr>
                <w:rFonts w:ascii="Times New Roman" w:cs="Times New Roman" w:eastAsia="Times New Roman" w:hAnsi="Times New Roman"/>
                <w:sz w:val="6"/>
                <w:szCs w:val="6"/>
                <w:color w:val="1E1E1E"/>
              </w:rPr>
              <w:t>—</w:t>
            </w:r>
          </w:p>
        </w:tc>
        <w:tc>
          <w:tcPr>
            <w:tcW w:w="140" w:type="dxa"/>
            <w:vAlign w:val="bottom"/>
            <w:tcBorders>
              <w:bottom w:val="single" w:sz="8" w:color="E4E4E4"/>
            </w:tcBorders>
            <w:shd w:val="clear" w:color="auto" w:fill="E4E4E4"/>
          </w:tcPr>
          <w:p>
            <w:pPr>
              <w:spacing w:after="0"/>
              <w:rPr>
                <w:sz w:val="9"/>
                <w:szCs w:val="9"/>
                <w:color w:val="auto"/>
              </w:rPr>
            </w:pPr>
          </w:p>
        </w:tc>
        <w:tc>
          <w:tcPr>
            <w:tcW w:w="180" w:type="dxa"/>
            <w:vAlign w:val="bottom"/>
            <w:tcBorders>
              <w:bottom w:val="single" w:sz="8" w:color="E4E4E4"/>
            </w:tcBorders>
            <w:shd w:val="clear" w:color="auto" w:fill="E4E4E4"/>
          </w:tcPr>
          <w:p>
            <w:pPr>
              <w:spacing w:after="0"/>
              <w:rPr>
                <w:sz w:val="9"/>
                <w:szCs w:val="9"/>
                <w:color w:val="auto"/>
              </w:rPr>
            </w:pPr>
          </w:p>
        </w:tc>
        <w:tc>
          <w:tcPr>
            <w:tcW w:w="220" w:type="dxa"/>
            <w:vAlign w:val="bottom"/>
            <w:tcBorders>
              <w:bottom w:val="single" w:sz="8" w:color="E4E4E4"/>
            </w:tcBorders>
            <w:shd w:val="clear" w:color="auto" w:fill="E4E4E4"/>
          </w:tcPr>
          <w:p>
            <w:pPr>
              <w:jc w:val="right"/>
              <w:spacing w:after="0" w:line="60" w:lineRule="exact"/>
              <w:rPr>
                <w:sz w:val="20"/>
                <w:szCs w:val="20"/>
                <w:color w:val="auto"/>
              </w:rPr>
            </w:pPr>
            <w:r>
              <w:rPr>
                <w:rFonts w:ascii="Times New Roman" w:cs="Times New Roman" w:eastAsia="Times New Roman" w:hAnsi="Times New Roman"/>
                <w:sz w:val="6"/>
                <w:szCs w:val="6"/>
                <w:color w:val="1E1E1E"/>
              </w:rPr>
              <w:t>—</w:t>
            </w:r>
          </w:p>
        </w:tc>
        <w:tc>
          <w:tcPr>
            <w:tcW w:w="2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40" w:type="dxa"/>
            <w:vAlign w:val="bottom"/>
            <w:tcBorders>
              <w:bottom w:val="single" w:sz="8" w:color="E4E4E4"/>
            </w:tcBorders>
            <w:shd w:val="clear" w:color="auto" w:fill="E4E4E4"/>
          </w:tcPr>
          <w:p>
            <w:pPr>
              <w:spacing w:after="0"/>
              <w:rPr>
                <w:sz w:val="9"/>
                <w:szCs w:val="9"/>
                <w:color w:val="auto"/>
              </w:rPr>
            </w:pPr>
          </w:p>
        </w:tc>
        <w:tc>
          <w:tcPr>
            <w:tcW w:w="740" w:type="dxa"/>
            <w:vAlign w:val="bottom"/>
            <w:tcBorders>
              <w:bottom w:val="single" w:sz="8" w:color="E4E4E4"/>
            </w:tcBorders>
            <w:gridSpan w:val="3"/>
            <w:shd w:val="clear" w:color="auto" w:fill="E4E4E4"/>
          </w:tcPr>
          <w:p>
            <w:pPr>
              <w:jc w:val="right"/>
              <w:ind w:right="140"/>
              <w:spacing w:after="0" w:line="60" w:lineRule="exact"/>
              <w:rPr>
                <w:sz w:val="20"/>
                <w:szCs w:val="20"/>
                <w:color w:val="auto"/>
              </w:rPr>
            </w:pPr>
            <w:r>
              <w:rPr>
                <w:rFonts w:ascii="Times New Roman" w:cs="Times New Roman" w:eastAsia="Times New Roman" w:hAnsi="Times New Roman"/>
                <w:sz w:val="6"/>
                <w:szCs w:val="6"/>
                <w:color w:val="1E1E1E"/>
              </w:rPr>
              <w:t>—</w:t>
            </w:r>
          </w:p>
        </w:tc>
        <w:tc>
          <w:tcPr>
            <w:tcW w:w="120" w:type="dxa"/>
            <w:vAlign w:val="bottom"/>
            <w:tcBorders>
              <w:bottom w:val="single" w:sz="8" w:color="E4E4E4"/>
            </w:tcBorders>
            <w:shd w:val="clear" w:color="auto" w:fill="E4E4E4"/>
          </w:tcPr>
          <w:p>
            <w:pPr>
              <w:spacing w:after="0"/>
              <w:rPr>
                <w:sz w:val="9"/>
                <w:szCs w:val="9"/>
                <w:color w:val="auto"/>
              </w:rPr>
            </w:pPr>
          </w:p>
        </w:tc>
        <w:tc>
          <w:tcPr>
            <w:tcW w:w="6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840" w:type="dxa"/>
            <w:vAlign w:val="bottom"/>
            <w:tcBorders>
              <w:bottom w:val="single" w:sz="8" w:color="E4E4E4"/>
            </w:tcBorders>
            <w:gridSpan w:val="3"/>
            <w:shd w:val="clear" w:color="auto" w:fill="E4E4E4"/>
          </w:tcPr>
          <w:p>
            <w:pPr>
              <w:jc w:val="right"/>
              <w:ind w:right="140"/>
              <w:spacing w:after="0" w:line="60" w:lineRule="exact"/>
              <w:rPr>
                <w:sz w:val="20"/>
                <w:szCs w:val="20"/>
                <w:color w:val="auto"/>
              </w:rPr>
            </w:pPr>
            <w:r>
              <w:rPr>
                <w:rFonts w:ascii="Times New Roman" w:cs="Times New Roman" w:eastAsia="Times New Roman" w:hAnsi="Times New Roman"/>
                <w:sz w:val="6"/>
                <w:szCs w:val="6"/>
                <w:color w:val="1E1E1E"/>
              </w:rPr>
              <w:t>—</w:t>
            </w:r>
          </w:p>
        </w:tc>
        <w:tc>
          <w:tcPr>
            <w:tcW w:w="140" w:type="dxa"/>
            <w:vAlign w:val="bottom"/>
            <w:tcBorders>
              <w:bottom w:val="single" w:sz="8" w:color="E4E4E4"/>
            </w:tcBorders>
            <w:shd w:val="clear" w:color="auto" w:fill="E4E4E4"/>
          </w:tcPr>
          <w:p>
            <w:pPr>
              <w:spacing w:after="0"/>
              <w:rPr>
                <w:sz w:val="9"/>
                <w:szCs w:val="9"/>
                <w:color w:val="auto"/>
              </w:rPr>
            </w:pPr>
          </w:p>
        </w:tc>
        <w:tc>
          <w:tcPr>
            <w:tcW w:w="100" w:type="dxa"/>
            <w:vAlign w:val="bottom"/>
            <w:tcBorders>
              <w:bottom w:val="single" w:sz="8" w:color="E4E4E4"/>
            </w:tcBorders>
            <w:shd w:val="clear" w:color="auto" w:fill="E4E4E4"/>
          </w:tcPr>
          <w:p>
            <w:pPr>
              <w:spacing w:after="0"/>
              <w:rPr>
                <w:sz w:val="9"/>
                <w:szCs w:val="9"/>
                <w:color w:val="auto"/>
              </w:rPr>
            </w:pPr>
          </w:p>
        </w:tc>
        <w:tc>
          <w:tcPr>
            <w:tcW w:w="560" w:type="dxa"/>
            <w:vAlign w:val="bottom"/>
            <w:tcBorders>
              <w:bottom w:val="single" w:sz="8" w:color="E4E4E4"/>
            </w:tcBorders>
            <w:gridSpan w:val="2"/>
            <w:shd w:val="clear" w:color="auto" w:fill="E4E4E4"/>
          </w:tcPr>
          <w:p>
            <w:pPr>
              <w:jc w:val="right"/>
              <w:spacing w:after="0" w:line="60" w:lineRule="exact"/>
              <w:rPr>
                <w:sz w:val="20"/>
                <w:szCs w:val="20"/>
                <w:color w:val="auto"/>
              </w:rPr>
            </w:pPr>
            <w:r>
              <w:rPr>
                <w:rFonts w:ascii="Times New Roman" w:cs="Times New Roman" w:eastAsia="Times New Roman" w:hAnsi="Times New Roman"/>
                <w:sz w:val="6"/>
                <w:szCs w:val="6"/>
                <w:color w:val="1E1E1E"/>
              </w:rPr>
              <w:t>(67,472)</w:t>
            </w:r>
          </w:p>
        </w:tc>
        <w:tc>
          <w:tcPr>
            <w:tcW w:w="40" w:type="dxa"/>
            <w:vAlign w:val="bottom"/>
            <w:tcBorders>
              <w:right w:val="single" w:sz="8" w:color="E4E4E4"/>
            </w:tcBorders>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680" w:type="dxa"/>
            <w:vAlign w:val="bottom"/>
            <w:tcBorders>
              <w:bottom w:val="single" w:sz="8" w:color="E4E4E4"/>
            </w:tcBorders>
            <w:gridSpan w:val="6"/>
            <w:shd w:val="clear" w:color="auto" w:fill="E4E4E4"/>
          </w:tcPr>
          <w:p>
            <w:pPr>
              <w:jc w:val="right"/>
              <w:ind w:right="22"/>
              <w:spacing w:after="0" w:line="60" w:lineRule="exact"/>
              <w:rPr>
                <w:sz w:val="20"/>
                <w:szCs w:val="20"/>
                <w:color w:val="auto"/>
              </w:rPr>
            </w:pPr>
            <w:r>
              <w:rPr>
                <w:rFonts w:ascii="Times New Roman" w:cs="Times New Roman" w:eastAsia="Times New Roman" w:hAnsi="Times New Roman"/>
                <w:sz w:val="6"/>
                <w:szCs w:val="6"/>
                <w:color w:val="1E1E1E"/>
              </w:rPr>
              <w:t>(67,472)</w:t>
            </w:r>
          </w:p>
        </w:tc>
        <w:tc>
          <w:tcPr>
            <w:tcW w:w="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640" w:type="dxa"/>
            <w:vAlign w:val="bottom"/>
            <w:tcBorders>
              <w:bottom w:val="single" w:sz="8" w:color="E4E4E4"/>
            </w:tcBorders>
            <w:shd w:val="clear" w:color="auto" w:fill="E4E4E4"/>
          </w:tcPr>
          <w:p>
            <w:pPr>
              <w:jc w:val="right"/>
              <w:spacing w:after="0" w:line="60" w:lineRule="exact"/>
              <w:rPr>
                <w:sz w:val="20"/>
                <w:szCs w:val="20"/>
                <w:color w:val="auto"/>
              </w:rPr>
            </w:pPr>
            <w:r>
              <w:rPr>
                <w:rFonts w:ascii="Times New Roman" w:cs="Times New Roman" w:eastAsia="Times New Roman" w:hAnsi="Times New Roman"/>
                <w:sz w:val="6"/>
                <w:szCs w:val="6"/>
                <w:color w:val="1E1E1E"/>
              </w:rPr>
              <w:t>7</w:t>
            </w:r>
          </w:p>
        </w:tc>
        <w:tc>
          <w:tcPr>
            <w:tcW w:w="40" w:type="dxa"/>
            <w:vAlign w:val="bottom"/>
            <w:tcBorders>
              <w:right w:val="single" w:sz="8" w:color="E4E4E4"/>
            </w:tcBorders>
          </w:tcPr>
          <w:p>
            <w:pPr>
              <w:spacing w:after="0"/>
              <w:rPr>
                <w:sz w:val="9"/>
                <w:szCs w:val="9"/>
                <w:color w:val="auto"/>
              </w:rPr>
            </w:pPr>
          </w:p>
        </w:tc>
        <w:tc>
          <w:tcPr>
            <w:tcW w:w="100" w:type="dxa"/>
            <w:vAlign w:val="bottom"/>
            <w:tcBorders>
              <w:bottom w:val="single" w:sz="8" w:color="E4E4E4"/>
              <w:right w:val="single" w:sz="8" w:color="E4E4E4"/>
            </w:tcBorders>
            <w:shd w:val="clear" w:color="auto" w:fill="E4E4E4"/>
          </w:tcPr>
          <w:p>
            <w:pPr>
              <w:spacing w:after="0"/>
              <w:rPr>
                <w:sz w:val="9"/>
                <w:szCs w:val="9"/>
                <w:color w:val="auto"/>
              </w:rPr>
            </w:pPr>
          </w:p>
        </w:tc>
        <w:tc>
          <w:tcPr>
            <w:tcW w:w="120" w:type="dxa"/>
            <w:vAlign w:val="bottom"/>
            <w:tcBorders>
              <w:bottom w:val="single" w:sz="8" w:color="E4E4E4"/>
            </w:tcBorders>
            <w:shd w:val="clear" w:color="auto" w:fill="E4E4E4"/>
          </w:tcPr>
          <w:p>
            <w:pPr>
              <w:spacing w:after="0"/>
              <w:rPr>
                <w:sz w:val="9"/>
                <w:szCs w:val="9"/>
                <w:color w:val="auto"/>
              </w:rPr>
            </w:pPr>
          </w:p>
        </w:tc>
        <w:tc>
          <w:tcPr>
            <w:tcW w:w="80" w:type="dxa"/>
            <w:vAlign w:val="bottom"/>
            <w:tcBorders>
              <w:bottom w:val="single" w:sz="8" w:color="E4E4E4"/>
            </w:tcBorders>
            <w:shd w:val="clear" w:color="auto" w:fill="E4E4E4"/>
          </w:tcPr>
          <w:p>
            <w:pPr>
              <w:spacing w:after="0"/>
              <w:rPr>
                <w:sz w:val="9"/>
                <w:szCs w:val="9"/>
                <w:color w:val="auto"/>
              </w:rPr>
            </w:pPr>
          </w:p>
        </w:tc>
        <w:tc>
          <w:tcPr>
            <w:tcW w:w="600" w:type="dxa"/>
            <w:vAlign w:val="bottom"/>
            <w:tcBorders>
              <w:bottom w:val="single" w:sz="8" w:color="E4E4E4"/>
              <w:right w:val="single" w:sz="8" w:color="E4E4E4"/>
            </w:tcBorders>
            <w:gridSpan w:val="5"/>
            <w:shd w:val="clear" w:color="auto" w:fill="E4E4E4"/>
          </w:tcPr>
          <w:p>
            <w:pPr>
              <w:jc w:val="right"/>
              <w:ind w:right="140"/>
              <w:spacing w:after="0" w:line="60" w:lineRule="exact"/>
              <w:rPr>
                <w:sz w:val="20"/>
                <w:szCs w:val="20"/>
                <w:color w:val="auto"/>
              </w:rPr>
            </w:pPr>
            <w:r>
              <w:rPr>
                <w:rFonts w:ascii="Times New Roman" w:cs="Times New Roman" w:eastAsia="Times New Roman" w:hAnsi="Times New Roman"/>
                <w:sz w:val="6"/>
                <w:szCs w:val="6"/>
                <w:color w:val="1E1E1E"/>
              </w:rPr>
              <w:t>(67,465)</w:t>
            </w:r>
          </w:p>
        </w:tc>
        <w:tc>
          <w:tcPr>
            <w:tcW w:w="0" w:type="dxa"/>
            <w:vAlign w:val="bottom"/>
          </w:tcPr>
          <w:p>
            <w:pPr>
              <w:spacing w:after="0"/>
              <w:rPr>
                <w:sz w:val="1"/>
                <w:szCs w:val="1"/>
                <w:color w:val="auto"/>
              </w:rPr>
            </w:pPr>
          </w:p>
        </w:tc>
      </w:tr>
      <w:tr>
        <w:trPr>
          <w:trHeight w:val="115"/>
        </w:trPr>
        <w:tc>
          <w:tcPr>
            <w:tcW w:w="2280" w:type="dxa"/>
            <w:vAlign w:val="bottom"/>
            <w:gridSpan w:val="2"/>
          </w:tcPr>
          <w:p>
            <w:pPr>
              <w:spacing w:after="0" w:line="105" w:lineRule="exact"/>
              <w:rPr>
                <w:sz w:val="20"/>
                <w:szCs w:val="20"/>
                <w:color w:val="auto"/>
              </w:rPr>
            </w:pPr>
            <w:r>
              <w:rPr>
                <w:rFonts w:ascii="Times New Roman" w:cs="Times New Roman" w:eastAsia="Times New Roman" w:hAnsi="Times New Roman"/>
                <w:sz w:val="12"/>
                <w:szCs w:val="12"/>
                <w:color w:val="1E1E1E"/>
              </w:rPr>
              <w:t>Total comprehensive (loss) income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left w:val="single" w:sz="8" w:color="1E1E1E"/>
            </w:tcBorders>
          </w:tcPr>
          <w:p>
            <w:pPr>
              <w:spacing w:after="0"/>
              <w:rPr>
                <w:sz w:val="10"/>
                <w:szCs w:val="10"/>
                <w:color w:val="auto"/>
              </w:rPr>
            </w:pPr>
          </w:p>
        </w:tc>
        <w:tc>
          <w:tcPr>
            <w:tcW w:w="102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160" w:type="dxa"/>
            <w:vAlign w:val="bottom"/>
          </w:tcPr>
          <w:p>
            <w:pPr>
              <w:spacing w:after="0"/>
              <w:rPr>
                <w:sz w:val="10"/>
                <w:szCs w:val="10"/>
                <w:color w:val="auto"/>
              </w:rPr>
            </w:pPr>
          </w:p>
        </w:tc>
        <w:tc>
          <w:tcPr>
            <w:tcW w:w="50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920" w:type="dxa"/>
            <w:vAlign w:val="bottom"/>
            <w:gridSpan w:val="4"/>
          </w:tcPr>
          <w:p>
            <w:pPr>
              <w:jc w:val="right"/>
              <w:ind w:right="26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180" w:type="dxa"/>
            <w:vAlign w:val="bottom"/>
          </w:tcPr>
          <w:p>
            <w:pPr>
              <w:spacing w:after="0"/>
              <w:rPr>
                <w:sz w:val="10"/>
                <w:szCs w:val="10"/>
                <w:color w:val="auto"/>
              </w:rPr>
            </w:pPr>
          </w:p>
        </w:tc>
        <w:tc>
          <w:tcPr>
            <w:tcW w:w="500" w:type="dxa"/>
            <w:vAlign w:val="bottom"/>
            <w:gridSpan w:val="2"/>
          </w:tcPr>
          <w:p>
            <w:pPr>
              <w:jc w:val="right"/>
              <w:ind w:right="26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7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2"/>
                <w:szCs w:val="12"/>
                <w:color w:val="1E1E1E"/>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1E1E1E"/>
            </w:tcBorders>
          </w:tcPr>
          <w:p>
            <w:pPr>
              <w:spacing w:after="0"/>
              <w:rPr>
                <w:sz w:val="10"/>
                <w:szCs w:val="10"/>
                <w:color w:val="auto"/>
              </w:rPr>
            </w:pPr>
          </w:p>
        </w:tc>
        <w:tc>
          <w:tcPr>
            <w:tcW w:w="640" w:type="dxa"/>
            <w:vAlign w:val="bottom"/>
            <w:tcBorders>
              <w:top w:val="single" w:sz="8" w:color="1E1E1E"/>
            </w:tcBorders>
            <w:gridSpan w:val="5"/>
          </w:tcPr>
          <w:p>
            <w:pPr>
              <w:jc w:val="right"/>
              <w:ind w:right="33"/>
              <w:spacing w:after="0" w:line="115" w:lineRule="exact"/>
              <w:rPr>
                <w:sz w:val="20"/>
                <w:szCs w:val="20"/>
                <w:color w:val="auto"/>
              </w:rPr>
            </w:pPr>
            <w:r>
              <w:rPr>
                <w:rFonts w:ascii="Times New Roman" w:cs="Times New Roman" w:eastAsia="Times New Roman" w:hAnsi="Times New Roman"/>
                <w:sz w:val="12"/>
                <w:szCs w:val="12"/>
                <w:color w:val="1E1E1E"/>
              </w:rPr>
              <w:t>(66,645)</w:t>
            </w:r>
          </w:p>
        </w:tc>
        <w:tc>
          <w:tcPr>
            <w:tcW w:w="40" w:type="dxa"/>
            <w:vAlign w:val="bottom"/>
          </w:tcPr>
          <w:p>
            <w:pPr>
              <w:spacing w:after="0"/>
              <w:rPr>
                <w:sz w:val="10"/>
                <w:szCs w:val="10"/>
                <w:color w:val="auto"/>
              </w:rPr>
            </w:pPr>
          </w:p>
        </w:tc>
        <w:tc>
          <w:tcPr>
            <w:tcW w:w="20" w:type="dxa"/>
            <w:vAlign w:val="bottom"/>
            <w:tcBorders>
              <w:top w:val="single" w:sz="8" w:color="E4E4E4"/>
            </w:tcBorders>
          </w:tcPr>
          <w:p>
            <w:pPr>
              <w:spacing w:after="0"/>
              <w:rPr>
                <w:sz w:val="10"/>
                <w:szCs w:val="10"/>
                <w:color w:val="auto"/>
              </w:rPr>
            </w:pPr>
          </w:p>
        </w:tc>
        <w:tc>
          <w:tcPr>
            <w:tcW w:w="120" w:type="dxa"/>
            <w:vAlign w:val="bottom"/>
            <w:tcBorders>
              <w:top w:val="single" w:sz="8" w:color="E4E4E4"/>
            </w:tcBorders>
          </w:tcPr>
          <w:p>
            <w:pPr>
              <w:spacing w:after="0"/>
              <w:rPr>
                <w:sz w:val="10"/>
                <w:szCs w:val="10"/>
                <w:color w:val="auto"/>
              </w:rPr>
            </w:pPr>
          </w:p>
        </w:tc>
        <w:tc>
          <w:tcPr>
            <w:tcW w:w="120" w:type="dxa"/>
            <w:vAlign w:val="bottom"/>
            <w:tcBorders>
              <w:top w:val="single" w:sz="8" w:color="1E1E1E"/>
            </w:tcBorders>
          </w:tcPr>
          <w:p>
            <w:pPr>
              <w:spacing w:after="0"/>
              <w:rPr>
                <w:sz w:val="10"/>
                <w:szCs w:val="10"/>
                <w:color w:val="auto"/>
              </w:rPr>
            </w:pPr>
          </w:p>
        </w:tc>
        <w:tc>
          <w:tcPr>
            <w:tcW w:w="640" w:type="dxa"/>
            <w:vAlign w:val="bottom"/>
            <w:tcBorders>
              <w:top w:val="single" w:sz="8" w:color="1E1E1E"/>
            </w:tcBorders>
          </w:tcPr>
          <w:p>
            <w:pPr>
              <w:jc w:val="right"/>
              <w:spacing w:after="0" w:line="115" w:lineRule="exact"/>
              <w:rPr>
                <w:sz w:val="20"/>
                <w:szCs w:val="20"/>
                <w:color w:val="auto"/>
              </w:rPr>
            </w:pPr>
            <w:r>
              <w:rPr>
                <w:rFonts w:ascii="Times New Roman" w:cs="Times New Roman" w:eastAsia="Times New Roman" w:hAnsi="Times New Roman"/>
                <w:sz w:val="12"/>
                <w:szCs w:val="12"/>
                <w:color w:val="1E1E1E"/>
              </w:rPr>
              <w:t>29</w:t>
            </w:r>
          </w:p>
        </w:tc>
        <w:tc>
          <w:tcPr>
            <w:tcW w:w="40" w:type="dxa"/>
            <w:vAlign w:val="bottom"/>
            <w:tcBorders>
              <w:top w:val="single" w:sz="8" w:color="1E1E1E"/>
            </w:tcBorders>
          </w:tcPr>
          <w:p>
            <w:pPr>
              <w:spacing w:after="0"/>
              <w:rPr>
                <w:sz w:val="10"/>
                <w:szCs w:val="10"/>
                <w:color w:val="auto"/>
              </w:rPr>
            </w:pPr>
          </w:p>
        </w:tc>
        <w:tc>
          <w:tcPr>
            <w:tcW w:w="100" w:type="dxa"/>
            <w:vAlign w:val="bottom"/>
            <w:tcBorders>
              <w:top w:val="single" w:sz="8" w:color="E4E4E4"/>
            </w:tcBorders>
          </w:tcPr>
          <w:p>
            <w:pPr>
              <w:spacing w:after="0"/>
              <w:rPr>
                <w:sz w:val="10"/>
                <w:szCs w:val="10"/>
                <w:color w:val="auto"/>
              </w:rPr>
            </w:pPr>
          </w:p>
        </w:tc>
        <w:tc>
          <w:tcPr>
            <w:tcW w:w="120" w:type="dxa"/>
            <w:vAlign w:val="bottom"/>
            <w:tcBorders>
              <w:top w:val="single" w:sz="8" w:color="1E1E1E"/>
            </w:tcBorders>
          </w:tcPr>
          <w:p>
            <w:pPr>
              <w:spacing w:after="0"/>
              <w:rPr>
                <w:sz w:val="10"/>
                <w:szCs w:val="10"/>
                <w:color w:val="auto"/>
              </w:rPr>
            </w:pPr>
          </w:p>
        </w:tc>
        <w:tc>
          <w:tcPr>
            <w:tcW w:w="80" w:type="dxa"/>
            <w:vAlign w:val="bottom"/>
            <w:tcBorders>
              <w:top w:val="single" w:sz="8" w:color="1E1E1E"/>
            </w:tcBorders>
          </w:tcPr>
          <w:p>
            <w:pPr>
              <w:spacing w:after="0"/>
              <w:rPr>
                <w:sz w:val="10"/>
                <w:szCs w:val="10"/>
                <w:color w:val="auto"/>
              </w:rPr>
            </w:pPr>
          </w:p>
        </w:tc>
        <w:tc>
          <w:tcPr>
            <w:tcW w:w="600" w:type="dxa"/>
            <w:vAlign w:val="bottom"/>
            <w:tcBorders>
              <w:top w:val="single" w:sz="8" w:color="1E1E1E"/>
            </w:tcBorders>
            <w:gridSpan w:val="5"/>
          </w:tcPr>
          <w:p>
            <w:pPr>
              <w:jc w:val="right"/>
              <w:ind w:right="140"/>
              <w:spacing w:after="0" w:line="115" w:lineRule="exact"/>
              <w:rPr>
                <w:sz w:val="20"/>
                <w:szCs w:val="20"/>
                <w:color w:val="auto"/>
              </w:rPr>
            </w:pPr>
            <w:r>
              <w:rPr>
                <w:rFonts w:ascii="Times New Roman" w:cs="Times New Roman" w:eastAsia="Times New Roman" w:hAnsi="Times New Roman"/>
                <w:sz w:val="12"/>
                <w:szCs w:val="12"/>
                <w:color w:val="1E1E1E"/>
              </w:rPr>
              <w:t>(66,616)</w:t>
            </w:r>
          </w:p>
        </w:tc>
        <w:tc>
          <w:tcPr>
            <w:tcW w:w="0" w:type="dxa"/>
            <w:vAlign w:val="bottom"/>
          </w:tcPr>
          <w:p>
            <w:pPr>
              <w:spacing w:after="0"/>
              <w:rPr>
                <w:sz w:val="1"/>
                <w:szCs w:val="1"/>
                <w:color w:val="auto"/>
              </w:rPr>
            </w:pPr>
          </w:p>
        </w:tc>
      </w:tr>
      <w:tr>
        <w:trPr>
          <w:trHeight w:val="135"/>
        </w:trPr>
        <w:tc>
          <w:tcPr>
            <w:tcW w:w="2400" w:type="dxa"/>
            <w:vAlign w:val="bottom"/>
            <w:tcBorders>
              <w:top w:val="single" w:sz="8" w:color="E4E4E4"/>
            </w:tcBorders>
            <w:gridSpan w:val="5"/>
            <w:shd w:val="clear" w:color="auto" w:fill="E4E4E4"/>
          </w:tcPr>
          <w:p>
            <w:pPr>
              <w:spacing w:after="0" w:line="135" w:lineRule="exact"/>
              <w:rPr>
                <w:sz w:val="20"/>
                <w:szCs w:val="20"/>
                <w:color w:val="auto"/>
              </w:rPr>
            </w:pPr>
            <w:r>
              <w:rPr>
                <w:rFonts w:ascii="Times New Roman" w:cs="Times New Roman" w:eastAsia="Times New Roman" w:hAnsi="Times New Roman"/>
                <w:sz w:val="13"/>
                <w:szCs w:val="13"/>
                <w:color w:val="1E1E1E"/>
              </w:rPr>
              <w:t>Balance, December 31, 2023</w:t>
            </w:r>
          </w:p>
        </w:tc>
        <w:tc>
          <w:tcPr>
            <w:tcW w:w="74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40" w:type="dxa"/>
            <w:vAlign w:val="bottom"/>
            <w:tcBorders>
              <w:top w:val="single" w:sz="8" w:color="1E1E1E"/>
              <w:bottom w:val="single" w:sz="8" w:color="1E1E1E"/>
            </w:tcBorders>
            <w:gridSpan w:val="2"/>
            <w:shd w:val="clear" w:color="auto" w:fill="E4E4E4"/>
          </w:tcPr>
          <w:p>
            <w:pPr>
              <w:jc w:val="right"/>
              <w:ind w:right="22"/>
              <w:spacing w:after="0"/>
              <w:rPr>
                <w:sz w:val="20"/>
                <w:szCs w:val="20"/>
                <w:color w:val="auto"/>
              </w:rPr>
            </w:pPr>
            <w:r>
              <w:rPr>
                <w:rFonts w:ascii="Times New Roman" w:cs="Times New Roman" w:eastAsia="Times New Roman" w:hAnsi="Times New Roman"/>
                <w:sz w:val="10"/>
                <w:szCs w:val="10"/>
                <w:color w:val="1E1E1E"/>
                <w:w w:val="79"/>
              </w:rPr>
              <w:t>$</w:t>
            </w:r>
          </w:p>
        </w:tc>
        <w:tc>
          <w:tcPr>
            <w:tcW w:w="42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40" w:type="dxa"/>
            <w:vAlign w:val="bottom"/>
            <w:tcBorders>
              <w:top w:val="single" w:sz="8" w:color="E4E4E4"/>
              <w:left w:val="single" w:sz="8" w:color="1E1E1E"/>
            </w:tcBorders>
            <w:shd w:val="clear" w:color="auto" w:fill="E4E4E4"/>
          </w:tcPr>
          <w:p>
            <w:pPr>
              <w:spacing w:after="0"/>
              <w:rPr>
                <w:sz w:val="11"/>
                <w:szCs w:val="11"/>
                <w:color w:val="auto"/>
              </w:rPr>
            </w:pPr>
          </w:p>
        </w:tc>
        <w:tc>
          <w:tcPr>
            <w:tcW w:w="76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60" w:type="dxa"/>
            <w:vAlign w:val="bottom"/>
            <w:tcBorders>
              <w:top w:val="single" w:sz="8" w:color="1E1E1E"/>
              <w:bottom w:val="single" w:sz="8" w:color="1E1E1E"/>
            </w:tcBorders>
            <w:shd w:val="clear" w:color="auto" w:fill="E4E4E4"/>
          </w:tcPr>
          <w:p>
            <w:pPr>
              <w:jc w:val="right"/>
              <w:ind w:right="44"/>
              <w:spacing w:after="0"/>
              <w:rPr>
                <w:sz w:val="20"/>
                <w:szCs w:val="20"/>
                <w:color w:val="auto"/>
              </w:rPr>
            </w:pPr>
            <w:r>
              <w:rPr>
                <w:rFonts w:ascii="Times New Roman" w:cs="Times New Roman" w:eastAsia="Times New Roman" w:hAnsi="Times New Roman"/>
                <w:sz w:val="10"/>
                <w:szCs w:val="10"/>
                <w:color w:val="1E1E1E"/>
                <w:w w:val="79"/>
              </w:rPr>
              <w:t>$</w:t>
            </w:r>
          </w:p>
        </w:tc>
        <w:tc>
          <w:tcPr>
            <w:tcW w:w="24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700" w:type="dxa"/>
            <w:vAlign w:val="bottom"/>
            <w:tcBorders>
              <w:top w:val="single" w:sz="8" w:color="1E1E1E"/>
              <w:bottom w:val="single" w:sz="8" w:color="1E1E1E"/>
            </w:tcBorders>
            <w:gridSpan w:val="3"/>
            <w:shd w:val="clear" w:color="auto" w:fill="E4E4E4"/>
          </w:tcPr>
          <w:p>
            <w:pPr>
              <w:jc w:val="right"/>
              <w:ind w:right="40"/>
              <w:spacing w:after="0" w:line="135" w:lineRule="exact"/>
              <w:rPr>
                <w:sz w:val="20"/>
                <w:szCs w:val="20"/>
                <w:color w:val="auto"/>
              </w:rPr>
            </w:pPr>
            <w:r>
              <w:rPr>
                <w:rFonts w:ascii="Times New Roman" w:cs="Times New Roman" w:eastAsia="Times New Roman" w:hAnsi="Times New Roman"/>
                <w:sz w:val="12"/>
                <w:szCs w:val="12"/>
                <w:color w:val="1E1E1E"/>
              </w:rPr>
              <w:t>45,489,379</w:t>
            </w:r>
          </w:p>
        </w:tc>
        <w:tc>
          <w:tcPr>
            <w:tcW w:w="220" w:type="dxa"/>
            <w:vAlign w:val="bottom"/>
            <w:tcBorders>
              <w:top w:val="single" w:sz="8" w:color="E4E4E4"/>
            </w:tcBorders>
            <w:shd w:val="clear" w:color="auto" w:fill="E4E4E4"/>
          </w:tcPr>
          <w:p>
            <w:pPr>
              <w:spacing w:after="0"/>
              <w:rPr>
                <w:sz w:val="11"/>
                <w:szCs w:val="11"/>
                <w:color w:val="auto"/>
              </w:rPr>
            </w:pPr>
          </w:p>
        </w:tc>
        <w:tc>
          <w:tcPr>
            <w:tcW w:w="180" w:type="dxa"/>
            <w:vAlign w:val="bottom"/>
            <w:tcBorders>
              <w:top w:val="single" w:sz="8" w:color="1E1E1E"/>
              <w:bottom w:val="single" w:sz="8" w:color="1E1E1E"/>
            </w:tcBorders>
            <w:shd w:val="clear" w:color="auto" w:fill="E4E4E4"/>
          </w:tcPr>
          <w:p>
            <w:pPr>
              <w:jc w:val="right"/>
              <w:ind w:right="64"/>
              <w:spacing w:after="0"/>
              <w:rPr>
                <w:sz w:val="20"/>
                <w:szCs w:val="20"/>
                <w:color w:val="auto"/>
              </w:rPr>
            </w:pPr>
            <w:r>
              <w:rPr>
                <w:rFonts w:ascii="Times New Roman" w:cs="Times New Roman" w:eastAsia="Times New Roman" w:hAnsi="Times New Roman"/>
                <w:sz w:val="10"/>
                <w:szCs w:val="10"/>
                <w:color w:val="1E1E1E"/>
                <w:w w:val="79"/>
              </w:rPr>
              <w:t>$</w:t>
            </w:r>
          </w:p>
        </w:tc>
        <w:tc>
          <w:tcPr>
            <w:tcW w:w="24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62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2,676,154</w:t>
            </w:r>
          </w:p>
        </w:tc>
        <w:tc>
          <w:tcPr>
            <w:tcW w:w="260" w:type="dxa"/>
            <w:vAlign w:val="bottom"/>
            <w:tcBorders>
              <w:top w:val="single" w:sz="8" w:color="E4E4E4"/>
            </w:tcBorders>
            <w:gridSpan w:val="2"/>
            <w:shd w:val="clear" w:color="auto" w:fill="E4E4E4"/>
          </w:tcPr>
          <w:p>
            <w:pPr>
              <w:spacing w:after="0"/>
              <w:rPr>
                <w:sz w:val="11"/>
                <w:szCs w:val="11"/>
                <w:color w:val="auto"/>
              </w:rPr>
            </w:pPr>
          </w:p>
        </w:tc>
        <w:tc>
          <w:tcPr>
            <w:tcW w:w="180" w:type="dxa"/>
            <w:vAlign w:val="bottom"/>
            <w:tcBorders>
              <w:top w:val="single" w:sz="8" w:color="1E1E1E"/>
              <w:bottom w:val="single" w:sz="8" w:color="1E1E1E"/>
            </w:tcBorders>
            <w:shd w:val="clear" w:color="auto" w:fill="E4E4E4"/>
          </w:tcPr>
          <w:p>
            <w:pPr>
              <w:jc w:val="right"/>
              <w:ind w:right="63"/>
              <w:spacing w:after="0"/>
              <w:rPr>
                <w:sz w:val="20"/>
                <w:szCs w:val="20"/>
                <w:color w:val="auto"/>
              </w:rPr>
            </w:pPr>
            <w:r>
              <w:rPr>
                <w:rFonts w:ascii="Times New Roman" w:cs="Times New Roman" w:eastAsia="Times New Roman" w:hAnsi="Times New Roman"/>
                <w:sz w:val="10"/>
                <w:szCs w:val="10"/>
                <w:color w:val="1E1E1E"/>
                <w:w w:val="79"/>
              </w:rPr>
              <w:t>$</w:t>
            </w:r>
          </w:p>
        </w:tc>
        <w:tc>
          <w:tcPr>
            <w:tcW w:w="220" w:type="dxa"/>
            <w:vAlign w:val="bottom"/>
            <w:tcBorders>
              <w:top w:val="single" w:sz="8" w:color="1E1E1E"/>
              <w:bottom w:val="single" w:sz="8" w:color="1E1E1E"/>
            </w:tcBorders>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260" w:type="dxa"/>
            <w:vAlign w:val="bottom"/>
            <w:tcBorders>
              <w:top w:val="single" w:sz="8" w:color="E4E4E4"/>
            </w:tcBorders>
            <w:shd w:val="clear" w:color="auto" w:fill="E4E4E4"/>
          </w:tcPr>
          <w:p>
            <w:pPr>
              <w:spacing w:after="0"/>
              <w:rPr>
                <w:sz w:val="11"/>
                <w:szCs w:val="11"/>
                <w:color w:val="auto"/>
              </w:rPr>
            </w:pPr>
          </w:p>
        </w:tc>
        <w:tc>
          <w:tcPr>
            <w:tcW w:w="120" w:type="dxa"/>
            <w:vAlign w:val="bottom"/>
            <w:tcBorders>
              <w:top w:val="single" w:sz="8" w:color="1E1E1E"/>
              <w:bottom w:val="single" w:sz="8" w:color="1E1E1E"/>
            </w:tcBorders>
            <w:gridSpan w:val="2"/>
            <w:shd w:val="clear" w:color="auto" w:fill="E4E4E4"/>
          </w:tcPr>
          <w:p>
            <w:pPr>
              <w:jc w:val="right"/>
              <w:ind w:right="5"/>
              <w:spacing w:after="0"/>
              <w:rPr>
                <w:sz w:val="20"/>
                <w:szCs w:val="20"/>
                <w:color w:val="auto"/>
              </w:rPr>
            </w:pPr>
            <w:r>
              <w:rPr>
                <w:rFonts w:ascii="Times New Roman" w:cs="Times New Roman" w:eastAsia="Times New Roman" w:hAnsi="Times New Roman"/>
                <w:sz w:val="10"/>
                <w:szCs w:val="10"/>
                <w:color w:val="1E1E1E"/>
                <w:w w:val="79"/>
              </w:rPr>
              <w:t>$</w:t>
            </w:r>
          </w:p>
        </w:tc>
        <w:tc>
          <w:tcPr>
            <w:tcW w:w="620" w:type="dxa"/>
            <w:vAlign w:val="bottom"/>
            <w:tcBorders>
              <w:top w:val="single" w:sz="8" w:color="1E1E1E"/>
              <w:bottom w:val="single" w:sz="8" w:color="1E1E1E"/>
            </w:tcBorders>
            <w:gridSpan w:val="2"/>
            <w:shd w:val="clear" w:color="auto" w:fill="E4E4E4"/>
          </w:tcPr>
          <w:p>
            <w:pPr>
              <w:jc w:val="right"/>
              <w:ind w:right="20"/>
              <w:spacing w:after="0" w:line="135" w:lineRule="exact"/>
              <w:rPr>
                <w:sz w:val="20"/>
                <w:szCs w:val="20"/>
                <w:color w:val="auto"/>
              </w:rPr>
            </w:pPr>
            <w:r>
              <w:rPr>
                <w:rFonts w:ascii="Times New Roman" w:cs="Times New Roman" w:eastAsia="Times New Roman" w:hAnsi="Times New Roman"/>
                <w:sz w:val="12"/>
                <w:szCs w:val="12"/>
                <w:color w:val="1E1E1E"/>
              </w:rPr>
              <w:t>648,317</w:t>
            </w:r>
          </w:p>
        </w:tc>
        <w:tc>
          <w:tcPr>
            <w:tcW w:w="240" w:type="dxa"/>
            <w:vAlign w:val="bottom"/>
            <w:tcBorders>
              <w:top w:val="single" w:sz="8" w:color="E4E4E4"/>
            </w:tcBorders>
            <w:gridSpan w:val="2"/>
            <w:shd w:val="clear" w:color="auto" w:fill="E4E4E4"/>
          </w:tcPr>
          <w:p>
            <w:pPr>
              <w:spacing w:after="0"/>
              <w:rPr>
                <w:sz w:val="11"/>
                <w:szCs w:val="11"/>
                <w:color w:val="auto"/>
              </w:rPr>
            </w:pPr>
          </w:p>
        </w:tc>
        <w:tc>
          <w:tcPr>
            <w:tcW w:w="140" w:type="dxa"/>
            <w:vAlign w:val="bottom"/>
            <w:tcBorders>
              <w:top w:val="single" w:sz="8" w:color="1E1E1E"/>
              <w:bottom w:val="single" w:sz="8" w:color="1E1E1E"/>
            </w:tcBorders>
            <w:gridSpan w:val="2"/>
            <w:shd w:val="clear" w:color="auto" w:fill="E4E4E4"/>
          </w:tcPr>
          <w:p>
            <w:pPr>
              <w:jc w:val="right"/>
              <w:ind w:right="25"/>
              <w:spacing w:after="0"/>
              <w:rPr>
                <w:sz w:val="20"/>
                <w:szCs w:val="20"/>
                <w:color w:val="auto"/>
              </w:rPr>
            </w:pPr>
            <w:r>
              <w:rPr>
                <w:rFonts w:ascii="Times New Roman" w:cs="Times New Roman" w:eastAsia="Times New Roman" w:hAnsi="Times New Roman"/>
                <w:sz w:val="10"/>
                <w:szCs w:val="10"/>
                <w:color w:val="1E1E1E"/>
                <w:w w:val="79"/>
              </w:rPr>
              <w:t>$</w:t>
            </w:r>
          </w:p>
        </w:tc>
        <w:tc>
          <w:tcPr>
            <w:tcW w:w="720" w:type="dxa"/>
            <w:vAlign w:val="bottom"/>
            <w:tcBorders>
              <w:top w:val="single" w:sz="8" w:color="1E1E1E"/>
              <w:bottom w:val="single" w:sz="8" w:color="1E1E1E"/>
            </w:tcBorders>
            <w:gridSpan w:val="2"/>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855</w:t>
            </w:r>
          </w:p>
        </w:tc>
        <w:tc>
          <w:tcPr>
            <w:tcW w:w="260" w:type="dxa"/>
            <w:vAlign w:val="bottom"/>
            <w:tcBorders>
              <w:top w:val="single" w:sz="8" w:color="E4E4E4"/>
            </w:tcBorders>
            <w:gridSpan w:val="2"/>
            <w:shd w:val="clear" w:color="auto" w:fill="E4E4E4"/>
          </w:tcPr>
          <w:p>
            <w:pPr>
              <w:spacing w:after="0"/>
              <w:rPr>
                <w:sz w:val="11"/>
                <w:szCs w:val="11"/>
                <w:color w:val="auto"/>
              </w:rPr>
            </w:pPr>
          </w:p>
        </w:tc>
        <w:tc>
          <w:tcPr>
            <w:tcW w:w="160" w:type="dxa"/>
            <w:vAlign w:val="bottom"/>
            <w:tcBorders>
              <w:top w:val="single" w:sz="8" w:color="1E1E1E"/>
              <w:bottom w:val="single" w:sz="8" w:color="1E1E1E"/>
            </w:tcBorders>
            <w:gridSpan w:val="2"/>
            <w:shd w:val="clear" w:color="auto" w:fill="E4E4E4"/>
          </w:tcPr>
          <w:p>
            <w:pPr>
              <w:jc w:val="right"/>
              <w:ind w:right="66"/>
              <w:spacing w:after="0"/>
              <w:rPr>
                <w:sz w:val="20"/>
                <w:szCs w:val="20"/>
                <w:color w:val="auto"/>
              </w:rPr>
            </w:pPr>
            <w:r>
              <w:rPr>
                <w:rFonts w:ascii="Times New Roman" w:cs="Times New Roman" w:eastAsia="Times New Roman" w:hAnsi="Times New Roman"/>
                <w:sz w:val="5"/>
                <w:szCs w:val="5"/>
                <w:color w:val="1E1E1E"/>
                <w:w w:val="78"/>
              </w:rPr>
              <w:t>$</w:t>
            </w:r>
          </w:p>
        </w:tc>
        <w:tc>
          <w:tcPr>
            <w:tcW w:w="540" w:type="dxa"/>
            <w:vAlign w:val="bottom"/>
            <w:tcBorders>
              <w:top w:val="single" w:sz="8" w:color="1E1E1E"/>
              <w:bottom w:val="single" w:sz="8" w:color="1E1E1E"/>
              <w:right w:val="single" w:sz="8" w:color="E4E4E4"/>
            </w:tcBorders>
            <w:gridSpan w:val="2"/>
            <w:shd w:val="clear" w:color="auto" w:fill="E4E4E4"/>
          </w:tcPr>
          <w:p>
            <w:pPr>
              <w:jc w:val="right"/>
              <w:ind w:right="40"/>
              <w:spacing w:after="0" w:line="135" w:lineRule="exact"/>
              <w:rPr>
                <w:sz w:val="20"/>
                <w:szCs w:val="20"/>
                <w:color w:val="auto"/>
              </w:rPr>
            </w:pPr>
            <w:r>
              <w:rPr>
                <w:rFonts w:ascii="Times New Roman" w:cs="Times New Roman" w:eastAsia="Times New Roman" w:hAnsi="Times New Roman"/>
                <w:sz w:val="12"/>
                <w:szCs w:val="12"/>
                <w:color w:val="1E1E1E"/>
              </w:rPr>
              <w:t>(319,872</w:t>
            </w:r>
          </w:p>
        </w:tc>
        <w:tc>
          <w:tcPr>
            <w:tcW w:w="220" w:type="dxa"/>
            <w:vAlign w:val="bottom"/>
            <w:tcBorders>
              <w:top w:val="single" w:sz="8" w:color="E4E4E4"/>
            </w:tcBorders>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8"/>
                <w:szCs w:val="8"/>
                <w:color w:val="1E1E1E"/>
                <w:w w:val="73"/>
              </w:rPr>
              <w:t>)</w:t>
            </w:r>
          </w:p>
        </w:tc>
        <w:tc>
          <w:tcPr>
            <w:tcW w:w="120" w:type="dxa"/>
            <w:vAlign w:val="bottom"/>
            <w:tcBorders>
              <w:top w:val="single" w:sz="8" w:color="1E1E1E"/>
              <w:bottom w:val="single" w:sz="8" w:color="1E1E1E"/>
            </w:tcBorders>
            <w:shd w:val="clear" w:color="auto" w:fill="E4E4E4"/>
          </w:tcPr>
          <w:p>
            <w:pPr>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640" w:type="dxa"/>
            <w:vAlign w:val="bottom"/>
            <w:tcBorders>
              <w:top w:val="single" w:sz="8" w:color="1E1E1E"/>
              <w:bottom w:val="single" w:sz="8" w:color="1E1E1E"/>
            </w:tcBorders>
            <w:gridSpan w:val="5"/>
            <w:shd w:val="clear" w:color="auto" w:fill="E4E4E4"/>
          </w:tcPr>
          <w:p>
            <w:pPr>
              <w:jc w:val="right"/>
              <w:ind w:right="33"/>
              <w:spacing w:after="0" w:line="135" w:lineRule="exact"/>
              <w:rPr>
                <w:sz w:val="20"/>
                <w:szCs w:val="20"/>
                <w:color w:val="auto"/>
              </w:rPr>
            </w:pPr>
            <w:r>
              <w:rPr>
                <w:rFonts w:ascii="Times New Roman" w:cs="Times New Roman" w:eastAsia="Times New Roman" w:hAnsi="Times New Roman"/>
                <w:sz w:val="12"/>
                <w:szCs w:val="12"/>
                <w:color w:val="1E1E1E"/>
              </w:rPr>
              <w:t>329,300</w:t>
            </w:r>
          </w:p>
        </w:tc>
        <w:tc>
          <w:tcPr>
            <w:tcW w:w="60" w:type="dxa"/>
            <w:vAlign w:val="bottom"/>
            <w:tcBorders>
              <w:top w:val="single" w:sz="8" w:color="E4E4E4"/>
            </w:tcBorders>
            <w:gridSpan w:val="2"/>
            <w:shd w:val="clear" w:color="auto" w:fill="E4E4E4"/>
          </w:tcPr>
          <w:p>
            <w:pPr>
              <w:spacing w:after="0"/>
              <w:rPr>
                <w:sz w:val="11"/>
                <w:szCs w:val="11"/>
                <w:color w:val="auto"/>
              </w:rPr>
            </w:pPr>
          </w:p>
        </w:tc>
        <w:tc>
          <w:tcPr>
            <w:tcW w:w="240" w:type="dxa"/>
            <w:vAlign w:val="bottom"/>
            <w:tcBorders>
              <w:top w:val="single" w:sz="8" w:color="1E1E1E"/>
              <w:bottom w:val="single" w:sz="8" w:color="1E1E1E"/>
            </w:tcBorders>
            <w:gridSpan w:val="2"/>
            <w:shd w:val="clear" w:color="auto" w:fill="E4E4E4"/>
          </w:tcPr>
          <w:p>
            <w:pPr>
              <w:ind w:left="120"/>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680" w:type="dxa"/>
            <w:vAlign w:val="bottom"/>
            <w:tcBorders>
              <w:top w:val="single" w:sz="8" w:color="1E1E1E"/>
              <w:bottom w:val="single" w:sz="8" w:color="1E1E1E"/>
              <w:right w:val="single" w:sz="8" w:color="E4E4E4"/>
            </w:tcBorders>
            <w:gridSpan w:val="2"/>
            <w:shd w:val="clear" w:color="auto" w:fill="E4E4E4"/>
          </w:tcPr>
          <w:p>
            <w:pPr>
              <w:jc w:val="right"/>
              <w:ind w:right="40"/>
              <w:spacing w:after="0" w:line="135" w:lineRule="exact"/>
              <w:rPr>
                <w:sz w:val="20"/>
                <w:szCs w:val="20"/>
                <w:color w:val="auto"/>
              </w:rPr>
            </w:pPr>
            <w:r>
              <w:rPr>
                <w:rFonts w:ascii="Times New Roman" w:cs="Times New Roman" w:eastAsia="Times New Roman" w:hAnsi="Times New Roman"/>
                <w:sz w:val="12"/>
                <w:szCs w:val="12"/>
                <w:color w:val="1E1E1E"/>
              </w:rPr>
              <w:t>1,119</w:t>
            </w:r>
          </w:p>
        </w:tc>
        <w:tc>
          <w:tcPr>
            <w:tcW w:w="100" w:type="dxa"/>
            <w:vAlign w:val="bottom"/>
            <w:tcBorders>
              <w:top w:val="single" w:sz="8" w:color="E4E4E4"/>
              <w:right w:val="single" w:sz="8" w:color="E4E4E4"/>
            </w:tcBorders>
            <w:shd w:val="clear" w:color="auto" w:fill="E4E4E4"/>
          </w:tcPr>
          <w:p>
            <w:pPr>
              <w:spacing w:after="0"/>
              <w:rPr>
                <w:sz w:val="11"/>
                <w:szCs w:val="11"/>
                <w:color w:val="auto"/>
              </w:rPr>
            </w:pPr>
          </w:p>
        </w:tc>
        <w:tc>
          <w:tcPr>
            <w:tcW w:w="200" w:type="dxa"/>
            <w:vAlign w:val="bottom"/>
            <w:tcBorders>
              <w:top w:val="single" w:sz="8" w:color="1E1E1E"/>
              <w:bottom w:val="single" w:sz="8" w:color="1E1E1E"/>
            </w:tcBorders>
            <w:gridSpan w:val="2"/>
            <w:shd w:val="clear" w:color="auto" w:fill="E4E4E4"/>
          </w:tcPr>
          <w:p>
            <w:pPr>
              <w:jc w:val="right"/>
              <w:spacing w:after="0" w:line="135" w:lineRule="exact"/>
              <w:rPr>
                <w:sz w:val="20"/>
                <w:szCs w:val="20"/>
                <w:color w:val="auto"/>
              </w:rPr>
            </w:pPr>
            <w:r>
              <w:rPr>
                <w:rFonts w:ascii="Times New Roman" w:cs="Times New Roman" w:eastAsia="Times New Roman" w:hAnsi="Times New Roman"/>
                <w:sz w:val="12"/>
                <w:szCs w:val="12"/>
                <w:color w:val="1E1E1E"/>
              </w:rPr>
              <w:t>$</w:t>
            </w:r>
          </w:p>
        </w:tc>
        <w:tc>
          <w:tcPr>
            <w:tcW w:w="600" w:type="dxa"/>
            <w:vAlign w:val="bottom"/>
            <w:tcBorders>
              <w:top w:val="single" w:sz="8" w:color="1E1E1E"/>
              <w:bottom w:val="single" w:sz="8" w:color="1E1E1E"/>
              <w:right w:val="single" w:sz="8" w:color="E4E4E4"/>
            </w:tcBorders>
            <w:gridSpan w:val="5"/>
            <w:shd w:val="clear" w:color="auto" w:fill="E4E4E4"/>
          </w:tcPr>
          <w:p>
            <w:pPr>
              <w:jc w:val="right"/>
              <w:ind w:right="140"/>
              <w:spacing w:after="0" w:line="135" w:lineRule="exact"/>
              <w:rPr>
                <w:sz w:val="20"/>
                <w:szCs w:val="20"/>
                <w:color w:val="auto"/>
              </w:rPr>
            </w:pPr>
            <w:r>
              <w:rPr>
                <w:rFonts w:ascii="Times New Roman" w:cs="Times New Roman" w:eastAsia="Times New Roman" w:hAnsi="Times New Roman"/>
                <w:sz w:val="12"/>
                <w:szCs w:val="12"/>
                <w:color w:val="1E1E1E"/>
              </w:rPr>
              <w:t>330,419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-3828415</wp:posOffset>
            </wp:positionV>
            <wp:extent cx="1430020" cy="92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-3551555</wp:posOffset>
            </wp:positionV>
            <wp:extent cx="2674620" cy="92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-3274695</wp:posOffset>
            </wp:positionV>
            <wp:extent cx="2674620" cy="92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-2905760</wp:posOffset>
            </wp:positionV>
            <wp:extent cx="2674620" cy="92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-2720975</wp:posOffset>
            </wp:positionV>
            <wp:extent cx="1430020" cy="184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30020" cy="1847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-2444115</wp:posOffset>
            </wp:positionV>
            <wp:extent cx="1430020" cy="920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-2259965</wp:posOffset>
            </wp:positionV>
            <wp:extent cx="2674620" cy="92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8345170</wp:posOffset>
            </wp:positionH>
            <wp:positionV relativeFrom="paragraph">
              <wp:posOffset>-2075180</wp:posOffset>
            </wp:positionV>
            <wp:extent cx="561340" cy="98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1340" cy="984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-1878330</wp:posOffset>
            </wp:positionV>
            <wp:extent cx="1430020" cy="92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-1694180</wp:posOffset>
            </wp:positionV>
            <wp:extent cx="1430020" cy="92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-1509395</wp:posOffset>
            </wp:positionV>
            <wp:extent cx="1430020" cy="92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-1324610</wp:posOffset>
            </wp:positionV>
            <wp:extent cx="1430020" cy="92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-1042035</wp:posOffset>
            </wp:positionV>
            <wp:extent cx="1430020" cy="98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30020" cy="984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-851535</wp:posOffset>
            </wp:positionV>
            <wp:extent cx="1430020" cy="92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300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-666750</wp:posOffset>
            </wp:positionV>
            <wp:extent cx="2674620" cy="92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-481965</wp:posOffset>
            </wp:positionV>
            <wp:extent cx="2674620" cy="92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74620" cy="920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-297815</wp:posOffset>
            </wp:positionV>
            <wp:extent cx="1430020" cy="92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30020" cy="92075"/>
                    </a:xfrm>
                    <a:prstGeom prst="rect">
                      <a:avLst/>
                    </a:prstGeom>
                    <a:noFill/>
                  </pic:spPr>
                </pic:pic>
              </a:graphicData>
            </a:graphic>
          </wp:anchor>
        </w:drawing>
      </w:r>
    </w:p>
    <w:p>
      <w:pPr>
        <w:jc w:val="center"/>
        <w:spacing w:after="0" w:line="231" w:lineRule="auto"/>
        <w:rPr>
          <w:sz w:val="20"/>
          <w:szCs w:val="20"/>
          <w:color w:val="auto"/>
        </w:rPr>
      </w:pPr>
      <w:r>
        <w:rPr>
          <w:rFonts w:ascii="Times New Roman" w:cs="Times New Roman" w:eastAsia="Times New Roman" w:hAnsi="Times New Roman"/>
          <w:sz w:val="19"/>
          <w:szCs w:val="19"/>
          <w:b w:val="1"/>
          <w:bCs w:val="1"/>
          <w:color w:val="1E1E1E"/>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-123825</wp:posOffset>
            </wp:positionV>
            <wp:extent cx="782510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825105" cy="9525"/>
                    </a:xfrm>
                    <a:prstGeom prst="rect">
                      <a:avLst/>
                    </a:prstGeom>
                    <a:noFill/>
                  </pic:spPr>
                </pic:pic>
              </a:graphicData>
            </a:graphic>
          </wp:anchor>
        </w:drawing>
      </w:r>
    </w:p>
    <w:p>
      <w:pPr>
        <w:sectPr>
          <w:pgSz w:w="15480" w:h="11880" w:orient="landscape"/>
          <w:cols w:equalWidth="0" w:num="1">
            <w:col w:w="14840"/>
          </w:cols>
          <w:pgMar w:left="320" w:top="1035" w:right="320" w:bottom="2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72</w:t>
      </w:r>
    </w:p>
    <w:p>
      <w:pPr>
        <w:sectPr>
          <w:pgSz w:w="15480" w:h="11880" w:orient="landscape"/>
          <w:cols w:equalWidth="0" w:num="1">
            <w:col w:w="14840"/>
          </w:cols>
          <w:pgMar w:left="320" w:top="1035" w:right="320" w:bottom="22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1E1E1E"/>
            </w:tcBorders>
          </w:tcPr>
          <w:p>
            <w:pPr>
              <w:spacing w:after="0"/>
              <w:rPr>
                <w:sz w:val="16"/>
                <w:szCs w:val="16"/>
                <w:color w:val="auto"/>
              </w:rPr>
            </w:pPr>
          </w:p>
        </w:tc>
        <w:tc>
          <w:tcPr>
            <w:tcW w:w="2060" w:type="dxa"/>
            <w:vAlign w:val="bottom"/>
            <w:tcBorders>
              <w:bottom w:val="single" w:sz="8" w:color="1E1E1E"/>
            </w:tcBorders>
            <w:gridSpan w:val="7"/>
          </w:tcPr>
          <w:p>
            <w:pPr>
              <w:ind w:left="380"/>
              <w:spacing w:after="0"/>
              <w:rPr>
                <w:sz w:val="20"/>
                <w:szCs w:val="20"/>
                <w:color w:val="auto"/>
              </w:rPr>
            </w:pPr>
            <w:r>
              <w:rPr>
                <w:rFonts w:ascii="Times New Roman" w:cs="Times New Roman" w:eastAsia="Times New Roman" w:hAnsi="Times New Roman"/>
                <w:sz w:val="15"/>
                <w:szCs w:val="15"/>
                <w:b w:val="1"/>
                <w:bCs w:val="1"/>
                <w:color w:val="1E1E1E"/>
                <w:w w:val="98"/>
              </w:rPr>
              <w:t>Year Ended December 31,</w:t>
            </w:r>
          </w:p>
        </w:tc>
        <w:tc>
          <w:tcPr>
            <w:tcW w:w="220" w:type="dxa"/>
            <w:vAlign w:val="bottom"/>
            <w:tcBorders>
              <w:bottom w:val="single" w:sz="8" w:color="1E1E1E"/>
            </w:tcBorders>
          </w:tcPr>
          <w:p>
            <w:pPr>
              <w:spacing w:after="0"/>
              <w:rPr>
                <w:sz w:val="16"/>
                <w:szCs w:val="16"/>
                <w:color w:val="auto"/>
              </w:rPr>
            </w:pPr>
          </w:p>
        </w:tc>
        <w:tc>
          <w:tcPr>
            <w:tcW w:w="840" w:type="dxa"/>
            <w:vAlign w:val="bottom"/>
            <w:tcBorders>
              <w:bottom w:val="single" w:sz="8" w:color="1E1E1E"/>
            </w:tcBorders>
          </w:tcPr>
          <w:p>
            <w:pPr>
              <w:spacing w:after="0"/>
              <w:rPr>
                <w:sz w:val="16"/>
                <w:szCs w:val="16"/>
                <w:color w:val="auto"/>
              </w:rPr>
            </w:pPr>
          </w:p>
        </w:tc>
        <w:tc>
          <w:tcPr>
            <w:tcW w:w="80" w:type="dxa"/>
            <w:vAlign w:val="bottom"/>
          </w:tcPr>
          <w:p>
            <w:pPr>
              <w:spacing w:after="0"/>
              <w:rPr>
                <w:sz w:val="16"/>
                <w:szCs w:val="16"/>
                <w:color w:val="auto"/>
              </w:rPr>
            </w:pPr>
          </w:p>
        </w:tc>
      </w:tr>
      <w:tr>
        <w:trPr>
          <w:trHeight w:val="157"/>
        </w:trPr>
        <w:tc>
          <w:tcPr>
            <w:tcW w:w="5720" w:type="dxa"/>
            <w:vAlign w:val="bottom"/>
            <w:tcBorders>
              <w:bottom w:val="single" w:sz="8" w:color="E4E4E4"/>
            </w:tcBorders>
          </w:tcPr>
          <w:p>
            <w:pPr>
              <w:spacing w:after="0"/>
              <w:rPr>
                <w:sz w:val="13"/>
                <w:szCs w:val="13"/>
                <w:color w:val="auto"/>
              </w:rPr>
            </w:pPr>
          </w:p>
        </w:tc>
        <w:tc>
          <w:tcPr>
            <w:tcW w:w="100" w:type="dxa"/>
            <w:vAlign w:val="bottom"/>
            <w:tcBorders>
              <w:bottom w:val="single" w:sz="8" w:color="E4E4E4"/>
            </w:tcBorders>
          </w:tcPr>
          <w:p>
            <w:pPr>
              <w:spacing w:after="0"/>
              <w:rPr>
                <w:sz w:val="13"/>
                <w:szCs w:val="13"/>
                <w:color w:val="auto"/>
              </w:rPr>
            </w:pPr>
          </w:p>
        </w:tc>
        <w:tc>
          <w:tcPr>
            <w:tcW w:w="740" w:type="dxa"/>
            <w:vAlign w:val="bottom"/>
            <w:tcBorders>
              <w:bottom w:val="single" w:sz="8" w:color="1E1E1E"/>
            </w:tcBorders>
          </w:tcPr>
          <w:p>
            <w:pPr>
              <w:jc w:val="right"/>
              <w:spacing w:after="0" w:line="157" w:lineRule="exact"/>
              <w:rPr>
                <w:sz w:val="20"/>
                <w:szCs w:val="20"/>
                <w:color w:val="auto"/>
              </w:rPr>
            </w:pPr>
            <w:r>
              <w:rPr>
                <w:rFonts w:ascii="Times New Roman" w:cs="Times New Roman" w:eastAsia="Times New Roman" w:hAnsi="Times New Roman"/>
                <w:sz w:val="15"/>
                <w:szCs w:val="15"/>
                <w:b w:val="1"/>
                <w:bCs w:val="1"/>
                <w:color w:val="1E1E1E"/>
              </w:rPr>
              <w:t>2023</w:t>
            </w:r>
          </w:p>
        </w:tc>
        <w:tc>
          <w:tcPr>
            <w:tcW w:w="460" w:type="dxa"/>
            <w:vAlign w:val="bottom"/>
            <w:tcBorders>
              <w:bottom w:val="single" w:sz="8" w:color="1E1E1E"/>
            </w:tcBorders>
          </w:tcPr>
          <w:p>
            <w:pPr>
              <w:spacing w:after="0"/>
              <w:rPr>
                <w:sz w:val="13"/>
                <w:szCs w:val="13"/>
                <w:color w:val="auto"/>
              </w:rPr>
            </w:pPr>
          </w:p>
        </w:tc>
        <w:tc>
          <w:tcPr>
            <w:tcW w:w="100" w:type="dxa"/>
            <w:vAlign w:val="bottom"/>
            <w:tcBorders>
              <w:bottom w:val="single" w:sz="8" w:color="E4E4E4"/>
            </w:tcBorders>
          </w:tcPr>
          <w:p>
            <w:pPr>
              <w:spacing w:after="0"/>
              <w:rPr>
                <w:sz w:val="13"/>
                <w:szCs w:val="13"/>
                <w:color w:val="auto"/>
              </w:rPr>
            </w:pPr>
          </w:p>
        </w:tc>
        <w:tc>
          <w:tcPr>
            <w:tcW w:w="100" w:type="dxa"/>
            <w:vAlign w:val="bottom"/>
            <w:tcBorders>
              <w:bottom w:val="single" w:sz="8" w:color="E4E4E4"/>
            </w:tcBorders>
          </w:tcPr>
          <w:p>
            <w:pPr>
              <w:spacing w:after="0"/>
              <w:rPr>
                <w:sz w:val="13"/>
                <w:szCs w:val="13"/>
                <w:color w:val="auto"/>
              </w:rPr>
            </w:pPr>
          </w:p>
        </w:tc>
        <w:tc>
          <w:tcPr>
            <w:tcW w:w="260" w:type="dxa"/>
            <w:vAlign w:val="bottom"/>
            <w:tcBorders>
              <w:bottom w:val="single" w:sz="8" w:color="1E1E1E"/>
            </w:tcBorders>
          </w:tcPr>
          <w:p>
            <w:pPr>
              <w:spacing w:after="0"/>
              <w:rPr>
                <w:sz w:val="13"/>
                <w:szCs w:val="13"/>
                <w:color w:val="auto"/>
              </w:rPr>
            </w:pPr>
          </w:p>
        </w:tc>
        <w:tc>
          <w:tcPr>
            <w:tcW w:w="920" w:type="dxa"/>
            <w:vAlign w:val="bottom"/>
            <w:tcBorders>
              <w:bottom w:val="single" w:sz="8" w:color="1E1E1E"/>
            </w:tcBorders>
          </w:tcPr>
          <w:p>
            <w:pPr>
              <w:jc w:val="right"/>
              <w:ind w:right="367"/>
              <w:spacing w:after="0" w:line="157" w:lineRule="exact"/>
              <w:rPr>
                <w:sz w:val="20"/>
                <w:szCs w:val="20"/>
                <w:color w:val="auto"/>
              </w:rPr>
            </w:pPr>
            <w:r>
              <w:rPr>
                <w:rFonts w:ascii="Times New Roman" w:cs="Times New Roman" w:eastAsia="Times New Roman" w:hAnsi="Times New Roman"/>
                <w:sz w:val="15"/>
                <w:szCs w:val="15"/>
                <w:b w:val="1"/>
                <w:bCs w:val="1"/>
                <w:color w:val="1E1E1E"/>
              </w:rPr>
              <w:t>2022</w:t>
            </w:r>
          </w:p>
        </w:tc>
        <w:tc>
          <w:tcPr>
            <w:tcW w:w="100" w:type="dxa"/>
            <w:vAlign w:val="bottom"/>
            <w:tcBorders>
              <w:bottom w:val="single" w:sz="8" w:color="E4E4E4"/>
            </w:tcBorders>
          </w:tcPr>
          <w:p>
            <w:pPr>
              <w:spacing w:after="0"/>
              <w:rPr>
                <w:sz w:val="13"/>
                <w:szCs w:val="13"/>
                <w:color w:val="auto"/>
              </w:rPr>
            </w:pPr>
          </w:p>
        </w:tc>
        <w:tc>
          <w:tcPr>
            <w:tcW w:w="120" w:type="dxa"/>
            <w:vAlign w:val="bottom"/>
            <w:tcBorders>
              <w:bottom w:val="single" w:sz="8" w:color="E4E4E4"/>
            </w:tcBorders>
          </w:tcPr>
          <w:p>
            <w:pPr>
              <w:spacing w:after="0"/>
              <w:rPr>
                <w:sz w:val="13"/>
                <w:szCs w:val="13"/>
                <w:color w:val="auto"/>
              </w:rPr>
            </w:pPr>
          </w:p>
        </w:tc>
        <w:tc>
          <w:tcPr>
            <w:tcW w:w="220" w:type="dxa"/>
            <w:vAlign w:val="bottom"/>
            <w:tcBorders>
              <w:bottom w:val="single" w:sz="8" w:color="1E1E1E"/>
            </w:tcBorders>
          </w:tcPr>
          <w:p>
            <w:pPr>
              <w:spacing w:after="0"/>
              <w:rPr>
                <w:sz w:val="13"/>
                <w:szCs w:val="13"/>
                <w:color w:val="auto"/>
              </w:rPr>
            </w:pPr>
          </w:p>
        </w:tc>
        <w:tc>
          <w:tcPr>
            <w:tcW w:w="840" w:type="dxa"/>
            <w:vAlign w:val="bottom"/>
            <w:tcBorders>
              <w:bottom w:val="single" w:sz="8" w:color="1E1E1E"/>
            </w:tcBorders>
          </w:tcPr>
          <w:p>
            <w:pPr>
              <w:jc w:val="right"/>
              <w:ind w:right="327"/>
              <w:spacing w:after="0" w:line="157" w:lineRule="exact"/>
              <w:rPr>
                <w:sz w:val="20"/>
                <w:szCs w:val="20"/>
                <w:color w:val="auto"/>
              </w:rPr>
            </w:pPr>
            <w:r>
              <w:rPr>
                <w:rFonts w:ascii="Times New Roman" w:cs="Times New Roman" w:eastAsia="Times New Roman" w:hAnsi="Times New Roman"/>
                <w:sz w:val="15"/>
                <w:szCs w:val="15"/>
                <w:b w:val="1"/>
                <w:bCs w:val="1"/>
                <w:color w:val="1E1E1E"/>
              </w:rPr>
              <w:t>2021</w:t>
            </w:r>
          </w:p>
        </w:tc>
        <w:tc>
          <w:tcPr>
            <w:tcW w:w="80" w:type="dxa"/>
            <w:vAlign w:val="bottom"/>
            <w:tcBorders>
              <w:bottom w:val="single" w:sz="8" w:color="E4E4E4"/>
            </w:tcBorders>
          </w:tcPr>
          <w:p>
            <w:pPr>
              <w:spacing w:after="0"/>
              <w:rPr>
                <w:sz w:val="13"/>
                <w:szCs w:val="13"/>
                <w:color w:val="auto"/>
              </w:rPr>
            </w:pPr>
          </w:p>
        </w:tc>
      </w:tr>
      <w:tr>
        <w:trPr>
          <w:trHeight w:val="157"/>
        </w:trPr>
        <w:tc>
          <w:tcPr>
            <w:tcW w:w="5820" w:type="dxa"/>
            <w:vAlign w:val="bottom"/>
            <w:gridSpan w:val="2"/>
            <w:shd w:val="clear" w:color="auto" w:fill="E4E4E4"/>
          </w:tcPr>
          <w:p>
            <w:pPr>
              <w:spacing w:after="0" w:line="157" w:lineRule="exact"/>
              <w:rPr>
                <w:sz w:val="20"/>
                <w:szCs w:val="20"/>
                <w:color w:val="auto"/>
              </w:rPr>
            </w:pPr>
            <w:r>
              <w:rPr>
                <w:rFonts w:ascii="Times New Roman" w:cs="Times New Roman" w:eastAsia="Times New Roman" w:hAnsi="Times New Roman"/>
                <w:sz w:val="15"/>
                <w:szCs w:val="15"/>
                <w:b w:val="1"/>
                <w:bCs w:val="1"/>
                <w:color w:val="1E1E1E"/>
              </w:rPr>
              <w:t>Cash flows from operating activities:</w:t>
            </w:r>
          </w:p>
        </w:tc>
        <w:tc>
          <w:tcPr>
            <w:tcW w:w="740" w:type="dxa"/>
            <w:vAlign w:val="bottom"/>
            <w:shd w:val="clear" w:color="auto" w:fill="E4E4E4"/>
          </w:tcPr>
          <w:p>
            <w:pPr>
              <w:spacing w:after="0"/>
              <w:rPr>
                <w:sz w:val="13"/>
                <w:szCs w:val="13"/>
                <w:color w:val="auto"/>
              </w:rPr>
            </w:pPr>
          </w:p>
        </w:tc>
        <w:tc>
          <w:tcPr>
            <w:tcW w:w="46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260" w:type="dxa"/>
            <w:vAlign w:val="bottom"/>
            <w:shd w:val="clear" w:color="auto" w:fill="E4E4E4"/>
          </w:tcPr>
          <w:p>
            <w:pPr>
              <w:spacing w:after="0"/>
              <w:rPr>
                <w:sz w:val="13"/>
                <w:szCs w:val="13"/>
                <w:color w:val="auto"/>
              </w:rPr>
            </w:pPr>
          </w:p>
        </w:tc>
        <w:tc>
          <w:tcPr>
            <w:tcW w:w="92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2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Net loss</w:t>
            </w:r>
          </w:p>
        </w:tc>
        <w:tc>
          <w:tcPr>
            <w:tcW w:w="740" w:type="dxa"/>
            <w:vAlign w:val="bottom"/>
          </w:tcPr>
          <w:p>
            <w:pPr>
              <w:jc w:val="right"/>
              <w:ind w:right="587"/>
              <w:spacing w:after="0" w:line="167" w:lineRule="exact"/>
              <w:rPr>
                <w:sz w:val="20"/>
                <w:szCs w:val="20"/>
                <w:color w:val="auto"/>
              </w:rPr>
            </w:pPr>
            <w:r>
              <w:rPr>
                <w:rFonts w:ascii="Times New Roman" w:cs="Times New Roman" w:eastAsia="Times New Roman" w:hAnsi="Times New Roman"/>
                <w:sz w:val="15"/>
                <w:szCs w:val="15"/>
                <w:color w:val="1E1E1E"/>
                <w:w w:val="79"/>
              </w:rPr>
              <w:t>$</w:t>
            </w: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w w:val="85"/>
              </w:rPr>
              <w:t>(67,465)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1E1E1E"/>
                <w:w w:val="79"/>
              </w:rPr>
              <w:t>$</w:t>
            </w: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(79,043)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1E1E1E"/>
                <w:w w:val="71"/>
              </w:rPr>
              <w:t>$</w:t>
            </w: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(61,381)</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Adjustments to reconcile net loss to net cash used in operating activities:</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Depreciation and amortization</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10,738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7,819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3,596</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Impairment of assets</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397</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824</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Reduction in carrying amount of right-of-use asset</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14,355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7,236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1,056</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Stock based compensation</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22,118</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19,172</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7,395</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Non-cash interest expense</w:t>
            </w: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114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111</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Loss on debt extinguishment</w:t>
            </w:r>
          </w:p>
        </w:tc>
        <w:tc>
          <w:tcPr>
            <w:tcW w:w="740" w:type="dxa"/>
            <w:vAlign w:val="bottom"/>
            <w:shd w:val="clear" w:color="auto" w:fill="E4E4E4"/>
          </w:tcPr>
          <w:p>
            <w:pPr>
              <w:spacing w:after="0"/>
              <w:rPr>
                <w:sz w:val="14"/>
                <w:szCs w:val="14"/>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4"/>
                <w:szCs w:val="14"/>
                <w:color w:val="auto"/>
              </w:rPr>
            </w:pPr>
          </w:p>
        </w:tc>
        <w:tc>
          <w:tcPr>
            <w:tcW w:w="1140" w:type="dxa"/>
            <w:vAlign w:val="bottom"/>
            <w:gridSpan w:val="3"/>
            <w:shd w:val="clear" w:color="auto" w:fill="E4E4E4"/>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272</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Revaluation of contingent consideration</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571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817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(Income) loss from unconsolidated joint venture</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(46)</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130</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(41)</w:t>
            </w: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Donation of common stock</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1,029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2,226</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Losses on marketable securities</w:t>
            </w:r>
          </w:p>
        </w:tc>
        <w:tc>
          <w:tcPr>
            <w:tcW w:w="740" w:type="dxa"/>
            <w:vAlign w:val="bottom"/>
            <w:shd w:val="clear" w:color="auto" w:fill="E4E4E4"/>
          </w:tcPr>
          <w:p>
            <w:pPr>
              <w:spacing w:after="0"/>
              <w:rPr>
                <w:sz w:val="14"/>
                <w:szCs w:val="14"/>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1,855</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2,002</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Loss on sale of property and equipment</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20</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Inventory write-off</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223</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133</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Amortization of deferred costs on convertible notes</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1,860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Deferred taxes benefit</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(154)</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(653)</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(179)</w:t>
            </w:r>
          </w:p>
        </w:tc>
      </w:tr>
      <w:tr>
        <w:trPr>
          <w:trHeight w:val="167"/>
        </w:trPr>
        <w:tc>
          <w:tcPr>
            <w:tcW w:w="5820" w:type="dxa"/>
            <w:vAlign w:val="bottom"/>
            <w:gridSpan w:val="2"/>
          </w:tcPr>
          <w:p>
            <w:pPr>
              <w:ind w:left="380"/>
              <w:spacing w:after="0" w:line="167" w:lineRule="exact"/>
              <w:rPr>
                <w:sz w:val="20"/>
                <w:szCs w:val="20"/>
                <w:color w:val="auto"/>
              </w:rPr>
            </w:pPr>
            <w:r>
              <w:rPr>
                <w:rFonts w:ascii="Times New Roman" w:cs="Times New Roman" w:eastAsia="Times New Roman" w:hAnsi="Times New Roman"/>
                <w:sz w:val="15"/>
                <w:szCs w:val="15"/>
                <w:color w:val="1E1E1E"/>
              </w:rPr>
              <w:t>Restructuring charge</w:t>
            </w: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1,549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shd w:val="clear" w:color="auto" w:fill="E4E4E4"/>
          </w:tcPr>
          <w:p>
            <w:pPr>
              <w:ind w:left="380"/>
              <w:spacing w:after="0" w:line="167" w:lineRule="exact"/>
              <w:rPr>
                <w:sz w:val="20"/>
                <w:szCs w:val="20"/>
                <w:color w:val="auto"/>
              </w:rPr>
            </w:pPr>
            <w:r>
              <w:rPr>
                <w:rFonts w:ascii="Times New Roman" w:cs="Times New Roman" w:eastAsia="Times New Roman" w:hAnsi="Times New Roman"/>
                <w:sz w:val="15"/>
                <w:szCs w:val="15"/>
                <w:color w:val="1E1E1E"/>
              </w:rPr>
              <w:t>Changes in other assets and liabilities:</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580"/>
              <w:spacing w:after="0" w:line="167" w:lineRule="exact"/>
              <w:rPr>
                <w:sz w:val="20"/>
                <w:szCs w:val="20"/>
                <w:color w:val="auto"/>
              </w:rPr>
            </w:pPr>
            <w:r>
              <w:rPr>
                <w:rFonts w:ascii="Times New Roman" w:cs="Times New Roman" w:eastAsia="Times New Roman" w:hAnsi="Times New Roman"/>
                <w:sz w:val="15"/>
                <w:szCs w:val="15"/>
                <w:color w:val="1E1E1E"/>
              </w:rPr>
              <w:t>Accounts receivable, net</w:t>
            </w:r>
          </w:p>
        </w:tc>
        <w:tc>
          <w:tcPr>
            <w:tcW w:w="740" w:type="dxa"/>
            <w:vAlign w:val="bottom"/>
          </w:tcPr>
          <w:p>
            <w:pPr>
              <w:spacing w:after="0"/>
              <w:rPr>
                <w:sz w:val="14"/>
                <w:szCs w:val="14"/>
                <w:color w:val="auto"/>
              </w:rPr>
            </w:pPr>
          </w:p>
        </w:tc>
        <w:tc>
          <w:tcPr>
            <w:tcW w:w="5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w w:val="93"/>
              </w:rPr>
              <w:t>(20,594)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(17,012)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(11,117)</w:t>
            </w:r>
          </w:p>
        </w:tc>
      </w:tr>
      <w:tr>
        <w:trPr>
          <w:trHeight w:val="167"/>
        </w:trPr>
        <w:tc>
          <w:tcPr>
            <w:tcW w:w="5820" w:type="dxa"/>
            <w:vAlign w:val="bottom"/>
            <w:gridSpan w:val="2"/>
            <w:shd w:val="clear" w:color="auto" w:fill="E4E4E4"/>
          </w:tcPr>
          <w:p>
            <w:pPr>
              <w:ind w:left="580"/>
              <w:spacing w:after="0" w:line="167" w:lineRule="exact"/>
              <w:rPr>
                <w:sz w:val="20"/>
                <w:szCs w:val="20"/>
                <w:color w:val="auto"/>
              </w:rPr>
            </w:pPr>
            <w:r>
              <w:rPr>
                <w:rFonts w:ascii="Times New Roman" w:cs="Times New Roman" w:eastAsia="Times New Roman" w:hAnsi="Times New Roman"/>
                <w:sz w:val="15"/>
                <w:szCs w:val="15"/>
                <w:color w:val="1E1E1E"/>
              </w:rPr>
              <w:t>Inventory</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(1,550)</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351</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293</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580"/>
              <w:spacing w:after="0" w:line="167" w:lineRule="exact"/>
              <w:rPr>
                <w:sz w:val="20"/>
                <w:szCs w:val="20"/>
                <w:color w:val="auto"/>
              </w:rPr>
            </w:pPr>
            <w:r>
              <w:rPr>
                <w:rFonts w:ascii="Times New Roman" w:cs="Times New Roman" w:eastAsia="Times New Roman" w:hAnsi="Times New Roman"/>
                <w:sz w:val="15"/>
                <w:szCs w:val="15"/>
                <w:color w:val="1E1E1E"/>
              </w:rPr>
              <w:t>Prepaid expenses</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1,669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(1,616)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(4,025)</w:t>
            </w:r>
          </w:p>
        </w:tc>
      </w:tr>
      <w:tr>
        <w:trPr>
          <w:trHeight w:val="167"/>
        </w:trPr>
        <w:tc>
          <w:tcPr>
            <w:tcW w:w="5820" w:type="dxa"/>
            <w:vAlign w:val="bottom"/>
            <w:gridSpan w:val="2"/>
            <w:shd w:val="clear" w:color="auto" w:fill="E4E4E4"/>
          </w:tcPr>
          <w:p>
            <w:pPr>
              <w:ind w:left="580"/>
              <w:spacing w:after="0" w:line="167" w:lineRule="exact"/>
              <w:rPr>
                <w:sz w:val="20"/>
                <w:szCs w:val="20"/>
                <w:color w:val="auto"/>
              </w:rPr>
            </w:pPr>
            <w:r>
              <w:rPr>
                <w:rFonts w:ascii="Times New Roman" w:cs="Times New Roman" w:eastAsia="Times New Roman" w:hAnsi="Times New Roman"/>
                <w:sz w:val="15"/>
                <w:szCs w:val="15"/>
                <w:color w:val="1E1E1E"/>
              </w:rPr>
              <w:t>Other assets</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(80)</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(4,116)</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464</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580"/>
              <w:spacing w:after="0" w:line="167" w:lineRule="exact"/>
              <w:rPr>
                <w:sz w:val="20"/>
                <w:szCs w:val="20"/>
                <w:color w:val="auto"/>
              </w:rPr>
            </w:pPr>
            <w:r>
              <w:rPr>
                <w:rFonts w:ascii="Times New Roman" w:cs="Times New Roman" w:eastAsia="Times New Roman" w:hAnsi="Times New Roman"/>
                <w:sz w:val="15"/>
                <w:szCs w:val="15"/>
                <w:color w:val="1E1E1E"/>
              </w:rPr>
              <w:t>Accounts payable</w:t>
            </w: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6,743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(215)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5,215</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580"/>
              <w:spacing w:after="0" w:line="167" w:lineRule="exact"/>
              <w:rPr>
                <w:sz w:val="20"/>
                <w:szCs w:val="20"/>
                <w:color w:val="auto"/>
              </w:rPr>
            </w:pPr>
            <w:r>
              <w:rPr>
                <w:rFonts w:ascii="Times New Roman" w:cs="Times New Roman" w:eastAsia="Times New Roman" w:hAnsi="Times New Roman"/>
                <w:sz w:val="15"/>
                <w:szCs w:val="15"/>
                <w:color w:val="1E1E1E"/>
              </w:rPr>
              <w:t>Accrued expenses</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7,453</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406</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(12,008)</w:t>
            </w:r>
          </w:p>
        </w:tc>
      </w:tr>
      <w:tr>
        <w:trPr>
          <w:trHeight w:val="167"/>
        </w:trPr>
        <w:tc>
          <w:tcPr>
            <w:tcW w:w="5820" w:type="dxa"/>
            <w:vAlign w:val="bottom"/>
            <w:gridSpan w:val="2"/>
          </w:tcPr>
          <w:p>
            <w:pPr>
              <w:ind w:left="580"/>
              <w:spacing w:after="0" w:line="167" w:lineRule="exact"/>
              <w:rPr>
                <w:sz w:val="20"/>
                <w:szCs w:val="20"/>
                <w:color w:val="auto"/>
              </w:rPr>
            </w:pPr>
            <w:r>
              <w:rPr>
                <w:rFonts w:ascii="Times New Roman" w:cs="Times New Roman" w:eastAsia="Times New Roman" w:hAnsi="Times New Roman"/>
                <w:sz w:val="15"/>
                <w:szCs w:val="15"/>
                <w:color w:val="1E1E1E"/>
              </w:rPr>
              <w:t>Contract liabilities</w:t>
            </w:r>
          </w:p>
        </w:tc>
        <w:tc>
          <w:tcPr>
            <w:tcW w:w="740" w:type="dxa"/>
            <w:vAlign w:val="bottom"/>
          </w:tcPr>
          <w:p>
            <w:pPr>
              <w:spacing w:after="0"/>
              <w:rPr>
                <w:sz w:val="14"/>
                <w:szCs w:val="14"/>
                <w:color w:val="auto"/>
              </w:rPr>
            </w:pPr>
          </w:p>
        </w:tc>
        <w:tc>
          <w:tcPr>
            <w:tcW w:w="5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(1,404)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735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(1,625)</w:t>
            </w:r>
          </w:p>
        </w:tc>
      </w:tr>
      <w:tr>
        <w:trPr>
          <w:trHeight w:val="167"/>
        </w:trPr>
        <w:tc>
          <w:tcPr>
            <w:tcW w:w="5820" w:type="dxa"/>
            <w:vAlign w:val="bottom"/>
            <w:gridSpan w:val="2"/>
            <w:shd w:val="clear" w:color="auto" w:fill="E4E4E4"/>
          </w:tcPr>
          <w:p>
            <w:pPr>
              <w:ind w:left="580"/>
              <w:spacing w:after="0" w:line="167" w:lineRule="exact"/>
              <w:rPr>
                <w:sz w:val="20"/>
                <w:szCs w:val="20"/>
                <w:color w:val="auto"/>
              </w:rPr>
            </w:pPr>
            <w:r>
              <w:rPr>
                <w:rFonts w:ascii="Times New Roman" w:cs="Times New Roman" w:eastAsia="Times New Roman" w:hAnsi="Times New Roman"/>
                <w:sz w:val="15"/>
                <w:szCs w:val="15"/>
                <w:color w:val="1E1E1E"/>
              </w:rPr>
              <w:t>Lease liabilities</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(5,520)</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(5,727)</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(845)</w:t>
            </w:r>
          </w:p>
        </w:tc>
      </w:tr>
      <w:tr>
        <w:trPr>
          <w:trHeight w:val="167"/>
        </w:trPr>
        <w:tc>
          <w:tcPr>
            <w:tcW w:w="5820" w:type="dxa"/>
            <w:vAlign w:val="bottom"/>
            <w:gridSpan w:val="2"/>
          </w:tcPr>
          <w:p>
            <w:pPr>
              <w:ind w:left="580"/>
              <w:spacing w:after="0" w:line="167" w:lineRule="exact"/>
              <w:rPr>
                <w:sz w:val="20"/>
                <w:szCs w:val="20"/>
                <w:color w:val="auto"/>
              </w:rPr>
            </w:pPr>
            <w:r>
              <w:rPr>
                <w:rFonts w:ascii="Times New Roman" w:cs="Times New Roman" w:eastAsia="Times New Roman" w:hAnsi="Times New Roman"/>
                <w:sz w:val="15"/>
                <w:szCs w:val="15"/>
                <w:color w:val="1E1E1E"/>
              </w:rPr>
              <w:t>Income taxes payable</w:t>
            </w:r>
          </w:p>
        </w:tc>
        <w:tc>
          <w:tcPr>
            <w:tcW w:w="740" w:type="dxa"/>
            <w:vAlign w:val="bottom"/>
          </w:tcPr>
          <w:p>
            <w:pPr>
              <w:spacing w:after="0"/>
              <w:rPr>
                <w:sz w:val="14"/>
                <w:szCs w:val="14"/>
                <w:color w:val="auto"/>
              </w:rPr>
            </w:pPr>
          </w:p>
        </w:tc>
        <w:tc>
          <w:tcPr>
            <w:tcW w:w="5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(312)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743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77"/>
        </w:trPr>
        <w:tc>
          <w:tcPr>
            <w:tcW w:w="5720" w:type="dxa"/>
            <w:vAlign w:val="bottom"/>
            <w:tcBorders>
              <w:top w:val="single" w:sz="8" w:color="E4E4E4"/>
              <w:bottom w:val="single" w:sz="8" w:color="E4E4E4"/>
            </w:tcBorders>
            <w:shd w:val="clear" w:color="auto" w:fill="E4E4E4"/>
          </w:tcPr>
          <w:p>
            <w:pPr>
              <w:ind w:left="380"/>
              <w:spacing w:after="0" w:line="157" w:lineRule="exact"/>
              <w:rPr>
                <w:sz w:val="20"/>
                <w:szCs w:val="20"/>
                <w:color w:val="auto"/>
              </w:rPr>
            </w:pPr>
            <w:r>
              <w:rPr>
                <w:rFonts w:ascii="Times New Roman" w:cs="Times New Roman" w:eastAsia="Times New Roman" w:hAnsi="Times New Roman"/>
                <w:sz w:val="15"/>
                <w:szCs w:val="15"/>
                <w:b w:val="1"/>
                <w:bCs w:val="1"/>
                <w:color w:val="1E1E1E"/>
              </w:rPr>
              <w:t>Net cash used in operating activities</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740" w:type="dxa"/>
            <w:vAlign w:val="bottom"/>
            <w:tcBorders>
              <w:top w:val="single" w:sz="8" w:color="1E1E1E"/>
              <w:bottom w:val="single" w:sz="8" w:color="1E1E1E"/>
            </w:tcBorders>
            <w:shd w:val="clear" w:color="auto" w:fill="E4E4E4"/>
          </w:tcPr>
          <w:p>
            <w:pPr>
              <w:spacing w:after="0"/>
              <w:rPr>
                <w:sz w:val="15"/>
                <w:szCs w:val="15"/>
                <w:color w:val="auto"/>
              </w:rPr>
            </w:pPr>
          </w:p>
        </w:tc>
        <w:tc>
          <w:tcPr>
            <w:tcW w:w="46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w w:val="85"/>
              </w:rPr>
              <w:t>(29,877)</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260" w:type="dxa"/>
            <w:vAlign w:val="bottom"/>
            <w:tcBorders>
              <w:top w:val="single" w:sz="8" w:color="1E1E1E"/>
              <w:bottom w:val="single" w:sz="8" w:color="1E1E1E"/>
            </w:tcBorders>
            <w:shd w:val="clear" w:color="auto" w:fill="E4E4E4"/>
          </w:tcPr>
          <w:p>
            <w:pPr>
              <w:spacing w:after="0"/>
              <w:rPr>
                <w:sz w:val="15"/>
                <w:szCs w:val="15"/>
                <w:color w:val="auto"/>
              </w:rPr>
            </w:pPr>
          </w:p>
        </w:tc>
        <w:tc>
          <w:tcPr>
            <w:tcW w:w="92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(62,575)</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120" w:type="dxa"/>
            <w:vAlign w:val="bottom"/>
            <w:tcBorders>
              <w:top w:val="single" w:sz="8" w:color="E4E4E4"/>
              <w:bottom w:val="single" w:sz="8" w:color="E4E4E4"/>
            </w:tcBorders>
            <w:shd w:val="clear" w:color="auto" w:fill="E4E4E4"/>
          </w:tcPr>
          <w:p>
            <w:pPr>
              <w:spacing w:after="0"/>
              <w:rPr>
                <w:sz w:val="15"/>
                <w:szCs w:val="15"/>
                <w:color w:val="auto"/>
              </w:rPr>
            </w:pPr>
          </w:p>
        </w:tc>
        <w:tc>
          <w:tcPr>
            <w:tcW w:w="220" w:type="dxa"/>
            <w:vAlign w:val="bottom"/>
            <w:tcBorders>
              <w:top w:val="single" w:sz="8" w:color="1E1E1E"/>
              <w:bottom w:val="single" w:sz="8" w:color="1E1E1E"/>
            </w:tcBorders>
            <w:shd w:val="clear" w:color="auto" w:fill="E4E4E4"/>
          </w:tcPr>
          <w:p>
            <w:pPr>
              <w:spacing w:after="0"/>
              <w:rPr>
                <w:sz w:val="15"/>
                <w:szCs w:val="15"/>
                <w:color w:val="auto"/>
              </w:rPr>
            </w:pPr>
          </w:p>
        </w:tc>
        <w:tc>
          <w:tcPr>
            <w:tcW w:w="84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(68,571)</w:t>
            </w:r>
          </w:p>
        </w:tc>
        <w:tc>
          <w:tcPr>
            <w:tcW w:w="80" w:type="dxa"/>
            <w:vAlign w:val="bottom"/>
            <w:tcBorders>
              <w:top w:val="single" w:sz="8" w:color="E4E4E4"/>
              <w:bottom w:val="single" w:sz="8" w:color="E4E4E4"/>
            </w:tcBorders>
            <w:shd w:val="clear" w:color="auto" w:fill="E4E4E4"/>
          </w:tcPr>
          <w:p>
            <w:pPr>
              <w:spacing w:after="0"/>
              <w:rPr>
                <w:sz w:val="15"/>
                <w:szCs w:val="15"/>
                <w:color w:val="auto"/>
              </w:rPr>
            </w:pPr>
          </w:p>
        </w:tc>
      </w:tr>
      <w:tr>
        <w:trPr>
          <w:trHeight w:val="137"/>
        </w:trPr>
        <w:tc>
          <w:tcPr>
            <w:tcW w:w="5720" w:type="dxa"/>
            <w:vAlign w:val="bottom"/>
          </w:tcPr>
          <w:p>
            <w:pPr>
              <w:spacing w:after="0" w:line="137" w:lineRule="exact"/>
              <w:rPr>
                <w:sz w:val="20"/>
                <w:szCs w:val="20"/>
                <w:color w:val="auto"/>
              </w:rPr>
            </w:pPr>
            <w:r>
              <w:rPr>
                <w:rFonts w:ascii="Times New Roman" w:cs="Times New Roman" w:eastAsia="Times New Roman" w:hAnsi="Times New Roman"/>
                <w:sz w:val="15"/>
                <w:szCs w:val="15"/>
                <w:b w:val="1"/>
                <w:bCs w:val="1"/>
                <w:color w:val="1E1E1E"/>
              </w:rPr>
              <w:t>Cash flows from investing activities: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720" w:type="dxa"/>
            <w:vAlign w:val="bottom"/>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Purchases of marketable securities</w:t>
            </w:r>
          </w:p>
        </w:tc>
        <w:tc>
          <w:tcPr>
            <w:tcW w:w="100" w:type="dxa"/>
            <w:vAlign w:val="bottom"/>
            <w:shd w:val="clear" w:color="auto" w:fill="E4E4E4"/>
          </w:tcPr>
          <w:p>
            <w:pPr>
              <w:spacing w:after="0"/>
              <w:rPr>
                <w:sz w:val="14"/>
                <w:szCs w:val="14"/>
                <w:color w:val="auto"/>
              </w:rPr>
            </w:pP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w w:val="93"/>
              </w:rPr>
              <w:t>(11,582)</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(284,096)</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(267,467)</w:t>
            </w:r>
          </w:p>
        </w:tc>
      </w:tr>
      <w:tr>
        <w:trPr>
          <w:trHeight w:val="167"/>
        </w:trPr>
        <w:tc>
          <w:tcPr>
            <w:tcW w:w="5720" w:type="dxa"/>
            <w:vAlign w:val="bottom"/>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sale of marketable securities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50,000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58,927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235,000</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Purchases of property and equipment</w:t>
            </w:r>
          </w:p>
        </w:tc>
        <w:tc>
          <w:tcPr>
            <w:tcW w:w="740" w:type="dxa"/>
            <w:vAlign w:val="bottom"/>
            <w:shd w:val="clear" w:color="auto" w:fill="E4E4E4"/>
          </w:tcPr>
          <w:p>
            <w:pPr>
              <w:spacing w:after="0"/>
              <w:rPr>
                <w:sz w:val="14"/>
                <w:szCs w:val="14"/>
                <w:color w:val="auto"/>
              </w:rPr>
            </w:pPr>
          </w:p>
        </w:tc>
        <w:tc>
          <w:tcPr>
            <w:tcW w:w="560" w:type="dxa"/>
            <w:vAlign w:val="bottom"/>
            <w:gridSpan w:val="2"/>
            <w:shd w:val="clear" w:color="auto" w:fill="E4E4E4"/>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w w:val="93"/>
              </w:rPr>
              <w:t>(18,486)</w:t>
            </w: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(13,650)</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(6,262)</w:t>
            </w: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life insurance</w:t>
            </w: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114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4"/>
                <w:szCs w:val="14"/>
                <w:color w:val="auto"/>
              </w:rPr>
            </w:pP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627</w:t>
            </w:r>
          </w:p>
        </w:tc>
        <w:tc>
          <w:tcPr>
            <w:tcW w:w="80" w:type="dxa"/>
            <w:vAlign w:val="bottom"/>
          </w:tcPr>
          <w:p>
            <w:pPr>
              <w:spacing w:after="0"/>
              <w:rPr>
                <w:sz w:val="14"/>
                <w:szCs w:val="14"/>
                <w:color w:val="auto"/>
              </w:rPr>
            </w:pP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sale of property and equipment</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223</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189</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Cash paid for business combination, net of cash acquired</w:t>
            </w:r>
          </w:p>
        </w:tc>
        <w:tc>
          <w:tcPr>
            <w:tcW w:w="740" w:type="dxa"/>
            <w:vAlign w:val="bottom"/>
          </w:tcPr>
          <w:p>
            <w:pPr>
              <w:spacing w:after="0"/>
              <w:rPr>
                <w:sz w:val="14"/>
                <w:szCs w:val="14"/>
                <w:color w:val="auto"/>
              </w:rPr>
            </w:pPr>
          </w:p>
        </w:tc>
        <w:tc>
          <w:tcPr>
            <w:tcW w:w="5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(3,349)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(174,646)</w:t>
            </w:r>
          </w:p>
        </w:tc>
      </w:tr>
      <w:tr>
        <w:trPr>
          <w:trHeight w:val="177"/>
        </w:trPr>
        <w:tc>
          <w:tcPr>
            <w:tcW w:w="5720" w:type="dxa"/>
            <w:vAlign w:val="bottom"/>
            <w:tcBorders>
              <w:top w:val="single" w:sz="8" w:color="E4E4E4"/>
              <w:bottom w:val="single" w:sz="8" w:color="E4E4E4"/>
            </w:tcBorders>
            <w:shd w:val="clear" w:color="auto" w:fill="E4E4E4"/>
          </w:tcPr>
          <w:p>
            <w:pPr>
              <w:ind w:left="380"/>
              <w:spacing w:after="0" w:line="157" w:lineRule="exact"/>
              <w:rPr>
                <w:sz w:val="20"/>
                <w:szCs w:val="20"/>
                <w:color w:val="auto"/>
              </w:rPr>
            </w:pPr>
            <w:r>
              <w:rPr>
                <w:rFonts w:ascii="Times New Roman" w:cs="Times New Roman" w:eastAsia="Times New Roman" w:hAnsi="Times New Roman"/>
                <w:sz w:val="15"/>
                <w:szCs w:val="15"/>
                <w:b w:val="1"/>
                <w:bCs w:val="1"/>
                <w:color w:val="1E1E1E"/>
              </w:rPr>
              <w:t>Net cash provided by (used in) investing activities</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740" w:type="dxa"/>
            <w:vAlign w:val="bottom"/>
            <w:tcBorders>
              <w:top w:val="single" w:sz="8" w:color="1E1E1E"/>
              <w:bottom w:val="single" w:sz="8" w:color="1E1E1E"/>
            </w:tcBorders>
            <w:shd w:val="clear" w:color="auto" w:fill="E4E4E4"/>
          </w:tcPr>
          <w:p>
            <w:pPr>
              <w:spacing w:after="0"/>
              <w:rPr>
                <w:sz w:val="15"/>
                <w:szCs w:val="15"/>
                <w:color w:val="auto"/>
              </w:rPr>
            </w:pPr>
          </w:p>
        </w:tc>
        <w:tc>
          <w:tcPr>
            <w:tcW w:w="46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16,806</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260" w:type="dxa"/>
            <w:vAlign w:val="bottom"/>
            <w:tcBorders>
              <w:top w:val="single" w:sz="8" w:color="1E1E1E"/>
              <w:bottom w:val="single" w:sz="8" w:color="1E1E1E"/>
            </w:tcBorders>
            <w:shd w:val="clear" w:color="auto" w:fill="E4E4E4"/>
          </w:tcPr>
          <w:p>
            <w:pPr>
              <w:spacing w:after="0"/>
              <w:rPr>
                <w:sz w:val="15"/>
                <w:szCs w:val="15"/>
                <w:color w:val="auto"/>
              </w:rPr>
            </w:pPr>
          </w:p>
        </w:tc>
        <w:tc>
          <w:tcPr>
            <w:tcW w:w="92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(238,630)</w:t>
            </w:r>
          </w:p>
        </w:tc>
        <w:tc>
          <w:tcPr>
            <w:tcW w:w="100" w:type="dxa"/>
            <w:vAlign w:val="bottom"/>
            <w:tcBorders>
              <w:top w:val="single" w:sz="8" w:color="E4E4E4"/>
              <w:bottom w:val="single" w:sz="8" w:color="E4E4E4"/>
            </w:tcBorders>
            <w:shd w:val="clear" w:color="auto" w:fill="E4E4E4"/>
          </w:tcPr>
          <w:p>
            <w:pPr>
              <w:spacing w:after="0"/>
              <w:rPr>
                <w:sz w:val="15"/>
                <w:szCs w:val="15"/>
                <w:color w:val="auto"/>
              </w:rPr>
            </w:pPr>
          </w:p>
        </w:tc>
        <w:tc>
          <w:tcPr>
            <w:tcW w:w="120" w:type="dxa"/>
            <w:vAlign w:val="bottom"/>
            <w:tcBorders>
              <w:top w:val="single" w:sz="8" w:color="E4E4E4"/>
              <w:bottom w:val="single" w:sz="8" w:color="E4E4E4"/>
            </w:tcBorders>
            <w:shd w:val="clear" w:color="auto" w:fill="E4E4E4"/>
          </w:tcPr>
          <w:p>
            <w:pPr>
              <w:spacing w:after="0"/>
              <w:rPr>
                <w:sz w:val="15"/>
                <w:szCs w:val="15"/>
                <w:color w:val="auto"/>
              </w:rPr>
            </w:pPr>
          </w:p>
        </w:tc>
        <w:tc>
          <w:tcPr>
            <w:tcW w:w="220" w:type="dxa"/>
            <w:vAlign w:val="bottom"/>
            <w:tcBorders>
              <w:top w:val="single" w:sz="8" w:color="1E1E1E"/>
              <w:bottom w:val="single" w:sz="8" w:color="1E1E1E"/>
            </w:tcBorders>
            <w:shd w:val="clear" w:color="auto" w:fill="E4E4E4"/>
          </w:tcPr>
          <w:p>
            <w:pPr>
              <w:spacing w:after="0"/>
              <w:rPr>
                <w:sz w:val="15"/>
                <w:szCs w:val="15"/>
                <w:color w:val="auto"/>
              </w:rPr>
            </w:pPr>
          </w:p>
        </w:tc>
        <w:tc>
          <w:tcPr>
            <w:tcW w:w="840" w:type="dxa"/>
            <w:vAlign w:val="bottom"/>
            <w:tcBorders>
              <w:top w:val="single" w:sz="8" w:color="1E1E1E"/>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(212,748)</w:t>
            </w:r>
          </w:p>
        </w:tc>
        <w:tc>
          <w:tcPr>
            <w:tcW w:w="80" w:type="dxa"/>
            <w:vAlign w:val="bottom"/>
            <w:tcBorders>
              <w:top w:val="single" w:sz="8" w:color="E4E4E4"/>
              <w:bottom w:val="single" w:sz="8" w:color="E4E4E4"/>
            </w:tcBorders>
            <w:shd w:val="clear" w:color="auto" w:fill="E4E4E4"/>
          </w:tcPr>
          <w:p>
            <w:pPr>
              <w:spacing w:after="0"/>
              <w:rPr>
                <w:sz w:val="15"/>
                <w:szCs w:val="15"/>
                <w:color w:val="auto"/>
              </w:rPr>
            </w:pPr>
          </w:p>
        </w:tc>
      </w:tr>
      <w:tr>
        <w:trPr>
          <w:trHeight w:val="137"/>
        </w:trPr>
        <w:tc>
          <w:tcPr>
            <w:tcW w:w="5720" w:type="dxa"/>
            <w:vAlign w:val="bottom"/>
          </w:tcPr>
          <w:p>
            <w:pPr>
              <w:spacing w:after="0" w:line="137" w:lineRule="exact"/>
              <w:rPr>
                <w:sz w:val="20"/>
                <w:szCs w:val="20"/>
                <w:color w:val="auto"/>
              </w:rPr>
            </w:pPr>
            <w:r>
              <w:rPr>
                <w:rFonts w:ascii="Times New Roman" w:cs="Times New Roman" w:eastAsia="Times New Roman" w:hAnsi="Times New Roman"/>
                <w:sz w:val="15"/>
                <w:szCs w:val="15"/>
                <w:b w:val="1"/>
                <w:bCs w:val="1"/>
                <w:color w:val="1E1E1E"/>
              </w:rPr>
              <w:t>Cash flows from financing activities: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5720" w:type="dxa"/>
            <w:vAlign w:val="bottom"/>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initial public offering, net of underwriters' discount</w:t>
            </w:r>
          </w:p>
        </w:tc>
        <w:tc>
          <w:tcPr>
            <w:tcW w:w="100" w:type="dxa"/>
            <w:vAlign w:val="bottom"/>
            <w:shd w:val="clear" w:color="auto" w:fill="E4E4E4"/>
          </w:tcPr>
          <w:p>
            <w:pPr>
              <w:spacing w:after="0"/>
              <w:rPr>
                <w:sz w:val="14"/>
                <w:szCs w:val="14"/>
                <w:color w:val="auto"/>
              </w:rPr>
            </w:pPr>
          </w:p>
        </w:tc>
        <w:tc>
          <w:tcPr>
            <w:tcW w:w="740" w:type="dxa"/>
            <w:vAlign w:val="bottom"/>
            <w:shd w:val="clear" w:color="auto" w:fill="E4E4E4"/>
          </w:tcPr>
          <w:p>
            <w:pPr>
              <w:spacing w:after="0"/>
              <w:rPr>
                <w:sz w:val="14"/>
                <w:szCs w:val="14"/>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4"/>
                <w:szCs w:val="14"/>
                <w:color w:val="auto"/>
              </w:rPr>
            </w:pPr>
          </w:p>
        </w:tc>
        <w:tc>
          <w:tcPr>
            <w:tcW w:w="1140" w:type="dxa"/>
            <w:vAlign w:val="bottom"/>
            <w:gridSpan w:val="3"/>
            <w:shd w:val="clear" w:color="auto" w:fill="E4E4E4"/>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325,263</w:t>
            </w:r>
          </w:p>
        </w:tc>
        <w:tc>
          <w:tcPr>
            <w:tcW w:w="80" w:type="dxa"/>
            <w:vAlign w:val="bottom"/>
            <w:shd w:val="clear" w:color="auto" w:fill="E4E4E4"/>
          </w:tcPr>
          <w:p>
            <w:pPr>
              <w:spacing w:after="0"/>
              <w:rPr>
                <w:sz w:val="14"/>
                <w:szCs w:val="14"/>
                <w:color w:val="auto"/>
              </w:rPr>
            </w:pPr>
          </w:p>
        </w:tc>
      </w:tr>
      <w:tr>
        <w:trPr>
          <w:trHeight w:val="167"/>
        </w:trPr>
        <w:tc>
          <w:tcPr>
            <w:tcW w:w="5720" w:type="dxa"/>
            <w:vAlign w:val="bottom"/>
          </w:tcPr>
          <w:p>
            <w:pPr>
              <w:ind w:left="180"/>
              <w:spacing w:after="0" w:line="167" w:lineRule="exact"/>
              <w:rPr>
                <w:sz w:val="20"/>
                <w:szCs w:val="20"/>
                <w:color w:val="auto"/>
              </w:rPr>
            </w:pPr>
            <w:r>
              <w:rPr>
                <w:rFonts w:ascii="Times New Roman" w:cs="Times New Roman" w:eastAsia="Times New Roman" w:hAnsi="Times New Roman"/>
                <w:sz w:val="15"/>
                <w:szCs w:val="15"/>
                <w:color w:val="1E1E1E"/>
              </w:rPr>
              <w:t>Payments in connection with initial public offering</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114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(3,678)</w:t>
            </w: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stock options exercised</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1,909</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3,715</w:t>
            </w: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2,291</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Repayment of term loan</w:t>
            </w: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114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4"/>
                <w:szCs w:val="14"/>
                <w:color w:val="auto"/>
              </w:rPr>
            </w:pPr>
          </w:p>
        </w:tc>
        <w:tc>
          <w:tcPr>
            <w:tcW w:w="9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(16,136)</w:t>
            </w: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the exercise of warrants</w:t>
            </w:r>
          </w:p>
        </w:tc>
        <w:tc>
          <w:tcPr>
            <w:tcW w:w="740" w:type="dxa"/>
            <w:vAlign w:val="bottom"/>
            <w:shd w:val="clear" w:color="auto" w:fill="E4E4E4"/>
          </w:tcPr>
          <w:p>
            <w:pPr>
              <w:spacing w:after="0"/>
              <w:rPr>
                <w:sz w:val="14"/>
                <w:szCs w:val="14"/>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4"/>
                <w:szCs w:val="14"/>
                <w:color w:val="auto"/>
              </w:rPr>
            </w:pPr>
          </w:p>
        </w:tc>
        <w:tc>
          <w:tcPr>
            <w:tcW w:w="1140" w:type="dxa"/>
            <w:vAlign w:val="bottom"/>
            <w:gridSpan w:val="3"/>
            <w:shd w:val="clear" w:color="auto" w:fill="E4E4E4"/>
          </w:tcPr>
          <w:p>
            <w:pPr>
              <w:jc w:val="right"/>
              <w:ind w:right="22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40</w:t>
            </w:r>
          </w:p>
        </w:tc>
        <w:tc>
          <w:tcPr>
            <w:tcW w:w="80" w:type="dxa"/>
            <w:vAlign w:val="bottom"/>
            <w:shd w:val="clear" w:color="auto" w:fill="E4E4E4"/>
          </w:tcPr>
          <w:p>
            <w:pPr>
              <w:spacing w:after="0"/>
              <w:rPr>
                <w:sz w:val="14"/>
                <w:szCs w:val="14"/>
                <w:color w:val="auto"/>
              </w:rPr>
            </w:pP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Proceeds from issuance of convertible notes</w:t>
            </w:r>
          </w:p>
        </w:tc>
        <w:tc>
          <w:tcPr>
            <w:tcW w:w="740" w:type="dxa"/>
            <w:vAlign w:val="bottom"/>
          </w:tcPr>
          <w:p>
            <w:pPr>
              <w:spacing w:after="0"/>
              <w:rPr>
                <w:sz w:val="14"/>
                <w:szCs w:val="14"/>
                <w:color w:val="auto"/>
              </w:rPr>
            </w:pPr>
          </w:p>
        </w:tc>
        <w:tc>
          <w:tcPr>
            <w:tcW w:w="660" w:type="dxa"/>
            <w:vAlign w:val="bottom"/>
            <w:gridSpan w:val="3"/>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287,500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Costs incurred in connection with issuance of convertible notes</w:t>
            </w:r>
          </w:p>
        </w:tc>
        <w:tc>
          <w:tcPr>
            <w:tcW w:w="740" w:type="dxa"/>
            <w:vAlign w:val="bottom"/>
            <w:shd w:val="clear" w:color="auto" w:fill="E4E4E4"/>
          </w:tcPr>
          <w:p>
            <w:pPr>
              <w:spacing w:after="0"/>
              <w:rPr>
                <w:sz w:val="14"/>
                <w:szCs w:val="14"/>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(9,309)</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920" w:type="dxa"/>
            <w:vAlign w:val="bottom"/>
            <w:gridSpan w:val="2"/>
            <w:shd w:val="clear" w:color="auto" w:fill="E4E4E4"/>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tcPr>
          <w:p>
            <w:pPr>
              <w:ind w:left="180"/>
              <w:spacing w:after="0" w:line="167" w:lineRule="exact"/>
              <w:rPr>
                <w:sz w:val="20"/>
                <w:szCs w:val="20"/>
                <w:color w:val="auto"/>
              </w:rPr>
            </w:pPr>
            <w:r>
              <w:rPr>
                <w:rFonts w:ascii="Times New Roman" w:cs="Times New Roman" w:eastAsia="Times New Roman" w:hAnsi="Times New Roman"/>
                <w:sz w:val="15"/>
                <w:szCs w:val="15"/>
                <w:color w:val="1E1E1E"/>
              </w:rPr>
              <w:t>Payment of contingent consideration</w:t>
            </w:r>
          </w:p>
        </w:tc>
        <w:tc>
          <w:tcPr>
            <w:tcW w:w="740" w:type="dxa"/>
            <w:vAlign w:val="bottom"/>
          </w:tcPr>
          <w:p>
            <w:pPr>
              <w:spacing w:after="0"/>
              <w:rPr>
                <w:sz w:val="14"/>
                <w:szCs w:val="14"/>
                <w:color w:val="auto"/>
              </w:rPr>
            </w:pPr>
          </w:p>
        </w:tc>
        <w:tc>
          <w:tcPr>
            <w:tcW w:w="56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1E1E1E"/>
              </w:rPr>
              <w:t>(842)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(932)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87"/>
        </w:trPr>
        <w:tc>
          <w:tcPr>
            <w:tcW w:w="5820" w:type="dxa"/>
            <w:vAlign w:val="bottom"/>
            <w:gridSpan w:val="2"/>
            <w:shd w:val="clear" w:color="auto" w:fill="E4E4E4"/>
          </w:tcPr>
          <w:p>
            <w:pPr>
              <w:ind w:left="180"/>
              <w:spacing w:after="0" w:line="167" w:lineRule="exact"/>
              <w:rPr>
                <w:sz w:val="20"/>
                <w:szCs w:val="20"/>
                <w:color w:val="auto"/>
              </w:rPr>
            </w:pPr>
            <w:r>
              <w:rPr>
                <w:rFonts w:ascii="Times New Roman" w:cs="Times New Roman" w:eastAsia="Times New Roman" w:hAnsi="Times New Roman"/>
                <w:sz w:val="15"/>
                <w:szCs w:val="15"/>
                <w:color w:val="1E1E1E"/>
              </w:rPr>
              <w:t>Payments on finance lease obligations</w:t>
            </w:r>
          </w:p>
        </w:tc>
        <w:tc>
          <w:tcPr>
            <w:tcW w:w="740" w:type="dxa"/>
            <w:vAlign w:val="bottom"/>
            <w:shd w:val="clear" w:color="auto" w:fill="E4E4E4"/>
          </w:tcPr>
          <w:p>
            <w:pPr>
              <w:spacing w:after="0"/>
              <w:rPr>
                <w:sz w:val="16"/>
                <w:szCs w:val="16"/>
                <w:color w:val="auto"/>
              </w:rPr>
            </w:pPr>
          </w:p>
        </w:tc>
        <w:tc>
          <w:tcPr>
            <w:tcW w:w="660" w:type="dxa"/>
            <w:vAlign w:val="bottom"/>
            <w:gridSpan w:val="3"/>
            <w:shd w:val="clear" w:color="auto" w:fill="E4E4E4"/>
          </w:tcPr>
          <w:p>
            <w:pPr>
              <w:jc w:val="right"/>
              <w:ind w:right="200"/>
              <w:spacing w:after="0" w:line="167"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shd w:val="clear" w:color="auto" w:fill="E4E4E4"/>
          </w:tcPr>
          <w:p>
            <w:pPr>
              <w:spacing w:after="0"/>
              <w:rPr>
                <w:sz w:val="16"/>
                <w:szCs w:val="16"/>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(2)</w:t>
            </w:r>
          </w:p>
        </w:tc>
        <w:tc>
          <w:tcPr>
            <w:tcW w:w="120" w:type="dxa"/>
            <w:vAlign w:val="bottom"/>
            <w:shd w:val="clear" w:color="auto" w:fill="E4E4E4"/>
          </w:tcPr>
          <w:p>
            <w:pPr>
              <w:spacing w:after="0"/>
              <w:rPr>
                <w:sz w:val="16"/>
                <w:szCs w:val="16"/>
                <w:color w:val="auto"/>
              </w:rPr>
            </w:pPr>
          </w:p>
        </w:tc>
        <w:tc>
          <w:tcPr>
            <w:tcW w:w="220" w:type="dxa"/>
            <w:vAlign w:val="bottom"/>
            <w:shd w:val="clear" w:color="auto" w:fill="E4E4E4"/>
          </w:tcPr>
          <w:p>
            <w:pPr>
              <w:spacing w:after="0"/>
              <w:rPr>
                <w:sz w:val="16"/>
                <w:szCs w:val="16"/>
                <w:color w:val="auto"/>
              </w:rPr>
            </w:pPr>
          </w:p>
        </w:tc>
        <w:tc>
          <w:tcPr>
            <w:tcW w:w="9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(12)</w:t>
            </w:r>
          </w:p>
        </w:tc>
      </w:tr>
      <w:tr>
        <w:trPr>
          <w:trHeight w:val="137"/>
        </w:trPr>
        <w:tc>
          <w:tcPr>
            <w:tcW w:w="5820" w:type="dxa"/>
            <w:vAlign w:val="bottom"/>
            <w:tcBorders>
              <w:top w:val="single" w:sz="8" w:color="E4E4E4"/>
              <w:bottom w:val="single" w:sz="8" w:color="E4E4E4"/>
            </w:tcBorders>
            <w:gridSpan w:val="2"/>
          </w:tcPr>
          <w:p>
            <w:pPr>
              <w:ind w:left="380"/>
              <w:spacing w:after="0" w:line="137" w:lineRule="exact"/>
              <w:rPr>
                <w:sz w:val="20"/>
                <w:szCs w:val="20"/>
                <w:color w:val="auto"/>
              </w:rPr>
            </w:pPr>
            <w:r>
              <w:rPr>
                <w:rFonts w:ascii="Times New Roman" w:cs="Times New Roman" w:eastAsia="Times New Roman" w:hAnsi="Times New Roman"/>
                <w:sz w:val="15"/>
                <w:szCs w:val="15"/>
                <w:b w:val="1"/>
                <w:bCs w:val="1"/>
                <w:color w:val="1E1E1E"/>
              </w:rPr>
              <w:t>Net cash provided by financing activities</w:t>
            </w:r>
          </w:p>
        </w:tc>
        <w:tc>
          <w:tcPr>
            <w:tcW w:w="740" w:type="dxa"/>
            <w:vAlign w:val="bottom"/>
            <w:tcBorders>
              <w:top w:val="single" w:sz="8" w:color="1E1E1E"/>
              <w:bottom w:val="single" w:sz="8" w:color="1E1E1E"/>
            </w:tcBorders>
          </w:tcPr>
          <w:p>
            <w:pPr>
              <w:spacing w:after="0"/>
              <w:rPr>
                <w:sz w:val="11"/>
                <w:szCs w:val="11"/>
                <w:color w:val="auto"/>
              </w:rPr>
            </w:pPr>
          </w:p>
        </w:tc>
        <w:tc>
          <w:tcPr>
            <w:tcW w:w="460" w:type="dxa"/>
            <w:vAlign w:val="bottom"/>
            <w:tcBorders>
              <w:top w:val="single" w:sz="8" w:color="1E1E1E"/>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1,067</w:t>
            </w:r>
          </w:p>
        </w:tc>
        <w:tc>
          <w:tcPr>
            <w:tcW w:w="100" w:type="dxa"/>
            <w:vAlign w:val="bottom"/>
            <w:tcBorders>
              <w:top w:val="single" w:sz="8" w:color="E4E4E4"/>
              <w:bottom w:val="single" w:sz="8" w:color="E4E4E4"/>
            </w:tcBorders>
          </w:tcPr>
          <w:p>
            <w:pPr>
              <w:spacing w:after="0"/>
              <w:rPr>
                <w:sz w:val="11"/>
                <w:szCs w:val="11"/>
                <w:color w:val="auto"/>
              </w:rPr>
            </w:pPr>
          </w:p>
        </w:tc>
        <w:tc>
          <w:tcPr>
            <w:tcW w:w="100" w:type="dxa"/>
            <w:vAlign w:val="bottom"/>
            <w:tcBorders>
              <w:top w:val="single" w:sz="8" w:color="E4E4E4"/>
              <w:bottom w:val="single" w:sz="8" w:color="E4E4E4"/>
            </w:tcBorders>
          </w:tcPr>
          <w:p>
            <w:pPr>
              <w:spacing w:after="0"/>
              <w:rPr>
                <w:sz w:val="11"/>
                <w:szCs w:val="11"/>
                <w:color w:val="auto"/>
              </w:rPr>
            </w:pPr>
          </w:p>
        </w:tc>
        <w:tc>
          <w:tcPr>
            <w:tcW w:w="260" w:type="dxa"/>
            <w:vAlign w:val="bottom"/>
            <w:tcBorders>
              <w:top w:val="single" w:sz="8" w:color="1E1E1E"/>
              <w:bottom w:val="single" w:sz="8" w:color="1E1E1E"/>
            </w:tcBorders>
          </w:tcPr>
          <w:p>
            <w:pPr>
              <w:spacing w:after="0"/>
              <w:rPr>
                <w:sz w:val="11"/>
                <w:szCs w:val="11"/>
                <w:color w:val="auto"/>
              </w:rPr>
            </w:pPr>
          </w:p>
        </w:tc>
        <w:tc>
          <w:tcPr>
            <w:tcW w:w="920" w:type="dxa"/>
            <w:vAlign w:val="bottom"/>
            <w:tcBorders>
              <w:top w:val="single" w:sz="8" w:color="1E1E1E"/>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280,972</w:t>
            </w:r>
          </w:p>
        </w:tc>
        <w:tc>
          <w:tcPr>
            <w:tcW w:w="100" w:type="dxa"/>
            <w:vAlign w:val="bottom"/>
            <w:tcBorders>
              <w:top w:val="single" w:sz="8" w:color="E4E4E4"/>
              <w:bottom w:val="single" w:sz="8" w:color="E4E4E4"/>
            </w:tcBorders>
          </w:tcPr>
          <w:p>
            <w:pPr>
              <w:spacing w:after="0"/>
              <w:rPr>
                <w:sz w:val="11"/>
                <w:szCs w:val="11"/>
                <w:color w:val="auto"/>
              </w:rPr>
            </w:pPr>
          </w:p>
        </w:tc>
        <w:tc>
          <w:tcPr>
            <w:tcW w:w="120" w:type="dxa"/>
            <w:vAlign w:val="bottom"/>
            <w:tcBorders>
              <w:top w:val="single" w:sz="8" w:color="E4E4E4"/>
              <w:bottom w:val="single" w:sz="8" w:color="E4E4E4"/>
            </w:tcBorders>
          </w:tcPr>
          <w:p>
            <w:pPr>
              <w:spacing w:after="0"/>
              <w:rPr>
                <w:sz w:val="11"/>
                <w:szCs w:val="11"/>
                <w:color w:val="auto"/>
              </w:rPr>
            </w:pPr>
          </w:p>
        </w:tc>
        <w:tc>
          <w:tcPr>
            <w:tcW w:w="220" w:type="dxa"/>
            <w:vAlign w:val="bottom"/>
            <w:tcBorders>
              <w:top w:val="single" w:sz="8" w:color="1E1E1E"/>
              <w:bottom w:val="single" w:sz="8" w:color="1E1E1E"/>
            </w:tcBorders>
          </w:tcPr>
          <w:p>
            <w:pPr>
              <w:spacing w:after="0"/>
              <w:rPr>
                <w:sz w:val="11"/>
                <w:szCs w:val="11"/>
                <w:color w:val="auto"/>
              </w:rPr>
            </w:pPr>
          </w:p>
        </w:tc>
        <w:tc>
          <w:tcPr>
            <w:tcW w:w="840" w:type="dxa"/>
            <w:vAlign w:val="bottom"/>
            <w:tcBorders>
              <w:top w:val="single" w:sz="8" w:color="1E1E1E"/>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307,768</w:t>
            </w:r>
          </w:p>
        </w:tc>
        <w:tc>
          <w:tcPr>
            <w:tcW w:w="80" w:type="dxa"/>
            <w:vAlign w:val="bottom"/>
            <w:tcBorders>
              <w:top w:val="single" w:sz="8" w:color="E4E4E4"/>
              <w:bottom w:val="single" w:sz="8" w:color="E4E4E4"/>
            </w:tcBorders>
          </w:tcPr>
          <w:p>
            <w:pPr>
              <w:spacing w:after="0"/>
              <w:rPr>
                <w:sz w:val="11"/>
                <w:szCs w:val="11"/>
                <w:color w:val="auto"/>
              </w:rPr>
            </w:pPr>
          </w:p>
        </w:tc>
      </w:tr>
      <w:tr>
        <w:trPr>
          <w:trHeight w:val="177"/>
        </w:trPr>
        <w:tc>
          <w:tcPr>
            <w:tcW w:w="5820" w:type="dxa"/>
            <w:vAlign w:val="bottom"/>
            <w:tcBorders>
              <w:bottom w:val="single" w:sz="8" w:color="E4E4E4"/>
            </w:tcBorders>
            <w:gridSpan w:val="2"/>
            <w:shd w:val="clear" w:color="auto" w:fill="E4E4E4"/>
          </w:tcPr>
          <w:p>
            <w:pPr>
              <w:ind w:left="180"/>
              <w:spacing w:after="0" w:line="157" w:lineRule="exact"/>
              <w:rPr>
                <w:sz w:val="20"/>
                <w:szCs w:val="20"/>
                <w:color w:val="auto"/>
              </w:rPr>
            </w:pPr>
            <w:r>
              <w:rPr>
                <w:rFonts w:ascii="Times New Roman" w:cs="Times New Roman" w:eastAsia="Times New Roman" w:hAnsi="Times New Roman"/>
                <w:sz w:val="15"/>
                <w:szCs w:val="15"/>
                <w:color w:val="1E1E1E"/>
              </w:rPr>
              <w:t>Effect of foreign currency translation on cash and cash equivalents</w:t>
            </w:r>
          </w:p>
        </w:tc>
        <w:tc>
          <w:tcPr>
            <w:tcW w:w="740" w:type="dxa"/>
            <w:vAlign w:val="bottom"/>
            <w:tcBorders>
              <w:bottom w:val="single" w:sz="8" w:color="1E1E1E"/>
            </w:tcBorders>
            <w:shd w:val="clear" w:color="auto" w:fill="E4E4E4"/>
          </w:tcPr>
          <w:p>
            <w:pPr>
              <w:spacing w:after="0"/>
              <w:rPr>
                <w:sz w:val="15"/>
                <w:szCs w:val="15"/>
                <w:color w:val="auto"/>
              </w:rPr>
            </w:pPr>
          </w:p>
        </w:tc>
        <w:tc>
          <w:tcPr>
            <w:tcW w:w="46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(234)</w:t>
            </w:r>
          </w:p>
        </w:tc>
        <w:tc>
          <w:tcPr>
            <w:tcW w:w="100" w:type="dxa"/>
            <w:vAlign w:val="bottom"/>
            <w:tcBorders>
              <w:bottom w:val="single" w:sz="8" w:color="E4E4E4"/>
            </w:tcBorders>
            <w:shd w:val="clear" w:color="auto" w:fill="E4E4E4"/>
          </w:tcPr>
          <w:p>
            <w:pPr>
              <w:spacing w:after="0"/>
              <w:rPr>
                <w:sz w:val="15"/>
                <w:szCs w:val="15"/>
                <w:color w:val="auto"/>
              </w:rPr>
            </w:pPr>
          </w:p>
        </w:tc>
        <w:tc>
          <w:tcPr>
            <w:tcW w:w="100" w:type="dxa"/>
            <w:vAlign w:val="bottom"/>
            <w:tcBorders>
              <w:bottom w:val="single" w:sz="8" w:color="E4E4E4"/>
            </w:tcBorders>
            <w:shd w:val="clear" w:color="auto" w:fill="E4E4E4"/>
          </w:tcPr>
          <w:p>
            <w:pPr>
              <w:spacing w:after="0"/>
              <w:rPr>
                <w:sz w:val="15"/>
                <w:szCs w:val="15"/>
                <w:color w:val="auto"/>
              </w:rPr>
            </w:pPr>
          </w:p>
        </w:tc>
        <w:tc>
          <w:tcPr>
            <w:tcW w:w="260" w:type="dxa"/>
            <w:vAlign w:val="bottom"/>
            <w:tcBorders>
              <w:bottom w:val="single" w:sz="8" w:color="1E1E1E"/>
            </w:tcBorders>
            <w:shd w:val="clear" w:color="auto" w:fill="E4E4E4"/>
          </w:tcPr>
          <w:p>
            <w:pPr>
              <w:spacing w:after="0"/>
              <w:rPr>
                <w:sz w:val="15"/>
                <w:szCs w:val="15"/>
                <w:color w:val="auto"/>
              </w:rPr>
            </w:pPr>
          </w:p>
        </w:tc>
        <w:tc>
          <w:tcPr>
            <w:tcW w:w="92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(367)</w:t>
            </w:r>
          </w:p>
        </w:tc>
        <w:tc>
          <w:tcPr>
            <w:tcW w:w="100" w:type="dxa"/>
            <w:vAlign w:val="bottom"/>
            <w:tcBorders>
              <w:bottom w:val="single" w:sz="8" w:color="E4E4E4"/>
            </w:tcBorders>
            <w:shd w:val="clear" w:color="auto" w:fill="E4E4E4"/>
          </w:tcPr>
          <w:p>
            <w:pPr>
              <w:spacing w:after="0"/>
              <w:rPr>
                <w:sz w:val="15"/>
                <w:szCs w:val="15"/>
                <w:color w:val="auto"/>
              </w:rPr>
            </w:pPr>
          </w:p>
        </w:tc>
        <w:tc>
          <w:tcPr>
            <w:tcW w:w="120" w:type="dxa"/>
            <w:vAlign w:val="bottom"/>
            <w:tcBorders>
              <w:bottom w:val="single" w:sz="8" w:color="E4E4E4"/>
            </w:tcBorders>
            <w:shd w:val="clear" w:color="auto" w:fill="E4E4E4"/>
          </w:tcPr>
          <w:p>
            <w:pPr>
              <w:spacing w:after="0"/>
              <w:rPr>
                <w:sz w:val="15"/>
                <w:szCs w:val="15"/>
                <w:color w:val="auto"/>
              </w:rPr>
            </w:pPr>
          </w:p>
        </w:tc>
        <w:tc>
          <w:tcPr>
            <w:tcW w:w="220" w:type="dxa"/>
            <w:vAlign w:val="bottom"/>
            <w:tcBorders>
              <w:bottom w:val="single" w:sz="8" w:color="1E1E1E"/>
            </w:tcBorders>
            <w:shd w:val="clear" w:color="auto" w:fill="E4E4E4"/>
          </w:tcPr>
          <w:p>
            <w:pPr>
              <w:spacing w:after="0"/>
              <w:rPr>
                <w:sz w:val="15"/>
                <w:szCs w:val="15"/>
                <w:color w:val="auto"/>
              </w:rPr>
            </w:pPr>
          </w:p>
        </w:tc>
        <w:tc>
          <w:tcPr>
            <w:tcW w:w="840" w:type="dxa"/>
            <w:vAlign w:val="bottom"/>
            <w:tcBorders>
              <w:bottom w:val="single" w:sz="8" w:color="1E1E1E"/>
            </w:tcBorders>
            <w:shd w:val="clear" w:color="auto" w:fill="E4E4E4"/>
          </w:tcPr>
          <w:p>
            <w:pPr>
              <w:jc w:val="right"/>
              <w:spacing w:after="0" w:line="157" w:lineRule="exact"/>
              <w:rPr>
                <w:sz w:val="20"/>
                <w:szCs w:val="20"/>
                <w:color w:val="auto"/>
              </w:rPr>
            </w:pPr>
            <w:r>
              <w:rPr>
                <w:rFonts w:ascii="Times New Roman" w:cs="Times New Roman" w:eastAsia="Times New Roman" w:hAnsi="Times New Roman"/>
                <w:sz w:val="15"/>
                <w:szCs w:val="15"/>
                <w:color w:val="1E1E1E"/>
              </w:rPr>
              <w:t>(61)</w:t>
            </w:r>
          </w:p>
        </w:tc>
        <w:tc>
          <w:tcPr>
            <w:tcW w:w="80" w:type="dxa"/>
            <w:vAlign w:val="bottom"/>
            <w:tcBorders>
              <w:bottom w:val="single" w:sz="8" w:color="E4E4E4"/>
            </w:tcBorders>
            <w:shd w:val="clear" w:color="auto" w:fill="E4E4E4"/>
          </w:tcPr>
          <w:p>
            <w:pPr>
              <w:spacing w:after="0"/>
              <w:rPr>
                <w:sz w:val="15"/>
                <w:szCs w:val="15"/>
                <w:color w:val="auto"/>
              </w:rPr>
            </w:pPr>
          </w:p>
        </w:tc>
      </w:tr>
      <w:tr>
        <w:trPr>
          <w:trHeight w:val="137"/>
        </w:trPr>
        <w:tc>
          <w:tcPr>
            <w:tcW w:w="5820" w:type="dxa"/>
            <w:vAlign w:val="bottom"/>
            <w:gridSpan w:val="2"/>
          </w:tcPr>
          <w:p>
            <w:pPr>
              <w:ind w:left="380"/>
              <w:spacing w:after="0" w:line="137" w:lineRule="exact"/>
              <w:rPr>
                <w:sz w:val="20"/>
                <w:szCs w:val="20"/>
                <w:color w:val="auto"/>
              </w:rPr>
            </w:pPr>
            <w:r>
              <w:rPr>
                <w:rFonts w:ascii="Times New Roman" w:cs="Times New Roman" w:eastAsia="Times New Roman" w:hAnsi="Times New Roman"/>
                <w:sz w:val="15"/>
                <w:szCs w:val="15"/>
                <w:b w:val="1"/>
                <w:bCs w:val="1"/>
                <w:color w:val="1E1E1E"/>
              </w:rPr>
              <w:t>Net (decrease) increase in cash and cash equivalents</w:t>
            </w:r>
          </w:p>
        </w:tc>
        <w:tc>
          <w:tcPr>
            <w:tcW w:w="740" w:type="dxa"/>
            <w:vAlign w:val="bottom"/>
          </w:tcPr>
          <w:p>
            <w:pPr>
              <w:spacing w:after="0"/>
              <w:rPr>
                <w:sz w:val="11"/>
                <w:szCs w:val="11"/>
                <w:color w:val="auto"/>
              </w:rPr>
            </w:pPr>
          </w:p>
        </w:tc>
        <w:tc>
          <w:tcPr>
            <w:tcW w:w="460" w:type="dxa"/>
            <w:vAlign w:val="bottom"/>
          </w:tcPr>
          <w:p>
            <w:pPr>
              <w:jc w:val="right"/>
              <w:spacing w:after="0" w:line="137" w:lineRule="exact"/>
              <w:rPr>
                <w:sz w:val="20"/>
                <w:szCs w:val="20"/>
                <w:color w:val="auto"/>
              </w:rPr>
            </w:pPr>
            <w:r>
              <w:rPr>
                <w:rFonts w:ascii="Times New Roman" w:cs="Times New Roman" w:eastAsia="Times New Roman" w:hAnsi="Times New Roman"/>
                <w:sz w:val="15"/>
                <w:szCs w:val="15"/>
                <w:color w:val="1E1E1E"/>
                <w:w w:val="85"/>
              </w:rPr>
              <w:t>(12,238)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7" w:lineRule="exact"/>
              <w:rPr>
                <w:sz w:val="20"/>
                <w:szCs w:val="20"/>
                <w:color w:val="auto"/>
              </w:rPr>
            </w:pPr>
            <w:r>
              <w:rPr>
                <w:rFonts w:ascii="Times New Roman" w:cs="Times New Roman" w:eastAsia="Times New Roman" w:hAnsi="Times New Roman"/>
                <w:sz w:val="15"/>
                <w:szCs w:val="15"/>
                <w:color w:val="1E1E1E"/>
              </w:rPr>
              <w:t>(20,600)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7" w:lineRule="exact"/>
              <w:rPr>
                <w:sz w:val="20"/>
                <w:szCs w:val="20"/>
                <w:color w:val="auto"/>
              </w:rPr>
            </w:pPr>
            <w:r>
              <w:rPr>
                <w:rFonts w:ascii="Times New Roman" w:cs="Times New Roman" w:eastAsia="Times New Roman" w:hAnsi="Times New Roman"/>
                <w:sz w:val="15"/>
                <w:szCs w:val="15"/>
                <w:color w:val="1E1E1E"/>
              </w:rPr>
              <w:t>26,388</w:t>
            </w:r>
          </w:p>
        </w:tc>
        <w:tc>
          <w:tcPr>
            <w:tcW w:w="80" w:type="dxa"/>
            <w:vAlign w:val="bottom"/>
          </w:tcPr>
          <w:p>
            <w:pPr>
              <w:spacing w:after="0"/>
              <w:rPr>
                <w:sz w:val="11"/>
                <w:szCs w:val="11"/>
                <w:color w:val="auto"/>
              </w:rPr>
            </w:pPr>
          </w:p>
        </w:tc>
      </w:tr>
      <w:tr>
        <w:trPr>
          <w:trHeight w:val="187"/>
        </w:trPr>
        <w:tc>
          <w:tcPr>
            <w:tcW w:w="5720" w:type="dxa"/>
            <w:vAlign w:val="bottom"/>
            <w:tcBorders>
              <w:bottom w:val="single" w:sz="8" w:color="E4E4E4"/>
            </w:tcBorders>
            <w:shd w:val="clear" w:color="auto" w:fill="E4E4E4"/>
          </w:tcPr>
          <w:p>
            <w:pPr>
              <w:spacing w:after="0" w:line="167" w:lineRule="exact"/>
              <w:rPr>
                <w:sz w:val="20"/>
                <w:szCs w:val="20"/>
                <w:color w:val="auto"/>
              </w:rPr>
            </w:pPr>
            <w:r>
              <w:rPr>
                <w:rFonts w:ascii="Times New Roman" w:cs="Times New Roman" w:eastAsia="Times New Roman" w:hAnsi="Times New Roman"/>
                <w:sz w:val="15"/>
                <w:szCs w:val="15"/>
                <w:b w:val="1"/>
                <w:bCs w:val="1"/>
                <w:color w:val="1E1E1E"/>
              </w:rPr>
              <w:t>Cash and cash equivalents at beginning of the year</w:t>
            </w:r>
          </w:p>
        </w:tc>
        <w:tc>
          <w:tcPr>
            <w:tcW w:w="100" w:type="dxa"/>
            <w:vAlign w:val="bottom"/>
            <w:tcBorders>
              <w:bottom w:val="single" w:sz="8" w:color="E4E4E4"/>
            </w:tcBorders>
            <w:shd w:val="clear" w:color="auto" w:fill="E4E4E4"/>
          </w:tcPr>
          <w:p>
            <w:pPr>
              <w:spacing w:after="0"/>
              <w:rPr>
                <w:sz w:val="16"/>
                <w:szCs w:val="16"/>
                <w:color w:val="auto"/>
              </w:rPr>
            </w:pPr>
          </w:p>
        </w:tc>
        <w:tc>
          <w:tcPr>
            <w:tcW w:w="740" w:type="dxa"/>
            <w:vAlign w:val="bottom"/>
            <w:tcBorders>
              <w:bottom w:val="single" w:sz="8" w:color="1E1E1E"/>
            </w:tcBorders>
            <w:shd w:val="clear" w:color="auto" w:fill="E4E4E4"/>
          </w:tcPr>
          <w:p>
            <w:pPr>
              <w:spacing w:after="0"/>
              <w:rPr>
                <w:sz w:val="16"/>
                <w:szCs w:val="16"/>
                <w:color w:val="auto"/>
              </w:rPr>
            </w:pPr>
          </w:p>
        </w:tc>
        <w:tc>
          <w:tcPr>
            <w:tcW w:w="460" w:type="dxa"/>
            <w:vAlign w:val="bottom"/>
            <w:tcBorders>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65,662</w:t>
            </w:r>
          </w:p>
        </w:tc>
        <w:tc>
          <w:tcPr>
            <w:tcW w:w="100" w:type="dxa"/>
            <w:vAlign w:val="bottom"/>
            <w:tcBorders>
              <w:bottom w:val="single" w:sz="8" w:color="E4E4E4"/>
            </w:tcBorders>
            <w:shd w:val="clear" w:color="auto" w:fill="E4E4E4"/>
          </w:tcPr>
          <w:p>
            <w:pPr>
              <w:spacing w:after="0"/>
              <w:rPr>
                <w:sz w:val="16"/>
                <w:szCs w:val="16"/>
                <w:color w:val="auto"/>
              </w:rPr>
            </w:pPr>
          </w:p>
        </w:tc>
        <w:tc>
          <w:tcPr>
            <w:tcW w:w="100" w:type="dxa"/>
            <w:vAlign w:val="bottom"/>
            <w:tcBorders>
              <w:bottom w:val="single" w:sz="8" w:color="1E1E1E"/>
            </w:tcBorders>
            <w:shd w:val="clear" w:color="auto" w:fill="E4E4E4"/>
          </w:tcPr>
          <w:p>
            <w:pPr>
              <w:spacing w:after="0"/>
              <w:rPr>
                <w:sz w:val="16"/>
                <w:szCs w:val="16"/>
                <w:color w:val="auto"/>
              </w:rPr>
            </w:pPr>
          </w:p>
        </w:tc>
        <w:tc>
          <w:tcPr>
            <w:tcW w:w="260" w:type="dxa"/>
            <w:vAlign w:val="bottom"/>
            <w:tcBorders>
              <w:bottom w:val="single" w:sz="8" w:color="1E1E1E"/>
            </w:tcBorders>
            <w:shd w:val="clear" w:color="auto" w:fill="E4E4E4"/>
          </w:tcPr>
          <w:p>
            <w:pPr>
              <w:spacing w:after="0"/>
              <w:rPr>
                <w:sz w:val="16"/>
                <w:szCs w:val="16"/>
                <w:color w:val="auto"/>
              </w:rPr>
            </w:pPr>
          </w:p>
        </w:tc>
        <w:tc>
          <w:tcPr>
            <w:tcW w:w="920" w:type="dxa"/>
            <w:vAlign w:val="bottom"/>
            <w:tcBorders>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86,262</w:t>
            </w:r>
          </w:p>
        </w:tc>
        <w:tc>
          <w:tcPr>
            <w:tcW w:w="100" w:type="dxa"/>
            <w:vAlign w:val="bottom"/>
            <w:tcBorders>
              <w:bottom w:val="single" w:sz="8" w:color="E4E4E4"/>
            </w:tcBorders>
            <w:shd w:val="clear" w:color="auto" w:fill="E4E4E4"/>
          </w:tcPr>
          <w:p>
            <w:pPr>
              <w:spacing w:after="0"/>
              <w:rPr>
                <w:sz w:val="16"/>
                <w:szCs w:val="16"/>
                <w:color w:val="auto"/>
              </w:rPr>
            </w:pPr>
          </w:p>
        </w:tc>
        <w:tc>
          <w:tcPr>
            <w:tcW w:w="120" w:type="dxa"/>
            <w:vAlign w:val="bottom"/>
            <w:tcBorders>
              <w:bottom w:val="single" w:sz="8" w:color="1E1E1E"/>
            </w:tcBorders>
            <w:shd w:val="clear" w:color="auto" w:fill="E4E4E4"/>
          </w:tcPr>
          <w:p>
            <w:pPr>
              <w:spacing w:after="0"/>
              <w:rPr>
                <w:sz w:val="16"/>
                <w:szCs w:val="16"/>
                <w:color w:val="auto"/>
              </w:rPr>
            </w:pPr>
          </w:p>
        </w:tc>
        <w:tc>
          <w:tcPr>
            <w:tcW w:w="220" w:type="dxa"/>
            <w:vAlign w:val="bottom"/>
            <w:tcBorders>
              <w:bottom w:val="single" w:sz="8" w:color="1E1E1E"/>
            </w:tcBorders>
            <w:shd w:val="clear" w:color="auto" w:fill="E4E4E4"/>
          </w:tcPr>
          <w:p>
            <w:pPr>
              <w:spacing w:after="0"/>
              <w:rPr>
                <w:sz w:val="16"/>
                <w:szCs w:val="16"/>
                <w:color w:val="auto"/>
              </w:rPr>
            </w:pPr>
          </w:p>
        </w:tc>
        <w:tc>
          <w:tcPr>
            <w:tcW w:w="840" w:type="dxa"/>
            <w:vAlign w:val="bottom"/>
            <w:tcBorders>
              <w:bottom w:val="single" w:sz="8" w:color="1E1E1E"/>
            </w:tcBorders>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59,874</w:t>
            </w:r>
          </w:p>
        </w:tc>
        <w:tc>
          <w:tcPr>
            <w:tcW w:w="80" w:type="dxa"/>
            <w:vAlign w:val="bottom"/>
            <w:tcBorders>
              <w:bottom w:val="single" w:sz="8" w:color="E4E4E4"/>
            </w:tcBorders>
            <w:shd w:val="clear" w:color="auto" w:fill="E4E4E4"/>
          </w:tcPr>
          <w:p>
            <w:pPr>
              <w:spacing w:after="0"/>
              <w:rPr>
                <w:sz w:val="16"/>
                <w:szCs w:val="16"/>
                <w:color w:val="auto"/>
              </w:rPr>
            </w:pPr>
          </w:p>
        </w:tc>
      </w:tr>
      <w:tr>
        <w:trPr>
          <w:trHeight w:val="177"/>
        </w:trPr>
        <w:tc>
          <w:tcPr>
            <w:tcW w:w="5720" w:type="dxa"/>
            <w:vAlign w:val="bottom"/>
            <w:tcBorders>
              <w:bottom w:val="single" w:sz="8" w:color="E4E4E4"/>
            </w:tcBorders>
          </w:tcPr>
          <w:p>
            <w:pPr>
              <w:spacing w:after="0" w:line="137" w:lineRule="exact"/>
              <w:rPr>
                <w:sz w:val="20"/>
                <w:szCs w:val="20"/>
                <w:color w:val="auto"/>
              </w:rPr>
            </w:pPr>
            <w:r>
              <w:rPr>
                <w:rFonts w:ascii="Times New Roman" w:cs="Times New Roman" w:eastAsia="Times New Roman" w:hAnsi="Times New Roman"/>
                <w:sz w:val="15"/>
                <w:szCs w:val="15"/>
                <w:b w:val="1"/>
                <w:bCs w:val="1"/>
                <w:color w:val="1E1E1E"/>
              </w:rPr>
              <w:t>Cash and cash equivalents at end of the year</w:t>
            </w:r>
          </w:p>
        </w:tc>
        <w:tc>
          <w:tcPr>
            <w:tcW w:w="100" w:type="dxa"/>
            <w:vAlign w:val="bottom"/>
            <w:tcBorders>
              <w:bottom w:val="single" w:sz="8" w:color="E4E4E4"/>
            </w:tcBorders>
          </w:tcPr>
          <w:p>
            <w:pPr>
              <w:spacing w:after="0"/>
              <w:rPr>
                <w:sz w:val="15"/>
                <w:szCs w:val="15"/>
                <w:color w:val="auto"/>
              </w:rPr>
            </w:pPr>
          </w:p>
        </w:tc>
        <w:tc>
          <w:tcPr>
            <w:tcW w:w="740" w:type="dxa"/>
            <w:vAlign w:val="bottom"/>
            <w:tcBorders>
              <w:bottom w:val="single" w:sz="8" w:color="1E1E1E"/>
            </w:tcBorders>
          </w:tcPr>
          <w:p>
            <w:pPr>
              <w:jc w:val="right"/>
              <w:ind w:right="587"/>
              <w:spacing w:after="0" w:line="137" w:lineRule="exact"/>
              <w:rPr>
                <w:sz w:val="20"/>
                <w:szCs w:val="20"/>
                <w:color w:val="auto"/>
              </w:rPr>
            </w:pPr>
            <w:r>
              <w:rPr>
                <w:rFonts w:ascii="Times New Roman" w:cs="Times New Roman" w:eastAsia="Times New Roman" w:hAnsi="Times New Roman"/>
                <w:sz w:val="15"/>
                <w:szCs w:val="15"/>
                <w:color w:val="1E1E1E"/>
                <w:w w:val="79"/>
              </w:rPr>
              <w:t>$</w:t>
            </w:r>
          </w:p>
        </w:tc>
        <w:tc>
          <w:tcPr>
            <w:tcW w:w="460" w:type="dxa"/>
            <w:vAlign w:val="bottom"/>
            <w:tcBorders>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53,424</w:t>
            </w:r>
          </w:p>
        </w:tc>
        <w:tc>
          <w:tcPr>
            <w:tcW w:w="100" w:type="dxa"/>
            <w:vAlign w:val="bottom"/>
            <w:tcBorders>
              <w:bottom w:val="single" w:sz="8" w:color="E4E4E4"/>
            </w:tcBorders>
          </w:tcPr>
          <w:p>
            <w:pPr>
              <w:spacing w:after="0"/>
              <w:rPr>
                <w:sz w:val="15"/>
                <w:szCs w:val="15"/>
                <w:color w:val="auto"/>
              </w:rPr>
            </w:pPr>
          </w:p>
        </w:tc>
        <w:tc>
          <w:tcPr>
            <w:tcW w:w="100" w:type="dxa"/>
            <w:vAlign w:val="bottom"/>
            <w:tcBorders>
              <w:bottom w:val="single" w:sz="8" w:color="1E1E1E"/>
            </w:tcBorders>
          </w:tcPr>
          <w:p>
            <w:pPr>
              <w:spacing w:after="0"/>
              <w:rPr>
                <w:sz w:val="15"/>
                <w:szCs w:val="15"/>
                <w:color w:val="auto"/>
              </w:rPr>
            </w:pPr>
          </w:p>
        </w:tc>
        <w:tc>
          <w:tcPr>
            <w:tcW w:w="260" w:type="dxa"/>
            <w:vAlign w:val="bottom"/>
            <w:tcBorders>
              <w:bottom w:val="single" w:sz="8" w:color="1E1E1E"/>
            </w:tcBorders>
          </w:tcPr>
          <w:p>
            <w:pPr>
              <w:jc w:val="right"/>
              <w:ind w:right="107"/>
              <w:spacing w:after="0" w:line="137" w:lineRule="exact"/>
              <w:rPr>
                <w:sz w:val="20"/>
                <w:szCs w:val="20"/>
                <w:color w:val="auto"/>
              </w:rPr>
            </w:pPr>
            <w:r>
              <w:rPr>
                <w:rFonts w:ascii="Times New Roman" w:cs="Times New Roman" w:eastAsia="Times New Roman" w:hAnsi="Times New Roman"/>
                <w:sz w:val="15"/>
                <w:szCs w:val="15"/>
                <w:color w:val="1E1E1E"/>
                <w:w w:val="79"/>
              </w:rPr>
              <w:t>$</w:t>
            </w:r>
          </w:p>
        </w:tc>
        <w:tc>
          <w:tcPr>
            <w:tcW w:w="920" w:type="dxa"/>
            <w:vAlign w:val="bottom"/>
            <w:tcBorders>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65,662</w:t>
            </w:r>
          </w:p>
        </w:tc>
        <w:tc>
          <w:tcPr>
            <w:tcW w:w="100" w:type="dxa"/>
            <w:vAlign w:val="bottom"/>
            <w:tcBorders>
              <w:bottom w:val="single" w:sz="8" w:color="E4E4E4"/>
            </w:tcBorders>
          </w:tcPr>
          <w:p>
            <w:pPr>
              <w:spacing w:after="0"/>
              <w:rPr>
                <w:sz w:val="15"/>
                <w:szCs w:val="15"/>
                <w:color w:val="auto"/>
              </w:rPr>
            </w:pPr>
          </w:p>
        </w:tc>
        <w:tc>
          <w:tcPr>
            <w:tcW w:w="120" w:type="dxa"/>
            <w:vAlign w:val="bottom"/>
            <w:tcBorders>
              <w:bottom w:val="single" w:sz="8" w:color="1E1E1E"/>
            </w:tcBorders>
          </w:tcPr>
          <w:p>
            <w:pPr>
              <w:spacing w:after="0"/>
              <w:rPr>
                <w:sz w:val="15"/>
                <w:szCs w:val="15"/>
                <w:color w:val="auto"/>
              </w:rPr>
            </w:pPr>
          </w:p>
        </w:tc>
        <w:tc>
          <w:tcPr>
            <w:tcW w:w="220" w:type="dxa"/>
            <w:vAlign w:val="bottom"/>
            <w:tcBorders>
              <w:bottom w:val="single" w:sz="8" w:color="1E1E1E"/>
            </w:tcBorders>
          </w:tcPr>
          <w:p>
            <w:pPr>
              <w:jc w:val="right"/>
              <w:ind w:right="103"/>
              <w:spacing w:after="0"/>
              <w:rPr>
                <w:sz w:val="20"/>
                <w:szCs w:val="20"/>
                <w:color w:val="auto"/>
              </w:rPr>
            </w:pPr>
            <w:r>
              <w:rPr>
                <w:rFonts w:ascii="Times New Roman" w:cs="Times New Roman" w:eastAsia="Times New Roman" w:hAnsi="Times New Roman"/>
                <w:sz w:val="11"/>
                <w:szCs w:val="11"/>
                <w:color w:val="1E1E1E"/>
                <w:w w:val="71"/>
              </w:rPr>
              <w:t>$</w:t>
            </w:r>
          </w:p>
        </w:tc>
        <w:tc>
          <w:tcPr>
            <w:tcW w:w="840" w:type="dxa"/>
            <w:vAlign w:val="bottom"/>
            <w:tcBorders>
              <w:bottom w:val="single" w:sz="8" w:color="1E1E1E"/>
            </w:tcBorders>
          </w:tcPr>
          <w:p>
            <w:pPr>
              <w:jc w:val="right"/>
              <w:spacing w:after="0" w:line="137" w:lineRule="exact"/>
              <w:rPr>
                <w:sz w:val="20"/>
                <w:szCs w:val="20"/>
                <w:color w:val="auto"/>
              </w:rPr>
            </w:pPr>
            <w:r>
              <w:rPr>
                <w:rFonts w:ascii="Times New Roman" w:cs="Times New Roman" w:eastAsia="Times New Roman" w:hAnsi="Times New Roman"/>
                <w:sz w:val="15"/>
                <w:szCs w:val="15"/>
                <w:color w:val="1E1E1E"/>
              </w:rPr>
              <w:t>86,262</w:t>
            </w:r>
          </w:p>
        </w:tc>
        <w:tc>
          <w:tcPr>
            <w:tcW w:w="80" w:type="dxa"/>
            <w:vAlign w:val="bottom"/>
            <w:tcBorders>
              <w:bottom w:val="single" w:sz="8" w:color="E4E4E4"/>
            </w:tcBorders>
          </w:tcPr>
          <w:p>
            <w:pPr>
              <w:spacing w:after="0"/>
              <w:rPr>
                <w:sz w:val="15"/>
                <w:szCs w:val="15"/>
                <w:color w:val="auto"/>
              </w:rPr>
            </w:pPr>
          </w:p>
        </w:tc>
      </w:tr>
      <w:tr>
        <w:trPr>
          <w:trHeight w:val="151"/>
        </w:trPr>
        <w:tc>
          <w:tcPr>
            <w:tcW w:w="5720" w:type="dxa"/>
            <w:vAlign w:val="bottom"/>
            <w:shd w:val="clear" w:color="auto" w:fill="E4E4E4"/>
          </w:tcPr>
          <w:p>
            <w:pPr>
              <w:spacing w:after="0" w:line="151" w:lineRule="exact"/>
              <w:rPr>
                <w:sz w:val="20"/>
                <w:szCs w:val="20"/>
                <w:color w:val="auto"/>
              </w:rPr>
            </w:pPr>
            <w:r>
              <w:rPr>
                <w:rFonts w:ascii="Times New Roman" w:cs="Times New Roman" w:eastAsia="Times New Roman" w:hAnsi="Times New Roman"/>
                <w:sz w:val="15"/>
                <w:szCs w:val="15"/>
                <w:b w:val="1"/>
                <w:bCs w:val="1"/>
                <w:color w:val="1E1E1E"/>
              </w:rPr>
              <w:t>Supplemental cash flow information:</w:t>
            </w:r>
          </w:p>
        </w:tc>
        <w:tc>
          <w:tcPr>
            <w:tcW w:w="100" w:type="dxa"/>
            <w:vAlign w:val="bottom"/>
            <w:shd w:val="clear" w:color="auto" w:fill="E4E4E4"/>
          </w:tcPr>
          <w:p>
            <w:pPr>
              <w:spacing w:after="0"/>
              <w:rPr>
                <w:sz w:val="13"/>
                <w:szCs w:val="13"/>
                <w:color w:val="auto"/>
              </w:rPr>
            </w:pPr>
          </w:p>
        </w:tc>
        <w:tc>
          <w:tcPr>
            <w:tcW w:w="740" w:type="dxa"/>
            <w:vAlign w:val="bottom"/>
            <w:shd w:val="clear" w:color="auto" w:fill="E4E4E4"/>
          </w:tcPr>
          <w:p>
            <w:pPr>
              <w:spacing w:after="0"/>
              <w:rPr>
                <w:sz w:val="13"/>
                <w:szCs w:val="13"/>
                <w:color w:val="auto"/>
              </w:rPr>
            </w:pPr>
          </w:p>
        </w:tc>
        <w:tc>
          <w:tcPr>
            <w:tcW w:w="46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260" w:type="dxa"/>
            <w:vAlign w:val="bottom"/>
            <w:shd w:val="clear" w:color="auto" w:fill="E4E4E4"/>
          </w:tcPr>
          <w:p>
            <w:pPr>
              <w:spacing w:after="0"/>
              <w:rPr>
                <w:sz w:val="13"/>
                <w:szCs w:val="13"/>
                <w:color w:val="auto"/>
              </w:rPr>
            </w:pPr>
          </w:p>
        </w:tc>
        <w:tc>
          <w:tcPr>
            <w:tcW w:w="920" w:type="dxa"/>
            <w:vAlign w:val="bottom"/>
            <w:shd w:val="clear" w:color="auto" w:fill="E4E4E4"/>
          </w:tcPr>
          <w:p>
            <w:pPr>
              <w:spacing w:after="0"/>
              <w:rPr>
                <w:sz w:val="13"/>
                <w:szCs w:val="13"/>
                <w:color w:val="auto"/>
              </w:rPr>
            </w:pPr>
          </w:p>
        </w:tc>
        <w:tc>
          <w:tcPr>
            <w:tcW w:w="100" w:type="dxa"/>
            <w:vAlign w:val="bottom"/>
            <w:shd w:val="clear" w:color="auto" w:fill="E4E4E4"/>
          </w:tcPr>
          <w:p>
            <w:pPr>
              <w:spacing w:after="0"/>
              <w:rPr>
                <w:sz w:val="13"/>
                <w:szCs w:val="13"/>
                <w:color w:val="auto"/>
              </w:rPr>
            </w:pPr>
          </w:p>
        </w:tc>
        <w:tc>
          <w:tcPr>
            <w:tcW w:w="120" w:type="dxa"/>
            <w:vAlign w:val="bottom"/>
            <w:shd w:val="clear" w:color="auto" w:fill="E4E4E4"/>
          </w:tcPr>
          <w:p>
            <w:pPr>
              <w:spacing w:after="0"/>
              <w:rPr>
                <w:sz w:val="13"/>
                <w:szCs w:val="13"/>
                <w:color w:val="auto"/>
              </w:rPr>
            </w:pPr>
          </w:p>
        </w:tc>
        <w:tc>
          <w:tcPr>
            <w:tcW w:w="220" w:type="dxa"/>
            <w:vAlign w:val="bottom"/>
            <w:shd w:val="clear" w:color="auto" w:fill="E4E4E4"/>
          </w:tcPr>
          <w:p>
            <w:pPr>
              <w:spacing w:after="0"/>
              <w:rPr>
                <w:sz w:val="13"/>
                <w:szCs w:val="13"/>
                <w:color w:val="auto"/>
              </w:rPr>
            </w:pPr>
          </w:p>
        </w:tc>
        <w:tc>
          <w:tcPr>
            <w:tcW w:w="840" w:type="dxa"/>
            <w:vAlign w:val="bottom"/>
            <w:shd w:val="clear" w:color="auto" w:fill="E4E4E4"/>
          </w:tcPr>
          <w:p>
            <w:pPr>
              <w:spacing w:after="0"/>
              <w:rPr>
                <w:sz w:val="13"/>
                <w:szCs w:val="13"/>
                <w:color w:val="auto"/>
              </w:rPr>
            </w:pPr>
          </w:p>
        </w:tc>
        <w:tc>
          <w:tcPr>
            <w:tcW w:w="80" w:type="dxa"/>
            <w:vAlign w:val="bottom"/>
            <w:shd w:val="clear" w:color="auto" w:fill="E4E4E4"/>
          </w:tcPr>
          <w:p>
            <w:pPr>
              <w:spacing w:after="0"/>
              <w:rPr>
                <w:sz w:val="13"/>
                <w:szCs w:val="13"/>
                <w:color w:val="auto"/>
              </w:rPr>
            </w:pPr>
          </w:p>
        </w:tc>
      </w:tr>
      <w:tr>
        <w:trPr>
          <w:trHeight w:val="167"/>
        </w:trPr>
        <w:tc>
          <w:tcPr>
            <w:tcW w:w="57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1E1E1E"/>
              </w:rPr>
              <w:t>Cash paid for interest</w:t>
            </w:r>
          </w:p>
        </w:tc>
        <w:tc>
          <w:tcPr>
            <w:tcW w:w="100" w:type="dxa"/>
            <w:vAlign w:val="bottom"/>
          </w:tcPr>
          <w:p>
            <w:pPr>
              <w:spacing w:after="0"/>
              <w:rPr>
                <w:sz w:val="14"/>
                <w:szCs w:val="14"/>
                <w:color w:val="auto"/>
              </w:rPr>
            </w:pPr>
          </w:p>
        </w:tc>
        <w:tc>
          <w:tcPr>
            <w:tcW w:w="740" w:type="dxa"/>
            <w:vAlign w:val="bottom"/>
          </w:tcPr>
          <w:p>
            <w:pPr>
              <w:jc w:val="right"/>
              <w:ind w:right="587"/>
              <w:spacing w:after="0" w:line="167" w:lineRule="exact"/>
              <w:rPr>
                <w:sz w:val="20"/>
                <w:szCs w:val="20"/>
                <w:color w:val="auto"/>
              </w:rPr>
            </w:pPr>
            <w:r>
              <w:rPr>
                <w:rFonts w:ascii="Times New Roman" w:cs="Times New Roman" w:eastAsia="Times New Roman" w:hAnsi="Times New Roman"/>
                <w:sz w:val="15"/>
                <w:szCs w:val="15"/>
                <w:color w:val="1E1E1E"/>
                <w:w w:val="79"/>
              </w:rPr>
              <w:t>$</w:t>
            </w: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2,875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1E1E1E"/>
                <w:w w:val="79"/>
              </w:rPr>
              <w:t>$</w:t>
            </w: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1,414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1E1E1E"/>
                <w:w w:val="71"/>
              </w:rPr>
              <w:t>$</w:t>
            </w:r>
          </w:p>
        </w:tc>
        <w:tc>
          <w:tcPr>
            <w:tcW w:w="8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907</w:t>
            </w:r>
          </w:p>
        </w:tc>
        <w:tc>
          <w:tcPr>
            <w:tcW w:w="80" w:type="dxa"/>
            <w:vAlign w:val="bottom"/>
          </w:tcPr>
          <w:p>
            <w:pPr>
              <w:spacing w:after="0"/>
              <w:rPr>
                <w:sz w:val="14"/>
                <w:szCs w:val="14"/>
                <w:color w:val="auto"/>
              </w:rPr>
            </w:pPr>
          </w:p>
        </w:tc>
      </w:tr>
      <w:tr>
        <w:trPr>
          <w:trHeight w:val="167"/>
        </w:trPr>
        <w:tc>
          <w:tcPr>
            <w:tcW w:w="5720" w:type="dxa"/>
            <w:vAlign w:val="bottom"/>
            <w:shd w:val="clear" w:color="auto" w:fill="E4E4E4"/>
          </w:tcPr>
          <w:p>
            <w:pPr>
              <w:spacing w:after="0" w:line="167" w:lineRule="exact"/>
              <w:rPr>
                <w:sz w:val="20"/>
                <w:szCs w:val="20"/>
                <w:color w:val="auto"/>
              </w:rPr>
            </w:pPr>
            <w:r>
              <w:rPr>
                <w:rFonts w:ascii="Times New Roman" w:cs="Times New Roman" w:eastAsia="Times New Roman" w:hAnsi="Times New Roman"/>
                <w:sz w:val="15"/>
                <w:szCs w:val="15"/>
                <w:b w:val="1"/>
                <w:bCs w:val="1"/>
                <w:color w:val="1E1E1E"/>
              </w:rPr>
              <w:t>Non-cash investing and financing activities:</w:t>
            </w:r>
          </w:p>
        </w:tc>
        <w:tc>
          <w:tcPr>
            <w:tcW w:w="100" w:type="dxa"/>
            <w:vAlign w:val="bottom"/>
            <w:shd w:val="clear" w:color="auto" w:fill="E4E4E4"/>
          </w:tcPr>
          <w:p>
            <w:pPr>
              <w:spacing w:after="0"/>
              <w:rPr>
                <w:sz w:val="14"/>
                <w:szCs w:val="14"/>
                <w:color w:val="auto"/>
              </w:rPr>
            </w:pP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92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spacing w:after="0"/>
              <w:rPr>
                <w:sz w:val="14"/>
                <w:szCs w:val="14"/>
                <w:color w:val="auto"/>
              </w:rPr>
            </w:pPr>
          </w:p>
        </w:tc>
        <w:tc>
          <w:tcPr>
            <w:tcW w:w="80" w:type="dxa"/>
            <w:vAlign w:val="bottom"/>
            <w:shd w:val="clear" w:color="auto" w:fill="E4E4E4"/>
          </w:tcPr>
          <w:p>
            <w:pPr>
              <w:spacing w:after="0"/>
              <w:rPr>
                <w:sz w:val="14"/>
                <w:szCs w:val="14"/>
                <w:color w:val="auto"/>
              </w:rPr>
            </w:pPr>
          </w:p>
        </w:tc>
      </w:tr>
      <w:tr>
        <w:trPr>
          <w:trHeight w:val="167"/>
        </w:trPr>
        <w:tc>
          <w:tcPr>
            <w:tcW w:w="57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1E1E1E"/>
              </w:rPr>
              <w:t>Non-cash purchase of property and equipment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5,353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1E1E1E"/>
              </w:rPr>
              <w:t>279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1E1E1E"/>
              </w:rPr>
              <w:t>—</w:t>
            </w:r>
          </w:p>
        </w:tc>
      </w:tr>
      <w:tr>
        <w:trPr>
          <w:trHeight w:val="167"/>
        </w:trPr>
        <w:tc>
          <w:tcPr>
            <w:tcW w:w="5820" w:type="dxa"/>
            <w:vAlign w:val="bottom"/>
            <w:gridSpan w:val="2"/>
            <w:shd w:val="clear" w:color="auto" w:fill="E4E4E4"/>
          </w:tcPr>
          <w:p>
            <w:pPr>
              <w:spacing w:after="0" w:line="167" w:lineRule="exact"/>
              <w:rPr>
                <w:sz w:val="20"/>
                <w:szCs w:val="20"/>
                <w:color w:val="auto"/>
              </w:rPr>
            </w:pPr>
            <w:r>
              <w:rPr>
                <w:rFonts w:ascii="Times New Roman" w:cs="Times New Roman" w:eastAsia="Times New Roman" w:hAnsi="Times New Roman"/>
                <w:sz w:val="15"/>
                <w:szCs w:val="15"/>
                <w:color w:val="1E1E1E"/>
              </w:rPr>
              <w:t>Non-cash consideration in connection with business combination</w:t>
            </w:r>
          </w:p>
        </w:tc>
        <w:tc>
          <w:tcPr>
            <w:tcW w:w="740" w:type="dxa"/>
            <w:vAlign w:val="bottom"/>
            <w:shd w:val="clear" w:color="auto" w:fill="E4E4E4"/>
          </w:tcPr>
          <w:p>
            <w:pPr>
              <w:spacing w:after="0"/>
              <w:rPr>
                <w:sz w:val="14"/>
                <w:szCs w:val="14"/>
                <w:color w:val="auto"/>
              </w:rPr>
            </w:pPr>
          </w:p>
        </w:tc>
        <w:tc>
          <w:tcPr>
            <w:tcW w:w="46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1,593</w:t>
            </w:r>
          </w:p>
        </w:tc>
        <w:tc>
          <w:tcPr>
            <w:tcW w:w="100" w:type="dxa"/>
            <w:vAlign w:val="bottom"/>
            <w:shd w:val="clear" w:color="auto" w:fill="E4E4E4"/>
          </w:tcPr>
          <w:p>
            <w:pPr>
              <w:spacing w:after="0"/>
              <w:rPr>
                <w:sz w:val="14"/>
                <w:szCs w:val="14"/>
                <w:color w:val="auto"/>
              </w:rPr>
            </w:pPr>
          </w:p>
        </w:tc>
        <w:tc>
          <w:tcPr>
            <w:tcW w:w="100" w:type="dxa"/>
            <w:vAlign w:val="bottom"/>
            <w:shd w:val="clear" w:color="auto" w:fill="E4E4E4"/>
          </w:tcPr>
          <w:p>
            <w:pPr>
              <w:spacing w:after="0"/>
              <w:rPr>
                <w:sz w:val="14"/>
                <w:szCs w:val="14"/>
                <w:color w:val="auto"/>
              </w:rPr>
            </w:pPr>
          </w:p>
        </w:tc>
        <w:tc>
          <w:tcPr>
            <w:tcW w:w="260" w:type="dxa"/>
            <w:vAlign w:val="bottom"/>
            <w:shd w:val="clear" w:color="auto" w:fill="E4E4E4"/>
          </w:tcPr>
          <w:p>
            <w:pPr>
              <w:spacing w:after="0"/>
              <w:rPr>
                <w:sz w:val="14"/>
                <w:szCs w:val="14"/>
                <w:color w:val="auto"/>
              </w:rPr>
            </w:pPr>
          </w:p>
        </w:tc>
        <w:tc>
          <w:tcPr>
            <w:tcW w:w="1020" w:type="dxa"/>
            <w:vAlign w:val="bottom"/>
            <w:gridSpan w:val="2"/>
            <w:shd w:val="clear" w:color="auto" w:fill="E4E4E4"/>
          </w:tcPr>
          <w:p>
            <w:pPr>
              <w:jc w:val="right"/>
              <w:ind w:right="40"/>
              <w:spacing w:after="0" w:line="167" w:lineRule="exact"/>
              <w:rPr>
                <w:sz w:val="20"/>
                <w:szCs w:val="20"/>
                <w:color w:val="auto"/>
              </w:rPr>
            </w:pPr>
            <w:r>
              <w:rPr>
                <w:rFonts w:ascii="Times New Roman" w:cs="Times New Roman" w:eastAsia="Times New Roman" w:hAnsi="Times New Roman"/>
                <w:sz w:val="15"/>
                <w:szCs w:val="15"/>
                <w:color w:val="1E1E1E"/>
              </w:rPr>
              <w:t>(518)</w:t>
            </w:r>
          </w:p>
        </w:tc>
        <w:tc>
          <w:tcPr>
            <w:tcW w:w="120" w:type="dxa"/>
            <w:vAlign w:val="bottom"/>
            <w:shd w:val="clear" w:color="auto" w:fill="E4E4E4"/>
          </w:tcPr>
          <w:p>
            <w:pPr>
              <w:spacing w:after="0"/>
              <w:rPr>
                <w:sz w:val="14"/>
                <w:szCs w:val="14"/>
                <w:color w:val="auto"/>
              </w:rPr>
            </w:pPr>
          </w:p>
        </w:tc>
        <w:tc>
          <w:tcPr>
            <w:tcW w:w="220" w:type="dxa"/>
            <w:vAlign w:val="bottom"/>
            <w:shd w:val="clear" w:color="auto" w:fill="E4E4E4"/>
          </w:tcPr>
          <w:p>
            <w:pPr>
              <w:spacing w:after="0"/>
              <w:rPr>
                <w:sz w:val="14"/>
                <w:szCs w:val="14"/>
                <w:color w:val="auto"/>
              </w:rPr>
            </w:pPr>
          </w:p>
        </w:tc>
        <w:tc>
          <w:tcPr>
            <w:tcW w:w="840" w:type="dxa"/>
            <w:vAlign w:val="bottom"/>
            <w:shd w:val="clear" w:color="auto" w:fill="E4E4E4"/>
          </w:tcPr>
          <w:p>
            <w:pPr>
              <w:jc w:val="right"/>
              <w:spacing w:after="0" w:line="167" w:lineRule="exact"/>
              <w:rPr>
                <w:sz w:val="20"/>
                <w:szCs w:val="20"/>
                <w:color w:val="auto"/>
              </w:rPr>
            </w:pPr>
            <w:r>
              <w:rPr>
                <w:rFonts w:ascii="Times New Roman" w:cs="Times New Roman" w:eastAsia="Times New Roman" w:hAnsi="Times New Roman"/>
                <w:sz w:val="15"/>
                <w:szCs w:val="15"/>
                <w:color w:val="1E1E1E"/>
              </w:rPr>
              <w:t>2,339</w:t>
            </w:r>
          </w:p>
        </w:tc>
        <w:tc>
          <w:tcPr>
            <w:tcW w:w="80" w:type="dxa"/>
            <w:vAlign w:val="bottom"/>
            <w:shd w:val="clear" w:color="auto" w:fill="E4E4E4"/>
          </w:tcPr>
          <w:p>
            <w:pPr>
              <w:spacing w:after="0"/>
              <w:rPr>
                <w:sz w:val="14"/>
                <w:szCs w:val="14"/>
                <w:color w:val="auto"/>
              </w:rPr>
            </w:pPr>
          </w:p>
        </w:tc>
      </w:tr>
      <w:tr>
        <w:trPr>
          <w:trHeight w:val="144"/>
        </w:trPr>
        <w:tc>
          <w:tcPr>
            <w:tcW w:w="5820" w:type="dxa"/>
            <w:vAlign w:val="bottom"/>
            <w:gridSpan w:val="2"/>
          </w:tcPr>
          <w:p>
            <w:pPr>
              <w:spacing w:after="0" w:line="144" w:lineRule="exact"/>
              <w:rPr>
                <w:sz w:val="20"/>
                <w:szCs w:val="20"/>
                <w:color w:val="auto"/>
              </w:rPr>
            </w:pPr>
            <w:r>
              <w:rPr>
                <w:rFonts w:ascii="Times New Roman" w:cs="Times New Roman" w:eastAsia="Times New Roman" w:hAnsi="Times New Roman"/>
                <w:sz w:val="15"/>
                <w:szCs w:val="15"/>
                <w:color w:val="1E1E1E"/>
              </w:rPr>
              <w:t>Shares issued in business combinations</w:t>
            </w:r>
          </w:p>
        </w:tc>
        <w:tc>
          <w:tcPr>
            <w:tcW w:w="740" w:type="dxa"/>
            <w:vAlign w:val="bottom"/>
          </w:tcPr>
          <w:p>
            <w:pPr>
              <w:spacing w:after="0"/>
              <w:rPr>
                <w:sz w:val="12"/>
                <w:szCs w:val="12"/>
                <w:color w:val="auto"/>
              </w:rPr>
            </w:pPr>
          </w:p>
        </w:tc>
        <w:tc>
          <w:tcPr>
            <w:tcW w:w="660" w:type="dxa"/>
            <w:vAlign w:val="bottom"/>
            <w:gridSpan w:val="3"/>
          </w:tcPr>
          <w:p>
            <w:pPr>
              <w:jc w:val="right"/>
              <w:ind w:right="200"/>
              <w:spacing w:after="0" w:line="144" w:lineRule="exact"/>
              <w:rPr>
                <w:sz w:val="20"/>
                <w:szCs w:val="20"/>
                <w:color w:val="auto"/>
              </w:rPr>
            </w:pPr>
            <w:r>
              <w:rPr>
                <w:rFonts w:ascii="Times New Roman" w:cs="Times New Roman" w:eastAsia="Times New Roman" w:hAnsi="Times New Roman"/>
                <w:sz w:val="15"/>
                <w:szCs w:val="15"/>
                <w:color w:val="1E1E1E"/>
              </w:rPr>
              <w:t>—</w:t>
            </w:r>
          </w:p>
        </w:tc>
        <w:tc>
          <w:tcPr>
            <w:tcW w:w="260" w:type="dxa"/>
            <w:vAlign w:val="bottom"/>
          </w:tcPr>
          <w:p>
            <w:pPr>
              <w:spacing w:after="0"/>
              <w:rPr>
                <w:sz w:val="12"/>
                <w:szCs w:val="12"/>
                <w:color w:val="auto"/>
              </w:rPr>
            </w:pPr>
          </w:p>
        </w:tc>
        <w:tc>
          <w:tcPr>
            <w:tcW w:w="1140" w:type="dxa"/>
            <w:vAlign w:val="bottom"/>
            <w:gridSpan w:val="3"/>
          </w:tcPr>
          <w:p>
            <w:pPr>
              <w:jc w:val="right"/>
              <w:ind w:right="220"/>
              <w:spacing w:after="0" w:line="144" w:lineRule="exact"/>
              <w:rPr>
                <w:sz w:val="20"/>
                <w:szCs w:val="20"/>
                <w:color w:val="auto"/>
              </w:rPr>
            </w:pPr>
            <w:r>
              <w:rPr>
                <w:rFonts w:ascii="Times New Roman" w:cs="Times New Roman" w:eastAsia="Times New Roman" w:hAnsi="Times New Roman"/>
                <w:sz w:val="15"/>
                <w:szCs w:val="15"/>
                <w:color w:val="1E1E1E"/>
              </w:rPr>
              <w:t>—</w:t>
            </w:r>
          </w:p>
        </w:tc>
        <w:tc>
          <w:tcPr>
            <w:tcW w:w="22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Times New Roman" w:cs="Times New Roman" w:eastAsia="Times New Roman" w:hAnsi="Times New Roman"/>
                <w:sz w:val="15"/>
                <w:szCs w:val="15"/>
                <w:color w:val="1E1E1E"/>
              </w:rPr>
              <w:t>102,888</w:t>
            </w:r>
          </w:p>
        </w:tc>
        <w:tc>
          <w:tcPr>
            <w:tcW w:w="80" w:type="dxa"/>
            <w:vAlign w:val="bottom"/>
          </w:tcPr>
          <w:p>
            <w:pPr>
              <w:spacing w:after="0"/>
              <w:rPr>
                <w:sz w:val="12"/>
                <w:szCs w:val="12"/>
                <w:color w:val="auto"/>
              </w:rPr>
            </w:pPr>
          </w:p>
        </w:tc>
      </w:tr>
    </w:tbl>
    <w:p>
      <w:pPr>
        <w:jc w:val="center"/>
        <w:spacing w:after="0"/>
        <w:rPr>
          <w:sz w:val="20"/>
          <w:szCs w:val="20"/>
          <w:color w:val="auto"/>
        </w:rPr>
      </w:pPr>
      <w:r>
        <w:rPr>
          <w:rFonts w:ascii="Times New Roman" w:cs="Times New Roman" w:eastAsia="Times New Roman" w:hAnsi="Times New Roman"/>
          <w:sz w:val="19"/>
          <w:szCs w:val="19"/>
          <w:b w:val="1"/>
          <w:bCs w:val="1"/>
          <w:color w:val="1E1E1E"/>
        </w:rPr>
        <w:t>See accompanying notes to the consolidated financial statements.</w:t>
      </w:r>
    </w:p>
    <w:p>
      <w:pPr>
        <w:sectPr>
          <w:pgSz w:w="11880" w:h="15480" w:orient="portrait"/>
          <w:cols w:equalWidth="0" w:num="1">
            <w:col w:w="9760"/>
          </w:cols>
          <w:pgMar w:left="1060" w:top="1080"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73</w:t>
      </w:r>
    </w:p>
    <w:p>
      <w:pPr>
        <w:sectPr>
          <w:pgSz w:w="11880" w:h="15480" w:orient="portrait"/>
          <w:cols w:equalWidth="0" w:num="1">
            <w:col w:w="9760"/>
          </w:cols>
          <w:pgMar w:left="1060" w:top="1080" w:right="1060" w:bottom="215" w:gutter="0" w:footer="0" w:header="0"/>
          <w:type w:val="continuous"/>
        </w:sectPr>
      </w:pPr>
    </w:p>
    <w:bookmarkStart w:id="79" w:name="page80"/>
    <w:bookmarkEnd w:id="79"/>
    <w:p>
      <w:pPr>
        <w:ind w:left="3190"/>
        <w:spacing w:after="0"/>
        <w:rPr>
          <w:sz w:val="20"/>
          <w:szCs w:val="20"/>
          <w:color w:val="auto"/>
        </w:rPr>
      </w:pPr>
      <w:r>
        <w:rPr>
          <w:rFonts w:ascii="Times New Roman" w:cs="Times New Roman" w:eastAsia="Times New Roman" w:hAnsi="Times New Roman"/>
          <w:sz w:val="19"/>
          <w:szCs w:val="19"/>
          <w:b w:val="1"/>
          <w:bCs w:val="1"/>
          <w:color w:val="1E1E1E"/>
        </w:rPr>
        <w:t>XOMETRY, INC. AND SUBSIDIARIES</w:t>
      </w:r>
    </w:p>
    <w:p>
      <w:pPr>
        <w:spacing w:after="0" w:line="8" w:lineRule="exact"/>
        <w:rPr>
          <w:sz w:val="20"/>
          <w:szCs w:val="20"/>
          <w:color w:val="auto"/>
        </w:rPr>
      </w:pPr>
    </w:p>
    <w:p>
      <w:pPr>
        <w:ind w:left="3190"/>
        <w:spacing w:after="0"/>
        <w:rPr>
          <w:sz w:val="20"/>
          <w:szCs w:val="20"/>
          <w:color w:val="auto"/>
        </w:rPr>
      </w:pPr>
      <w:r>
        <w:rPr>
          <w:rFonts w:ascii="Times New Roman" w:cs="Times New Roman" w:eastAsia="Times New Roman" w:hAnsi="Times New Roman"/>
          <w:sz w:val="19"/>
          <w:szCs w:val="19"/>
          <w:color w:val="1E1E1E"/>
        </w:rPr>
        <w:t>Notes to Consolidated Financial Statements</w:t>
      </w:r>
    </w:p>
    <w:p>
      <w:pPr>
        <w:spacing w:after="0" w:line="225" w:lineRule="exact"/>
        <w:rPr>
          <w:sz w:val="20"/>
          <w:szCs w:val="20"/>
          <w:color w:val="auto"/>
        </w:rPr>
      </w:pPr>
    </w:p>
    <w:p>
      <w:pPr>
        <w:ind w:left="610" w:hanging="610"/>
        <w:spacing w:after="0"/>
        <w:tabs>
          <w:tab w:leader="none" w:pos="610" w:val="left"/>
        </w:tabs>
        <w:numPr>
          <w:ilvl w:val="0"/>
          <w:numId w:val="32"/>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Organization and Description of Business</w:t>
      </w:r>
    </w:p>
    <w:p>
      <w:pPr>
        <w:spacing w:after="0" w:line="231" w:lineRule="exact"/>
        <w:rPr>
          <w:sz w:val="20"/>
          <w:szCs w:val="20"/>
          <w:color w:val="auto"/>
        </w:rPr>
      </w:pPr>
    </w:p>
    <w:p>
      <w:pPr>
        <w:ind w:left="10" w:firstLine="601"/>
        <w:spacing w:after="0" w:line="254" w:lineRule="auto"/>
        <w:rPr>
          <w:sz w:val="20"/>
          <w:szCs w:val="20"/>
          <w:color w:val="auto"/>
        </w:rPr>
      </w:pPr>
      <w:r>
        <w:rPr>
          <w:rFonts w:ascii="Times New Roman" w:cs="Times New Roman" w:eastAsia="Times New Roman" w:hAnsi="Times New Roman"/>
          <w:sz w:val="19"/>
          <w:szCs w:val="19"/>
          <w:color w:val="1E1E1E"/>
        </w:rPr>
        <w:t>Xometry, Inc. (“Xometry”, the “Company”, “we”, or “our”) was incorporated in the State of Delaware in May 2013. Xometry is a global artificial intelligence (“AI”) powered online marketplace connecting buyers with suppliers of manufacturing services, driving the digital transformation of one of the largest industries in the world. We use our proprietary AI, machine learning and cloud-based services, including our Thomasnet® platform, to help buyers efficiently source custom-manufactured parts and assemblies, and empower suppliers of manufacturing services to grow their businesses. Xometry's corporate headquarters is located in North Bethesda, Maryland.</w:t>
      </w:r>
    </w:p>
    <w:p>
      <w:pPr>
        <w:spacing w:after="0" w:line="175" w:lineRule="exact"/>
        <w:rPr>
          <w:sz w:val="20"/>
          <w:szCs w:val="20"/>
          <w:color w:val="auto"/>
        </w:rPr>
      </w:pPr>
    </w:p>
    <w:p>
      <w:pPr>
        <w:ind w:left="10" w:right="40" w:firstLine="601"/>
        <w:spacing w:after="0" w:line="254" w:lineRule="auto"/>
        <w:rPr>
          <w:sz w:val="20"/>
          <w:szCs w:val="20"/>
          <w:color w:val="auto"/>
        </w:rPr>
      </w:pPr>
      <w:r>
        <w:rPr>
          <w:rFonts w:ascii="Times New Roman" w:cs="Times New Roman" w:eastAsia="Times New Roman" w:hAnsi="Times New Roman"/>
          <w:sz w:val="19"/>
          <w:szCs w:val="19"/>
          <w:color w:val="1E1E1E"/>
        </w:rPr>
        <w:t>Our AI-enabled technology platform is powered by proprietary machine learning algorithms and datasets, resulting in a sophisticated two-sided marketplace that is rapidly digitizing the manufacturing industry. As a result, buyers can procure the products they want on demand, and suppliers can source new manufacturing opportunities that match their specific capabilities and capacity, ultimately resulting in locally resilient supply chains so goods can get to market faster. Every interaction on our marketplace provides rich data insights that allow us to continuously improve our AI models and create new products and services, fueling powerful network effects as we scale.</w:t>
      </w:r>
    </w:p>
    <w:p>
      <w:pPr>
        <w:spacing w:after="0" w:line="175" w:lineRule="exact"/>
        <w:rPr>
          <w:sz w:val="20"/>
          <w:szCs w:val="20"/>
          <w:color w:val="auto"/>
        </w:rPr>
      </w:pPr>
    </w:p>
    <w:p>
      <w:pPr>
        <w:ind w:left="10" w:right="180" w:firstLine="601"/>
        <w:spacing w:after="0" w:line="256" w:lineRule="auto"/>
        <w:rPr>
          <w:sz w:val="20"/>
          <w:szCs w:val="20"/>
          <w:color w:val="auto"/>
        </w:rPr>
      </w:pPr>
      <w:r>
        <w:rPr>
          <w:rFonts w:ascii="Times New Roman" w:cs="Times New Roman" w:eastAsia="Times New Roman" w:hAnsi="Times New Roman"/>
          <w:sz w:val="19"/>
          <w:szCs w:val="19"/>
          <w:color w:val="1E1E1E"/>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74" w:lineRule="exact"/>
        <w:rPr>
          <w:sz w:val="20"/>
          <w:szCs w:val="20"/>
          <w:color w:val="auto"/>
        </w:rPr>
      </w:pPr>
    </w:p>
    <w:p>
      <w:pPr>
        <w:ind w:left="10" w:right="60" w:firstLine="601"/>
        <w:spacing w:after="0" w:line="254" w:lineRule="auto"/>
        <w:rPr>
          <w:sz w:val="20"/>
          <w:szCs w:val="20"/>
          <w:color w:val="auto"/>
        </w:rPr>
      </w:pPr>
      <w:r>
        <w:rPr>
          <w:rFonts w:ascii="Times New Roman" w:cs="Times New Roman" w:eastAsia="Times New Roman" w:hAnsi="Times New Roman"/>
          <w:sz w:val="19"/>
          <w:szCs w:val="19"/>
          <w:color w:val="1E1E1E"/>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75" w:lineRule="exact"/>
        <w:rPr>
          <w:sz w:val="20"/>
          <w:szCs w:val="20"/>
          <w:color w:val="auto"/>
        </w:rPr>
      </w:pPr>
    </w:p>
    <w:p>
      <w:pPr>
        <w:ind w:left="10" w:right="180" w:firstLine="601"/>
        <w:spacing w:after="0" w:line="254" w:lineRule="auto"/>
        <w:rPr>
          <w:sz w:val="20"/>
          <w:szCs w:val="20"/>
          <w:color w:val="auto"/>
        </w:rPr>
      </w:pPr>
      <w:r>
        <w:rPr>
          <w:rFonts w:ascii="Times New Roman" w:cs="Times New Roman" w:eastAsia="Times New Roman" w:hAnsi="Times New Roman"/>
          <w:sz w:val="19"/>
          <w:szCs w:val="19"/>
          <w:color w:val="1E1E1E"/>
        </w:rPr>
        <w:t>We empower suppliers to grow their manufacturing businesses and improve machine uptime by providing access to an extensive, diverse base of buyers. We also offer suppliers supporting products and services to meet their unique needs. Through Thomasnet, a leading industrial sourcing platform in North America, we offer suppliers an array of digital advertising and marketing services and data solutions on Thomasnet. In addition, our suite of supplier services includes financial service products to stabilize and enhance cash flow and a cloud-based manufacturing execution system (“Workcenter”) to help suppliers optimize their productivity.</w:t>
      </w:r>
    </w:p>
    <w:p>
      <w:pPr>
        <w:spacing w:after="0" w:line="175" w:lineRule="exact"/>
        <w:rPr>
          <w:sz w:val="20"/>
          <w:szCs w:val="20"/>
          <w:color w:val="auto"/>
        </w:rPr>
      </w:pPr>
    </w:p>
    <w:p>
      <w:pPr>
        <w:ind w:left="10" w:right="60" w:firstLine="601"/>
        <w:spacing w:after="0" w:line="260" w:lineRule="auto"/>
        <w:rPr>
          <w:sz w:val="20"/>
          <w:szCs w:val="20"/>
          <w:color w:val="auto"/>
        </w:rPr>
      </w:pPr>
      <w:r>
        <w:rPr>
          <w:rFonts w:ascii="Times New Roman" w:cs="Times New Roman" w:eastAsia="Times New Roman" w:hAnsi="Times New Roman"/>
          <w:sz w:val="19"/>
          <w:szCs w:val="19"/>
          <w:color w:val="1E1E1E"/>
        </w:rPr>
        <w:t>In 2021, we acquired Thomas Publishing Company and its subsidiaries (collectively, “Thomas”) and Fusiform, Inc. (d/b/a FactoryFour) (“FactoryFour”), expanding our basket of supplier services to include advertising and marketing services and Workcenter which gives shop owners the ability to build and manage workflows for all their projects, including those from non-Xometry customers, and quote new projects from Xometry and Thomas.</w:t>
      </w:r>
    </w:p>
    <w:p>
      <w:pPr>
        <w:spacing w:after="0" w:line="200" w:lineRule="exact"/>
        <w:rPr>
          <w:sz w:val="20"/>
          <w:szCs w:val="20"/>
          <w:color w:val="auto"/>
        </w:rPr>
      </w:pPr>
    </w:p>
    <w:p>
      <w:pPr>
        <w:spacing w:after="0" w:line="383" w:lineRule="exact"/>
        <w:rPr>
          <w:sz w:val="20"/>
          <w:szCs w:val="20"/>
          <w:color w:val="auto"/>
        </w:rPr>
      </w:pPr>
    </w:p>
    <w:p>
      <w:pPr>
        <w:ind w:left="610" w:hanging="610"/>
        <w:spacing w:after="0"/>
        <w:tabs>
          <w:tab w:leader="none" w:pos="610" w:val="left"/>
        </w:tabs>
        <w:numPr>
          <w:ilvl w:val="0"/>
          <w:numId w:val="3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Summary of Significant Accounting Policies</w:t>
      </w:r>
    </w:p>
    <w:p>
      <w:pPr>
        <w:spacing w:after="0" w:line="125" w:lineRule="exact"/>
        <w:rPr>
          <w:rFonts w:ascii="Times New Roman" w:cs="Times New Roman" w:eastAsia="Times New Roman" w:hAnsi="Times New Roman"/>
          <w:sz w:val="19"/>
          <w:szCs w:val="19"/>
          <w:b w:val="1"/>
          <w:bCs w:val="1"/>
          <w:color w:val="1E1E1E"/>
        </w:rPr>
      </w:pPr>
    </w:p>
    <w:p>
      <w:pPr>
        <w:ind w:left="1210" w:hanging="609"/>
        <w:spacing w:after="0"/>
        <w:tabs>
          <w:tab w:leader="none" w:pos="1210" w:val="left"/>
        </w:tabs>
        <w:numPr>
          <w:ilvl w:val="1"/>
          <w:numId w:val="3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Principles of Consolidation and Basis of Presentation</w:t>
      </w:r>
    </w:p>
    <w:p>
      <w:pPr>
        <w:spacing w:after="0" w:line="120" w:lineRule="exact"/>
        <w:rPr>
          <w:sz w:val="20"/>
          <w:szCs w:val="20"/>
          <w:color w:val="auto"/>
        </w:rPr>
      </w:pPr>
    </w:p>
    <w:p>
      <w:pPr>
        <w:ind w:left="10" w:right="40" w:firstLine="601"/>
        <w:spacing w:after="0" w:line="260" w:lineRule="auto"/>
        <w:rPr>
          <w:sz w:val="20"/>
          <w:szCs w:val="20"/>
          <w:color w:val="auto"/>
        </w:rPr>
      </w:pPr>
      <w:r>
        <w:rPr>
          <w:rFonts w:ascii="Times New Roman" w:cs="Times New Roman" w:eastAsia="Times New Roman" w:hAnsi="Times New Roman"/>
          <w:sz w:val="19"/>
          <w:szCs w:val="19"/>
          <w:color w:val="1E1E1E"/>
        </w:rPr>
        <w:t>The consolidated financial statements include the accounts of Xometry and its subsidiaries. All intercompany transactions and balances have been eliminated. The accompanying consolidated financial statements and related disclosures are presented in accordance with U.S. generally accepted accounting principles ("GAAP"). The Company has two reporting segments which are referred to as: (1) the United States (“U.S.”) and (2) International.</w:t>
      </w:r>
    </w:p>
    <w:p>
      <w:pPr>
        <w:spacing w:after="0" w:line="143"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i w:val="1"/>
          <w:iCs w:val="1"/>
          <w:color w:val="1E1E1E"/>
        </w:rPr>
        <w:t>Immaterial Correction of Previously Issued Consolidated Financial Statements</w:t>
      </w:r>
    </w:p>
    <w:p>
      <w:pPr>
        <w:spacing w:after="0" w:line="118" w:lineRule="exact"/>
        <w:rPr>
          <w:sz w:val="20"/>
          <w:szCs w:val="20"/>
          <w:color w:val="auto"/>
        </w:rPr>
      </w:pPr>
    </w:p>
    <w:p>
      <w:pPr>
        <w:ind w:left="10" w:right="200" w:firstLine="601"/>
        <w:spacing w:after="0" w:line="267" w:lineRule="auto"/>
        <w:rPr>
          <w:sz w:val="20"/>
          <w:szCs w:val="20"/>
          <w:color w:val="auto"/>
        </w:rPr>
      </w:pPr>
      <w:r>
        <w:rPr>
          <w:rFonts w:ascii="Times New Roman" w:cs="Times New Roman" w:eastAsia="Times New Roman" w:hAnsi="Times New Roman"/>
          <w:sz w:val="19"/>
          <w:szCs w:val="19"/>
          <w:color w:val="1E1E1E"/>
        </w:rPr>
        <w:t>During 2023, the Company identified immaterial corrections to the prior year consolidated financial statements related to our revenue, cost of revenue, other current assets, deferred sales contract acquisition costs, contract liabilities and certain other operating expenses. The Company accounts for revenue and cost of revenue pursuant to Accounting Standard</w:t>
      </w:r>
    </w:p>
    <w:p>
      <w:pPr>
        <w:sectPr>
          <w:pgSz w:w="11880" w:h="15480" w:orient="portrait"/>
          <w:cols w:equalWidth="0" w:num="1">
            <w:col w:w="9770"/>
          </w:cols>
          <w:pgMar w:left="1050" w:top="1303" w:right="1060" w:bottom="215" w:gutter="0" w:footer="0" w:header="0"/>
        </w:sectPr>
      </w:pPr>
    </w:p>
    <w:p>
      <w:pPr>
        <w:spacing w:after="0" w:line="10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74</w:t>
      </w:r>
    </w:p>
    <w:p>
      <w:pPr>
        <w:sectPr>
          <w:pgSz w:w="11880" w:h="15480" w:orient="portrait"/>
          <w:cols w:equalWidth="0" w:num="1">
            <w:col w:w="9770"/>
          </w:cols>
          <w:pgMar w:left="1050" w:top="1303" w:right="1060" w:bottom="215" w:gutter="0" w:footer="0" w:header="0"/>
          <w:type w:val="continuous"/>
        </w:sectPr>
      </w:pPr>
    </w:p>
    <w:bookmarkStart w:id="80" w:name="page81"/>
    <w:bookmarkEnd w:id="80"/>
    <w:p>
      <w:pPr>
        <w:ind w:right="280"/>
        <w:spacing w:after="0" w:line="267" w:lineRule="auto"/>
        <w:rPr>
          <w:sz w:val="20"/>
          <w:szCs w:val="20"/>
          <w:color w:val="auto"/>
        </w:rPr>
      </w:pPr>
      <w:r>
        <w:rPr>
          <w:rFonts w:ascii="Times New Roman" w:cs="Times New Roman" w:eastAsia="Times New Roman" w:hAnsi="Times New Roman"/>
          <w:sz w:val="19"/>
          <w:szCs w:val="19"/>
          <w:color w:val="1E1E1E"/>
        </w:rPr>
        <w:t xml:space="preserve">Codification (“ASC”) 606, </w:t>
      </w:r>
      <w:r>
        <w:rPr>
          <w:rFonts w:ascii="Times New Roman" w:cs="Times New Roman" w:eastAsia="Times New Roman" w:hAnsi="Times New Roman"/>
          <w:sz w:val="19"/>
          <w:szCs w:val="19"/>
          <w:i w:val="1"/>
          <w:iCs w:val="1"/>
          <w:color w:val="1E1E1E"/>
        </w:rPr>
        <w:t>Revenue from Contracts with Customers</w:t>
      </w:r>
      <w:r>
        <w:rPr>
          <w:rFonts w:ascii="Times New Roman" w:cs="Times New Roman" w:eastAsia="Times New Roman" w:hAnsi="Times New Roman"/>
          <w:sz w:val="19"/>
          <w:szCs w:val="19"/>
          <w:color w:val="1E1E1E"/>
        </w:rPr>
        <w:t xml:space="preserve"> and ASC 705, </w:t>
      </w:r>
      <w:r>
        <w:rPr>
          <w:rFonts w:ascii="Times New Roman" w:cs="Times New Roman" w:eastAsia="Times New Roman" w:hAnsi="Times New Roman"/>
          <w:sz w:val="19"/>
          <w:szCs w:val="19"/>
          <w:i w:val="1"/>
          <w:iCs w:val="1"/>
          <w:color w:val="1E1E1E"/>
        </w:rPr>
        <w:t>Cost of Sales and Services</w:t>
      </w:r>
      <w:r>
        <w:rPr>
          <w:rFonts w:ascii="Times New Roman" w:cs="Times New Roman" w:eastAsia="Times New Roman" w:hAnsi="Times New Roman"/>
          <w:sz w:val="19"/>
          <w:szCs w:val="19"/>
          <w:color w:val="1E1E1E"/>
        </w:rPr>
        <w:t>. Pursuant to this guidance, the Company recognizes revenue and cost of revenue when a product is shipped. The Company did not recognize revenue and cost of revenue associated with products that had shipped in the proper period.</w:t>
      </w:r>
    </w:p>
    <w:p>
      <w:pPr>
        <w:spacing w:after="0" w:line="57" w:lineRule="exact"/>
        <w:rPr>
          <w:sz w:val="20"/>
          <w:szCs w:val="20"/>
          <w:color w:val="auto"/>
        </w:rPr>
      </w:pPr>
    </w:p>
    <w:p>
      <w:pPr>
        <w:ind w:right="80" w:firstLine="601"/>
        <w:spacing w:after="0" w:line="267" w:lineRule="auto"/>
        <w:rPr>
          <w:sz w:val="20"/>
          <w:szCs w:val="20"/>
          <w:color w:val="auto"/>
        </w:rPr>
      </w:pPr>
      <w:r>
        <w:rPr>
          <w:rFonts w:ascii="Times New Roman" w:cs="Times New Roman" w:eastAsia="Times New Roman" w:hAnsi="Times New Roman"/>
          <w:sz w:val="19"/>
          <w:szCs w:val="19"/>
          <w:color w:val="1E1E1E"/>
        </w:rPr>
        <w:t xml:space="preserve">The Company accounts for deferred sales contract acquisition costs pursuant to ASC 340, </w:t>
      </w:r>
      <w:r>
        <w:rPr>
          <w:rFonts w:ascii="Times New Roman" w:cs="Times New Roman" w:eastAsia="Times New Roman" w:hAnsi="Times New Roman"/>
          <w:sz w:val="19"/>
          <w:szCs w:val="19"/>
          <w:i w:val="1"/>
          <w:iCs w:val="1"/>
          <w:color w:val="1E1E1E"/>
        </w:rPr>
        <w:t>Other Assets and Deferred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Costs</w:t>
      </w:r>
      <w:r>
        <w:rPr>
          <w:rFonts w:ascii="Times New Roman" w:cs="Times New Roman" w:eastAsia="Times New Roman" w:hAnsi="Times New Roman"/>
          <w:sz w:val="19"/>
          <w:szCs w:val="19"/>
          <w:color w:val="1E1E1E"/>
        </w:rPr>
        <w:t>. Pursuant to this guidance, the Company recognizes contract acquisition costs over the life of the sales contract. The</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Company did not recognize deferred sales contract acquisition costs in the proper period.</w:t>
      </w:r>
    </w:p>
    <w:p>
      <w:pPr>
        <w:spacing w:after="0" w:line="57" w:lineRule="exact"/>
        <w:rPr>
          <w:sz w:val="20"/>
          <w:szCs w:val="20"/>
          <w:color w:val="auto"/>
        </w:rPr>
      </w:pPr>
    </w:p>
    <w:p>
      <w:pPr>
        <w:ind w:right="140" w:firstLine="601"/>
        <w:spacing w:after="0" w:line="256" w:lineRule="auto"/>
        <w:rPr>
          <w:sz w:val="20"/>
          <w:szCs w:val="20"/>
          <w:color w:val="auto"/>
        </w:rPr>
      </w:pPr>
      <w:r>
        <w:rPr>
          <w:rFonts w:ascii="Times New Roman" w:cs="Times New Roman" w:eastAsia="Times New Roman" w:hAnsi="Times New Roman"/>
          <w:sz w:val="19"/>
          <w:szCs w:val="19"/>
          <w:color w:val="1E1E1E"/>
        </w:rPr>
        <w:t xml:space="preserve">The Company has evaluated the effects of these corrections on the previously issued consolidated financial statements, individually and in the aggregate, in accordance with the guidance in ASC Topic 250, </w:t>
      </w:r>
      <w:r>
        <w:rPr>
          <w:rFonts w:ascii="Times New Roman" w:cs="Times New Roman" w:eastAsia="Times New Roman" w:hAnsi="Times New Roman"/>
          <w:sz w:val="19"/>
          <w:szCs w:val="19"/>
          <w:i w:val="1"/>
          <w:iCs w:val="1"/>
          <w:color w:val="1E1E1E"/>
        </w:rPr>
        <w:t>Accounting Changes and</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Error Corrections</w:t>
      </w:r>
      <w:r>
        <w:rPr>
          <w:rFonts w:ascii="Times New Roman" w:cs="Times New Roman" w:eastAsia="Times New Roman" w:hAnsi="Times New Roman"/>
          <w:sz w:val="19"/>
          <w:szCs w:val="19"/>
          <w:color w:val="1E1E1E"/>
        </w:rPr>
        <w:t>. While the Company has concluded such corrections to be immaterial to its current and previously issued</w:t>
      </w:r>
      <w:r>
        <w:rPr>
          <w:rFonts w:ascii="Times New Roman" w:cs="Times New Roman" w:eastAsia="Times New Roman" w:hAnsi="Times New Roman"/>
          <w:sz w:val="19"/>
          <w:szCs w:val="19"/>
          <w:i w:val="1"/>
          <w:iCs w:val="1"/>
          <w:color w:val="1E1E1E"/>
        </w:rPr>
        <w:t xml:space="preserve"> </w:t>
      </w:r>
      <w:r>
        <w:rPr>
          <w:rFonts w:ascii="Times New Roman" w:cs="Times New Roman" w:eastAsia="Times New Roman" w:hAnsi="Times New Roman"/>
          <w:sz w:val="19"/>
          <w:szCs w:val="19"/>
          <w:color w:val="1E1E1E"/>
        </w:rPr>
        <w:t>financial statements, the Company has elected to revise the consolidated financial statements for the prior year presented herein.</w:t>
      </w:r>
    </w:p>
    <w:p>
      <w:pPr>
        <w:spacing w:after="0" w:line="67" w:lineRule="exact"/>
        <w:rPr>
          <w:sz w:val="20"/>
          <w:szCs w:val="20"/>
          <w:color w:val="auto"/>
        </w:rPr>
      </w:pPr>
    </w:p>
    <w:p>
      <w:pPr>
        <w:ind w:right="220" w:firstLine="601"/>
        <w:spacing w:after="0" w:line="290" w:lineRule="auto"/>
        <w:rPr>
          <w:sz w:val="20"/>
          <w:szCs w:val="20"/>
          <w:color w:val="auto"/>
        </w:rPr>
      </w:pPr>
      <w:r>
        <w:rPr>
          <w:rFonts w:ascii="Times New Roman" w:cs="Times New Roman" w:eastAsia="Times New Roman" w:hAnsi="Times New Roman"/>
          <w:sz w:val="19"/>
          <w:szCs w:val="19"/>
          <w:color w:val="1E1E1E"/>
        </w:rPr>
        <w:t>The tables below reflect the sections of the Company’s consolidated financial statements that were impacted by the immaterial corrections.</w:t>
      </w:r>
    </w:p>
    <w:p>
      <w:pPr>
        <w:spacing w:after="0" w:line="35" w:lineRule="exact"/>
        <w:rPr>
          <w:sz w:val="20"/>
          <w:szCs w:val="20"/>
          <w:color w:val="auto"/>
        </w:rPr>
      </w:pPr>
    </w:p>
    <w:p>
      <w:pPr>
        <w:ind w:right="100" w:firstLine="601"/>
        <w:spacing w:after="0" w:line="243" w:lineRule="auto"/>
        <w:rPr>
          <w:sz w:val="20"/>
          <w:szCs w:val="20"/>
          <w:color w:val="auto"/>
        </w:rPr>
      </w:pPr>
      <w:r>
        <w:rPr>
          <w:rFonts w:ascii="Times New Roman" w:cs="Times New Roman" w:eastAsia="Times New Roman" w:hAnsi="Times New Roman"/>
          <w:sz w:val="19"/>
          <w:szCs w:val="19"/>
          <w:color w:val="1E1E1E"/>
        </w:rPr>
        <w:t>A summary of the effect of the corrections on the Consolidated Balance Sheet as of December 31, 2022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spacing w:after="0"/>
              <w:rPr>
                <w:sz w:val="21"/>
                <w:szCs w:val="21"/>
                <w:color w:val="auto"/>
              </w:rPr>
            </w:pPr>
          </w:p>
        </w:tc>
        <w:tc>
          <w:tcPr>
            <w:tcW w:w="80" w:type="dxa"/>
            <w:vAlign w:val="bottom"/>
            <w:tcBorders>
              <w:bottom w:val="single" w:sz="8" w:color="1E1E1E"/>
            </w:tcBorders>
          </w:tcPr>
          <w:p>
            <w:pPr>
              <w:spacing w:after="0"/>
              <w:rPr>
                <w:sz w:val="21"/>
                <w:szCs w:val="21"/>
                <w:color w:val="auto"/>
              </w:rPr>
            </w:pPr>
          </w:p>
        </w:tc>
        <w:tc>
          <w:tcPr>
            <w:tcW w:w="1580" w:type="dxa"/>
            <w:vAlign w:val="bottom"/>
            <w:tcBorders>
              <w:bottom w:val="single" w:sz="8" w:color="1E1E1E"/>
            </w:tcBorders>
            <w:gridSpan w:val="4"/>
          </w:tcPr>
          <w:p>
            <w:pPr>
              <w:jc w:val="center"/>
              <w:ind w:right="20"/>
              <w:spacing w:after="0"/>
              <w:rPr>
                <w:sz w:val="20"/>
                <w:szCs w:val="20"/>
                <w:color w:val="auto"/>
              </w:rPr>
            </w:pPr>
            <w:r>
              <w:rPr>
                <w:rFonts w:ascii="Times New Roman" w:cs="Times New Roman" w:eastAsia="Times New Roman" w:hAnsi="Times New Roman"/>
                <w:sz w:val="19"/>
                <w:szCs w:val="19"/>
                <w:b w:val="1"/>
                <w:bCs w:val="1"/>
                <w:color w:val="1E1E1E"/>
              </w:rPr>
              <w:t>December 31, 2022</w:t>
            </w:r>
          </w:p>
        </w:tc>
        <w:tc>
          <w:tcPr>
            <w:tcW w:w="140" w:type="dxa"/>
            <w:vAlign w:val="bottom"/>
            <w:tcBorders>
              <w:bottom w:val="single" w:sz="8" w:color="1E1E1E"/>
            </w:tcBorders>
          </w:tcPr>
          <w:p>
            <w:pPr>
              <w:spacing w:after="0"/>
              <w:rPr>
                <w:sz w:val="21"/>
                <w:szCs w:val="21"/>
                <w:color w:val="auto"/>
              </w:rPr>
            </w:pPr>
          </w:p>
        </w:tc>
        <w:tc>
          <w:tcPr>
            <w:tcW w:w="1260" w:type="dxa"/>
            <w:vAlign w:val="bottom"/>
            <w:tcBorders>
              <w:bottom w:val="single" w:sz="8" w:color="1E1E1E"/>
            </w:tcBorders>
          </w:tcPr>
          <w:p>
            <w:pPr>
              <w:spacing w:after="0"/>
              <w:rPr>
                <w:sz w:val="21"/>
                <w:szCs w:val="21"/>
                <w:color w:val="auto"/>
              </w:rPr>
            </w:pPr>
          </w:p>
        </w:tc>
        <w:tc>
          <w:tcPr>
            <w:tcW w:w="80" w:type="dxa"/>
            <w:vAlign w:val="bottom"/>
          </w:tcPr>
          <w:p>
            <w:pPr>
              <w:spacing w:after="0"/>
              <w:rPr>
                <w:sz w:val="21"/>
                <w:szCs w:val="21"/>
                <w:color w:val="auto"/>
              </w:rPr>
            </w:pPr>
          </w:p>
        </w:tc>
      </w:tr>
      <w:tr>
        <w:trPr>
          <w:trHeight w:val="213"/>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b w:val="1"/>
                <w:bCs w:val="1"/>
                <w:color w:val="1E1E1E"/>
              </w:rPr>
              <w:t>As Reported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line="213" w:lineRule="exact"/>
              <w:rPr>
                <w:sz w:val="20"/>
                <w:szCs w:val="20"/>
                <w:color w:val="auto"/>
              </w:rPr>
            </w:pPr>
            <w:r>
              <w:rPr>
                <w:rFonts w:ascii="Times New Roman" w:cs="Times New Roman" w:eastAsia="Times New Roman" w:hAnsi="Times New Roman"/>
                <w:sz w:val="19"/>
                <w:szCs w:val="19"/>
                <w:b w:val="1"/>
                <w:bCs w:val="1"/>
                <w:color w:val="1E1E1E"/>
              </w:rPr>
              <w:t>Corrections</w:t>
            </w:r>
          </w:p>
        </w:tc>
        <w:tc>
          <w:tcPr>
            <w:tcW w:w="140" w:type="dxa"/>
            <w:vAlign w:val="bottom"/>
          </w:tcPr>
          <w:p>
            <w:pPr>
              <w:spacing w:after="0"/>
              <w:rPr>
                <w:sz w:val="18"/>
                <w:szCs w:val="18"/>
                <w:color w:val="auto"/>
              </w:rPr>
            </w:pPr>
          </w:p>
        </w:tc>
        <w:tc>
          <w:tcPr>
            <w:tcW w:w="1260" w:type="dxa"/>
            <w:vAlign w:val="bottom"/>
          </w:tcPr>
          <w:p>
            <w:pPr>
              <w:jc w:val="right"/>
              <w:ind w:right="103"/>
              <w:spacing w:after="0" w:line="213" w:lineRule="exact"/>
              <w:rPr>
                <w:sz w:val="20"/>
                <w:szCs w:val="20"/>
                <w:color w:val="auto"/>
              </w:rPr>
            </w:pPr>
            <w:r>
              <w:rPr>
                <w:rFonts w:ascii="Times New Roman" w:cs="Times New Roman" w:eastAsia="Times New Roman" w:hAnsi="Times New Roman"/>
                <w:sz w:val="19"/>
                <w:szCs w:val="19"/>
                <w:b w:val="1"/>
                <w:bCs w:val="1"/>
                <w:color w:val="1E1E1E"/>
              </w:rPr>
              <w:t>As Adjusted</w:t>
            </w:r>
          </w:p>
        </w:tc>
        <w:tc>
          <w:tcPr>
            <w:tcW w:w="80" w:type="dxa"/>
            <w:vAlign w:val="bottom"/>
          </w:tcPr>
          <w:p>
            <w:pPr>
              <w:spacing w:after="0"/>
              <w:rPr>
                <w:sz w:val="18"/>
                <w:szCs w:val="18"/>
                <w:color w:val="auto"/>
              </w:rPr>
            </w:pPr>
          </w:p>
        </w:tc>
      </w:tr>
      <w:tr>
        <w:trPr>
          <w:trHeight w:val="213"/>
        </w:trPr>
        <w:tc>
          <w:tcPr>
            <w:tcW w:w="51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Assets</w:t>
            </w:r>
          </w:p>
        </w:tc>
        <w:tc>
          <w:tcPr>
            <w:tcW w:w="14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0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spacing w:after="0"/>
              <w:rPr>
                <w:sz w:val="18"/>
                <w:szCs w:val="18"/>
                <w:color w:val="auto"/>
              </w:rPr>
            </w:pPr>
          </w:p>
        </w:tc>
        <w:tc>
          <w:tcPr>
            <w:tcW w:w="1120" w:type="dxa"/>
            <w:vAlign w:val="bottom"/>
            <w:tcBorders>
              <w:top w:val="single" w:sz="8" w:color="1E1E1E"/>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6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514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Accounts receivable</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49,188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49,277</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80"/>
              <w:spacing w:after="0"/>
              <w:rPr>
                <w:sz w:val="20"/>
                <w:szCs w:val="20"/>
                <w:color w:val="auto"/>
              </w:rPr>
            </w:pPr>
            <w:r>
              <w:rPr>
                <w:rFonts w:ascii="Times New Roman" w:cs="Times New Roman" w:eastAsia="Times New Roman" w:hAnsi="Times New Roman"/>
                <w:sz w:val="19"/>
                <w:szCs w:val="19"/>
                <w:color w:val="1E1E1E"/>
              </w:rPr>
              <w:t>Other current assets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12,273</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(2,900)</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9,373</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Total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390,055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(2,811)</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387,244</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Total assets</w:t>
            </w:r>
          </w:p>
        </w:tc>
        <w:tc>
          <w:tcPr>
            <w:tcW w:w="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736,925</w:t>
            </w:r>
          </w:p>
        </w:tc>
        <w:tc>
          <w:tcPr>
            <w:tcW w:w="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(2,811)</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734,114</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Liabilities and stockholders’ equity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80"/>
              <w:spacing w:after="0"/>
              <w:rPr>
                <w:sz w:val="20"/>
                <w:szCs w:val="20"/>
                <w:color w:val="auto"/>
              </w:rPr>
            </w:pPr>
            <w:r>
              <w:rPr>
                <w:rFonts w:ascii="Times New Roman" w:cs="Times New Roman" w:eastAsia="Times New Roman" w:hAnsi="Times New Roman"/>
                <w:sz w:val="19"/>
                <w:szCs w:val="19"/>
                <w:color w:val="1E1E1E"/>
              </w:rPr>
              <w:t>Accrued expenses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33,430</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3</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33,433</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Contract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8,509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220</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8,729</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Total current liabilities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63,803</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223</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64,026</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Total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362,092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223</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362,315</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80"/>
              <w:spacing w:after="0"/>
              <w:rPr>
                <w:sz w:val="20"/>
                <w:szCs w:val="20"/>
                <w:color w:val="auto"/>
              </w:rPr>
            </w:pPr>
            <w:r>
              <w:rPr>
                <w:rFonts w:ascii="Times New Roman" w:cs="Times New Roman" w:eastAsia="Times New Roman" w:hAnsi="Times New Roman"/>
                <w:sz w:val="19"/>
                <w:szCs w:val="19"/>
                <w:color w:val="1E1E1E"/>
              </w:rPr>
              <w:t>Accumulated deficit</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(249,366)</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(252,400)</w:t>
            </w:r>
          </w:p>
        </w:tc>
      </w:tr>
      <w:tr>
        <w:trPr>
          <w:trHeight w:val="260"/>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Total liabilities and stockholders’ equity</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736,925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(2,811)</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734,114</w:t>
            </w:r>
          </w:p>
        </w:tc>
        <w:tc>
          <w:tcPr>
            <w:tcW w:w="80" w:type="dxa"/>
            <w:vAlign w:val="bottom"/>
          </w:tcPr>
          <w:p>
            <w:pPr>
              <w:spacing w:after="0"/>
              <w:rPr>
                <w:sz w:val="22"/>
                <w:szCs w:val="22"/>
                <w:color w:val="auto"/>
              </w:rPr>
            </w:pPr>
          </w:p>
        </w:tc>
      </w:tr>
      <w:tr>
        <w:trPr>
          <w:trHeight w:val="282"/>
        </w:trPr>
        <w:tc>
          <w:tcPr>
            <w:tcW w:w="9760" w:type="dxa"/>
            <w:vAlign w:val="bottom"/>
            <w:gridSpan w:val="12"/>
          </w:tcPr>
          <w:p>
            <w:pPr>
              <w:ind w:left="600"/>
              <w:spacing w:after="0"/>
              <w:rPr>
                <w:sz w:val="20"/>
                <w:szCs w:val="20"/>
                <w:color w:val="auto"/>
              </w:rPr>
            </w:pPr>
            <w:r>
              <w:rPr>
                <w:rFonts w:ascii="Times New Roman" w:cs="Times New Roman" w:eastAsia="Times New Roman" w:hAnsi="Times New Roman"/>
                <w:sz w:val="19"/>
                <w:szCs w:val="19"/>
                <w:color w:val="1E1E1E"/>
              </w:rPr>
              <w:t>A summary of the effect of the corrections on the Consolidated Statement of Operation and Comprehensive Loss for</w:t>
            </w:r>
          </w:p>
        </w:tc>
      </w:tr>
      <w:tr>
        <w:trPr>
          <w:trHeight w:val="220"/>
        </w:trPr>
        <w:tc>
          <w:tcPr>
            <w:tcW w:w="6700" w:type="dxa"/>
            <w:vAlign w:val="bottom"/>
            <w:gridSpan w:val="5"/>
          </w:tcPr>
          <w:p>
            <w:pPr>
              <w:spacing w:after="0"/>
              <w:rPr>
                <w:sz w:val="20"/>
                <w:szCs w:val="20"/>
                <w:color w:val="auto"/>
              </w:rPr>
            </w:pPr>
            <w:r>
              <w:rPr>
                <w:rFonts w:ascii="Times New Roman" w:cs="Times New Roman" w:eastAsia="Times New Roman" w:hAnsi="Times New Roman"/>
                <w:sz w:val="19"/>
                <w:szCs w:val="19"/>
                <w:color w:val="1E1E1E"/>
              </w:rPr>
              <w:t>the year ended December 31, 2022 is as follows (in thousands, except per share data):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7"/>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40" w:type="dxa"/>
            <w:vAlign w:val="bottom"/>
            <w:gridSpan w:val="9"/>
          </w:tcPr>
          <w:p>
            <w:pPr>
              <w:jc w:val="center"/>
              <w:ind w:right="220"/>
              <w:spacing w:after="0"/>
              <w:rPr>
                <w:sz w:val="20"/>
                <w:szCs w:val="20"/>
                <w:color w:val="auto"/>
              </w:rPr>
            </w:pPr>
            <w:r>
              <w:rPr>
                <w:rFonts w:ascii="Times New Roman" w:cs="Times New Roman" w:eastAsia="Times New Roman" w:hAnsi="Times New Roman"/>
                <w:sz w:val="19"/>
                <w:szCs w:val="19"/>
                <w:b w:val="1"/>
                <w:bCs w:val="1"/>
                <w:color w:val="1E1E1E"/>
              </w:rPr>
              <w:t>Year ended December 31, 2022</w:t>
            </w:r>
          </w:p>
        </w:tc>
      </w:tr>
      <w:tr>
        <w:trPr>
          <w:trHeight w:val="213"/>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1E1E1E"/>
            </w:tcBorders>
          </w:tcPr>
          <w:p>
            <w:pPr>
              <w:spacing w:after="0"/>
              <w:rPr>
                <w:sz w:val="18"/>
                <w:szCs w:val="18"/>
                <w:color w:val="auto"/>
              </w:rPr>
            </w:pPr>
          </w:p>
        </w:tc>
        <w:tc>
          <w:tcPr>
            <w:tcW w:w="1280" w:type="dxa"/>
            <w:vAlign w:val="bottom"/>
            <w:tcBorders>
              <w:top w:val="single" w:sz="8" w:color="1E1E1E"/>
            </w:tcBorders>
            <w:gridSpan w:val="2"/>
          </w:tcPr>
          <w:p>
            <w:pPr>
              <w:jc w:val="right"/>
              <w:ind w:right="220"/>
              <w:spacing w:after="0" w:line="213" w:lineRule="exact"/>
              <w:rPr>
                <w:sz w:val="20"/>
                <w:szCs w:val="20"/>
                <w:color w:val="auto"/>
              </w:rPr>
            </w:pPr>
            <w:r>
              <w:rPr>
                <w:rFonts w:ascii="Times New Roman" w:cs="Times New Roman" w:eastAsia="Times New Roman" w:hAnsi="Times New Roman"/>
                <w:sz w:val="19"/>
                <w:szCs w:val="19"/>
                <w:b w:val="1"/>
                <w:bCs w:val="1"/>
                <w:color w:val="1E1E1E"/>
              </w:rPr>
              <w:t>As Reported</w:t>
            </w:r>
          </w:p>
        </w:tc>
        <w:tc>
          <w:tcPr>
            <w:tcW w:w="180" w:type="dxa"/>
            <w:vAlign w:val="bottom"/>
            <w:tcBorders>
              <w:top w:val="single" w:sz="8" w:color="1E1E1E"/>
            </w:tcBorders>
          </w:tcPr>
          <w:p>
            <w:pPr>
              <w:spacing w:after="0"/>
              <w:rPr>
                <w:sz w:val="18"/>
                <w:szCs w:val="18"/>
                <w:color w:val="auto"/>
              </w:rPr>
            </w:pPr>
          </w:p>
        </w:tc>
        <w:tc>
          <w:tcPr>
            <w:tcW w:w="100" w:type="dxa"/>
            <w:vAlign w:val="bottom"/>
            <w:tcBorders>
              <w:top w:val="single" w:sz="8" w:color="1E1E1E"/>
            </w:tcBorders>
          </w:tcPr>
          <w:p>
            <w:pPr>
              <w:spacing w:after="0"/>
              <w:rPr>
                <w:sz w:val="18"/>
                <w:szCs w:val="18"/>
                <w:color w:val="auto"/>
              </w:rPr>
            </w:pPr>
          </w:p>
        </w:tc>
        <w:tc>
          <w:tcPr>
            <w:tcW w:w="1300" w:type="dxa"/>
            <w:vAlign w:val="bottom"/>
            <w:tcBorders>
              <w:top w:val="single" w:sz="8" w:color="1E1E1E"/>
            </w:tcBorders>
            <w:gridSpan w:val="2"/>
          </w:tcPr>
          <w:p>
            <w:pPr>
              <w:jc w:val="center"/>
              <w:ind w:right="280"/>
              <w:spacing w:after="0" w:line="213" w:lineRule="exact"/>
              <w:rPr>
                <w:sz w:val="20"/>
                <w:szCs w:val="20"/>
                <w:color w:val="auto"/>
              </w:rPr>
            </w:pPr>
            <w:r>
              <w:rPr>
                <w:rFonts w:ascii="Times New Roman" w:cs="Times New Roman" w:eastAsia="Times New Roman" w:hAnsi="Times New Roman"/>
                <w:sz w:val="19"/>
                <w:szCs w:val="19"/>
                <w:b w:val="1"/>
                <w:bCs w:val="1"/>
                <w:color w:val="1E1E1E"/>
              </w:rPr>
              <w:t>Corrections</w:t>
            </w:r>
          </w:p>
        </w:tc>
        <w:tc>
          <w:tcPr>
            <w:tcW w:w="140" w:type="dxa"/>
            <w:vAlign w:val="bottom"/>
            <w:tcBorders>
              <w:top w:val="single" w:sz="8" w:color="1E1E1E"/>
            </w:tcBorders>
          </w:tcPr>
          <w:p>
            <w:pPr>
              <w:spacing w:after="0"/>
              <w:rPr>
                <w:sz w:val="18"/>
                <w:szCs w:val="18"/>
                <w:color w:val="auto"/>
              </w:rPr>
            </w:pPr>
          </w:p>
        </w:tc>
        <w:tc>
          <w:tcPr>
            <w:tcW w:w="1260" w:type="dxa"/>
            <w:vAlign w:val="bottom"/>
            <w:tcBorders>
              <w:top w:val="single" w:sz="8" w:color="1E1E1E"/>
            </w:tcBorders>
          </w:tcPr>
          <w:p>
            <w:pPr>
              <w:jc w:val="right"/>
              <w:ind w:right="103"/>
              <w:spacing w:after="0" w:line="213" w:lineRule="exact"/>
              <w:rPr>
                <w:sz w:val="20"/>
                <w:szCs w:val="20"/>
                <w:color w:val="auto"/>
              </w:rPr>
            </w:pPr>
            <w:r>
              <w:rPr>
                <w:rFonts w:ascii="Times New Roman" w:cs="Times New Roman" w:eastAsia="Times New Roman" w:hAnsi="Times New Roman"/>
                <w:sz w:val="19"/>
                <w:szCs w:val="19"/>
                <w:b w:val="1"/>
                <w:bCs w:val="1"/>
                <w:color w:val="1E1E1E"/>
              </w:rPr>
              <w:t>As Adjusted</w:t>
            </w:r>
          </w:p>
        </w:tc>
        <w:tc>
          <w:tcPr>
            <w:tcW w:w="80" w:type="dxa"/>
            <w:vAlign w:val="bottom"/>
          </w:tcPr>
          <w:p>
            <w:pPr>
              <w:spacing w:after="0"/>
              <w:rPr>
                <w:sz w:val="18"/>
                <w:szCs w:val="18"/>
                <w:color w:val="auto"/>
              </w:rPr>
            </w:pPr>
          </w:p>
        </w:tc>
      </w:tr>
      <w:tr>
        <w:trPr>
          <w:trHeight w:val="213"/>
        </w:trPr>
        <w:tc>
          <w:tcPr>
            <w:tcW w:w="51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Revenue</w:t>
            </w:r>
          </w:p>
        </w:tc>
        <w:tc>
          <w:tcPr>
            <w:tcW w:w="14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381,053</w:t>
            </w: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(132)</w:t>
            </w:r>
          </w:p>
        </w:tc>
        <w:tc>
          <w:tcPr>
            <w:tcW w:w="18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380,921</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233,487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1,443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234,930</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Gross profit</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147,566</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(1,575)</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145,991</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Operating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80"/>
              <w:spacing w:after="0"/>
              <w:rPr>
                <w:sz w:val="20"/>
                <w:szCs w:val="20"/>
                <w:color w:val="auto"/>
              </w:rPr>
            </w:pPr>
            <w:r>
              <w:rPr>
                <w:rFonts w:ascii="Times New Roman" w:cs="Times New Roman" w:eastAsia="Times New Roman" w:hAnsi="Times New Roman"/>
                <w:sz w:val="19"/>
                <w:szCs w:val="19"/>
                <w:color w:val="1E1E1E"/>
              </w:rPr>
              <w:t>Sales and marketing</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83,222</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1,149</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84,371</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Operations and support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48,572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56</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48,628</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80"/>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57,992</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254</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58,246</w:t>
            </w:r>
          </w:p>
        </w:tc>
        <w:tc>
          <w:tcPr>
            <w:tcW w:w="80" w:type="dxa"/>
            <w:vAlign w:val="bottom"/>
            <w:shd w:val="clear" w:color="auto" w:fill="E4E4E4"/>
          </w:tcPr>
          <w:p>
            <w:pPr>
              <w:spacing w:after="0"/>
              <w:rPr>
                <w:sz w:val="19"/>
                <w:szCs w:val="19"/>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Total operating expenses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221,623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1,459</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223,082</w:t>
            </w: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 from operations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(74,057)</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(77,091)</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Loss before income taxes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(75,973)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(79,007)</w:t>
            </w: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Net loss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(76,009)</w:t>
            </w:r>
          </w:p>
        </w:tc>
        <w:tc>
          <w:tcPr>
            <w:tcW w:w="1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(79,043)</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(76,025)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(79,059)</w:t>
            </w:r>
          </w:p>
        </w:tc>
      </w:tr>
      <w:tr>
        <w:trPr>
          <w:trHeight w:val="202"/>
        </w:trPr>
        <w:tc>
          <w:tcPr>
            <w:tcW w:w="5140" w:type="dxa"/>
            <w:vAlign w:val="bottom"/>
            <w:shd w:val="clear" w:color="auto" w:fill="E4E4E4"/>
          </w:tcPr>
          <w:p>
            <w:pPr>
              <w:spacing w:after="0" w:line="203" w:lineRule="exact"/>
              <w:rPr>
                <w:sz w:val="20"/>
                <w:szCs w:val="20"/>
                <w:color w:val="auto"/>
              </w:rPr>
            </w:pPr>
            <w:r>
              <w:rPr>
                <w:rFonts w:ascii="Times New Roman" w:cs="Times New Roman" w:eastAsia="Times New Roman" w:hAnsi="Times New Roman"/>
                <w:sz w:val="19"/>
                <w:szCs w:val="19"/>
                <w:color w:val="1E1E1E"/>
              </w:rPr>
              <w:t>Net loss per share, basic and diluted, of Class A and Class B</w:t>
            </w:r>
          </w:p>
        </w:tc>
        <w:tc>
          <w:tcPr>
            <w:tcW w:w="14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12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26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r>
      <w:tr>
        <w:trPr>
          <w:trHeight w:val="244"/>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common stock</w:t>
            </w:r>
          </w:p>
        </w:tc>
        <w:tc>
          <w:tcPr>
            <w:tcW w:w="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(1.61)</w:t>
            </w:r>
          </w:p>
        </w:tc>
        <w:tc>
          <w:tcPr>
            <w:tcW w:w="2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(0.07)</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3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(1.68)</w:t>
            </w:r>
          </w:p>
        </w:tc>
      </w:tr>
    </w:tbl>
    <w:p>
      <w:pPr>
        <w:spacing w:after="0" w:line="200" w:lineRule="exact"/>
        <w:rPr>
          <w:sz w:val="20"/>
          <w:szCs w:val="20"/>
          <w:color w:val="auto"/>
        </w:rPr>
      </w:pPr>
    </w:p>
    <w:p>
      <w:pPr>
        <w:sectPr>
          <w:pgSz w:w="11880" w:h="15480" w:orient="portrait"/>
          <w:cols w:equalWidth="0" w:num="1">
            <w:col w:w="9760"/>
          </w:cols>
          <w:pgMar w:left="106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75</w:t>
      </w:r>
    </w:p>
    <w:p>
      <w:pPr>
        <w:sectPr>
          <w:pgSz w:w="11880" w:h="15480" w:orient="portrait"/>
          <w:cols w:equalWidth="0" w:num="1">
            <w:col w:w="9760"/>
          </w:cols>
          <w:pgMar w:left="1060" w:top="1083" w:right="1060" w:bottom="215" w:gutter="0" w:footer="0" w:header="0"/>
          <w:type w:val="continuous"/>
        </w:sectPr>
      </w:pPr>
    </w:p>
    <w:bookmarkStart w:id="81" w:name="page82"/>
    <w:bookmarkEnd w:id="81"/>
    <w:p>
      <w:pPr>
        <w:ind w:right="60" w:firstLine="601"/>
        <w:spacing w:after="0" w:line="243" w:lineRule="auto"/>
        <w:rPr>
          <w:sz w:val="20"/>
          <w:szCs w:val="20"/>
          <w:color w:val="auto"/>
        </w:rPr>
      </w:pPr>
      <w:r>
        <w:rPr>
          <w:rFonts w:ascii="Times New Roman" w:cs="Times New Roman" w:eastAsia="Times New Roman" w:hAnsi="Times New Roman"/>
          <w:sz w:val="19"/>
          <w:szCs w:val="19"/>
          <w:color w:val="1E1E1E"/>
        </w:rPr>
        <w:t>The immaterial corrections had no impact on net cash used in operating activities. A summary of the effect of the corrections on the Consolidated Statement of Cash Flows for the year ended December 31, 2022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360" w:type="dxa"/>
            <w:vAlign w:val="bottom"/>
            <w:gridSpan w:val="8"/>
          </w:tcPr>
          <w:p>
            <w:pPr>
              <w:jc w:val="right"/>
              <w:ind w:right="1000"/>
              <w:spacing w:after="0"/>
              <w:rPr>
                <w:sz w:val="20"/>
                <w:szCs w:val="20"/>
                <w:color w:val="auto"/>
              </w:rPr>
            </w:pPr>
            <w:r>
              <w:rPr>
                <w:rFonts w:ascii="Times New Roman" w:cs="Times New Roman" w:eastAsia="Times New Roman" w:hAnsi="Times New Roman"/>
                <w:sz w:val="19"/>
                <w:szCs w:val="19"/>
                <w:b w:val="1"/>
                <w:bCs w:val="1"/>
                <w:color w:val="1E1E1E"/>
              </w:rPr>
              <w:t>Year ended December 31, 2022</w:t>
            </w:r>
          </w:p>
        </w:tc>
      </w:tr>
      <w:tr>
        <w:trPr>
          <w:trHeight w:val="213"/>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1E1E1E"/>
            </w:tcBorders>
          </w:tcPr>
          <w:p>
            <w:pPr>
              <w:spacing w:after="0"/>
              <w:rPr>
                <w:sz w:val="18"/>
                <w:szCs w:val="18"/>
                <w:color w:val="auto"/>
              </w:rPr>
            </w:pPr>
          </w:p>
        </w:tc>
        <w:tc>
          <w:tcPr>
            <w:tcW w:w="1480" w:type="dxa"/>
            <w:vAlign w:val="bottom"/>
            <w:tcBorders>
              <w:top w:val="single" w:sz="8" w:color="1E1E1E"/>
            </w:tcBorders>
            <w:gridSpan w:val="2"/>
          </w:tcPr>
          <w:p>
            <w:pPr>
              <w:jc w:val="right"/>
              <w:ind w:right="400"/>
              <w:spacing w:after="0" w:line="213" w:lineRule="exact"/>
              <w:rPr>
                <w:sz w:val="20"/>
                <w:szCs w:val="20"/>
                <w:color w:val="auto"/>
              </w:rPr>
            </w:pPr>
            <w:r>
              <w:rPr>
                <w:rFonts w:ascii="Times New Roman" w:cs="Times New Roman" w:eastAsia="Times New Roman" w:hAnsi="Times New Roman"/>
                <w:sz w:val="19"/>
                <w:szCs w:val="19"/>
                <w:b w:val="1"/>
                <w:bCs w:val="1"/>
                <w:color w:val="1E1E1E"/>
              </w:rPr>
              <w:t>As Reported</w:t>
            </w:r>
          </w:p>
        </w:tc>
        <w:tc>
          <w:tcPr>
            <w:tcW w:w="100" w:type="dxa"/>
            <w:vAlign w:val="bottom"/>
            <w:tcBorders>
              <w:top w:val="single" w:sz="8" w:color="1E1E1E"/>
            </w:tcBorders>
          </w:tcPr>
          <w:p>
            <w:pPr>
              <w:spacing w:after="0"/>
              <w:rPr>
                <w:sz w:val="18"/>
                <w:szCs w:val="18"/>
                <w:color w:val="auto"/>
              </w:rPr>
            </w:pPr>
          </w:p>
        </w:tc>
        <w:tc>
          <w:tcPr>
            <w:tcW w:w="1300" w:type="dxa"/>
            <w:vAlign w:val="bottom"/>
            <w:tcBorders>
              <w:top w:val="single" w:sz="8" w:color="1E1E1E"/>
            </w:tcBorders>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b w:val="1"/>
                <w:bCs w:val="1"/>
                <w:color w:val="1E1E1E"/>
              </w:rPr>
              <w:t>Corrections</w:t>
            </w:r>
          </w:p>
        </w:tc>
        <w:tc>
          <w:tcPr>
            <w:tcW w:w="140" w:type="dxa"/>
            <w:vAlign w:val="bottom"/>
            <w:tcBorders>
              <w:top w:val="single" w:sz="8" w:color="1E1E1E"/>
            </w:tcBorders>
          </w:tcPr>
          <w:p>
            <w:pPr>
              <w:spacing w:after="0"/>
              <w:rPr>
                <w:sz w:val="18"/>
                <w:szCs w:val="18"/>
                <w:color w:val="auto"/>
              </w:rPr>
            </w:pPr>
          </w:p>
        </w:tc>
        <w:tc>
          <w:tcPr>
            <w:tcW w:w="1260" w:type="dxa"/>
            <w:vAlign w:val="bottom"/>
            <w:tcBorders>
              <w:top w:val="single" w:sz="8" w:color="1E1E1E"/>
            </w:tcBorders>
          </w:tcPr>
          <w:p>
            <w:pPr>
              <w:jc w:val="right"/>
              <w:ind w:right="103"/>
              <w:spacing w:after="0" w:line="213" w:lineRule="exact"/>
              <w:rPr>
                <w:sz w:val="20"/>
                <w:szCs w:val="20"/>
                <w:color w:val="auto"/>
              </w:rPr>
            </w:pPr>
            <w:r>
              <w:rPr>
                <w:rFonts w:ascii="Times New Roman" w:cs="Times New Roman" w:eastAsia="Times New Roman" w:hAnsi="Times New Roman"/>
                <w:sz w:val="19"/>
                <w:szCs w:val="19"/>
                <w:b w:val="1"/>
                <w:bCs w:val="1"/>
                <w:color w:val="1E1E1E"/>
              </w:rPr>
              <w:t>As Adjusted</w:t>
            </w:r>
          </w:p>
        </w:tc>
        <w:tc>
          <w:tcPr>
            <w:tcW w:w="80" w:type="dxa"/>
            <w:vAlign w:val="bottom"/>
          </w:tcPr>
          <w:p>
            <w:pPr>
              <w:spacing w:after="0"/>
              <w:rPr>
                <w:sz w:val="18"/>
                <w:szCs w:val="18"/>
                <w:color w:val="auto"/>
              </w:rPr>
            </w:pPr>
          </w:p>
        </w:tc>
      </w:tr>
      <w:tr>
        <w:trPr>
          <w:trHeight w:val="213"/>
        </w:trPr>
        <w:tc>
          <w:tcPr>
            <w:tcW w:w="51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Net loss</w:t>
            </w:r>
          </w:p>
        </w:tc>
        <w:tc>
          <w:tcPr>
            <w:tcW w:w="14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shd w:val="clear" w:color="auto" w:fill="E4E4E4"/>
              </w:rPr>
              <w:t>$</w:t>
            </w:r>
          </w:p>
        </w:tc>
        <w:tc>
          <w:tcPr>
            <w:tcW w:w="12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(76,009)</w:t>
            </w:r>
          </w:p>
        </w:tc>
        <w:tc>
          <w:tcPr>
            <w:tcW w:w="26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(3,034)</w:t>
            </w:r>
          </w:p>
        </w:tc>
        <w:tc>
          <w:tcPr>
            <w:tcW w:w="18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(79,043)</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5140" w:type="dxa"/>
            <w:vAlign w:val="bottom"/>
          </w:tcPr>
          <w:p>
            <w:pPr>
              <w:ind w:left="80"/>
              <w:spacing w:after="0"/>
              <w:rPr>
                <w:sz w:val="20"/>
                <w:szCs w:val="20"/>
                <w:color w:val="auto"/>
              </w:rPr>
            </w:pPr>
            <w:r>
              <w:rPr>
                <w:rFonts w:ascii="Times New Roman" w:cs="Times New Roman" w:eastAsia="Times New Roman" w:hAnsi="Times New Roman"/>
                <w:sz w:val="19"/>
                <w:szCs w:val="19"/>
                <w:color w:val="1E1E1E"/>
              </w:rPr>
              <w:t>Changes in operating assets and liabilities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514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Accounts receivable, net</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(16,923)</w:t>
            </w: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(89)</w:t>
            </w:r>
          </w:p>
        </w:tc>
        <w:tc>
          <w:tcPr>
            <w:tcW w:w="140" w:type="dxa"/>
            <w:vAlign w:val="bottom"/>
            <w:shd w:val="clear" w:color="auto" w:fill="E4E4E4"/>
          </w:tcPr>
          <w:p>
            <w:pPr>
              <w:spacing w:after="0"/>
              <w:rPr>
                <w:sz w:val="19"/>
                <w:szCs w:val="19"/>
                <w:color w:val="auto"/>
              </w:rPr>
            </w:pPr>
          </w:p>
        </w:tc>
        <w:tc>
          <w:tcPr>
            <w:tcW w:w="13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(17,012)</w:t>
            </w:r>
          </w:p>
        </w:tc>
      </w:tr>
      <w:tr>
        <w:trPr>
          <w:trHeight w:val="223"/>
        </w:trPr>
        <w:tc>
          <w:tcPr>
            <w:tcW w:w="514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Other assets, current and long term</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(7,016)</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2,900</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(4,116)</w:t>
            </w:r>
          </w:p>
        </w:tc>
      </w:tr>
      <w:tr>
        <w:trPr>
          <w:trHeight w:val="223"/>
        </w:trPr>
        <w:tc>
          <w:tcPr>
            <w:tcW w:w="514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Accrued expenses</w:t>
            </w:r>
          </w:p>
        </w:tc>
        <w:tc>
          <w:tcPr>
            <w:tcW w:w="1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260"/>
              <w:spacing w:after="0"/>
              <w:rPr>
                <w:sz w:val="20"/>
                <w:szCs w:val="20"/>
                <w:color w:val="auto"/>
              </w:rPr>
            </w:pPr>
            <w:r>
              <w:rPr>
                <w:rFonts w:ascii="Times New Roman" w:cs="Times New Roman" w:eastAsia="Times New Roman" w:hAnsi="Times New Roman"/>
                <w:sz w:val="19"/>
                <w:szCs w:val="19"/>
                <w:color w:val="1E1E1E"/>
              </w:rPr>
              <w:t>403</w:t>
            </w: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3</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406</w:t>
            </w:r>
          </w:p>
        </w:tc>
        <w:tc>
          <w:tcPr>
            <w:tcW w:w="80" w:type="dxa"/>
            <w:vAlign w:val="bottom"/>
            <w:shd w:val="clear" w:color="auto" w:fill="E4E4E4"/>
          </w:tcPr>
          <w:p>
            <w:pPr>
              <w:spacing w:after="0"/>
              <w:rPr>
                <w:sz w:val="19"/>
                <w:szCs w:val="19"/>
                <w:color w:val="auto"/>
              </w:rPr>
            </w:pPr>
          </w:p>
        </w:tc>
      </w:tr>
      <w:tr>
        <w:trPr>
          <w:trHeight w:val="260"/>
        </w:trPr>
        <w:tc>
          <w:tcPr>
            <w:tcW w:w="514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Contract liabilities</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1E1E1E"/>
              </w:rPr>
              <w:t>515</w:t>
            </w:r>
          </w:p>
        </w:tc>
        <w:tc>
          <w:tcPr>
            <w:tcW w:w="1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220</w:t>
            </w: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735</w:t>
            </w:r>
          </w:p>
        </w:tc>
        <w:tc>
          <w:tcPr>
            <w:tcW w:w="80" w:type="dxa"/>
            <w:vAlign w:val="bottom"/>
          </w:tcPr>
          <w:p>
            <w:pPr>
              <w:spacing w:after="0"/>
              <w:rPr>
                <w:sz w:val="22"/>
                <w:szCs w:val="22"/>
                <w:color w:val="auto"/>
              </w:rPr>
            </w:pPr>
          </w:p>
        </w:tc>
      </w:tr>
    </w:tbl>
    <w:p>
      <w:pPr>
        <w:spacing w:after="0" w:line="137" w:lineRule="exact"/>
        <w:rPr>
          <w:sz w:val="20"/>
          <w:szCs w:val="20"/>
          <w:color w:val="auto"/>
        </w:rPr>
      </w:pPr>
    </w:p>
    <w:p>
      <w:pPr>
        <w:ind w:right="120" w:firstLine="601"/>
        <w:spacing w:after="0" w:line="243" w:lineRule="auto"/>
        <w:rPr>
          <w:sz w:val="20"/>
          <w:szCs w:val="20"/>
          <w:color w:val="auto"/>
        </w:rPr>
      </w:pPr>
      <w:r>
        <w:rPr>
          <w:rFonts w:ascii="Times New Roman" w:cs="Times New Roman" w:eastAsia="Times New Roman" w:hAnsi="Times New Roman"/>
          <w:sz w:val="19"/>
          <w:szCs w:val="19"/>
          <w:color w:val="1E1E1E"/>
        </w:rPr>
        <w:t>The immaterial corrections impacted only the Company’s U.S. operating segment. A summary of the effect of the corrections on Disaggregated Revenue and Cost of Revenue and U.S. Segment Revenue and U.S. Segment Loss for the year ended December 31, 2022 is as follows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1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Disaggregated Revenue and Cost of Revenue Information</w:t>
            </w:r>
          </w:p>
        </w:tc>
        <w:tc>
          <w:tcPr>
            <w:tcW w:w="140" w:type="dxa"/>
            <w:vAlign w:val="bottom"/>
          </w:tcPr>
          <w:p>
            <w:pPr>
              <w:spacing w:after="0"/>
              <w:rPr>
                <w:sz w:val="21"/>
                <w:szCs w:val="21"/>
                <w:color w:val="auto"/>
              </w:rPr>
            </w:pPr>
          </w:p>
        </w:tc>
        <w:tc>
          <w:tcPr>
            <w:tcW w:w="140" w:type="dxa"/>
            <w:vAlign w:val="bottom"/>
            <w:tcBorders>
              <w:bottom w:val="single" w:sz="8" w:color="1E1E1E"/>
            </w:tcBorders>
          </w:tcPr>
          <w:p>
            <w:pPr>
              <w:spacing w:after="0"/>
              <w:rPr>
                <w:sz w:val="21"/>
                <w:szCs w:val="21"/>
                <w:color w:val="auto"/>
              </w:rPr>
            </w:pPr>
          </w:p>
        </w:tc>
        <w:tc>
          <w:tcPr>
            <w:tcW w:w="1200" w:type="dxa"/>
            <w:vAlign w:val="bottom"/>
            <w:tcBorders>
              <w:bottom w:val="single" w:sz="8" w:color="1E1E1E"/>
            </w:tcBorders>
          </w:tcPr>
          <w:p>
            <w:pPr>
              <w:spacing w:after="0"/>
              <w:rPr>
                <w:sz w:val="21"/>
                <w:szCs w:val="21"/>
                <w:color w:val="auto"/>
              </w:rPr>
            </w:pPr>
          </w:p>
        </w:tc>
        <w:tc>
          <w:tcPr>
            <w:tcW w:w="20" w:type="dxa"/>
            <w:vAlign w:val="bottom"/>
            <w:tcBorders>
              <w:bottom w:val="single" w:sz="8" w:color="1E1E1E"/>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1300" w:type="dxa"/>
            <w:vAlign w:val="bottom"/>
            <w:tcBorders>
              <w:bottom w:val="single" w:sz="8" w:color="1E1E1E"/>
            </w:tcBorders>
            <w:gridSpan w:val="2"/>
          </w:tcPr>
          <w:p>
            <w:pPr>
              <w:jc w:val="right"/>
              <w:ind w:right="400"/>
              <w:spacing w:after="0"/>
              <w:rPr>
                <w:sz w:val="20"/>
                <w:szCs w:val="20"/>
                <w:color w:val="auto"/>
              </w:rPr>
            </w:pPr>
            <w:r>
              <w:rPr>
                <w:rFonts w:ascii="Times New Roman" w:cs="Times New Roman" w:eastAsia="Times New Roman" w:hAnsi="Times New Roman"/>
                <w:sz w:val="19"/>
                <w:szCs w:val="19"/>
                <w:b w:val="1"/>
                <w:bCs w:val="1"/>
                <w:color w:val="1E1E1E"/>
              </w:rPr>
              <w:t>Summary</w:t>
            </w:r>
          </w:p>
        </w:tc>
        <w:tc>
          <w:tcPr>
            <w:tcW w:w="140" w:type="dxa"/>
            <w:vAlign w:val="bottom"/>
            <w:tcBorders>
              <w:bottom w:val="single" w:sz="8" w:color="1E1E1E"/>
            </w:tcBorders>
          </w:tcPr>
          <w:p>
            <w:pPr>
              <w:spacing w:after="0"/>
              <w:rPr>
                <w:sz w:val="21"/>
                <w:szCs w:val="21"/>
                <w:color w:val="auto"/>
              </w:rPr>
            </w:pPr>
          </w:p>
        </w:tc>
        <w:tc>
          <w:tcPr>
            <w:tcW w:w="1260" w:type="dxa"/>
            <w:vAlign w:val="bottom"/>
            <w:tcBorders>
              <w:bottom w:val="single" w:sz="8" w:color="1E1E1E"/>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line="213" w:lineRule="exact"/>
              <w:rPr>
                <w:sz w:val="20"/>
                <w:szCs w:val="20"/>
                <w:color w:val="auto"/>
              </w:rPr>
            </w:pPr>
            <w:r>
              <w:rPr>
                <w:rFonts w:ascii="Times New Roman" w:cs="Times New Roman" w:eastAsia="Times New Roman" w:hAnsi="Times New Roman"/>
                <w:sz w:val="19"/>
                <w:szCs w:val="19"/>
                <w:b w:val="1"/>
                <w:bCs w:val="1"/>
                <w:color w:val="1E1E1E"/>
              </w:rPr>
              <w:t>As Reported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b w:val="1"/>
                <w:bCs w:val="1"/>
                <w:color w:val="1E1E1E"/>
              </w:rPr>
              <w:t>Corrections</w:t>
            </w:r>
          </w:p>
        </w:tc>
        <w:tc>
          <w:tcPr>
            <w:tcW w:w="140" w:type="dxa"/>
            <w:vAlign w:val="bottom"/>
          </w:tcPr>
          <w:p>
            <w:pPr>
              <w:spacing w:after="0"/>
              <w:rPr>
                <w:sz w:val="18"/>
                <w:szCs w:val="18"/>
                <w:color w:val="auto"/>
              </w:rPr>
            </w:pPr>
          </w:p>
        </w:tc>
        <w:tc>
          <w:tcPr>
            <w:tcW w:w="1260" w:type="dxa"/>
            <w:vAlign w:val="bottom"/>
          </w:tcPr>
          <w:p>
            <w:pPr>
              <w:jc w:val="right"/>
              <w:ind w:right="103"/>
              <w:spacing w:after="0" w:line="213" w:lineRule="exact"/>
              <w:rPr>
                <w:sz w:val="20"/>
                <w:szCs w:val="20"/>
                <w:color w:val="auto"/>
              </w:rPr>
            </w:pPr>
            <w:r>
              <w:rPr>
                <w:rFonts w:ascii="Times New Roman" w:cs="Times New Roman" w:eastAsia="Times New Roman" w:hAnsi="Times New Roman"/>
                <w:sz w:val="19"/>
                <w:szCs w:val="19"/>
                <w:b w:val="1"/>
                <w:bCs w:val="1"/>
                <w:color w:val="1E1E1E"/>
              </w:rPr>
              <w:t>As Adjusted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Marketplace</w:t>
            </w:r>
          </w:p>
        </w:tc>
        <w:tc>
          <w:tcPr>
            <w:tcW w:w="14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00" w:type="dxa"/>
            <w:vAlign w:val="bottom"/>
            <w:tcBorders>
              <w:top w:val="single" w:sz="8" w:color="1E1E1E"/>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24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spacing w:after="0"/>
              <w:rPr>
                <w:sz w:val="18"/>
                <w:szCs w:val="18"/>
                <w:color w:val="auto"/>
              </w:rPr>
            </w:pPr>
          </w:p>
        </w:tc>
        <w:tc>
          <w:tcPr>
            <w:tcW w:w="1120" w:type="dxa"/>
            <w:vAlign w:val="bottom"/>
            <w:tcBorders>
              <w:top w:val="single" w:sz="8" w:color="1E1E1E"/>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6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Revenue</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303,134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303,223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216,336</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1,443</w:t>
            </w: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217,779</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140" w:type="dxa"/>
            <w:vAlign w:val="bottom"/>
          </w:tcPr>
          <w:p>
            <w:pPr>
              <w:spacing w:after="0"/>
              <w:rPr>
                <w:sz w:val="18"/>
                <w:szCs w:val="18"/>
                <w:color w:val="auto"/>
              </w:rPr>
            </w:pPr>
          </w:p>
        </w:tc>
        <w:tc>
          <w:tcPr>
            <w:tcW w:w="1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86,798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(1,354)</w:t>
            </w:r>
          </w:p>
        </w:tc>
        <w:tc>
          <w:tcPr>
            <w:tcW w:w="180" w:type="dxa"/>
            <w:vAlign w:val="bottom"/>
          </w:tcPr>
          <w:p>
            <w:pPr>
              <w:spacing w:after="0"/>
              <w:rPr>
                <w:sz w:val="18"/>
                <w:szCs w:val="18"/>
                <w:color w:val="auto"/>
              </w:rPr>
            </w:pPr>
          </w:p>
        </w:tc>
        <w:tc>
          <w:tcPr>
            <w:tcW w:w="1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85,444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Supplier Services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Revenue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77,919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(221)</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77,698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4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12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17,151</w:t>
            </w:r>
          </w:p>
        </w:tc>
        <w:tc>
          <w:tcPr>
            <w:tcW w:w="24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3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w:t>
            </w:r>
          </w:p>
        </w:tc>
        <w:tc>
          <w:tcPr>
            <w:tcW w:w="140" w:type="dxa"/>
            <w:vAlign w:val="bottom"/>
            <w:shd w:val="clear" w:color="auto" w:fill="E4E4E4"/>
          </w:tcPr>
          <w:p>
            <w:pPr>
              <w:spacing w:after="0"/>
              <w:rPr>
                <w:sz w:val="21"/>
                <w:szCs w:val="21"/>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17,151</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140" w:type="dxa"/>
            <w:vAlign w:val="bottom"/>
            <w:tcBorders>
              <w:top w:val="single" w:sz="8" w:color="E4E4E4"/>
            </w:tcBorders>
          </w:tcPr>
          <w:p>
            <w:pPr>
              <w:spacing w:after="0" w:line="193" w:lineRule="exact"/>
              <w:rPr>
                <w:sz w:val="20"/>
                <w:szCs w:val="20"/>
                <w:color w:val="auto"/>
              </w:rPr>
            </w:pPr>
            <w:r>
              <w:rPr>
                <w:rFonts w:ascii="Times New Roman" w:cs="Times New Roman" w:eastAsia="Times New Roman" w:hAnsi="Times New Roman"/>
                <w:sz w:val="19"/>
                <w:szCs w:val="19"/>
                <w:color w:val="1E1E1E"/>
              </w:rPr>
              <w:t>Gross profit</w:t>
            </w:r>
          </w:p>
        </w:tc>
        <w:tc>
          <w:tcPr>
            <w:tcW w:w="140" w:type="dxa"/>
            <w:vAlign w:val="bottom"/>
            <w:tcBorders>
              <w:top w:val="single" w:sz="8" w:color="E4E4E4"/>
            </w:tcBorders>
          </w:tcPr>
          <w:p>
            <w:pPr>
              <w:spacing w:after="0"/>
              <w:rPr>
                <w:sz w:val="16"/>
                <w:szCs w:val="16"/>
                <w:color w:val="auto"/>
              </w:rPr>
            </w:pPr>
          </w:p>
        </w:tc>
        <w:tc>
          <w:tcPr>
            <w:tcW w:w="14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60,768</w:t>
            </w:r>
          </w:p>
        </w:tc>
        <w:tc>
          <w:tcPr>
            <w:tcW w:w="20" w:type="dxa"/>
            <w:vAlign w:val="bottom"/>
            <w:tcBorders>
              <w:top w:val="single" w:sz="8" w:color="E4E4E4"/>
            </w:tcBorders>
          </w:tcPr>
          <w:p>
            <w:pPr>
              <w:spacing w:after="0"/>
              <w:rPr>
                <w:sz w:val="16"/>
                <w:szCs w:val="16"/>
                <w:color w:val="auto"/>
              </w:rPr>
            </w:pPr>
          </w:p>
        </w:tc>
        <w:tc>
          <w:tcPr>
            <w:tcW w:w="240" w:type="dxa"/>
            <w:vAlign w:val="bottom"/>
            <w:tcBorders>
              <w:top w:val="single" w:sz="8" w:color="E4E4E4"/>
            </w:tcBorders>
          </w:tcPr>
          <w:p>
            <w:pPr>
              <w:spacing w:after="0"/>
              <w:rPr>
                <w:sz w:val="16"/>
                <w:szCs w:val="16"/>
                <w:color w:val="auto"/>
              </w:rPr>
            </w:pPr>
          </w:p>
        </w:tc>
        <w:tc>
          <w:tcPr>
            <w:tcW w:w="10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(221)</w:t>
            </w:r>
          </w:p>
        </w:tc>
        <w:tc>
          <w:tcPr>
            <w:tcW w:w="180" w:type="dxa"/>
            <w:vAlign w:val="bottom"/>
            <w:tcBorders>
              <w:top w:val="single" w:sz="8" w:color="E4E4E4"/>
            </w:tcBorders>
          </w:tcPr>
          <w:p>
            <w:pPr>
              <w:spacing w:after="0"/>
              <w:rPr>
                <w:sz w:val="16"/>
                <w:szCs w:val="16"/>
                <w:color w:val="auto"/>
              </w:rPr>
            </w:pPr>
          </w:p>
        </w:tc>
        <w:tc>
          <w:tcPr>
            <w:tcW w:w="14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60,547</w:t>
            </w:r>
          </w:p>
        </w:tc>
        <w:tc>
          <w:tcPr>
            <w:tcW w:w="80" w:type="dxa"/>
            <w:vAlign w:val="bottom"/>
            <w:tcBorders>
              <w:top w:val="single" w:sz="8" w:color="E4E4E4"/>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1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Segments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340" w:type="dxa"/>
            <w:vAlign w:val="bottom"/>
            <w:gridSpan w:val="9"/>
          </w:tcPr>
          <w:p>
            <w:pPr>
              <w:jc w:val="right"/>
              <w:ind w:right="620"/>
              <w:spacing w:after="0"/>
              <w:rPr>
                <w:sz w:val="20"/>
                <w:szCs w:val="20"/>
                <w:color w:val="auto"/>
              </w:rPr>
            </w:pPr>
            <w:r>
              <w:rPr>
                <w:rFonts w:ascii="Times New Roman" w:cs="Times New Roman" w:eastAsia="Times New Roman" w:hAnsi="Times New Roman"/>
                <w:sz w:val="19"/>
                <w:szCs w:val="19"/>
                <w:b w:val="1"/>
                <w:bCs w:val="1"/>
                <w:color w:val="1E1E1E"/>
              </w:rPr>
              <w:t>For The Year Ended December 31, 2022</w:t>
            </w:r>
          </w:p>
        </w:tc>
        <w:tc>
          <w:tcPr>
            <w:tcW w:w="0" w:type="dxa"/>
            <w:vAlign w:val="bottom"/>
          </w:tcPr>
          <w:p>
            <w:pPr>
              <w:spacing w:after="0"/>
              <w:rPr>
                <w:sz w:val="1"/>
                <w:szCs w:val="1"/>
                <w:color w:val="auto"/>
              </w:rPr>
            </w:pPr>
          </w:p>
        </w:tc>
      </w:tr>
      <w:tr>
        <w:trPr>
          <w:trHeight w:val="213"/>
        </w:trPr>
        <w:tc>
          <w:tcPr>
            <w:tcW w:w="5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1E1E1E"/>
            </w:tcBorders>
          </w:tcPr>
          <w:p>
            <w:pPr>
              <w:spacing w:after="0"/>
              <w:rPr>
                <w:sz w:val="18"/>
                <w:szCs w:val="18"/>
                <w:color w:val="auto"/>
              </w:rPr>
            </w:pPr>
          </w:p>
        </w:tc>
        <w:tc>
          <w:tcPr>
            <w:tcW w:w="1360" w:type="dxa"/>
            <w:vAlign w:val="bottom"/>
            <w:tcBorders>
              <w:top w:val="single" w:sz="8" w:color="1E1E1E"/>
            </w:tcBorders>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b w:val="1"/>
                <w:bCs w:val="1"/>
                <w:color w:val="1E1E1E"/>
              </w:rPr>
              <w:t>As Reported</w:t>
            </w:r>
          </w:p>
        </w:tc>
        <w:tc>
          <w:tcPr>
            <w:tcW w:w="100" w:type="dxa"/>
            <w:vAlign w:val="bottom"/>
            <w:tcBorders>
              <w:top w:val="single" w:sz="8" w:color="1E1E1E"/>
            </w:tcBorders>
          </w:tcPr>
          <w:p>
            <w:pPr>
              <w:spacing w:after="0"/>
              <w:rPr>
                <w:sz w:val="18"/>
                <w:szCs w:val="18"/>
                <w:color w:val="auto"/>
              </w:rPr>
            </w:pPr>
          </w:p>
        </w:tc>
        <w:tc>
          <w:tcPr>
            <w:tcW w:w="100" w:type="dxa"/>
            <w:vAlign w:val="bottom"/>
            <w:tcBorders>
              <w:top w:val="single" w:sz="8" w:color="1E1E1E"/>
            </w:tcBorders>
          </w:tcPr>
          <w:p>
            <w:pPr>
              <w:spacing w:after="0"/>
              <w:rPr>
                <w:sz w:val="18"/>
                <w:szCs w:val="18"/>
                <w:color w:val="auto"/>
              </w:rPr>
            </w:pPr>
          </w:p>
        </w:tc>
        <w:tc>
          <w:tcPr>
            <w:tcW w:w="1300" w:type="dxa"/>
            <w:vAlign w:val="bottom"/>
            <w:tcBorders>
              <w:top w:val="single" w:sz="8" w:color="1E1E1E"/>
            </w:tcBorders>
            <w:gridSpan w:val="2"/>
          </w:tcPr>
          <w:p>
            <w:pPr>
              <w:jc w:val="right"/>
              <w:ind w:right="300"/>
              <w:spacing w:after="0" w:line="213" w:lineRule="exact"/>
              <w:rPr>
                <w:sz w:val="20"/>
                <w:szCs w:val="20"/>
                <w:color w:val="auto"/>
              </w:rPr>
            </w:pPr>
            <w:r>
              <w:rPr>
                <w:rFonts w:ascii="Times New Roman" w:cs="Times New Roman" w:eastAsia="Times New Roman" w:hAnsi="Times New Roman"/>
                <w:sz w:val="19"/>
                <w:szCs w:val="19"/>
                <w:b w:val="1"/>
                <w:bCs w:val="1"/>
                <w:color w:val="1E1E1E"/>
              </w:rPr>
              <w:t>Corrections</w:t>
            </w:r>
          </w:p>
        </w:tc>
        <w:tc>
          <w:tcPr>
            <w:tcW w:w="140" w:type="dxa"/>
            <w:vAlign w:val="bottom"/>
            <w:tcBorders>
              <w:top w:val="single" w:sz="8" w:color="1E1E1E"/>
            </w:tcBorders>
          </w:tcPr>
          <w:p>
            <w:pPr>
              <w:spacing w:after="0"/>
              <w:rPr>
                <w:sz w:val="18"/>
                <w:szCs w:val="18"/>
                <w:color w:val="auto"/>
              </w:rPr>
            </w:pPr>
          </w:p>
        </w:tc>
        <w:tc>
          <w:tcPr>
            <w:tcW w:w="1260" w:type="dxa"/>
            <w:vAlign w:val="bottom"/>
            <w:tcBorders>
              <w:top w:val="single" w:sz="8" w:color="1E1E1E"/>
            </w:tcBorders>
          </w:tcPr>
          <w:p>
            <w:pPr>
              <w:jc w:val="right"/>
              <w:ind w:right="103"/>
              <w:spacing w:after="0" w:line="213" w:lineRule="exact"/>
              <w:rPr>
                <w:sz w:val="20"/>
                <w:szCs w:val="20"/>
                <w:color w:val="auto"/>
              </w:rPr>
            </w:pPr>
            <w:r>
              <w:rPr>
                <w:rFonts w:ascii="Times New Roman" w:cs="Times New Roman" w:eastAsia="Times New Roman" w:hAnsi="Times New Roman"/>
                <w:sz w:val="19"/>
                <w:szCs w:val="19"/>
                <w:b w:val="1"/>
                <w:bCs w:val="1"/>
                <w:color w:val="1E1E1E"/>
              </w:rPr>
              <w:t>As Adjusted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Revenues</w:t>
            </w:r>
          </w:p>
        </w:tc>
        <w:tc>
          <w:tcPr>
            <w:tcW w:w="14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00" w:type="dxa"/>
            <w:vAlign w:val="bottom"/>
            <w:tcBorders>
              <w:top w:val="single" w:sz="8" w:color="1E1E1E"/>
            </w:tcBorders>
            <w:shd w:val="clear" w:color="auto" w:fill="E4E4E4"/>
          </w:tcPr>
          <w:p>
            <w:pPr>
              <w:spacing w:after="0"/>
              <w:rPr>
                <w:sz w:val="18"/>
                <w:szCs w:val="18"/>
                <w:color w:val="auto"/>
              </w:rPr>
            </w:pPr>
          </w:p>
        </w:tc>
        <w:tc>
          <w:tcPr>
            <w:tcW w:w="16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spacing w:after="0"/>
              <w:rPr>
                <w:sz w:val="18"/>
                <w:szCs w:val="18"/>
                <w:color w:val="auto"/>
              </w:rPr>
            </w:pPr>
          </w:p>
        </w:tc>
        <w:tc>
          <w:tcPr>
            <w:tcW w:w="1120" w:type="dxa"/>
            <w:vAlign w:val="bottom"/>
            <w:tcBorders>
              <w:top w:val="single" w:sz="8" w:color="1E1E1E"/>
            </w:tcBorders>
            <w:shd w:val="clear" w:color="auto" w:fill="E4E4E4"/>
          </w:tcPr>
          <w:p>
            <w:pPr>
              <w:spacing w:after="0"/>
              <w:rPr>
                <w:sz w:val="18"/>
                <w:szCs w:val="18"/>
                <w:color w:val="auto"/>
              </w:rPr>
            </w:pPr>
          </w:p>
        </w:tc>
        <w:tc>
          <w:tcPr>
            <w:tcW w:w="18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spacing w:after="0"/>
              <w:rPr>
                <w:sz w:val="18"/>
                <w:szCs w:val="18"/>
                <w:color w:val="auto"/>
              </w:rPr>
            </w:pPr>
          </w:p>
        </w:tc>
        <w:tc>
          <w:tcPr>
            <w:tcW w:w="126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347,842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(132)</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347,710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Losses</w:t>
            </w:r>
          </w:p>
        </w:tc>
        <w:tc>
          <w:tcPr>
            <w:tcW w:w="14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126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(58,758)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(3,034)</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(61,792)</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i w:val="1"/>
          <w:iCs w:val="1"/>
          <w:color w:val="1E1E1E"/>
        </w:rPr>
        <w:t>Foreign Operations and Comprehensive Loss</w:t>
      </w:r>
    </w:p>
    <w:p>
      <w:pPr>
        <w:spacing w:after="0" w:line="118" w:lineRule="exact"/>
        <w:rPr>
          <w:sz w:val="20"/>
          <w:szCs w:val="20"/>
          <w:color w:val="auto"/>
        </w:rPr>
      </w:pPr>
    </w:p>
    <w:p>
      <w:pPr>
        <w:ind w:right="20" w:firstLine="601"/>
        <w:spacing w:after="0" w:line="252" w:lineRule="auto"/>
        <w:rPr>
          <w:sz w:val="20"/>
          <w:szCs w:val="20"/>
          <w:color w:val="auto"/>
        </w:rPr>
      </w:pPr>
      <w:r>
        <w:rPr>
          <w:rFonts w:ascii="Times New Roman" w:cs="Times New Roman" w:eastAsia="Times New Roman" w:hAnsi="Times New Roman"/>
          <w:sz w:val="19"/>
          <w:szCs w:val="19"/>
          <w:color w:val="1E1E1E"/>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(“AOCI”), as a separate component of equity.</w:t>
      </w:r>
    </w:p>
    <w:p>
      <w:pPr>
        <w:spacing w:after="0" w:line="15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i w:val="1"/>
          <w:iCs w:val="1"/>
          <w:color w:val="1E1E1E"/>
        </w:rPr>
        <w:t>Noncontrolling Interest</w:t>
      </w:r>
    </w:p>
    <w:p>
      <w:pPr>
        <w:spacing w:after="0" w:line="118" w:lineRule="exact"/>
        <w:rPr>
          <w:sz w:val="20"/>
          <w:szCs w:val="20"/>
          <w:color w:val="auto"/>
        </w:rPr>
      </w:pPr>
    </w:p>
    <w:p>
      <w:pPr>
        <w:ind w:right="20" w:firstLine="601"/>
        <w:spacing w:after="0" w:line="254" w:lineRule="auto"/>
        <w:rPr>
          <w:sz w:val="20"/>
          <w:szCs w:val="20"/>
          <w:color w:val="auto"/>
        </w:rPr>
      </w:pPr>
      <w:r>
        <w:rPr>
          <w:rFonts w:ascii="Times New Roman" w:cs="Times New Roman" w:eastAsia="Times New Roman" w:hAnsi="Times New Roman"/>
          <w:sz w:val="19"/>
          <w:szCs w:val="19"/>
          <w:color w:val="1E1E1E"/>
        </w:rPr>
        <w:t>We have a 66.67% ownership in Incom Co., LTD. As we have a controlling interest in Incom Co., LTD, we have consolidated Incom Co., LTD into our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Consolidated Balance Sheets. We include net (loss) income attributable to the noncontrolling interests in net loss in our Consolidated Statements of Operations and Comprehensive Loss.</w:t>
      </w:r>
    </w:p>
    <w:p>
      <w:pPr>
        <w:spacing w:after="0" w:line="293" w:lineRule="exact"/>
        <w:rPr>
          <w:sz w:val="20"/>
          <w:szCs w:val="20"/>
          <w:color w:val="auto"/>
        </w:rPr>
      </w:pPr>
    </w:p>
    <w:p>
      <w:pPr>
        <w:ind w:left="1200" w:hanging="609"/>
        <w:spacing w:after="0"/>
        <w:tabs>
          <w:tab w:leader="none" w:pos="1200" w:val="left"/>
        </w:tabs>
        <w:numPr>
          <w:ilvl w:val="0"/>
          <w:numId w:val="3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Use of Estimates</w:t>
      </w:r>
    </w:p>
    <w:p>
      <w:pPr>
        <w:spacing w:after="0" w:line="120" w:lineRule="exact"/>
        <w:rPr>
          <w:sz w:val="20"/>
          <w:szCs w:val="20"/>
          <w:color w:val="auto"/>
        </w:rPr>
      </w:pPr>
    </w:p>
    <w:p>
      <w:pPr>
        <w:ind w:right="80" w:firstLine="601"/>
        <w:spacing w:after="0" w:line="267" w:lineRule="auto"/>
        <w:rPr>
          <w:sz w:val="20"/>
          <w:szCs w:val="20"/>
          <w:color w:val="auto"/>
        </w:rPr>
      </w:pPr>
      <w:r>
        <w:rPr>
          <w:rFonts w:ascii="Times New Roman" w:cs="Times New Roman" w:eastAsia="Times New Roman" w:hAnsi="Times New Roman"/>
          <w:sz w:val="19"/>
          <w:szCs w:val="19"/>
          <w:color w:val="1E1E1E"/>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ectPr>
          <w:pgSz w:w="11880" w:h="15480" w:orient="portrait"/>
          <w:cols w:equalWidth="0" w:num="1">
            <w:col w:w="9760"/>
          </w:cols>
          <w:pgMar w:left="1060" w:top="1083" w:right="1060" w:bottom="215" w:gutter="0" w:footer="0" w:header="0"/>
        </w:sect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76</w:t>
      </w:r>
    </w:p>
    <w:p>
      <w:pPr>
        <w:sectPr>
          <w:pgSz w:w="11880" w:h="15480" w:orient="portrait"/>
          <w:cols w:equalWidth="0" w:num="1">
            <w:col w:w="9760"/>
          </w:cols>
          <w:pgMar w:left="1060" w:top="1083" w:right="1060" w:bottom="215" w:gutter="0" w:footer="0" w:header="0"/>
          <w:type w:val="continuous"/>
        </w:sectPr>
      </w:pPr>
    </w:p>
    <w:bookmarkStart w:id="82" w:name="page83"/>
    <w:bookmarkEnd w:id="82"/>
    <w:p>
      <w:pPr>
        <w:ind w:left="1200" w:hanging="609"/>
        <w:spacing w:after="0"/>
        <w:tabs>
          <w:tab w:leader="none" w:pos="1200" w:val="left"/>
        </w:tabs>
        <w:numPr>
          <w:ilvl w:val="0"/>
          <w:numId w:val="35"/>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Business Combinations</w:t>
      </w:r>
    </w:p>
    <w:p>
      <w:pPr>
        <w:spacing w:after="0" w:line="120" w:lineRule="exact"/>
        <w:rPr>
          <w:sz w:val="20"/>
          <w:szCs w:val="20"/>
          <w:color w:val="auto"/>
        </w:rPr>
      </w:pPr>
    </w:p>
    <w:p>
      <w:pPr>
        <w:ind w:firstLine="601"/>
        <w:spacing w:after="0" w:line="249" w:lineRule="auto"/>
        <w:rPr>
          <w:sz w:val="20"/>
          <w:szCs w:val="20"/>
          <w:color w:val="auto"/>
        </w:rPr>
      </w:pPr>
      <w:r>
        <w:rPr>
          <w:rFonts w:ascii="Times New Roman" w:cs="Times New Roman" w:eastAsia="Times New Roman" w:hAnsi="Times New Roman"/>
          <w:sz w:val="19"/>
          <w:szCs w:val="19"/>
          <w:color w:val="1E1E1E"/>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75" w:lineRule="exact"/>
        <w:rPr>
          <w:sz w:val="20"/>
          <w:szCs w:val="20"/>
          <w:color w:val="auto"/>
        </w:rPr>
      </w:pPr>
    </w:p>
    <w:p>
      <w:pPr>
        <w:ind w:left="1200" w:hanging="609"/>
        <w:spacing w:after="0"/>
        <w:tabs>
          <w:tab w:leader="none" w:pos="1200" w:val="left"/>
        </w:tabs>
        <w:numPr>
          <w:ilvl w:val="0"/>
          <w:numId w:val="3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Fair Value Measurements and Financial Instruments</w:t>
      </w:r>
    </w:p>
    <w:p>
      <w:pPr>
        <w:spacing w:after="0" w:line="120" w:lineRule="exact"/>
        <w:rPr>
          <w:sz w:val="20"/>
          <w:szCs w:val="20"/>
          <w:color w:val="auto"/>
        </w:rPr>
      </w:pPr>
    </w:p>
    <w:p>
      <w:pPr>
        <w:ind w:right="40" w:firstLine="601"/>
        <w:spacing w:after="0" w:line="260" w:lineRule="auto"/>
        <w:rPr>
          <w:sz w:val="20"/>
          <w:szCs w:val="20"/>
          <w:color w:val="auto"/>
        </w:rPr>
      </w:pPr>
      <w:r>
        <w:rPr>
          <w:rFonts w:ascii="Times New Roman" w:cs="Times New Roman" w:eastAsia="Times New Roman" w:hAnsi="Times New Roman"/>
          <w:sz w:val="19"/>
          <w:szCs w:val="19"/>
          <w:color w:val="1E1E1E"/>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40" w:lineRule="exact"/>
        <w:rPr>
          <w:sz w:val="20"/>
          <w:szCs w:val="20"/>
          <w:color w:val="auto"/>
        </w:rPr>
      </w:pPr>
    </w:p>
    <w:p>
      <w:pPr>
        <w:ind w:firstLine="601"/>
        <w:spacing w:after="0" w:line="267" w:lineRule="auto"/>
        <w:rPr>
          <w:sz w:val="20"/>
          <w:szCs w:val="20"/>
          <w:color w:val="auto"/>
        </w:rPr>
      </w:pPr>
      <w:r>
        <w:rPr>
          <w:rFonts w:ascii="Times New Roman" w:cs="Times New Roman" w:eastAsia="Times New Roman" w:hAnsi="Times New Roman"/>
          <w:sz w:val="19"/>
          <w:szCs w:val="19"/>
          <w:color w:val="1E1E1E"/>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Level 1 - Observable inputs that reflect quoted prices (unadjusted) for identical assets or liabilities in active markets.</w:t>
      </w:r>
    </w:p>
    <w:p>
      <w:pPr>
        <w:spacing w:after="0" w:line="199" w:lineRule="exact"/>
        <w:rPr>
          <w:sz w:val="20"/>
          <w:szCs w:val="20"/>
          <w:color w:val="auto"/>
        </w:rPr>
      </w:pPr>
    </w:p>
    <w:p>
      <w:pPr>
        <w:jc w:val="both"/>
        <w:ind w:right="60" w:firstLine="601"/>
        <w:spacing w:after="0" w:line="267" w:lineRule="auto"/>
        <w:rPr>
          <w:sz w:val="20"/>
          <w:szCs w:val="20"/>
          <w:color w:val="auto"/>
        </w:rPr>
      </w:pPr>
      <w:r>
        <w:rPr>
          <w:rFonts w:ascii="Times New Roman" w:cs="Times New Roman" w:eastAsia="Times New Roman" w:hAnsi="Times New Roman"/>
          <w:sz w:val="19"/>
          <w:szCs w:val="19"/>
          <w:color w:val="1E1E1E"/>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34" w:lineRule="exact"/>
        <w:rPr>
          <w:sz w:val="20"/>
          <w:szCs w:val="20"/>
          <w:color w:val="auto"/>
        </w:rPr>
      </w:pPr>
    </w:p>
    <w:p>
      <w:pPr>
        <w:ind w:right="120" w:firstLine="601"/>
        <w:spacing w:after="0" w:line="267" w:lineRule="auto"/>
        <w:rPr>
          <w:sz w:val="20"/>
          <w:szCs w:val="20"/>
          <w:color w:val="auto"/>
        </w:rPr>
      </w:pPr>
      <w:r>
        <w:rPr>
          <w:rFonts w:ascii="Times New Roman" w:cs="Times New Roman" w:eastAsia="Times New Roman" w:hAnsi="Times New Roman"/>
          <w:sz w:val="19"/>
          <w:szCs w:val="19"/>
          <w:color w:val="1E1E1E"/>
        </w:rPr>
        <w:t>Level 3 -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34" w:lineRule="exact"/>
        <w:rPr>
          <w:sz w:val="20"/>
          <w:szCs w:val="20"/>
          <w:color w:val="auto"/>
        </w:rPr>
      </w:pPr>
    </w:p>
    <w:p>
      <w:pPr>
        <w:ind w:right="280" w:firstLine="601"/>
        <w:spacing w:after="0" w:line="267" w:lineRule="auto"/>
        <w:rPr>
          <w:sz w:val="20"/>
          <w:szCs w:val="20"/>
          <w:color w:val="auto"/>
        </w:rPr>
      </w:pPr>
      <w:r>
        <w:rPr>
          <w:rFonts w:ascii="Times New Roman" w:cs="Times New Roman" w:eastAsia="Times New Roman" w:hAnsi="Times New Roman"/>
          <w:sz w:val="19"/>
          <w:szCs w:val="19"/>
          <w:color w:val="1E1E1E"/>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58" w:lineRule="exact"/>
        <w:rPr>
          <w:sz w:val="20"/>
          <w:szCs w:val="20"/>
          <w:color w:val="auto"/>
        </w:rPr>
      </w:pPr>
    </w:p>
    <w:p>
      <w:pPr>
        <w:ind w:left="1200" w:hanging="609"/>
        <w:spacing w:after="0"/>
        <w:tabs>
          <w:tab w:leader="none" w:pos="1200" w:val="left"/>
        </w:tabs>
        <w:numPr>
          <w:ilvl w:val="0"/>
          <w:numId w:val="3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Cash and Cash Equivalents</w:t>
      </w:r>
    </w:p>
    <w:p>
      <w:pPr>
        <w:spacing w:after="0" w:line="120" w:lineRule="exact"/>
        <w:rPr>
          <w:sz w:val="20"/>
          <w:szCs w:val="20"/>
          <w:color w:val="auto"/>
        </w:rPr>
      </w:pPr>
    </w:p>
    <w:p>
      <w:pPr>
        <w:ind w:right="440" w:firstLine="601"/>
        <w:spacing w:after="0" w:line="290" w:lineRule="auto"/>
        <w:rPr>
          <w:sz w:val="20"/>
          <w:szCs w:val="20"/>
          <w:color w:val="auto"/>
        </w:rPr>
      </w:pPr>
      <w:r>
        <w:rPr>
          <w:rFonts w:ascii="Times New Roman" w:cs="Times New Roman" w:eastAsia="Times New Roman" w:hAnsi="Times New Roman"/>
          <w:sz w:val="19"/>
          <w:szCs w:val="19"/>
          <w:color w:val="1E1E1E"/>
        </w:rPr>
        <w:t>Cash and cash equivalents consist of cash held in checking accounts. These investments are stated at cost, which approximates fair value.</w:t>
      </w:r>
    </w:p>
    <w:p>
      <w:pPr>
        <w:spacing w:after="0" w:line="36" w:lineRule="exact"/>
        <w:rPr>
          <w:sz w:val="20"/>
          <w:szCs w:val="20"/>
          <w:color w:val="auto"/>
        </w:rPr>
      </w:pPr>
    </w:p>
    <w:p>
      <w:pPr>
        <w:ind w:left="1200" w:hanging="609"/>
        <w:spacing w:after="0"/>
        <w:tabs>
          <w:tab w:leader="none" w:pos="1200" w:val="left"/>
        </w:tabs>
        <w:numPr>
          <w:ilvl w:val="0"/>
          <w:numId w:val="3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Marketable Securities</w:t>
      </w:r>
    </w:p>
    <w:p>
      <w:pPr>
        <w:spacing w:after="0" w:line="120" w:lineRule="exact"/>
        <w:rPr>
          <w:sz w:val="20"/>
          <w:szCs w:val="20"/>
          <w:color w:val="auto"/>
        </w:rPr>
      </w:pPr>
    </w:p>
    <w:p>
      <w:pPr>
        <w:ind w:firstLine="649"/>
        <w:spacing w:after="0" w:line="250" w:lineRule="auto"/>
        <w:rPr>
          <w:sz w:val="20"/>
          <w:szCs w:val="20"/>
          <w:color w:val="auto"/>
        </w:rPr>
      </w:pPr>
      <w:r>
        <w:rPr>
          <w:rFonts w:ascii="Times New Roman" w:cs="Times New Roman" w:eastAsia="Times New Roman" w:hAnsi="Times New Roman"/>
          <w:sz w:val="19"/>
          <w:szCs w:val="19"/>
          <w:color w:val="1E1E1E"/>
        </w:rPr>
        <w:t>The Company measures its marketable securities at fair value and recognizes any changes in fair value in other expenses on the Consolidated Statements of Operations and Comprehensive Loss. Our marketable securities represent our investments in a short term money market fund and or short term bond fund. These marketable securities have maturities of three months or less. As of December 31, 2023 and 2022, the Company's marketable securities of $215.4 million and $253.8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 losses or gains were recorded during the year ended December 31, 2023. During the years ended December 31, 2022 and 2021, the Company recorded losses of $1.9 million and $2.0 million, respectively related to these securities which is recorded in other expenses on the Consolidated Statements of Operations and Comprehensive Loss.</w:t>
      </w:r>
    </w:p>
    <w:p>
      <w:pPr>
        <w:spacing w:after="0" w:line="73" w:lineRule="exact"/>
        <w:rPr>
          <w:sz w:val="20"/>
          <w:szCs w:val="20"/>
          <w:color w:val="auto"/>
        </w:rPr>
      </w:pPr>
    </w:p>
    <w:p>
      <w:pPr>
        <w:ind w:left="1200" w:hanging="609"/>
        <w:spacing w:after="0"/>
        <w:tabs>
          <w:tab w:leader="none" w:pos="1200" w:val="left"/>
        </w:tabs>
        <w:numPr>
          <w:ilvl w:val="0"/>
          <w:numId w:val="39"/>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Accounts Receivable</w:t>
      </w:r>
    </w:p>
    <w:p>
      <w:pPr>
        <w:spacing w:after="0" w:line="120" w:lineRule="exact"/>
        <w:rPr>
          <w:sz w:val="20"/>
          <w:szCs w:val="20"/>
          <w:color w:val="auto"/>
        </w:rPr>
      </w:pPr>
    </w:p>
    <w:p>
      <w:pPr>
        <w:ind w:right="100" w:firstLine="601"/>
        <w:spacing w:after="0" w:line="260" w:lineRule="auto"/>
        <w:rPr>
          <w:sz w:val="20"/>
          <w:szCs w:val="20"/>
          <w:color w:val="auto"/>
        </w:rPr>
      </w:pPr>
      <w:r>
        <w:rPr>
          <w:rFonts w:ascii="Times New Roman" w:cs="Times New Roman" w:eastAsia="Times New Roman" w:hAnsi="Times New Roman"/>
          <w:sz w:val="19"/>
          <w:szCs w:val="19"/>
          <w:color w:val="1E1E1E"/>
        </w:rPr>
        <w:t>Accounts receivable are stated at the amount the Company expects to collect from outstanding balances. The Company's accounts receivable do not bear interest. Amounts collected on accounts receivable are included in net cash used in operating activities in the Consolidated Statements of Cash Flows. For buyers for which the Company provides credit, the Company performs credit inquiries, including reference checks, and queries credit ratings services and other publicly</w:t>
      </w:r>
    </w:p>
    <w:p>
      <w:pPr>
        <w:sectPr>
          <w:pgSz w:w="11880" w:h="15480" w:orient="portrait"/>
          <w:cols w:equalWidth="0" w:num="1">
            <w:col w:w="9760"/>
          </w:cols>
          <w:pgMar w:left="1060" w:top="1084" w:right="1060" w:bottom="215"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77</w:t>
      </w:r>
    </w:p>
    <w:p>
      <w:pPr>
        <w:sectPr>
          <w:pgSz w:w="11880" w:h="15480" w:orient="portrait"/>
          <w:cols w:equalWidth="0" w:num="1">
            <w:col w:w="9760"/>
          </w:cols>
          <w:pgMar w:left="1060" w:top="1084" w:right="1060" w:bottom="215" w:gutter="0" w:footer="0" w:header="0"/>
          <w:type w:val="continuous"/>
        </w:sectPr>
      </w:pPr>
    </w:p>
    <w:bookmarkStart w:id="83" w:name="page84"/>
    <w:bookmarkEnd w:id="83"/>
    <w:p>
      <w:pPr>
        <w:ind w:right="20"/>
        <w:spacing w:after="0" w:line="252" w:lineRule="auto"/>
        <w:rPr>
          <w:sz w:val="20"/>
          <w:szCs w:val="20"/>
          <w:color w:val="auto"/>
        </w:rPr>
      </w:pPr>
      <w:r>
        <w:rPr>
          <w:rFonts w:ascii="Times New Roman" w:cs="Times New Roman" w:eastAsia="Times New Roman" w:hAnsi="Times New Roman"/>
          <w:sz w:val="19"/>
          <w:szCs w:val="19"/>
          <w:color w:val="1E1E1E"/>
        </w:rPr>
        <w:t>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Allowance For Credit Losses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allowance for credit losses related to accounts receivable and changes were as follows (in 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27"/>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1E1E1E"/>
            </w:tcBorders>
          </w:tcPr>
          <w:p>
            <w:pPr>
              <w:spacing w:after="0"/>
              <w:rPr>
                <w:sz w:val="21"/>
                <w:szCs w:val="21"/>
                <w:color w:val="auto"/>
              </w:rPr>
            </w:pPr>
          </w:p>
        </w:tc>
        <w:tc>
          <w:tcPr>
            <w:tcW w:w="500" w:type="dxa"/>
            <w:vAlign w:val="bottom"/>
            <w:tcBorders>
              <w:top w:val="single" w:sz="8" w:color="1E1E1E"/>
            </w:tcBorders>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Borders>
              <w:top w:val="single" w:sz="8" w:color="1E1E1E"/>
            </w:tcBorders>
          </w:tcPr>
          <w:p>
            <w:pPr>
              <w:spacing w:after="0"/>
              <w:rPr>
                <w:sz w:val="21"/>
                <w:szCs w:val="21"/>
                <w:color w:val="auto"/>
              </w:rPr>
            </w:pPr>
          </w:p>
        </w:tc>
        <w:tc>
          <w:tcPr>
            <w:tcW w:w="1040" w:type="dxa"/>
            <w:vAlign w:val="bottom"/>
            <w:tcBorders>
              <w:top w:val="single" w:sz="8" w:color="1E1E1E"/>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top w:val="single" w:sz="8" w:color="1E1E1E"/>
            </w:tcBorders>
          </w:tcPr>
          <w:p>
            <w:pPr>
              <w:spacing w:after="0"/>
              <w:rPr>
                <w:sz w:val="21"/>
                <w:szCs w:val="21"/>
                <w:color w:val="auto"/>
              </w:rPr>
            </w:pPr>
          </w:p>
        </w:tc>
        <w:tc>
          <w:tcPr>
            <w:tcW w:w="1040" w:type="dxa"/>
            <w:vAlign w:val="bottom"/>
            <w:tcBorders>
              <w:top w:val="single" w:sz="8" w:color="1E1E1E"/>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1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Allowance for credit losses</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1E1E1E"/>
              </w:rPr>
              <w:t>Balance at beginning of year, January 1</w:t>
            </w:r>
          </w:p>
        </w:tc>
        <w:tc>
          <w:tcPr>
            <w:tcW w:w="940" w:type="dxa"/>
            <w:vAlign w:val="bottom"/>
            <w:gridSpan w:val="2"/>
          </w:tcPr>
          <w:p>
            <w:pPr>
              <w:jc w:val="right"/>
              <w:ind w:right="643"/>
              <w:spacing w:after="0"/>
              <w:rPr>
                <w:sz w:val="20"/>
                <w:szCs w:val="20"/>
                <w:color w:val="auto"/>
              </w:rPr>
            </w:pPr>
            <w:r>
              <w:rPr>
                <w:rFonts w:ascii="Times New Roman" w:cs="Times New Roman" w:eastAsia="Times New Roman" w:hAnsi="Times New Roman"/>
                <w:sz w:val="19"/>
                <w:szCs w:val="19"/>
                <w:color w:val="1E1E1E"/>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1E1E1E"/>
              </w:rPr>
              <w:t>1,988</w:t>
            </w:r>
          </w:p>
        </w:tc>
        <w:tc>
          <w:tcPr>
            <w:tcW w:w="30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1E1E1E"/>
                <w:w w:val="83"/>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809</w:t>
            </w:r>
          </w:p>
        </w:tc>
        <w:tc>
          <w:tcPr>
            <w:tcW w:w="380" w:type="dxa"/>
            <w:vAlign w:val="bottom"/>
            <w:gridSpan w:val="2"/>
          </w:tcPr>
          <w:p>
            <w:pPr>
              <w:jc w:val="right"/>
              <w:ind w:right="123"/>
              <w:spacing w:after="0"/>
              <w:rPr>
                <w:sz w:val="20"/>
                <w:szCs w:val="20"/>
                <w:color w:val="auto"/>
              </w:rPr>
            </w:pPr>
            <w:r>
              <w:rPr>
                <w:rFonts w:ascii="Times New Roman" w:cs="Times New Roman" w:eastAsia="Times New Roman" w:hAnsi="Times New Roman"/>
                <w:sz w:val="19"/>
                <w:szCs w:val="19"/>
                <w:color w:val="1E1E1E"/>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569</w:t>
            </w:r>
          </w:p>
        </w:tc>
        <w:tc>
          <w:tcPr>
            <w:tcW w:w="80" w:type="dxa"/>
            <w:vAlign w:val="bottom"/>
          </w:tcPr>
          <w:p>
            <w:pPr>
              <w:spacing w:after="0"/>
              <w:rPr>
                <w:sz w:val="19"/>
                <w:szCs w:val="19"/>
                <w:color w:val="auto"/>
              </w:rPr>
            </w:pPr>
          </w:p>
        </w:tc>
      </w:tr>
      <w:tr>
        <w:trPr>
          <w:trHeight w:val="223"/>
        </w:trPr>
        <w:tc>
          <w:tcPr>
            <w:tcW w:w="51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Charge to provision accounts</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70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2,186</w:t>
            </w:r>
          </w:p>
        </w:tc>
        <w:tc>
          <w:tcPr>
            <w:tcW w:w="300" w:type="dxa"/>
            <w:vAlign w:val="bottom"/>
            <w:shd w:val="clear" w:color="auto" w:fill="E4E4E4"/>
          </w:tcPr>
          <w:p>
            <w:pPr>
              <w:spacing w:after="0"/>
              <w:rPr>
                <w:sz w:val="19"/>
                <w:szCs w:val="19"/>
                <w:color w:val="auto"/>
              </w:rPr>
            </w:pPr>
          </w:p>
        </w:tc>
        <w:tc>
          <w:tcPr>
            <w:tcW w:w="116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1,324</w:t>
            </w:r>
          </w:p>
        </w:tc>
        <w:tc>
          <w:tcPr>
            <w:tcW w:w="6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295</w:t>
            </w:r>
          </w:p>
        </w:tc>
        <w:tc>
          <w:tcPr>
            <w:tcW w:w="80" w:type="dxa"/>
            <w:vAlign w:val="bottom"/>
            <w:shd w:val="clear" w:color="auto" w:fill="E4E4E4"/>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9"/>
                <w:szCs w:val="19"/>
                <w:color w:val="1E1E1E"/>
              </w:rPr>
              <w:t>Write-offs or other</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1E1E1E"/>
                <w:w w:val="97"/>
              </w:rPr>
              <w:t>(1,730)</w:t>
            </w: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1E1E1E"/>
              </w:rPr>
              <w:t>(145)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(55)</w:t>
            </w:r>
          </w:p>
        </w:tc>
      </w:tr>
      <w:tr>
        <w:trPr>
          <w:trHeight w:val="213"/>
        </w:trPr>
        <w:tc>
          <w:tcPr>
            <w:tcW w:w="516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Balance at period end December 31, respectively</w:t>
            </w:r>
          </w:p>
        </w:tc>
        <w:tc>
          <w:tcPr>
            <w:tcW w:w="100" w:type="dxa"/>
            <w:vAlign w:val="bottom"/>
            <w:tcBorders>
              <w:top w:val="single" w:sz="8" w:color="E4E4E4"/>
            </w:tcBorders>
            <w:shd w:val="clear" w:color="auto" w:fill="E4E4E4"/>
          </w:tcPr>
          <w:p>
            <w:pPr>
              <w:spacing w:after="0"/>
              <w:rPr>
                <w:sz w:val="18"/>
                <w:szCs w:val="18"/>
                <w:color w:val="auto"/>
              </w:rPr>
            </w:pPr>
          </w:p>
        </w:tc>
        <w:tc>
          <w:tcPr>
            <w:tcW w:w="840" w:type="dxa"/>
            <w:vAlign w:val="bottom"/>
            <w:tcBorders>
              <w:top w:val="single" w:sz="8" w:color="1E1E1E"/>
              <w:bottom w:val="single" w:sz="8" w:color="1E1E1E"/>
            </w:tcBorders>
            <w:shd w:val="clear" w:color="auto" w:fill="E4E4E4"/>
          </w:tcPr>
          <w:p>
            <w:pPr>
              <w:jc w:val="right"/>
              <w:ind w:right="6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5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2,444</w:t>
            </w:r>
          </w:p>
        </w:tc>
        <w:tc>
          <w:tcPr>
            <w:tcW w:w="200" w:type="dxa"/>
            <w:vAlign w:val="bottom"/>
            <w:tcBorders>
              <w:top w:val="single" w:sz="8" w:color="E4E4E4"/>
            </w:tcBorders>
            <w:shd w:val="clear" w:color="auto" w:fill="E4E4E4"/>
          </w:tcPr>
          <w:p>
            <w:pPr>
              <w:spacing w:after="0"/>
              <w:rPr>
                <w:sz w:val="18"/>
                <w:szCs w:val="18"/>
                <w:color w:val="auto"/>
              </w:rPr>
            </w:pPr>
          </w:p>
        </w:tc>
        <w:tc>
          <w:tcPr>
            <w:tcW w:w="300" w:type="dxa"/>
            <w:vAlign w:val="bottom"/>
            <w:tcBorders>
              <w:top w:val="single" w:sz="8" w:color="1E1E1E"/>
              <w:bottom w:val="single" w:sz="8" w:color="1E1E1E"/>
            </w:tcBorders>
            <w:shd w:val="clear" w:color="auto" w:fill="E4E4E4"/>
          </w:tcPr>
          <w:p>
            <w:pPr>
              <w:jc w:val="right"/>
              <w:ind w:right="1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1,988</w:t>
            </w:r>
          </w:p>
        </w:tc>
        <w:tc>
          <w:tcPr>
            <w:tcW w:w="12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320" w:type="dxa"/>
            <w:vAlign w:val="bottom"/>
            <w:tcBorders>
              <w:top w:val="single" w:sz="8" w:color="1E1E1E"/>
              <w:bottom w:val="single" w:sz="8" w:color="1E1E1E"/>
            </w:tcBorders>
            <w:shd w:val="clear" w:color="auto" w:fill="E4E4E4"/>
          </w:tcPr>
          <w:p>
            <w:pPr>
              <w:jc w:val="right"/>
              <w:ind w:right="1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809</w:t>
            </w:r>
          </w:p>
        </w:tc>
        <w:tc>
          <w:tcPr>
            <w:tcW w:w="80" w:type="dxa"/>
            <w:vAlign w:val="bottom"/>
            <w:tcBorders>
              <w:top w:val="single" w:sz="8" w:color="E4E4E4"/>
            </w:tcBorders>
            <w:shd w:val="clear" w:color="auto" w:fill="E4E4E4"/>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200" w:hanging="609"/>
        <w:spacing w:after="0"/>
        <w:tabs>
          <w:tab w:leader="none" w:pos="1200" w:val="left"/>
        </w:tabs>
        <w:numPr>
          <w:ilvl w:val="0"/>
          <w:numId w:val="4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Inventory</w:t>
      </w:r>
    </w:p>
    <w:p>
      <w:pPr>
        <w:spacing w:after="0" w:line="120" w:lineRule="exact"/>
        <w:rPr>
          <w:sz w:val="20"/>
          <w:szCs w:val="20"/>
          <w:color w:val="auto"/>
        </w:rPr>
      </w:pPr>
    </w:p>
    <w:p>
      <w:pPr>
        <w:ind w:right="60" w:firstLine="601"/>
        <w:spacing w:after="0" w:line="260" w:lineRule="auto"/>
        <w:rPr>
          <w:sz w:val="20"/>
          <w:szCs w:val="20"/>
          <w:color w:val="auto"/>
        </w:rPr>
      </w:pPr>
      <w:r>
        <w:rPr>
          <w:rFonts w:ascii="Times New Roman" w:cs="Times New Roman" w:eastAsia="Times New Roman" w:hAnsi="Times New Roman"/>
          <w:sz w:val="19"/>
          <w:szCs w:val="19"/>
          <w:color w:val="1E1E1E"/>
        </w:rPr>
        <w:t>Inventory consists primarily of work-in-progress, tools, raw materials and finished goods.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73" w:lineRule="exact"/>
        <w:rPr>
          <w:sz w:val="20"/>
          <w:szCs w:val="20"/>
          <w:color w:val="auto"/>
        </w:rPr>
      </w:pPr>
    </w:p>
    <w:p>
      <w:pPr>
        <w:ind w:left="1200" w:hanging="609"/>
        <w:spacing w:after="0"/>
        <w:tabs>
          <w:tab w:leader="none" w:pos="1200" w:val="left"/>
        </w:tabs>
        <w:numPr>
          <w:ilvl w:val="0"/>
          <w:numId w:val="4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Property and Equipment and Long-Lived Assets</w:t>
      </w:r>
    </w:p>
    <w:p>
      <w:pPr>
        <w:spacing w:after="0" w:line="120" w:lineRule="exact"/>
        <w:rPr>
          <w:sz w:val="20"/>
          <w:szCs w:val="20"/>
          <w:color w:val="auto"/>
        </w:rPr>
      </w:pPr>
    </w:p>
    <w:p>
      <w:pPr>
        <w:ind w:right="40" w:firstLine="601"/>
        <w:spacing w:after="0" w:line="267" w:lineRule="auto"/>
        <w:rPr>
          <w:sz w:val="20"/>
          <w:szCs w:val="20"/>
          <w:color w:val="auto"/>
        </w:rPr>
      </w:pPr>
      <w:r>
        <w:rPr>
          <w:rFonts w:ascii="Times New Roman" w:cs="Times New Roman" w:eastAsia="Times New Roman" w:hAnsi="Times New Roman"/>
          <w:sz w:val="19"/>
          <w:szCs w:val="19"/>
          <w:color w:val="1E1E1E"/>
        </w:rPr>
        <w:t>Property and equipment are stated at cost. Depreciation is calculated on the straight-line method over the estimated useful life of the assets, which range from two to nine years, or in the case of leasehold improvements, over the shorter of the remaining lease term or the useful life of the asset.</w:t>
      </w:r>
    </w:p>
    <w:p>
      <w:pPr>
        <w:spacing w:after="0" w:line="134" w:lineRule="exact"/>
        <w:rPr>
          <w:sz w:val="20"/>
          <w:szCs w:val="20"/>
          <w:color w:val="auto"/>
        </w:rPr>
      </w:pPr>
    </w:p>
    <w:p>
      <w:pPr>
        <w:ind w:firstLine="601"/>
        <w:spacing w:after="0" w:line="252" w:lineRule="auto"/>
        <w:rPr>
          <w:sz w:val="20"/>
          <w:szCs w:val="20"/>
          <w:color w:val="auto"/>
        </w:rPr>
      </w:pPr>
      <w:r>
        <w:rPr>
          <w:rFonts w:ascii="Times New Roman" w:cs="Times New Roman" w:eastAsia="Times New Roman" w:hAnsi="Times New Roman"/>
          <w:sz w:val="19"/>
          <w:szCs w:val="19"/>
          <w:color w:val="1E1E1E"/>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50" w:lineRule="exact"/>
        <w:rPr>
          <w:sz w:val="20"/>
          <w:szCs w:val="20"/>
          <w:color w:val="auto"/>
        </w:rPr>
      </w:pPr>
    </w:p>
    <w:p>
      <w:pPr>
        <w:jc w:val="both"/>
        <w:ind w:right="160" w:firstLine="601"/>
        <w:spacing w:after="0" w:line="254" w:lineRule="auto"/>
        <w:rPr>
          <w:sz w:val="20"/>
          <w:szCs w:val="20"/>
          <w:color w:val="auto"/>
        </w:rPr>
      </w:pPr>
      <w:r>
        <w:rPr>
          <w:rFonts w:ascii="Times New Roman" w:cs="Times New Roman" w:eastAsia="Times New Roman" w:hAnsi="Times New Roman"/>
          <w:sz w:val="19"/>
          <w:szCs w:val="19"/>
          <w:color w:val="1E1E1E"/>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$19.7 million and $11.5 million for the years ended December 31, 2023 and 2022,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69" w:lineRule="exact"/>
        <w:rPr>
          <w:sz w:val="20"/>
          <w:szCs w:val="20"/>
          <w:color w:val="auto"/>
        </w:rPr>
      </w:pPr>
    </w:p>
    <w:p>
      <w:pPr>
        <w:ind w:left="1200" w:hanging="609"/>
        <w:spacing w:after="0"/>
        <w:tabs>
          <w:tab w:leader="none" w:pos="1200" w:val="left"/>
        </w:tabs>
        <w:numPr>
          <w:ilvl w:val="0"/>
          <w:numId w:val="42"/>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Investment In Unconsolidated Joint Venture</w:t>
      </w:r>
    </w:p>
    <w:p>
      <w:pPr>
        <w:spacing w:after="0" w:line="197" w:lineRule="exact"/>
        <w:rPr>
          <w:sz w:val="20"/>
          <w:szCs w:val="20"/>
          <w:color w:val="auto"/>
        </w:rPr>
      </w:pPr>
    </w:p>
    <w:p>
      <w:pPr>
        <w:jc w:val="both"/>
        <w:ind w:right="120" w:firstLine="601"/>
        <w:spacing w:after="0" w:line="260" w:lineRule="auto"/>
        <w:rPr>
          <w:sz w:val="20"/>
          <w:szCs w:val="20"/>
          <w:color w:val="auto"/>
        </w:rPr>
      </w:pPr>
      <w:r>
        <w:rPr>
          <w:rFonts w:ascii="Times New Roman" w:cs="Times New Roman" w:eastAsia="Times New Roman" w:hAnsi="Times New Roman"/>
          <w:sz w:val="19"/>
          <w:szCs w:val="19"/>
          <w:color w:val="1E1E1E"/>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40" w:lineRule="exact"/>
        <w:rPr>
          <w:sz w:val="20"/>
          <w:szCs w:val="20"/>
          <w:color w:val="auto"/>
        </w:rPr>
      </w:pPr>
    </w:p>
    <w:p>
      <w:pPr>
        <w:ind w:right="100" w:firstLine="601"/>
        <w:spacing w:after="0" w:line="260" w:lineRule="auto"/>
        <w:rPr>
          <w:sz w:val="20"/>
          <w:szCs w:val="20"/>
          <w:color w:val="auto"/>
        </w:rPr>
      </w:pPr>
      <w:r>
        <w:rPr>
          <w:rFonts w:ascii="Times New Roman" w:cs="Times New Roman" w:eastAsia="Times New Roman" w:hAnsi="Times New Roman"/>
          <w:sz w:val="19"/>
          <w:szCs w:val="19"/>
          <w:color w:val="1E1E1E"/>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w:t>
      </w:r>
    </w:p>
    <w:p>
      <w:pPr>
        <w:sectPr>
          <w:pgSz w:w="11880" w:h="15480" w:orient="portrait"/>
          <w:cols w:equalWidth="0" w:num="1">
            <w:col w:w="9760"/>
          </w:cols>
          <w:pgMar w:left="1060" w:top="1083" w:right="1060" w:bottom="215"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78</w:t>
      </w:r>
    </w:p>
    <w:p>
      <w:pPr>
        <w:sectPr>
          <w:pgSz w:w="11880" w:h="15480" w:orient="portrait"/>
          <w:cols w:equalWidth="0" w:num="1">
            <w:col w:w="9760"/>
          </w:cols>
          <w:pgMar w:left="1060" w:top="1083" w:right="1060" w:bottom="215" w:gutter="0" w:footer="0" w:header="0"/>
          <w:type w:val="continuous"/>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9"/>
          <w:szCs w:val="19"/>
          <w:color w:val="1E1E1E"/>
        </w:rPr>
        <w:t>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44" w:lineRule="exact"/>
        <w:rPr>
          <w:sz w:val="20"/>
          <w:szCs w:val="20"/>
          <w:color w:val="auto"/>
        </w:rPr>
      </w:pPr>
    </w:p>
    <w:p>
      <w:pPr>
        <w:ind w:right="660" w:firstLine="601"/>
        <w:spacing w:after="0" w:line="290" w:lineRule="auto"/>
        <w:rPr>
          <w:sz w:val="20"/>
          <w:szCs w:val="20"/>
          <w:color w:val="auto"/>
        </w:rPr>
      </w:pPr>
      <w:r>
        <w:rPr>
          <w:rFonts w:ascii="Times New Roman" w:cs="Times New Roman" w:eastAsia="Times New Roman" w:hAnsi="Times New Roman"/>
          <w:sz w:val="19"/>
          <w:szCs w:val="19"/>
          <w:color w:val="1E1E1E"/>
        </w:rPr>
        <w:t>No impairment loss on our investment in unconsolidated joint venture was recognized during the years ended December 31, 2023, 2022 and 2021.</w:t>
      </w:r>
    </w:p>
    <w:p>
      <w:pPr>
        <w:spacing w:after="0" w:line="36" w:lineRule="exact"/>
        <w:rPr>
          <w:sz w:val="20"/>
          <w:szCs w:val="20"/>
          <w:color w:val="auto"/>
        </w:rPr>
      </w:pPr>
    </w:p>
    <w:p>
      <w:pPr>
        <w:ind w:left="1200" w:hanging="609"/>
        <w:spacing w:after="0"/>
        <w:tabs>
          <w:tab w:leader="none" w:pos="1200" w:val="left"/>
        </w:tabs>
        <w:numPr>
          <w:ilvl w:val="0"/>
          <w:numId w:val="4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Revenue</w:t>
      </w:r>
    </w:p>
    <w:p>
      <w:pPr>
        <w:spacing w:after="0" w:line="226" w:lineRule="exact"/>
        <w:rPr>
          <w:sz w:val="20"/>
          <w:szCs w:val="20"/>
          <w:color w:val="auto"/>
        </w:rPr>
      </w:pPr>
    </w:p>
    <w:p>
      <w:pPr>
        <w:ind w:right="400" w:firstLine="601"/>
        <w:spacing w:after="0" w:line="260" w:lineRule="auto"/>
        <w:rPr>
          <w:sz w:val="20"/>
          <w:szCs w:val="20"/>
          <w:color w:val="auto"/>
        </w:rPr>
      </w:pPr>
      <w:r>
        <w:rPr>
          <w:rFonts w:ascii="Times New Roman" w:cs="Times New Roman" w:eastAsia="Times New Roman" w:hAnsi="Times New Roman"/>
          <w:sz w:val="19"/>
          <w:szCs w:val="19"/>
          <w:color w:val="1E1E1E"/>
        </w:rPr>
        <w:t xml:space="preserve">The Company derives the majority of its marketplace revenue in the U.S. and Europe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19"/>
          <w:szCs w:val="19"/>
          <w:i w:val="1"/>
          <w:iCs w:val="1"/>
          <w:color w:val="1E1E1E"/>
        </w:rPr>
        <w:t>Topic 606,</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i w:val="1"/>
          <w:iCs w:val="1"/>
          <w:color w:val="1E1E1E"/>
        </w:rPr>
        <w:t xml:space="preserve">Revenue from Contracts with Customers </w:t>
      </w:r>
      <w:r>
        <w:rPr>
          <w:rFonts w:ascii="Times New Roman" w:cs="Times New Roman" w:eastAsia="Times New Roman" w:hAnsi="Times New Roman"/>
          <w:sz w:val="19"/>
          <w:szCs w:val="19"/>
          <w:color w:val="1E1E1E"/>
        </w:rPr>
        <w:t>(“ASC 606”).</w:t>
      </w:r>
    </w:p>
    <w:p>
      <w:pPr>
        <w:spacing w:after="0" w:line="169" w:lineRule="exact"/>
        <w:rPr>
          <w:sz w:val="20"/>
          <w:szCs w:val="20"/>
          <w:color w:val="auto"/>
        </w:rPr>
      </w:pPr>
    </w:p>
    <w:p>
      <w:pPr>
        <w:ind w:right="80" w:firstLine="601"/>
        <w:spacing w:after="0" w:line="252" w:lineRule="auto"/>
        <w:rPr>
          <w:sz w:val="20"/>
          <w:szCs w:val="20"/>
          <w:color w:val="auto"/>
        </w:rPr>
      </w:pPr>
      <w:r>
        <w:rPr>
          <w:rFonts w:ascii="Times New Roman" w:cs="Times New Roman" w:eastAsia="Times New Roman" w:hAnsi="Times New Roman"/>
          <w:sz w:val="19"/>
          <w:szCs w:val="19"/>
          <w:color w:val="1E1E1E"/>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have transferred.</w:t>
      </w:r>
    </w:p>
    <w:p>
      <w:pPr>
        <w:spacing w:after="0" w:line="179" w:lineRule="exact"/>
        <w:rPr>
          <w:sz w:val="20"/>
          <w:szCs w:val="20"/>
          <w:color w:val="auto"/>
        </w:rPr>
      </w:pPr>
    </w:p>
    <w:p>
      <w:pPr>
        <w:ind w:right="140" w:firstLine="601"/>
        <w:spacing w:after="0" w:line="251" w:lineRule="auto"/>
        <w:rPr>
          <w:sz w:val="20"/>
          <w:szCs w:val="20"/>
          <w:color w:val="auto"/>
        </w:rPr>
      </w:pPr>
      <w:r>
        <w:rPr>
          <w:rFonts w:ascii="Times New Roman" w:cs="Times New Roman" w:eastAsia="Times New Roman" w:hAnsi="Times New Roman"/>
          <w:sz w:val="19"/>
          <w:szCs w:val="19"/>
          <w:color w:val="1E1E1E"/>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80" w:lineRule="exact"/>
        <w:rPr>
          <w:sz w:val="20"/>
          <w:szCs w:val="20"/>
          <w:color w:val="auto"/>
        </w:rPr>
      </w:pPr>
    </w:p>
    <w:p>
      <w:pPr>
        <w:ind w:firstLine="601"/>
        <w:spacing w:after="0" w:line="249" w:lineRule="auto"/>
        <w:rPr>
          <w:sz w:val="20"/>
          <w:szCs w:val="20"/>
          <w:color w:val="auto"/>
        </w:rPr>
      </w:pPr>
      <w:r>
        <w:rPr>
          <w:rFonts w:ascii="Times New Roman" w:cs="Times New Roman" w:eastAsia="Times New Roman" w:hAnsi="Times New Roman"/>
          <w:sz w:val="19"/>
          <w:szCs w:val="19"/>
          <w:color w:val="1E1E1E"/>
        </w:rPr>
        <w:t>Xometry also derives revenue from its supplier services which is a suite of services offered to our suppliers. Revenue also includes the sale of marketing services which includes advertising. This revenue is generally recognized as control is 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382" w:lineRule="exact"/>
        <w:rPr>
          <w:sz w:val="20"/>
          <w:szCs w:val="20"/>
          <w:color w:val="auto"/>
        </w:rPr>
      </w:pPr>
    </w:p>
    <w:p>
      <w:pPr>
        <w:ind w:right="120" w:firstLine="601"/>
        <w:spacing w:after="0" w:line="290" w:lineRule="auto"/>
        <w:rPr>
          <w:sz w:val="20"/>
          <w:szCs w:val="20"/>
          <w:color w:val="auto"/>
        </w:rPr>
      </w:pPr>
      <w:r>
        <w:rPr>
          <w:rFonts w:ascii="Times New Roman" w:cs="Times New Roman" w:eastAsia="Times New Roman" w:hAnsi="Times New Roman"/>
          <w:sz w:val="19"/>
          <w:szCs w:val="19"/>
          <w:color w:val="1E1E1E"/>
        </w:rPr>
        <w:t>Revenue is shown net of estimated returns, refunds, and allowances. At December 31, 2023 and 2022, the Company has a provision for estimated returns, refunds or allowances of $0.1 million and $0.3 million, respectively.</w:t>
      </w:r>
    </w:p>
    <w:p>
      <w:pPr>
        <w:spacing w:after="0" w:line="112" w:lineRule="exact"/>
        <w:rPr>
          <w:sz w:val="20"/>
          <w:szCs w:val="20"/>
          <w:color w:val="auto"/>
        </w:rPr>
      </w:pPr>
    </w:p>
    <w:p>
      <w:pPr>
        <w:ind w:left="600" w:right="1180"/>
        <w:spacing w:after="0" w:line="458" w:lineRule="auto"/>
        <w:rPr>
          <w:sz w:val="20"/>
          <w:szCs w:val="20"/>
          <w:color w:val="auto"/>
        </w:rPr>
      </w:pPr>
      <w:r>
        <w:rPr>
          <w:rFonts w:ascii="Times New Roman" w:cs="Times New Roman" w:eastAsia="Times New Roman" w:hAnsi="Times New Roman"/>
          <w:sz w:val="19"/>
          <w:szCs w:val="19"/>
          <w:color w:val="1E1E1E"/>
        </w:rPr>
        <w:t xml:space="preserve">Sales tax collected from customers and remitted to governmental authorities is excluded from revenue. </w:t>
      </w:r>
      <w:r>
        <w:rPr>
          <w:rFonts w:ascii="Times New Roman" w:cs="Times New Roman" w:eastAsia="Times New Roman" w:hAnsi="Times New Roman"/>
          <w:sz w:val="19"/>
          <w:szCs w:val="19"/>
          <w:i w:val="1"/>
          <w:iCs w:val="1"/>
          <w:color w:val="1E1E1E"/>
        </w:rPr>
        <w:t>Contract Liabilities</w:t>
      </w:r>
    </w:p>
    <w:p>
      <w:pPr>
        <w:jc w:val="both"/>
        <w:ind w:right="500" w:firstLine="601"/>
        <w:spacing w:after="0" w:line="267" w:lineRule="auto"/>
        <w:rPr>
          <w:sz w:val="20"/>
          <w:szCs w:val="20"/>
          <w:color w:val="auto"/>
        </w:rPr>
      </w:pPr>
      <w:r>
        <w:rPr>
          <w:rFonts w:ascii="Times New Roman" w:cs="Times New Roman" w:eastAsia="Times New Roman" w:hAnsi="Times New Roman"/>
          <w:sz w:val="19"/>
          <w:szCs w:val="19"/>
          <w:color w:val="1E1E1E"/>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ectPr>
          <w:pgSz w:w="11880" w:h="15480" w:orient="portrait"/>
          <w:cols w:equalWidth="0" w:num="1">
            <w:col w:w="9740"/>
          </w:cols>
          <w:pgMar w:left="1060" w:top="1083" w:right="108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79</w:t>
      </w:r>
    </w:p>
    <w:p>
      <w:pPr>
        <w:sectPr>
          <w:pgSz w:w="11880" w:h="15480" w:orient="portrait"/>
          <w:cols w:equalWidth="0" w:num="1">
            <w:col w:w="9740"/>
          </w:cols>
          <w:pgMar w:left="1060" w:top="1083" w:right="1080" w:bottom="215"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60"/>
        </w:trPr>
        <w:tc>
          <w:tcPr>
            <w:tcW w:w="8040" w:type="dxa"/>
            <w:vAlign w:val="bottom"/>
          </w:tcPr>
          <w:p>
            <w:pPr>
              <w:ind w:left="600"/>
              <w:spacing w:after="0"/>
              <w:rPr>
                <w:sz w:val="20"/>
                <w:szCs w:val="20"/>
                <w:color w:val="auto"/>
              </w:rPr>
            </w:pPr>
            <w:r>
              <w:rPr>
                <w:rFonts w:ascii="Times New Roman" w:cs="Times New Roman" w:eastAsia="Times New Roman" w:hAnsi="Times New Roman"/>
                <w:sz w:val="19"/>
                <w:szCs w:val="19"/>
                <w:color w:val="1E1E1E"/>
              </w:rPr>
              <w:t>The following table is a summary of the contract liabilities (in thousands):</w:t>
            </w: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2"/>
        </w:trPr>
        <w:tc>
          <w:tcPr>
            <w:tcW w:w="8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Rollforward of contract liabilities:</w:t>
            </w:r>
          </w:p>
        </w:tc>
        <w:tc>
          <w:tcPr>
            <w:tcW w:w="520" w:type="dxa"/>
            <w:vAlign w:val="bottom"/>
            <w:shd w:val="clear" w:color="auto" w:fill="E4E4E4"/>
          </w:tcPr>
          <w:p>
            <w:pPr>
              <w:spacing w:after="0"/>
              <w:rPr>
                <w:sz w:val="19"/>
                <w:szCs w:val="19"/>
                <w:color w:val="auto"/>
              </w:rPr>
            </w:pPr>
          </w:p>
        </w:tc>
        <w:tc>
          <w:tcPr>
            <w:tcW w:w="11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9"/>
                <w:szCs w:val="19"/>
                <w:color w:val="1E1E1E"/>
              </w:rPr>
              <w:t>Contract liabilities at December 31, 2021</w:t>
            </w:r>
          </w:p>
        </w:tc>
        <w:tc>
          <w:tcPr>
            <w:tcW w:w="520" w:type="dxa"/>
            <w:vAlign w:val="bottom"/>
          </w:tcPr>
          <w:p>
            <w:pPr>
              <w:jc w:val="right"/>
              <w:ind w:right="323"/>
              <w:spacing w:after="0"/>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7,863</w:t>
            </w:r>
          </w:p>
        </w:tc>
      </w:tr>
      <w:tr>
        <w:trPr>
          <w:trHeight w:val="223"/>
        </w:trPr>
        <w:tc>
          <w:tcPr>
            <w:tcW w:w="80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 recognized</w:t>
            </w:r>
          </w:p>
        </w:tc>
        <w:tc>
          <w:tcPr>
            <w:tcW w:w="5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(171,489)</w:t>
            </w: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9"/>
                <w:szCs w:val="19"/>
                <w:color w:val="1E1E1E"/>
              </w:rPr>
              <w:t>Payments received in advance</w:t>
            </w:r>
          </w:p>
        </w:tc>
        <w:tc>
          <w:tcPr>
            <w:tcW w:w="5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172,355</w:t>
            </w:r>
          </w:p>
        </w:tc>
      </w:tr>
      <w:tr>
        <w:trPr>
          <w:trHeight w:val="213"/>
        </w:trPr>
        <w:tc>
          <w:tcPr>
            <w:tcW w:w="80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Contract liabilities at December 31, 2022</w:t>
            </w:r>
          </w:p>
        </w:tc>
        <w:tc>
          <w:tcPr>
            <w:tcW w:w="520" w:type="dxa"/>
            <w:vAlign w:val="bottom"/>
            <w:tcBorders>
              <w:top w:val="single" w:sz="8" w:color="1E1E1E"/>
            </w:tcBorders>
            <w:shd w:val="clear" w:color="auto" w:fill="E4E4E4"/>
          </w:tcPr>
          <w:p>
            <w:pPr>
              <w:spacing w:after="0"/>
              <w:rPr>
                <w:sz w:val="18"/>
                <w:szCs w:val="18"/>
                <w:color w:val="auto"/>
              </w:rPr>
            </w:pPr>
          </w:p>
        </w:tc>
        <w:tc>
          <w:tcPr>
            <w:tcW w:w="11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8,729</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9"/>
                <w:szCs w:val="19"/>
                <w:color w:val="1E1E1E"/>
              </w:rPr>
              <w:t>Revenue recognized</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(203,118)</w:t>
            </w:r>
          </w:p>
        </w:tc>
        <w:tc>
          <w:tcPr>
            <w:tcW w:w="80" w:type="dxa"/>
            <w:vAlign w:val="bottom"/>
          </w:tcPr>
          <w:p>
            <w:pPr>
              <w:spacing w:after="0"/>
              <w:rPr>
                <w:sz w:val="19"/>
                <w:szCs w:val="19"/>
                <w:color w:val="auto"/>
              </w:rPr>
            </w:pPr>
          </w:p>
        </w:tc>
      </w:tr>
      <w:tr>
        <w:trPr>
          <w:trHeight w:val="223"/>
        </w:trPr>
        <w:tc>
          <w:tcPr>
            <w:tcW w:w="80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Payments received in advance</w:t>
            </w:r>
          </w:p>
        </w:tc>
        <w:tc>
          <w:tcPr>
            <w:tcW w:w="52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201,725</w:t>
            </w: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9"/>
                <w:szCs w:val="19"/>
                <w:color w:val="1E1E1E"/>
              </w:rPr>
              <w:t>Acquired contract liabilities</w:t>
            </w:r>
          </w:p>
        </w:tc>
        <w:tc>
          <w:tcPr>
            <w:tcW w:w="52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21</w:t>
            </w:r>
          </w:p>
        </w:tc>
      </w:tr>
      <w:tr>
        <w:trPr>
          <w:trHeight w:val="233"/>
        </w:trPr>
        <w:tc>
          <w:tcPr>
            <w:tcW w:w="804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Contract liabilities at December 31, 2023</w:t>
            </w:r>
          </w:p>
        </w:tc>
        <w:tc>
          <w:tcPr>
            <w:tcW w:w="520" w:type="dxa"/>
            <w:vAlign w:val="bottom"/>
            <w:tcBorders>
              <w:top w:val="single" w:sz="8" w:color="1E1E1E"/>
              <w:bottom w:val="single" w:sz="8" w:color="1E1E1E"/>
            </w:tcBorders>
            <w:shd w:val="clear" w:color="auto" w:fill="E4E4E4"/>
          </w:tcPr>
          <w:p>
            <w:pPr>
              <w:jc w:val="right"/>
              <w:ind w:right="3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7,357</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r>
      <w:tr>
        <w:trPr>
          <w:trHeight w:val="20"/>
        </w:trPr>
        <w:tc>
          <w:tcPr>
            <w:tcW w:w="8040" w:type="dxa"/>
            <w:vAlign w:val="bottom"/>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i w:val="1"/>
          <w:iCs w:val="1"/>
          <w:color w:val="1E1E1E"/>
        </w:rPr>
        <w:t>Sales Contract Acquisition Costs</w:t>
      </w:r>
    </w:p>
    <w:p>
      <w:pPr>
        <w:spacing w:after="0" w:line="118" w:lineRule="exact"/>
        <w:rPr>
          <w:sz w:val="20"/>
          <w:szCs w:val="20"/>
          <w:color w:val="auto"/>
        </w:rPr>
      </w:pPr>
    </w:p>
    <w:p>
      <w:pPr>
        <w:ind w:right="40" w:firstLine="601"/>
        <w:spacing w:after="0" w:line="251" w:lineRule="auto"/>
        <w:rPr>
          <w:sz w:val="20"/>
          <w:szCs w:val="20"/>
          <w:color w:val="auto"/>
        </w:rPr>
      </w:pPr>
      <w:r>
        <w:rPr>
          <w:rFonts w:ascii="Times New Roman" w:cs="Times New Roman" w:eastAsia="Times New Roman" w:hAnsi="Times New Roman"/>
          <w:sz w:val="19"/>
          <w:szCs w:val="19"/>
          <w:color w:val="1E1E1E"/>
        </w:rPr>
        <w:t>The Company’s incremental costs to obtain a contract may include a sales commission which is generally determined on a per order basis. For contracts in excess of one year, the Company recognizes such costs on a straight-line basis over the average customer life of two years for new customers and over the renewal period for existing customers which is generally one year. Sales commissions are included in Xometry’s sales and marketing expenses in the Consolidated Statements of Operations and Comprehensive Loss. For the years ended December 31, 2023, 2022 and 2021, we recognized approximately $8.1 million, $6.1 million and $0.5 million, respectively of amortization related to deferred sales commissions. As of December 31, 2023 and 2022, the Company had deferred sales contract acquisition costs of $3.1 million and $2.2 million, respectively which is classified in other current assets on the Consolidated Balance Sheets.</w:t>
      </w:r>
    </w:p>
    <w:p>
      <w:pPr>
        <w:spacing w:after="0" w:line="75" w:lineRule="exact"/>
        <w:rPr>
          <w:sz w:val="20"/>
          <w:szCs w:val="20"/>
          <w:color w:val="auto"/>
        </w:rPr>
      </w:pPr>
    </w:p>
    <w:p>
      <w:pPr>
        <w:ind w:left="1200" w:hanging="609"/>
        <w:spacing w:after="0"/>
        <w:tabs>
          <w:tab w:leader="none" w:pos="1200" w:val="left"/>
        </w:tabs>
        <w:numPr>
          <w:ilvl w:val="0"/>
          <w:numId w:val="4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Cost of Revenue</w:t>
      </w:r>
    </w:p>
    <w:p>
      <w:pPr>
        <w:spacing w:after="0" w:line="120" w:lineRule="exact"/>
        <w:rPr>
          <w:sz w:val="20"/>
          <w:szCs w:val="20"/>
          <w:color w:val="auto"/>
        </w:rPr>
      </w:pPr>
    </w:p>
    <w:p>
      <w:pPr>
        <w:jc w:val="both"/>
        <w:ind w:right="180" w:firstLine="601"/>
        <w:spacing w:after="0" w:line="267" w:lineRule="auto"/>
        <w:rPr>
          <w:sz w:val="20"/>
          <w:szCs w:val="20"/>
          <w:color w:val="auto"/>
        </w:rPr>
      </w:pPr>
      <w:r>
        <w:rPr>
          <w:rFonts w:ascii="Times New Roman" w:cs="Times New Roman" w:eastAsia="Times New Roman" w:hAnsi="Times New Roman"/>
          <w:sz w:val="19"/>
          <w:szCs w:val="19"/>
          <w:color w:val="1E1E1E"/>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Cost of revenue for supplier services primarily consists of internal and external production costs and website hosting.</w:t>
      </w:r>
    </w:p>
    <w:p>
      <w:pPr>
        <w:spacing w:after="0" w:line="123" w:lineRule="exact"/>
        <w:rPr>
          <w:sz w:val="20"/>
          <w:szCs w:val="20"/>
          <w:color w:val="auto"/>
        </w:rPr>
      </w:pPr>
    </w:p>
    <w:p>
      <w:pPr>
        <w:ind w:left="1200" w:hanging="609"/>
        <w:spacing w:after="0"/>
        <w:tabs>
          <w:tab w:leader="none" w:pos="1200" w:val="left"/>
        </w:tabs>
        <w:numPr>
          <w:ilvl w:val="0"/>
          <w:numId w:val="45"/>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Leases</w:t>
      </w:r>
    </w:p>
    <w:p>
      <w:pPr>
        <w:spacing w:after="0" w:line="120" w:lineRule="exact"/>
        <w:rPr>
          <w:sz w:val="20"/>
          <w:szCs w:val="20"/>
          <w:color w:val="auto"/>
        </w:rPr>
      </w:pPr>
    </w:p>
    <w:p>
      <w:pPr>
        <w:ind w:right="20" w:firstLine="601"/>
        <w:spacing w:after="0" w:line="252" w:lineRule="auto"/>
        <w:rPr>
          <w:sz w:val="20"/>
          <w:szCs w:val="20"/>
          <w:color w:val="auto"/>
        </w:rPr>
      </w:pPr>
      <w:r>
        <w:rPr>
          <w:rFonts w:ascii="Times New Roman" w:cs="Times New Roman" w:eastAsia="Times New Roman" w:hAnsi="Times New Roman"/>
          <w:sz w:val="19"/>
          <w:szCs w:val="19"/>
          <w:color w:val="1E1E1E"/>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 meaning that for these leases, the non-lease components are included in the associated ROU asset and lease liability balances on the Company’s Consolidated Balance Sheets.</w:t>
      </w:r>
    </w:p>
    <w:p>
      <w:pPr>
        <w:spacing w:after="0" w:line="150" w:lineRule="exact"/>
        <w:rPr>
          <w:sz w:val="20"/>
          <w:szCs w:val="20"/>
          <w:color w:val="auto"/>
        </w:rPr>
      </w:pPr>
    </w:p>
    <w:p>
      <w:pPr>
        <w:ind w:firstLine="601"/>
        <w:spacing w:after="0" w:line="251" w:lineRule="auto"/>
        <w:rPr>
          <w:sz w:val="20"/>
          <w:szCs w:val="20"/>
          <w:color w:val="auto"/>
        </w:rPr>
      </w:pPr>
      <w:r>
        <w:rPr>
          <w:rFonts w:ascii="Times New Roman" w:cs="Times New Roman" w:eastAsia="Times New Roman" w:hAnsi="Times New Roman"/>
          <w:sz w:val="19"/>
          <w:szCs w:val="19"/>
          <w:color w:val="1E1E1E"/>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Lease expense for lease payments is recognized on a straight-line basis over the term of the lease.</w:t>
      </w:r>
    </w:p>
    <w:p>
      <w:pPr>
        <w:spacing w:after="0" w:line="123" w:lineRule="exact"/>
        <w:rPr>
          <w:sz w:val="20"/>
          <w:szCs w:val="20"/>
          <w:color w:val="auto"/>
        </w:rPr>
      </w:pPr>
    </w:p>
    <w:p>
      <w:pPr>
        <w:ind w:left="1200" w:hanging="609"/>
        <w:spacing w:after="0"/>
        <w:tabs>
          <w:tab w:leader="none" w:pos="1200" w:val="left"/>
        </w:tabs>
        <w:numPr>
          <w:ilvl w:val="0"/>
          <w:numId w:val="4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Sales and Marketing</w:t>
      </w:r>
    </w:p>
    <w:p>
      <w:pPr>
        <w:spacing w:after="0" w:line="120" w:lineRule="exact"/>
        <w:rPr>
          <w:sz w:val="20"/>
          <w:szCs w:val="20"/>
          <w:color w:val="auto"/>
        </w:rPr>
      </w:pPr>
    </w:p>
    <w:p>
      <w:pPr>
        <w:ind w:right="60" w:firstLine="601"/>
        <w:spacing w:after="0" w:line="256" w:lineRule="auto"/>
        <w:rPr>
          <w:sz w:val="20"/>
          <w:szCs w:val="20"/>
          <w:color w:val="auto"/>
        </w:rPr>
      </w:pPr>
      <w:r>
        <w:rPr>
          <w:rFonts w:ascii="Times New Roman" w:cs="Times New Roman" w:eastAsia="Times New Roman" w:hAnsi="Times New Roman"/>
          <w:sz w:val="19"/>
          <w:szCs w:val="19"/>
          <w:color w:val="1E1E1E"/>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2023, 2022 and 2021, the Company’s advertising costs were $31.7 million, $33.5 million and $20.7 million, respectively.</w:t>
      </w:r>
    </w:p>
    <w:p>
      <w:pPr>
        <w:spacing w:after="0" w:line="68" w:lineRule="exact"/>
        <w:rPr>
          <w:sz w:val="20"/>
          <w:szCs w:val="20"/>
          <w:color w:val="auto"/>
        </w:rPr>
      </w:pPr>
    </w:p>
    <w:p>
      <w:pPr>
        <w:ind w:left="1200" w:hanging="609"/>
        <w:spacing w:after="0"/>
        <w:tabs>
          <w:tab w:leader="none" w:pos="1200" w:val="left"/>
        </w:tabs>
        <w:numPr>
          <w:ilvl w:val="0"/>
          <w:numId w:val="4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Operations and Support</w:t>
      </w:r>
    </w:p>
    <w:p>
      <w:pPr>
        <w:spacing w:after="0" w:line="120" w:lineRule="exact"/>
        <w:rPr>
          <w:sz w:val="20"/>
          <w:szCs w:val="20"/>
          <w:color w:val="auto"/>
        </w:rPr>
      </w:pPr>
    </w:p>
    <w:p>
      <w:pPr>
        <w:ind w:right="280" w:firstLine="601"/>
        <w:spacing w:after="0" w:line="290" w:lineRule="auto"/>
        <w:rPr>
          <w:sz w:val="20"/>
          <w:szCs w:val="20"/>
          <w:color w:val="auto"/>
        </w:rPr>
      </w:pPr>
      <w:r>
        <w:rPr>
          <w:rFonts w:ascii="Times New Roman" w:cs="Times New Roman" w:eastAsia="Times New Roman" w:hAnsi="Times New Roman"/>
          <w:sz w:val="19"/>
          <w:szCs w:val="19"/>
          <w:color w:val="1E1E1E"/>
        </w:rPr>
        <w:t>Operations and support expenses are the costs the Company incurs in support of the customers and suppliers on Xometry’s platforms which are provided by phone, email and chat for purposes of resolving customer and supplier related</w:t>
      </w:r>
    </w:p>
    <w:p>
      <w:pPr>
        <w:sectPr>
          <w:pgSz w:w="11880" w:h="15480" w:orient="portrait"/>
          <w:cols w:equalWidth="0" w:num="1">
            <w:col w:w="9760"/>
          </w:cols>
          <w:pgMar w:left="1060" w:top="1083" w:right="1060" w:bottom="215" w:gutter="0" w:footer="0" w:header="0"/>
        </w:sectPr>
      </w:pP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80</w:t>
      </w:r>
    </w:p>
    <w:p>
      <w:pPr>
        <w:sectPr>
          <w:pgSz w:w="11880" w:h="15480" w:orient="portrait"/>
          <w:cols w:equalWidth="0" w:num="1">
            <w:col w:w="9760"/>
          </w:cols>
          <w:pgMar w:left="1060" w:top="1083" w:right="1060" w:bottom="215" w:gutter="0" w:footer="0" w:header="0"/>
          <w:type w:val="continuous"/>
        </w:sectPr>
      </w:pPr>
    </w:p>
    <w:bookmarkStart w:id="86" w:name="page87"/>
    <w:bookmarkEnd w:id="86"/>
    <w:p>
      <w:pPr>
        <w:ind w:right="240"/>
        <w:spacing w:after="0" w:line="290" w:lineRule="auto"/>
        <w:rPr>
          <w:sz w:val="20"/>
          <w:szCs w:val="20"/>
          <w:color w:val="auto"/>
        </w:rPr>
      </w:pPr>
      <w:r>
        <w:rPr>
          <w:rFonts w:ascii="Times New Roman" w:cs="Times New Roman" w:eastAsia="Times New Roman" w:hAnsi="Times New Roman"/>
          <w:sz w:val="19"/>
          <w:szCs w:val="19"/>
          <w:color w:val="1E1E1E"/>
        </w:rPr>
        <w:t>matters. These costs primarily consist of compensation expenses of the support staff, including stock-based compensation, certain depreciation and amortization expense and software costs used in delivering customer and supplier services.</w:t>
      </w:r>
    </w:p>
    <w:p>
      <w:pPr>
        <w:spacing w:after="0" w:line="36" w:lineRule="exact"/>
        <w:rPr>
          <w:sz w:val="20"/>
          <w:szCs w:val="20"/>
          <w:color w:val="auto"/>
        </w:rPr>
      </w:pPr>
    </w:p>
    <w:p>
      <w:pPr>
        <w:ind w:left="1200" w:hanging="609"/>
        <w:spacing w:after="0"/>
        <w:tabs>
          <w:tab w:leader="none" w:pos="1200" w:val="left"/>
        </w:tabs>
        <w:numPr>
          <w:ilvl w:val="0"/>
          <w:numId w:val="4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Product Development</w:t>
      </w:r>
    </w:p>
    <w:p>
      <w:pPr>
        <w:spacing w:after="0" w:line="120" w:lineRule="exact"/>
        <w:rPr>
          <w:sz w:val="20"/>
          <w:szCs w:val="20"/>
          <w:color w:val="auto"/>
        </w:rPr>
      </w:pPr>
    </w:p>
    <w:p>
      <w:pPr>
        <w:jc w:val="both"/>
        <w:ind w:right="540" w:firstLine="601"/>
        <w:spacing w:after="0" w:line="267" w:lineRule="auto"/>
        <w:rPr>
          <w:sz w:val="20"/>
          <w:szCs w:val="20"/>
          <w:color w:val="auto"/>
        </w:rPr>
      </w:pPr>
      <w:r>
        <w:rPr>
          <w:rFonts w:ascii="Times New Roman" w:cs="Times New Roman" w:eastAsia="Times New Roman" w:hAnsi="Times New Roman"/>
          <w:sz w:val="19"/>
          <w:szCs w:val="19"/>
          <w:color w:val="1E1E1E"/>
        </w:rPr>
        <w:t>Product development costs which are not eligible for capitalization are expensed as incurred. This account also includes compensation expenses, including stock-based compensation to the Company’s employees performing these functions and certain depreciation and amortization expense.</w:t>
      </w:r>
    </w:p>
    <w:p>
      <w:pPr>
        <w:spacing w:after="0" w:line="58" w:lineRule="exact"/>
        <w:rPr>
          <w:sz w:val="20"/>
          <w:szCs w:val="20"/>
          <w:color w:val="auto"/>
        </w:rPr>
      </w:pPr>
    </w:p>
    <w:p>
      <w:pPr>
        <w:ind w:left="1200" w:hanging="609"/>
        <w:spacing w:after="0"/>
        <w:tabs>
          <w:tab w:leader="none" w:pos="1200" w:val="left"/>
        </w:tabs>
        <w:numPr>
          <w:ilvl w:val="0"/>
          <w:numId w:val="49"/>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General and Administrative</w:t>
      </w:r>
    </w:p>
    <w:p>
      <w:pPr>
        <w:spacing w:after="0" w:line="120" w:lineRule="exact"/>
        <w:rPr>
          <w:sz w:val="20"/>
          <w:szCs w:val="20"/>
          <w:color w:val="auto"/>
        </w:rPr>
      </w:pPr>
    </w:p>
    <w:p>
      <w:pPr>
        <w:ind w:right="20" w:firstLine="601"/>
        <w:spacing w:after="0" w:line="267" w:lineRule="auto"/>
        <w:rPr>
          <w:sz w:val="20"/>
          <w:szCs w:val="20"/>
          <w:color w:val="auto"/>
        </w:rPr>
      </w:pPr>
      <w:r>
        <w:rPr>
          <w:rFonts w:ascii="Times New Roman" w:cs="Times New Roman" w:eastAsia="Times New Roman" w:hAnsi="Times New Roman"/>
          <w:sz w:val="19"/>
          <w:szCs w:val="19"/>
          <w:color w:val="1E1E1E"/>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68" w:lineRule="exact"/>
        <w:rPr>
          <w:sz w:val="20"/>
          <w:szCs w:val="20"/>
          <w:color w:val="auto"/>
        </w:rPr>
      </w:pPr>
    </w:p>
    <w:p>
      <w:pPr>
        <w:ind w:left="1200" w:hanging="609"/>
        <w:spacing w:after="0"/>
        <w:tabs>
          <w:tab w:leader="none" w:pos="1200" w:val="left"/>
        </w:tabs>
        <w:numPr>
          <w:ilvl w:val="0"/>
          <w:numId w:val="5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Stock Based Compensation</w:t>
      </w:r>
    </w:p>
    <w:p>
      <w:pPr>
        <w:spacing w:after="0" w:line="120" w:lineRule="exact"/>
        <w:rPr>
          <w:sz w:val="20"/>
          <w:szCs w:val="20"/>
          <w:color w:val="auto"/>
        </w:rPr>
      </w:pPr>
    </w:p>
    <w:p>
      <w:pPr>
        <w:ind w:right="80" w:firstLine="601"/>
        <w:spacing w:after="0" w:line="254" w:lineRule="auto"/>
        <w:rPr>
          <w:sz w:val="20"/>
          <w:szCs w:val="20"/>
          <w:color w:val="auto"/>
        </w:rPr>
      </w:pPr>
      <w:r>
        <w:rPr>
          <w:rFonts w:ascii="Times New Roman" w:cs="Times New Roman" w:eastAsia="Times New Roman" w:hAnsi="Times New Roman"/>
          <w:sz w:val="19"/>
          <w:szCs w:val="19"/>
          <w:color w:val="1E1E1E"/>
        </w:rPr>
        <w:t>All stock-based compensation, including stock options and restricted stock units are measured at the grant date fair value of the award. The Company estimates grant date fair value of stock options using the Black-Scholes option-pricing model. The fair value of stock options and restricted stock units is recognized as compensation expense on a straight-line basis over the requisite service period, which is typically four years. The fair value of the restricted stock units is determined using the fair value of the Company's Class A common stock on the date of grant. Forfeitures are recorded in the period in which they occur.</w:t>
      </w:r>
    </w:p>
    <w:p>
      <w:pPr>
        <w:spacing w:after="0" w:line="145" w:lineRule="exact"/>
        <w:rPr>
          <w:sz w:val="20"/>
          <w:szCs w:val="20"/>
          <w:color w:val="auto"/>
        </w:rPr>
      </w:pPr>
    </w:p>
    <w:p>
      <w:pPr>
        <w:ind w:right="380" w:firstLine="601"/>
        <w:spacing w:after="0" w:line="290" w:lineRule="auto"/>
        <w:rPr>
          <w:sz w:val="20"/>
          <w:szCs w:val="20"/>
          <w:color w:val="auto"/>
        </w:rPr>
      </w:pPr>
      <w:r>
        <w:rPr>
          <w:rFonts w:ascii="Times New Roman" w:cs="Times New Roman" w:eastAsia="Times New Roman" w:hAnsi="Times New Roman"/>
          <w:sz w:val="19"/>
          <w:szCs w:val="19"/>
          <w:color w:val="1E1E1E"/>
        </w:rPr>
        <w:t>The Black-Scholes model considers several variables and assumptions in estimating the fair value of stock-based awards. These variables include:</w:t>
      </w:r>
    </w:p>
    <w:p>
      <w:pPr>
        <w:spacing w:after="0" w:line="49" w:lineRule="exact"/>
        <w:rPr>
          <w:sz w:val="20"/>
          <w:szCs w:val="20"/>
          <w:color w:val="auto"/>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expected annual dividend yield;</w:t>
      </w:r>
    </w:p>
    <w:p>
      <w:pPr>
        <w:spacing w:after="0" w:line="134" w:lineRule="exact"/>
        <w:rPr>
          <w:rFonts w:ascii="Arial" w:cs="Arial" w:eastAsia="Arial" w:hAnsi="Arial"/>
          <w:sz w:val="19"/>
          <w:szCs w:val="19"/>
          <w:color w:val="1E1E1E"/>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expected volatility over the expected term;</w:t>
      </w:r>
    </w:p>
    <w:p>
      <w:pPr>
        <w:spacing w:after="0" w:line="134" w:lineRule="exact"/>
        <w:rPr>
          <w:rFonts w:ascii="Arial" w:cs="Arial" w:eastAsia="Arial" w:hAnsi="Arial"/>
          <w:sz w:val="19"/>
          <w:szCs w:val="19"/>
          <w:color w:val="1E1E1E"/>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expected term;</w:t>
      </w:r>
    </w:p>
    <w:p>
      <w:pPr>
        <w:spacing w:after="0" w:line="134" w:lineRule="exact"/>
        <w:rPr>
          <w:rFonts w:ascii="Arial" w:cs="Arial" w:eastAsia="Arial" w:hAnsi="Arial"/>
          <w:sz w:val="19"/>
          <w:szCs w:val="19"/>
          <w:color w:val="1E1E1E"/>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risk free interest rate;</w:t>
      </w:r>
    </w:p>
    <w:p>
      <w:pPr>
        <w:spacing w:after="0" w:line="134" w:lineRule="exact"/>
        <w:rPr>
          <w:rFonts w:ascii="Arial" w:cs="Arial" w:eastAsia="Arial" w:hAnsi="Arial"/>
          <w:sz w:val="19"/>
          <w:szCs w:val="19"/>
          <w:color w:val="1E1E1E"/>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per share value of the underlying common stock; and</w:t>
      </w:r>
    </w:p>
    <w:p>
      <w:pPr>
        <w:spacing w:after="0" w:line="134" w:lineRule="exact"/>
        <w:rPr>
          <w:rFonts w:ascii="Arial" w:cs="Arial" w:eastAsia="Arial" w:hAnsi="Arial"/>
          <w:sz w:val="19"/>
          <w:szCs w:val="19"/>
          <w:color w:val="1E1E1E"/>
        </w:rPr>
      </w:pPr>
    </w:p>
    <w:p>
      <w:pPr>
        <w:ind w:left="820" w:hanging="229"/>
        <w:spacing w:after="0"/>
        <w:tabs>
          <w:tab w:leader="none" w:pos="820" w:val="left"/>
        </w:tabs>
        <w:numPr>
          <w:ilvl w:val="0"/>
          <w:numId w:val="51"/>
        </w:numPr>
        <w:rPr>
          <w:rFonts w:ascii="Arial" w:cs="Arial" w:eastAsia="Arial" w:hAnsi="Arial"/>
          <w:sz w:val="19"/>
          <w:szCs w:val="19"/>
          <w:color w:val="1E1E1E"/>
        </w:rPr>
      </w:pPr>
      <w:r>
        <w:rPr>
          <w:rFonts w:ascii="Times New Roman" w:cs="Times New Roman" w:eastAsia="Times New Roman" w:hAnsi="Times New Roman"/>
          <w:sz w:val="19"/>
          <w:szCs w:val="19"/>
          <w:color w:val="1E1E1E"/>
        </w:rPr>
        <w:t>exercise price.</w:t>
      </w:r>
    </w:p>
    <w:p>
      <w:pPr>
        <w:spacing w:after="0" w:line="120" w:lineRule="exact"/>
        <w:rPr>
          <w:sz w:val="20"/>
          <w:szCs w:val="20"/>
          <w:color w:val="auto"/>
        </w:rPr>
      </w:pPr>
    </w:p>
    <w:p>
      <w:pPr>
        <w:ind w:right="40" w:firstLine="601"/>
        <w:spacing w:after="0" w:line="252" w:lineRule="auto"/>
        <w:rPr>
          <w:sz w:val="20"/>
          <w:szCs w:val="20"/>
          <w:color w:val="auto"/>
        </w:rPr>
      </w:pPr>
      <w:r>
        <w:rPr>
          <w:rFonts w:ascii="Times New Roman" w:cs="Times New Roman" w:eastAsia="Times New Roman" w:hAnsi="Times New Roman"/>
          <w:sz w:val="19"/>
          <w:szCs w:val="19"/>
          <w:color w:val="1E1E1E"/>
        </w:rPr>
        <w:t>For all stock options granted, the Company calculated the expected term using the simplified method for “plain vanilla” stock option awards. The risk-free interest rate is based on the yield available on U.S. Treasury issues similar in duration to the expected term of the stock-based award. As there was no public market for the Company's common stock prior to the initial public offering (“IPO”),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74" w:lineRule="exact"/>
        <w:rPr>
          <w:sz w:val="20"/>
          <w:szCs w:val="20"/>
          <w:color w:val="auto"/>
        </w:rPr>
      </w:pPr>
    </w:p>
    <w:p>
      <w:pPr>
        <w:ind w:left="1200" w:hanging="609"/>
        <w:spacing w:after="0"/>
        <w:tabs>
          <w:tab w:leader="none" w:pos="1200" w:val="left"/>
        </w:tabs>
        <w:numPr>
          <w:ilvl w:val="0"/>
          <w:numId w:val="52"/>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Net Loss Per Share Attributable to Common Stockholders</w:t>
      </w:r>
    </w:p>
    <w:p>
      <w:pPr>
        <w:spacing w:after="0" w:line="120" w:lineRule="exact"/>
        <w:rPr>
          <w:sz w:val="20"/>
          <w:szCs w:val="20"/>
          <w:color w:val="auto"/>
        </w:rPr>
      </w:pPr>
    </w:p>
    <w:p>
      <w:pPr>
        <w:ind w:firstLine="601"/>
        <w:spacing w:after="0" w:line="251" w:lineRule="auto"/>
        <w:rPr>
          <w:sz w:val="20"/>
          <w:szCs w:val="20"/>
          <w:color w:val="auto"/>
        </w:rPr>
      </w:pPr>
      <w:r>
        <w:rPr>
          <w:rFonts w:ascii="Times New Roman" w:cs="Times New Roman" w:eastAsia="Times New Roman" w:hAnsi="Times New Roman"/>
          <w:sz w:val="19"/>
          <w:szCs w:val="19"/>
          <w:color w:val="1E1E1E"/>
        </w:rPr>
        <w:t>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75" w:lineRule="exact"/>
        <w:rPr>
          <w:sz w:val="20"/>
          <w:szCs w:val="20"/>
          <w:color w:val="auto"/>
        </w:rPr>
      </w:pPr>
    </w:p>
    <w:p>
      <w:pPr>
        <w:ind w:left="1200" w:hanging="609"/>
        <w:spacing w:after="0"/>
        <w:tabs>
          <w:tab w:leader="none" w:pos="1200" w:val="left"/>
        </w:tabs>
        <w:numPr>
          <w:ilvl w:val="0"/>
          <w:numId w:val="5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Income Taxes</w:t>
      </w:r>
    </w:p>
    <w:p>
      <w:pPr>
        <w:spacing w:after="0" w:line="120" w:lineRule="exact"/>
        <w:rPr>
          <w:sz w:val="20"/>
          <w:szCs w:val="20"/>
          <w:color w:val="auto"/>
        </w:rPr>
      </w:pPr>
    </w:p>
    <w:p>
      <w:pPr>
        <w:ind w:firstLine="601"/>
        <w:spacing w:after="0" w:line="254" w:lineRule="auto"/>
        <w:rPr>
          <w:sz w:val="20"/>
          <w:szCs w:val="20"/>
          <w:color w:val="auto"/>
        </w:rPr>
      </w:pPr>
      <w:r>
        <w:rPr>
          <w:rFonts w:ascii="Times New Roman" w:cs="Times New Roman" w:eastAsia="Times New Roman" w:hAnsi="Times New Roman"/>
          <w:sz w:val="19"/>
          <w:szCs w:val="19"/>
          <w:color w:val="1E1E1E"/>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ectPr>
          <w:pgSz w:w="11880" w:h="15480" w:orient="portrait"/>
          <w:cols w:equalWidth="0" w:num="1">
            <w:col w:w="9740"/>
          </w:cols>
          <w:pgMar w:left="1060" w:top="1083" w:right="1080" w:bottom="215"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81</w:t>
      </w:r>
    </w:p>
    <w:p>
      <w:pPr>
        <w:sectPr>
          <w:pgSz w:w="11880" w:h="15480" w:orient="portrait"/>
          <w:cols w:equalWidth="0" w:num="1">
            <w:col w:w="9740"/>
          </w:cols>
          <w:pgMar w:left="1060" w:top="1083" w:right="1080" w:bottom="215" w:gutter="0" w:footer="0" w:header="0"/>
          <w:type w:val="continuous"/>
        </w:sectPr>
      </w:pPr>
    </w:p>
    <w:bookmarkStart w:id="87" w:name="page88"/>
    <w:bookmarkEnd w:id="87"/>
    <w:p>
      <w:pPr>
        <w:ind w:right="140" w:firstLine="601"/>
        <w:spacing w:after="0" w:line="290" w:lineRule="auto"/>
        <w:rPr>
          <w:sz w:val="20"/>
          <w:szCs w:val="20"/>
          <w:color w:val="auto"/>
        </w:rPr>
      </w:pPr>
      <w:r>
        <w:rPr>
          <w:rFonts w:ascii="Times New Roman" w:cs="Times New Roman" w:eastAsia="Times New Roman" w:hAnsi="Times New Roman"/>
          <w:sz w:val="19"/>
          <w:szCs w:val="19"/>
          <w:color w:val="1E1E1E"/>
        </w:rPr>
        <w:t>To the extent that it is not considered to be more likely than not that a deferred tax asset will be realized, a valuation allowance is established.</w:t>
      </w:r>
    </w:p>
    <w:p>
      <w:pPr>
        <w:spacing w:after="0" w:line="35" w:lineRule="exact"/>
        <w:rPr>
          <w:sz w:val="20"/>
          <w:szCs w:val="20"/>
          <w:color w:val="auto"/>
        </w:rPr>
      </w:pPr>
    </w:p>
    <w:p>
      <w:pPr>
        <w:ind w:right="160" w:firstLine="601"/>
        <w:spacing w:after="0" w:line="260" w:lineRule="auto"/>
        <w:rPr>
          <w:sz w:val="20"/>
          <w:szCs w:val="20"/>
          <w:color w:val="auto"/>
        </w:rPr>
      </w:pPr>
      <w:r>
        <w:rPr>
          <w:rFonts w:ascii="Times New Roman" w:cs="Times New Roman" w:eastAsia="Times New Roman" w:hAnsi="Times New Roman"/>
          <w:sz w:val="19"/>
          <w:szCs w:val="19"/>
          <w:color w:val="1E1E1E"/>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64" w:lineRule="exact"/>
        <w:rPr>
          <w:sz w:val="20"/>
          <w:szCs w:val="20"/>
          <w:color w:val="auto"/>
        </w:rPr>
      </w:pPr>
    </w:p>
    <w:p>
      <w:pPr>
        <w:ind w:left="1200" w:hanging="609"/>
        <w:spacing w:after="0"/>
        <w:tabs>
          <w:tab w:leader="none" w:pos="1200" w:val="left"/>
        </w:tabs>
        <w:numPr>
          <w:ilvl w:val="0"/>
          <w:numId w:val="5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Commitments and Contingencies</w:t>
      </w:r>
    </w:p>
    <w:p>
      <w:pPr>
        <w:spacing w:after="0" w:line="120" w:lineRule="exact"/>
        <w:rPr>
          <w:sz w:val="20"/>
          <w:szCs w:val="20"/>
          <w:color w:val="auto"/>
        </w:rPr>
      </w:pPr>
    </w:p>
    <w:p>
      <w:pPr>
        <w:jc w:val="both"/>
        <w:ind w:right="240" w:firstLine="601"/>
        <w:spacing w:after="0" w:line="267" w:lineRule="auto"/>
        <w:rPr>
          <w:sz w:val="20"/>
          <w:szCs w:val="20"/>
          <w:color w:val="auto"/>
        </w:rPr>
      </w:pPr>
      <w:r>
        <w:rPr>
          <w:rFonts w:ascii="Times New Roman" w:cs="Times New Roman" w:eastAsia="Times New Roman" w:hAnsi="Times New Roman"/>
          <w:sz w:val="19"/>
          <w:szCs w:val="19"/>
          <w:color w:val="1E1E1E"/>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58" w:lineRule="exact"/>
        <w:rPr>
          <w:sz w:val="20"/>
          <w:szCs w:val="20"/>
          <w:color w:val="auto"/>
        </w:rPr>
      </w:pPr>
    </w:p>
    <w:p>
      <w:pPr>
        <w:ind w:left="1200" w:hanging="609"/>
        <w:spacing w:after="0"/>
        <w:tabs>
          <w:tab w:leader="none" w:pos="1200" w:val="left"/>
        </w:tabs>
        <w:numPr>
          <w:ilvl w:val="0"/>
          <w:numId w:val="55"/>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Intangible Assets</w:t>
      </w:r>
    </w:p>
    <w:p>
      <w:pPr>
        <w:spacing w:after="0" w:line="120" w:lineRule="exact"/>
        <w:rPr>
          <w:sz w:val="20"/>
          <w:szCs w:val="20"/>
          <w:color w:val="auto"/>
        </w:rPr>
      </w:pPr>
    </w:p>
    <w:p>
      <w:pPr>
        <w:ind w:firstLine="601"/>
        <w:spacing w:after="0" w:line="267" w:lineRule="auto"/>
        <w:rPr>
          <w:sz w:val="20"/>
          <w:szCs w:val="20"/>
          <w:color w:val="auto"/>
        </w:rPr>
      </w:pPr>
      <w:r>
        <w:rPr>
          <w:rFonts w:ascii="Times New Roman" w:cs="Times New Roman" w:eastAsia="Times New Roman" w:hAnsi="Times New Roman"/>
          <w:sz w:val="19"/>
          <w:szCs w:val="19"/>
          <w:color w:val="1E1E1E"/>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spacing w:after="0" w:line="58" w:lineRule="exact"/>
        <w:rPr>
          <w:sz w:val="20"/>
          <w:szCs w:val="20"/>
          <w:color w:val="auto"/>
        </w:rPr>
      </w:pPr>
    </w:p>
    <w:p>
      <w:pPr>
        <w:ind w:left="1200" w:hanging="609"/>
        <w:spacing w:after="0"/>
        <w:tabs>
          <w:tab w:leader="none" w:pos="1200" w:val="left"/>
        </w:tabs>
        <w:numPr>
          <w:ilvl w:val="0"/>
          <w:numId w:val="5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Goodwill</w:t>
      </w:r>
    </w:p>
    <w:p>
      <w:pPr>
        <w:spacing w:after="0" w:line="120" w:lineRule="exact"/>
        <w:rPr>
          <w:sz w:val="20"/>
          <w:szCs w:val="20"/>
          <w:color w:val="auto"/>
        </w:rPr>
      </w:pPr>
    </w:p>
    <w:p>
      <w:pPr>
        <w:ind w:right="80" w:firstLine="601"/>
        <w:spacing w:after="0" w:line="260" w:lineRule="auto"/>
        <w:rPr>
          <w:sz w:val="20"/>
          <w:szCs w:val="20"/>
          <w:color w:val="auto"/>
        </w:rPr>
      </w:pPr>
      <w:r>
        <w:rPr>
          <w:rFonts w:ascii="Times New Roman" w:cs="Times New Roman" w:eastAsia="Times New Roman" w:hAnsi="Times New Roman"/>
          <w:sz w:val="19"/>
          <w:szCs w:val="19"/>
          <w:color w:val="1E1E1E"/>
        </w:rPr>
        <w:t>Goodwill represents the excess purchase price over the estimated fair value of net assets acquired in a business combination.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62" w:lineRule="exact"/>
        <w:rPr>
          <w:sz w:val="20"/>
          <w:szCs w:val="20"/>
          <w:color w:val="auto"/>
        </w:rPr>
      </w:pPr>
    </w:p>
    <w:p>
      <w:pPr>
        <w:ind w:right="100" w:firstLine="601"/>
        <w:spacing w:after="0" w:line="250" w:lineRule="auto"/>
        <w:rPr>
          <w:sz w:val="20"/>
          <w:szCs w:val="20"/>
          <w:color w:val="auto"/>
        </w:rPr>
      </w:pPr>
      <w:r>
        <w:rPr>
          <w:rFonts w:ascii="Times New Roman" w:cs="Times New Roman" w:eastAsia="Times New Roman" w:hAnsi="Times New Roman"/>
          <w:sz w:val="19"/>
          <w:szCs w:val="19"/>
          <w:color w:val="1E1E1E"/>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 During the years ended December 31, 2023, 2022 and 2021, the Company performed its qualitative assessment and determined that it was more likely than not that the fair value of our reporting units exceeded their carrying values.</w:t>
      </w:r>
    </w:p>
    <w:p>
      <w:pPr>
        <w:spacing w:after="0" w:line="377" w:lineRule="exact"/>
        <w:rPr>
          <w:sz w:val="20"/>
          <w:szCs w:val="20"/>
          <w:color w:val="auto"/>
        </w:rPr>
      </w:pPr>
    </w:p>
    <w:p>
      <w:pPr>
        <w:ind w:right="220" w:firstLine="601"/>
        <w:spacing w:after="0" w:line="260" w:lineRule="auto"/>
        <w:rPr>
          <w:sz w:val="20"/>
          <w:szCs w:val="20"/>
          <w:color w:val="auto"/>
        </w:rPr>
      </w:pPr>
      <w:r>
        <w:rPr>
          <w:rFonts w:ascii="Times New Roman" w:cs="Times New Roman" w:eastAsia="Times New Roman" w:hAnsi="Times New Roman"/>
          <w:sz w:val="19"/>
          <w:szCs w:val="19"/>
          <w:color w:val="1E1E1E"/>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140" w:lineRule="exact"/>
        <w:rPr>
          <w:sz w:val="20"/>
          <w:szCs w:val="20"/>
          <w:color w:val="auto"/>
        </w:rPr>
      </w:pPr>
    </w:p>
    <w:p>
      <w:pPr>
        <w:ind w:right="100" w:firstLine="601"/>
        <w:spacing w:after="0" w:line="260" w:lineRule="auto"/>
        <w:rPr>
          <w:sz w:val="20"/>
          <w:szCs w:val="20"/>
          <w:color w:val="auto"/>
        </w:rPr>
      </w:pPr>
      <w:r>
        <w:rPr>
          <w:rFonts w:ascii="Times New Roman" w:cs="Times New Roman" w:eastAsia="Times New Roman" w:hAnsi="Times New Roman"/>
          <w:sz w:val="19"/>
          <w:szCs w:val="19"/>
          <w:color w:val="1E1E1E"/>
        </w:rPr>
        <w:t>Xometry determines the fair value of each reporting unit using an income approach. Under the income approach, the Company based fair value on estimated discounted future cash flows of each reporting unit. Determining the fair value of each reporting unit is judgmental in nature and requires the use of significant estimates and assumptions, including revenue growth rates and EBITDA margins, discount rates and future market conditions, among others (Level 3).</w:t>
      </w:r>
    </w:p>
    <w:p>
      <w:pPr>
        <w:spacing w:after="0" w:line="64" w:lineRule="exact"/>
        <w:rPr>
          <w:sz w:val="20"/>
          <w:szCs w:val="20"/>
          <w:color w:val="auto"/>
        </w:rPr>
      </w:pPr>
    </w:p>
    <w:p>
      <w:pPr>
        <w:ind w:left="1200" w:hanging="609"/>
        <w:spacing w:after="0"/>
        <w:tabs>
          <w:tab w:leader="none" w:pos="1200" w:val="left"/>
        </w:tabs>
        <w:numPr>
          <w:ilvl w:val="0"/>
          <w:numId w:val="5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i w:val="1"/>
          <w:iCs w:val="1"/>
          <w:color w:val="1E1E1E"/>
        </w:rPr>
        <w:t>Recently Issued Accounting Standards</w:t>
      </w:r>
    </w:p>
    <w:p>
      <w:pPr>
        <w:spacing w:after="0" w:line="197" w:lineRule="exact"/>
        <w:rPr>
          <w:sz w:val="20"/>
          <w:szCs w:val="20"/>
          <w:color w:val="auto"/>
        </w:rPr>
      </w:pPr>
    </w:p>
    <w:p>
      <w:pPr>
        <w:ind w:right="60" w:firstLine="601"/>
        <w:spacing w:after="0" w:line="249" w:lineRule="auto"/>
        <w:rPr>
          <w:sz w:val="20"/>
          <w:szCs w:val="20"/>
          <w:color w:val="auto"/>
        </w:rPr>
      </w:pPr>
      <w:r>
        <w:rPr>
          <w:rFonts w:ascii="Times New Roman" w:cs="Times New Roman" w:eastAsia="Times New Roman" w:hAnsi="Times New Roman"/>
          <w:sz w:val="19"/>
          <w:szCs w:val="19"/>
          <w:color w:val="1E1E1E"/>
        </w:rPr>
        <w:t>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with early adoption permitted. A public entity should apply the amendments in this ASU retrospectively to all prior periods presented in the financial statements. We expect this ASU to only impact our disclosures with no impacts to our results of operations, cash flows and financial condition.</w:t>
      </w:r>
    </w:p>
    <w:p>
      <w:pPr>
        <w:spacing w:after="0" w:line="382" w:lineRule="exact"/>
        <w:rPr>
          <w:sz w:val="20"/>
          <w:szCs w:val="20"/>
          <w:color w:val="auto"/>
        </w:rPr>
      </w:pPr>
    </w:p>
    <w:p>
      <w:pPr>
        <w:ind w:right="280" w:firstLine="601"/>
        <w:spacing w:after="0" w:line="290" w:lineRule="auto"/>
        <w:rPr>
          <w:sz w:val="20"/>
          <w:szCs w:val="20"/>
          <w:color w:val="auto"/>
        </w:rPr>
      </w:pPr>
      <w:r>
        <w:rPr>
          <w:rFonts w:ascii="Times New Roman" w:cs="Times New Roman" w:eastAsia="Times New Roman" w:hAnsi="Times New Roman"/>
          <w:sz w:val="19"/>
          <w:szCs w:val="19"/>
          <w:color w:val="1E1E1E"/>
        </w:rPr>
        <w:t>In December 2023, the FASB issued ASU No. 2023-09, Income Taxes (Topic 740): Improvements to Income Tax Disclosures, which focuses on the rate reconciliation and income taxes paid. ASU No. 2023-09 requires a public business</w:t>
      </w:r>
    </w:p>
    <w:p>
      <w:pPr>
        <w:sectPr>
          <w:pgSz w:w="11880" w:h="15480" w:orient="portrait"/>
          <w:cols w:equalWidth="0" w:num="1">
            <w:col w:w="9740"/>
          </w:cols>
          <w:pgMar w:left="1060" w:top="1083" w:right="1080" w:bottom="215"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82</w:t>
      </w:r>
    </w:p>
    <w:p>
      <w:pPr>
        <w:sectPr>
          <w:pgSz w:w="11880" w:h="15480" w:orient="portrait"/>
          <w:cols w:equalWidth="0" w:num="1">
            <w:col w:w="9740"/>
          </w:cols>
          <w:pgMar w:left="1060" w:top="1083" w:right="1080" w:bottom="215" w:gutter="0" w:footer="0" w:header="0"/>
          <w:type w:val="continuous"/>
        </w:sectPr>
      </w:pPr>
    </w:p>
    <w:bookmarkStart w:id="88" w:name="page89"/>
    <w:bookmarkEnd w:id="88"/>
    <w:p>
      <w:pPr>
        <w:ind w:left="10" w:right="20"/>
        <w:spacing w:after="0" w:line="250" w:lineRule="auto"/>
        <w:rPr>
          <w:sz w:val="20"/>
          <w:szCs w:val="20"/>
          <w:color w:val="auto"/>
        </w:rPr>
      </w:pPr>
      <w:r>
        <w:rPr>
          <w:rFonts w:ascii="Times New Roman" w:cs="Times New Roman" w:eastAsia="Times New Roman" w:hAnsi="Times New Roman"/>
          <w:sz w:val="19"/>
          <w:szCs w:val="19"/>
          <w:color w:val="1E1E1E"/>
        </w:rPr>
        <w:t>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results of operations, cash flows, and financial condition.</w:t>
      </w:r>
    </w:p>
    <w:p>
      <w:pPr>
        <w:spacing w:after="0" w:line="377" w:lineRule="exact"/>
        <w:rPr>
          <w:sz w:val="20"/>
          <w:szCs w:val="20"/>
          <w:color w:val="auto"/>
        </w:rPr>
      </w:pPr>
    </w:p>
    <w:p>
      <w:pPr>
        <w:ind w:left="10" w:firstLine="601"/>
        <w:spacing w:after="0" w:line="290" w:lineRule="auto"/>
        <w:rPr>
          <w:sz w:val="20"/>
          <w:szCs w:val="20"/>
          <w:color w:val="auto"/>
        </w:rPr>
      </w:pPr>
      <w:r>
        <w:rPr>
          <w:rFonts w:ascii="Times New Roman" w:cs="Times New Roman" w:eastAsia="Times New Roman" w:hAnsi="Times New Roman"/>
          <w:sz w:val="19"/>
          <w:szCs w:val="19"/>
          <w:color w:val="1E1E1E"/>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09" w:lineRule="exact"/>
        <w:rPr>
          <w:sz w:val="20"/>
          <w:szCs w:val="20"/>
          <w:color w:val="auto"/>
        </w:rPr>
      </w:pPr>
    </w:p>
    <w:p>
      <w:pPr>
        <w:ind w:left="610" w:hanging="610"/>
        <w:spacing w:after="0"/>
        <w:tabs>
          <w:tab w:leader="none" w:pos="610" w:val="left"/>
        </w:tabs>
        <w:numPr>
          <w:ilvl w:val="0"/>
          <w:numId w:val="5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Credit Concentrations</w:t>
      </w:r>
    </w:p>
    <w:p>
      <w:pPr>
        <w:spacing w:after="0" w:line="124" w:lineRule="exact"/>
        <w:rPr>
          <w:sz w:val="20"/>
          <w:szCs w:val="20"/>
          <w:color w:val="auto"/>
        </w:rPr>
      </w:pPr>
    </w:p>
    <w:p>
      <w:pPr>
        <w:ind w:left="10" w:right="20" w:firstLine="601"/>
        <w:spacing w:after="0" w:line="267" w:lineRule="auto"/>
        <w:rPr>
          <w:sz w:val="20"/>
          <w:szCs w:val="20"/>
          <w:color w:val="auto"/>
        </w:rPr>
      </w:pPr>
      <w:r>
        <w:rPr>
          <w:rFonts w:ascii="Times New Roman" w:cs="Times New Roman" w:eastAsia="Times New Roman" w:hAnsi="Times New Roman"/>
          <w:sz w:val="19"/>
          <w:szCs w:val="19"/>
          <w:color w:val="1E1E1E"/>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34" w:lineRule="exact"/>
        <w:rPr>
          <w:sz w:val="20"/>
          <w:szCs w:val="20"/>
          <w:color w:val="auto"/>
        </w:rPr>
      </w:pPr>
    </w:p>
    <w:p>
      <w:pPr>
        <w:ind w:left="10" w:right="520" w:firstLine="601"/>
        <w:spacing w:after="0" w:line="290" w:lineRule="auto"/>
        <w:rPr>
          <w:sz w:val="20"/>
          <w:szCs w:val="20"/>
          <w:color w:val="auto"/>
        </w:rPr>
      </w:pPr>
      <w:r>
        <w:rPr>
          <w:rFonts w:ascii="Times New Roman" w:cs="Times New Roman" w:eastAsia="Times New Roman" w:hAnsi="Times New Roman"/>
          <w:sz w:val="19"/>
          <w:szCs w:val="19"/>
          <w:color w:val="1E1E1E"/>
        </w:rPr>
        <w:t>For 2023, 2022, and 2021, no one customer accounted for more than 10% of the Company's revenues. As of December 31, 2023 and 2022, no single customer accounted for more than 10% of the Company’s accounts receivable.</w:t>
      </w:r>
    </w:p>
    <w:p>
      <w:pPr>
        <w:spacing w:after="0" w:line="109" w:lineRule="exact"/>
        <w:rPr>
          <w:sz w:val="20"/>
          <w:szCs w:val="20"/>
          <w:color w:val="auto"/>
        </w:rPr>
      </w:pPr>
    </w:p>
    <w:p>
      <w:pPr>
        <w:ind w:left="610" w:hanging="610"/>
        <w:spacing w:after="0"/>
        <w:tabs>
          <w:tab w:leader="none" w:pos="610" w:val="left"/>
        </w:tabs>
        <w:numPr>
          <w:ilvl w:val="0"/>
          <w:numId w:val="59"/>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Inventory</w:t>
      </w:r>
    </w:p>
    <w:p>
      <w:pPr>
        <w:spacing w:after="0" w:line="124" w:lineRule="exact"/>
        <w:rPr>
          <w:sz w:val="20"/>
          <w:szCs w:val="20"/>
          <w:color w:val="auto"/>
        </w:rPr>
      </w:pPr>
    </w:p>
    <w:p>
      <w:pPr>
        <w:ind w:left="10" w:right="40" w:firstLine="601"/>
        <w:spacing w:after="0" w:line="256" w:lineRule="auto"/>
        <w:rPr>
          <w:sz w:val="20"/>
          <w:szCs w:val="20"/>
          <w:color w:val="auto"/>
        </w:rPr>
      </w:pPr>
      <w:r>
        <w:rPr>
          <w:rFonts w:ascii="Times New Roman" w:cs="Times New Roman" w:eastAsia="Times New Roman" w:hAnsi="Times New Roman"/>
          <w:sz w:val="19"/>
          <w:szCs w:val="19"/>
          <w:color w:val="1E1E1E"/>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The tools inventory primarily consists of small consumable machine tools, cutting devices, etc. Finished goods represents product awaiting shipment. Inventory consists of the following as of December 31, 2023 and 2022 (in thousands):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68"/>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1E1E1E"/>
              <w:bottom w:val="single" w:sz="8" w:color="1E1E1E"/>
            </w:tcBorders>
          </w:tcPr>
          <w:p>
            <w:pPr>
              <w:spacing w:after="0"/>
              <w:rPr>
                <w:sz w:val="14"/>
                <w:szCs w:val="14"/>
                <w:color w:val="auto"/>
              </w:rPr>
            </w:pPr>
          </w:p>
        </w:tc>
        <w:tc>
          <w:tcPr>
            <w:tcW w:w="1200" w:type="dxa"/>
            <w:vAlign w:val="bottom"/>
            <w:tcBorders>
              <w:top w:val="single" w:sz="8" w:color="1E1E1E"/>
              <w:bottom w:val="single" w:sz="8" w:color="1E1E1E"/>
            </w:tcBorders>
          </w:tcPr>
          <w:p>
            <w:pPr>
              <w:jc w:val="right"/>
              <w:ind w:right="429"/>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Pr>
          <w:p>
            <w:pPr>
              <w:spacing w:after="0"/>
              <w:rPr>
                <w:sz w:val="14"/>
                <w:szCs w:val="14"/>
                <w:color w:val="auto"/>
              </w:rPr>
            </w:pPr>
          </w:p>
        </w:tc>
        <w:tc>
          <w:tcPr>
            <w:tcW w:w="80" w:type="dxa"/>
            <w:vAlign w:val="bottom"/>
            <w:tcBorders>
              <w:top w:val="single" w:sz="8" w:color="1E1E1E"/>
            </w:tcBorders>
          </w:tcPr>
          <w:p>
            <w:pPr>
              <w:spacing w:after="0"/>
              <w:rPr>
                <w:sz w:val="14"/>
                <w:szCs w:val="14"/>
                <w:color w:val="auto"/>
              </w:rPr>
            </w:pPr>
          </w:p>
        </w:tc>
        <w:tc>
          <w:tcPr>
            <w:tcW w:w="180" w:type="dxa"/>
            <w:vAlign w:val="bottom"/>
            <w:tcBorders>
              <w:top w:val="single" w:sz="8" w:color="1E1E1E"/>
              <w:bottom w:val="single" w:sz="8" w:color="1E1E1E"/>
            </w:tcBorders>
          </w:tcPr>
          <w:p>
            <w:pPr>
              <w:spacing w:after="0"/>
              <w:rPr>
                <w:sz w:val="14"/>
                <w:szCs w:val="14"/>
                <w:color w:val="auto"/>
              </w:rPr>
            </w:pPr>
          </w:p>
        </w:tc>
        <w:tc>
          <w:tcPr>
            <w:tcW w:w="1200" w:type="dxa"/>
            <w:vAlign w:val="bottom"/>
            <w:tcBorders>
              <w:top w:val="single" w:sz="8" w:color="1E1E1E"/>
              <w:bottom w:val="single" w:sz="8" w:color="1E1E1E"/>
            </w:tcBorders>
          </w:tcPr>
          <w:p>
            <w:pPr>
              <w:jc w:val="right"/>
              <w:ind w:right="449"/>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4"/>
                <w:szCs w:val="14"/>
                <w:color w:val="auto"/>
              </w:rPr>
            </w:pPr>
          </w:p>
        </w:tc>
      </w:tr>
      <w:tr>
        <w:trPr>
          <w:trHeight w:val="168"/>
        </w:trPr>
        <w:tc>
          <w:tcPr>
            <w:tcW w:w="6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66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Raw materials</w:t>
            </w:r>
          </w:p>
        </w:tc>
        <w:tc>
          <w:tcPr>
            <w:tcW w:w="30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3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1,129</w:t>
            </w:r>
          </w:p>
        </w:tc>
        <w:tc>
          <w:tcPr>
            <w:tcW w:w="26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119</w:t>
            </w:r>
          </w:p>
        </w:tc>
        <w:tc>
          <w:tcPr>
            <w:tcW w:w="80" w:type="dxa"/>
            <w:vAlign w:val="bottom"/>
            <w:shd w:val="clear" w:color="auto" w:fill="E4E4E4"/>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1E1E1E"/>
              </w:rPr>
              <w:t>Work-in-progress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696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675</w:t>
            </w:r>
          </w:p>
        </w:tc>
        <w:tc>
          <w:tcPr>
            <w:tcW w:w="80" w:type="dxa"/>
            <w:vAlign w:val="bottom"/>
          </w:tcPr>
          <w:p>
            <w:pPr>
              <w:spacing w:after="0"/>
              <w:rPr>
                <w:sz w:val="19"/>
                <w:szCs w:val="19"/>
                <w:color w:val="auto"/>
              </w:rPr>
            </w:pPr>
          </w:p>
        </w:tc>
      </w:tr>
      <w:tr>
        <w:trPr>
          <w:trHeight w:val="223"/>
        </w:trPr>
        <w:tc>
          <w:tcPr>
            <w:tcW w:w="66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Tools inventory</w:t>
            </w:r>
          </w:p>
        </w:tc>
        <w:tc>
          <w:tcPr>
            <w:tcW w:w="14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3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477</w:t>
            </w:r>
          </w:p>
        </w:tc>
        <w:tc>
          <w:tcPr>
            <w:tcW w:w="80" w:type="dxa"/>
            <w:vAlign w:val="bottom"/>
            <w:shd w:val="clear" w:color="auto" w:fill="E4E4E4"/>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1E1E1E"/>
              </w:rPr>
              <w:t>Finished goods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1,060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300</w:t>
            </w:r>
          </w:p>
        </w:tc>
        <w:tc>
          <w:tcPr>
            <w:tcW w:w="80" w:type="dxa"/>
            <w:vAlign w:val="bottom"/>
          </w:tcPr>
          <w:p>
            <w:pPr>
              <w:spacing w:after="0"/>
              <w:rPr>
                <w:sz w:val="19"/>
                <w:szCs w:val="19"/>
                <w:color w:val="auto"/>
              </w:rPr>
            </w:pPr>
          </w:p>
        </w:tc>
      </w:tr>
      <w:tr>
        <w:trPr>
          <w:trHeight w:val="213"/>
        </w:trPr>
        <w:tc>
          <w:tcPr>
            <w:tcW w:w="662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2,885</w:t>
            </w:r>
          </w:p>
        </w:tc>
        <w:tc>
          <w:tcPr>
            <w:tcW w:w="10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1,571</w:t>
            </w:r>
          </w:p>
        </w:tc>
        <w:tc>
          <w:tcPr>
            <w:tcW w:w="80" w:type="dxa"/>
            <w:vAlign w:val="bottom"/>
            <w:tcBorders>
              <w:top w:val="single" w:sz="8" w:color="E4E4E4"/>
            </w:tcBorders>
            <w:shd w:val="clear" w:color="auto" w:fill="E4E4E4"/>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70"/>
          </w:cols>
          <w:pgMar w:left="105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83</w:t>
      </w:r>
    </w:p>
    <w:p>
      <w:pPr>
        <w:sectPr>
          <w:pgSz w:w="11880" w:h="15480" w:orient="portrait"/>
          <w:cols w:equalWidth="0" w:num="1">
            <w:col w:w="9770"/>
          </w:cols>
          <w:pgMar w:left="1050" w:top="1083" w:right="1060" w:bottom="215" w:gutter="0" w:footer="0" w:header="0"/>
          <w:type w:val="continuous"/>
        </w:sectPr>
      </w:pPr>
    </w:p>
    <w:bookmarkStart w:id="89" w:name="page90"/>
    <w:bookmarkEnd w:id="89"/>
    <w:p>
      <w:pPr>
        <w:ind w:left="610" w:hanging="610"/>
        <w:spacing w:after="0"/>
        <w:tabs>
          <w:tab w:leader="none" w:pos="610" w:val="left"/>
        </w:tabs>
        <w:numPr>
          <w:ilvl w:val="0"/>
          <w:numId w:val="60"/>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Property and Equipment and Long-Lived Assets</w:t>
      </w:r>
    </w:p>
    <w:p>
      <w:pPr>
        <w:spacing w:after="0" w:line="124" w:lineRule="exact"/>
        <w:rPr>
          <w:rFonts w:ascii="Times New Roman" w:cs="Times New Roman" w:eastAsia="Times New Roman" w:hAnsi="Times New Roman"/>
          <w:sz w:val="19"/>
          <w:szCs w:val="19"/>
          <w:b w:val="1"/>
          <w:bCs w:val="1"/>
          <w:color w:val="1E1E1E"/>
        </w:rPr>
      </w:pPr>
    </w:p>
    <w:p>
      <w:pPr>
        <w:ind w:left="610"/>
        <w:spacing w:after="0"/>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Property and equipment consist of the following as of December 31, 2023 and 2022 (in thousands):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1E1E1E"/>
              </w:rPr>
              <w:t>Useful Life</w:t>
            </w:r>
          </w:p>
        </w:tc>
        <w:tc>
          <w:tcPr>
            <w:tcW w:w="20" w:type="dxa"/>
            <w:vAlign w:val="bottom"/>
          </w:tcPr>
          <w:p>
            <w:pPr>
              <w:spacing w:after="0"/>
              <w:rPr>
                <w:sz w:val="17"/>
                <w:szCs w:val="17"/>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20" w:type="dxa"/>
            <w:vAlign w:val="bottom"/>
          </w:tcPr>
          <w:p>
            <w:pPr>
              <w:spacing w:after="0"/>
              <w:rPr>
                <w:sz w:val="17"/>
                <w:szCs w:val="17"/>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168"/>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jc w:val="right"/>
              <w:ind w:right="305"/>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jc w:val="right"/>
              <w:ind w:right="305"/>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Borders>
              <w:top w:val="single" w:sz="8" w:color="1E1E1E"/>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Technology hardware</w:t>
            </w:r>
          </w:p>
        </w:tc>
        <w:tc>
          <w:tcPr>
            <w:tcW w:w="120" w:type="dxa"/>
            <w:vAlign w:val="bottom"/>
            <w:shd w:val="clear" w:color="auto" w:fill="E4E4E4"/>
          </w:tcPr>
          <w:p>
            <w:pPr>
              <w:spacing w:after="0"/>
              <w:rPr>
                <w:sz w:val="19"/>
                <w:szCs w:val="19"/>
                <w:color w:val="auto"/>
              </w:rPr>
            </w:pPr>
          </w:p>
        </w:tc>
        <w:tc>
          <w:tcPr>
            <w:tcW w:w="208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3 years</w:t>
            </w:r>
          </w:p>
        </w:tc>
        <w:tc>
          <w:tcPr>
            <w:tcW w:w="240" w:type="dxa"/>
            <w:vAlign w:val="bottom"/>
            <w:gridSpan w:val="2"/>
            <w:shd w:val="clear" w:color="auto" w:fill="E4E4E4"/>
          </w:tcPr>
          <w:p>
            <w:pPr>
              <w:jc w:val="right"/>
              <w:ind w:right="58"/>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3,355</w:t>
            </w:r>
          </w:p>
        </w:tc>
        <w:tc>
          <w:tcPr>
            <w:tcW w:w="100" w:type="dxa"/>
            <w:vAlign w:val="bottom"/>
            <w:shd w:val="clear" w:color="auto" w:fill="E4E4E4"/>
          </w:tcPr>
          <w:p>
            <w:pPr>
              <w:spacing w:after="0"/>
              <w:rPr>
                <w:sz w:val="19"/>
                <w:szCs w:val="19"/>
                <w:color w:val="auto"/>
              </w:rPr>
            </w:pPr>
          </w:p>
        </w:tc>
        <w:tc>
          <w:tcPr>
            <w:tcW w:w="360" w:type="dxa"/>
            <w:vAlign w:val="bottom"/>
            <w:gridSpan w:val="2"/>
            <w:shd w:val="clear" w:color="auto" w:fill="E4E4E4"/>
          </w:tcPr>
          <w:p>
            <w:pPr>
              <w:jc w:val="right"/>
              <w:ind w:right="78"/>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2,927</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9"/>
                <w:szCs w:val="19"/>
                <w:color w:val="1E1E1E"/>
              </w:rPr>
              <w:t>Manufacturing equipment</w:t>
            </w:r>
          </w:p>
        </w:tc>
        <w:tc>
          <w:tcPr>
            <w:tcW w:w="12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2 - 9 years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2,892</w:t>
            </w:r>
          </w:p>
        </w:tc>
        <w:tc>
          <w:tcPr>
            <w:tcW w:w="0" w:type="dxa"/>
            <w:vAlign w:val="bottom"/>
          </w:tcPr>
          <w:p>
            <w:pPr>
              <w:spacing w:after="0"/>
              <w:rPr>
                <w:sz w:val="1"/>
                <w:szCs w:val="1"/>
                <w:color w:val="auto"/>
              </w:rPr>
            </w:pPr>
          </w:p>
        </w:tc>
      </w:tr>
      <w:tr>
        <w:trPr>
          <w:trHeight w:val="223"/>
        </w:trPr>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Capitalized software development</w:t>
            </w:r>
          </w:p>
        </w:tc>
        <w:tc>
          <w:tcPr>
            <w:tcW w:w="120" w:type="dxa"/>
            <w:vAlign w:val="bottom"/>
            <w:shd w:val="clear" w:color="auto" w:fill="E4E4E4"/>
          </w:tcPr>
          <w:p>
            <w:pPr>
              <w:spacing w:after="0"/>
              <w:rPr>
                <w:sz w:val="19"/>
                <w:szCs w:val="19"/>
                <w:color w:val="auto"/>
              </w:rPr>
            </w:pPr>
          </w:p>
        </w:tc>
        <w:tc>
          <w:tcPr>
            <w:tcW w:w="208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3 years</w:t>
            </w: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44,004</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24,343</w:t>
            </w:r>
          </w:p>
        </w:tc>
        <w:tc>
          <w:tcPr>
            <w:tcW w:w="0" w:type="dxa"/>
            <w:vAlign w:val="bottom"/>
          </w:tcPr>
          <w:p>
            <w:pPr>
              <w:spacing w:after="0"/>
              <w:rPr>
                <w:sz w:val="1"/>
                <w:szCs w:val="1"/>
                <w:color w:val="auto"/>
              </w:rPr>
            </w:pPr>
          </w:p>
        </w:tc>
      </w:tr>
      <w:tr>
        <w:trPr>
          <w:trHeight w:val="202"/>
        </w:trPr>
        <w:tc>
          <w:tcPr>
            <w:tcW w:w="5100" w:type="dxa"/>
            <w:vAlign w:val="bottom"/>
          </w:tcPr>
          <w:p>
            <w:pPr>
              <w:spacing w:after="0" w:line="203" w:lineRule="exact"/>
              <w:rPr>
                <w:sz w:val="20"/>
                <w:szCs w:val="20"/>
                <w:color w:val="auto"/>
              </w:rPr>
            </w:pPr>
            <w:r>
              <w:rPr>
                <w:rFonts w:ascii="Times New Roman" w:cs="Times New Roman" w:eastAsia="Times New Roman" w:hAnsi="Times New Roman"/>
                <w:sz w:val="19"/>
                <w:szCs w:val="19"/>
                <w:color w:val="1E1E1E"/>
              </w:rPr>
              <w:t>Leasehold improvements</w:t>
            </w:r>
          </w:p>
        </w:tc>
        <w:tc>
          <w:tcPr>
            <w:tcW w:w="120" w:type="dxa"/>
            <w:vAlign w:val="bottom"/>
          </w:tcPr>
          <w:p>
            <w:pPr>
              <w:spacing w:after="0"/>
              <w:rPr>
                <w:sz w:val="17"/>
                <w:szCs w:val="17"/>
                <w:color w:val="auto"/>
              </w:rPr>
            </w:pPr>
          </w:p>
        </w:tc>
        <w:tc>
          <w:tcPr>
            <w:tcW w:w="2080" w:type="dxa"/>
            <w:vAlign w:val="bottom"/>
            <w:gridSpan w:val="2"/>
          </w:tcPr>
          <w:p>
            <w:pPr>
              <w:jc w:val="right"/>
              <w:ind w:right="120"/>
              <w:spacing w:after="0" w:line="203" w:lineRule="exact"/>
              <w:rPr>
                <w:sz w:val="20"/>
                <w:szCs w:val="20"/>
                <w:color w:val="auto"/>
              </w:rPr>
            </w:pPr>
            <w:r>
              <w:rPr>
                <w:rFonts w:ascii="Times New Roman" w:cs="Times New Roman" w:eastAsia="Times New Roman" w:hAnsi="Times New Roman"/>
                <w:sz w:val="19"/>
                <w:szCs w:val="19"/>
                <w:color w:val="1E1E1E"/>
              </w:rPr>
              <w:t>Shorter of useful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life or lease term</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1,345</w:t>
            </w:r>
          </w:p>
        </w:tc>
        <w:tc>
          <w:tcPr>
            <w:tcW w:w="0" w:type="dxa"/>
            <w:vAlign w:val="bottom"/>
          </w:tcPr>
          <w:p>
            <w:pPr>
              <w:spacing w:after="0"/>
              <w:rPr>
                <w:sz w:val="1"/>
                <w:szCs w:val="1"/>
                <w:color w:val="auto"/>
              </w:rPr>
            </w:pPr>
          </w:p>
        </w:tc>
      </w:tr>
      <w:tr>
        <w:trPr>
          <w:trHeight w:val="223"/>
        </w:trPr>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Furniture and fixtures</w:t>
            </w:r>
          </w:p>
        </w:tc>
        <w:tc>
          <w:tcPr>
            <w:tcW w:w="120" w:type="dxa"/>
            <w:vAlign w:val="bottom"/>
            <w:shd w:val="clear" w:color="auto" w:fill="E4E4E4"/>
          </w:tcPr>
          <w:p>
            <w:pPr>
              <w:spacing w:after="0"/>
              <w:rPr>
                <w:sz w:val="19"/>
                <w:szCs w:val="19"/>
                <w:color w:val="auto"/>
              </w:rPr>
            </w:pPr>
          </w:p>
        </w:tc>
        <w:tc>
          <w:tcPr>
            <w:tcW w:w="208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7 years</w:t>
            </w: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2,630</w:t>
            </w:r>
          </w:p>
        </w:tc>
        <w:tc>
          <w:tcPr>
            <w:tcW w:w="1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1,705</w:t>
            </w:r>
          </w:p>
        </w:tc>
        <w:tc>
          <w:tcPr>
            <w:tcW w:w="0" w:type="dxa"/>
            <w:vAlign w:val="bottom"/>
          </w:tcPr>
          <w:p>
            <w:pPr>
              <w:spacing w:after="0"/>
              <w:rPr>
                <w:sz w:val="1"/>
                <w:szCs w:val="1"/>
                <w:color w:val="auto"/>
              </w:rPr>
            </w:pPr>
          </w:p>
        </w:tc>
      </w:tr>
      <w:tr>
        <w:trPr>
          <w:trHeight w:val="213"/>
        </w:trPr>
        <w:tc>
          <w:tcPr>
            <w:tcW w:w="51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1E1E1E"/>
            </w:tcBorders>
          </w:tcPr>
          <w:p>
            <w:pPr>
              <w:spacing w:after="0"/>
              <w:rPr>
                <w:sz w:val="18"/>
                <w:szCs w:val="18"/>
                <w:color w:val="auto"/>
              </w:rPr>
            </w:pPr>
          </w:p>
        </w:tc>
        <w:tc>
          <w:tcPr>
            <w:tcW w:w="84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56,836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1E1E1E"/>
            </w:tcBorders>
          </w:tcPr>
          <w:p>
            <w:pPr>
              <w:spacing w:after="0"/>
              <w:rPr>
                <w:sz w:val="18"/>
                <w:szCs w:val="18"/>
                <w:color w:val="auto"/>
              </w:rPr>
            </w:pPr>
          </w:p>
        </w:tc>
        <w:tc>
          <w:tcPr>
            <w:tcW w:w="84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33,212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Less accumulated depreciation</w:t>
            </w:r>
          </w:p>
        </w:tc>
        <w:tc>
          <w:tcPr>
            <w:tcW w:w="120" w:type="dxa"/>
            <w:vAlign w:val="bottom"/>
            <w:shd w:val="clear" w:color="auto" w:fill="E4E4E4"/>
          </w:tcPr>
          <w:p>
            <w:pPr>
              <w:spacing w:after="0"/>
              <w:rPr>
                <w:sz w:val="19"/>
                <w:szCs w:val="19"/>
                <w:color w:val="auto"/>
              </w:rPr>
            </w:pPr>
          </w:p>
        </w:tc>
        <w:tc>
          <w:tcPr>
            <w:tcW w:w="196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(21,199)</w:t>
            </w:r>
          </w:p>
        </w:tc>
        <w:tc>
          <w:tcPr>
            <w:tcW w:w="1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(14,133)</w:t>
            </w:r>
          </w:p>
        </w:tc>
        <w:tc>
          <w:tcPr>
            <w:tcW w:w="0" w:type="dxa"/>
            <w:vAlign w:val="bottom"/>
          </w:tcPr>
          <w:p>
            <w:pPr>
              <w:spacing w:after="0"/>
              <w:rPr>
                <w:sz w:val="1"/>
                <w:szCs w:val="1"/>
                <w:color w:val="auto"/>
              </w:rPr>
            </w:pPr>
          </w:p>
        </w:tc>
      </w:tr>
      <w:tr>
        <w:trPr>
          <w:trHeight w:val="213"/>
        </w:trPr>
        <w:tc>
          <w:tcPr>
            <w:tcW w:w="51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Property and Equipment, net</w:t>
            </w: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1E1E1E"/>
              <w:bottom w:val="single" w:sz="8" w:color="1E1E1E"/>
            </w:tcBorders>
          </w:tcPr>
          <w:p>
            <w:pPr>
              <w:jc w:val="right"/>
              <w:ind w:right="58"/>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35,637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1E1E1E"/>
              <w:bottom w:val="single" w:sz="8" w:color="1E1E1E"/>
            </w:tcBorders>
          </w:tcPr>
          <w:p>
            <w:pPr>
              <w:jc w:val="right"/>
              <w:ind w:right="78"/>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Depreciation expense for the years ended December 31, 2023, 2022 and 2021 was as follows (in thousands):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640" w:type="dxa"/>
            <w:vAlign w:val="bottom"/>
            <w:tcBorders>
              <w:bottom w:val="single" w:sz="8" w:color="1E1E1E"/>
            </w:tcBorders>
            <w:gridSpan w:val="7"/>
          </w:tcPr>
          <w:p>
            <w:pPr>
              <w:jc w:val="right"/>
              <w:ind w:right="4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8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5920" w:type="dxa"/>
            <w:vAlign w:val="bottom"/>
            <w:tcBorders>
              <w:bottom w:val="single" w:sz="8" w:color="E4E4E4"/>
            </w:tcBorders>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80" w:type="dxa"/>
            <w:vAlign w:val="bottom"/>
            <w:tcBorders>
              <w:bottom w:val="single" w:sz="8" w:color="1E1E1E"/>
            </w:tcBorders>
          </w:tcPr>
          <w:p>
            <w:pPr>
              <w:jc w:val="right"/>
              <w:ind w:right="328"/>
              <w:spacing w:after="0" w:line="179"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 w:type="dxa"/>
            <w:vAlign w:val="bottom"/>
            <w:tcBorders>
              <w:bottom w:val="single" w:sz="8" w:color="E4E4E4"/>
            </w:tcBorders>
          </w:tcPr>
          <w:p>
            <w:pPr>
              <w:spacing w:after="0"/>
              <w:rPr>
                <w:sz w:val="15"/>
                <w:szCs w:val="15"/>
                <w:color w:val="auto"/>
              </w:rPr>
            </w:pPr>
          </w:p>
        </w:tc>
        <w:tc>
          <w:tcPr>
            <w:tcW w:w="16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860" w:type="dxa"/>
            <w:vAlign w:val="bottom"/>
            <w:tcBorders>
              <w:bottom w:val="single" w:sz="8" w:color="1E1E1E"/>
            </w:tcBorders>
          </w:tcPr>
          <w:p>
            <w:pPr>
              <w:jc w:val="right"/>
              <w:ind w:right="306"/>
              <w:spacing w:after="0" w:line="179" w:lineRule="exact"/>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Borders>
              <w:bottom w:val="single" w:sz="8" w:color="E4E4E4"/>
            </w:tcBorders>
          </w:tcPr>
          <w:p>
            <w:pPr>
              <w:spacing w:after="0"/>
              <w:rPr>
                <w:sz w:val="15"/>
                <w:szCs w:val="15"/>
                <w:color w:val="auto"/>
              </w:rPr>
            </w:pPr>
          </w:p>
        </w:tc>
        <w:tc>
          <w:tcPr>
            <w:tcW w:w="260" w:type="dxa"/>
            <w:vAlign w:val="bottom"/>
            <w:tcBorders>
              <w:bottom w:val="single" w:sz="8" w:color="1E1E1E"/>
            </w:tcBorders>
          </w:tcPr>
          <w:p>
            <w:pPr>
              <w:spacing w:after="0"/>
              <w:rPr>
                <w:sz w:val="15"/>
                <w:szCs w:val="15"/>
                <w:color w:val="auto"/>
              </w:rPr>
            </w:pPr>
          </w:p>
        </w:tc>
        <w:tc>
          <w:tcPr>
            <w:tcW w:w="880" w:type="dxa"/>
            <w:vAlign w:val="bottom"/>
            <w:tcBorders>
              <w:bottom w:val="single" w:sz="8" w:color="1E1E1E"/>
            </w:tcBorders>
          </w:tcPr>
          <w:p>
            <w:pPr>
              <w:jc w:val="right"/>
              <w:ind w:right="326"/>
              <w:spacing w:after="0" w:line="179"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5"/>
                <w:szCs w:val="15"/>
                <w:color w:val="auto"/>
              </w:rPr>
            </w:pPr>
          </w:p>
        </w:tc>
      </w:tr>
      <w:tr>
        <w:trPr>
          <w:trHeight w:val="213"/>
        </w:trPr>
        <w:tc>
          <w:tcPr>
            <w:tcW w:w="59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Cost of revenue</w:t>
            </w:r>
          </w:p>
        </w:tc>
        <w:tc>
          <w:tcPr>
            <w:tcW w:w="240" w:type="dxa"/>
            <w:vAlign w:val="bottom"/>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172</w:t>
            </w:r>
          </w:p>
        </w:tc>
        <w:tc>
          <w:tcPr>
            <w:tcW w:w="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260" w:type="dxa"/>
            <w:vAlign w:val="bottom"/>
            <w:shd w:val="clear" w:color="auto" w:fill="E4E4E4"/>
          </w:tcPr>
          <w:p>
            <w:pPr>
              <w:jc w:val="right"/>
              <w:ind w:right="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82</w:t>
            </w:r>
          </w:p>
        </w:tc>
        <w:tc>
          <w:tcPr>
            <w:tcW w:w="200" w:type="dxa"/>
            <w:vAlign w:val="bottom"/>
            <w:shd w:val="clear" w:color="auto" w:fill="E4E4E4"/>
          </w:tcPr>
          <w:p>
            <w:pPr>
              <w:spacing w:after="0"/>
              <w:rPr>
                <w:sz w:val="18"/>
                <w:szCs w:val="18"/>
                <w:color w:val="auto"/>
              </w:rPr>
            </w:pPr>
          </w:p>
        </w:tc>
        <w:tc>
          <w:tcPr>
            <w:tcW w:w="260" w:type="dxa"/>
            <w:vAlign w:val="bottom"/>
            <w:shd w:val="clear" w:color="auto" w:fill="E4E4E4"/>
          </w:tcPr>
          <w:p>
            <w:pPr>
              <w:jc w:val="right"/>
              <w:ind w:right="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104</w:t>
            </w:r>
          </w:p>
        </w:tc>
        <w:tc>
          <w:tcPr>
            <w:tcW w:w="80" w:type="dxa"/>
            <w:vAlign w:val="bottom"/>
            <w:shd w:val="clear" w:color="auto" w:fill="E4E4E4"/>
          </w:tcPr>
          <w:p>
            <w:pPr>
              <w:spacing w:after="0"/>
              <w:rPr>
                <w:sz w:val="18"/>
                <w:szCs w:val="18"/>
                <w:color w:val="auto"/>
              </w:rPr>
            </w:pP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1E1E1E"/>
              </w:rPr>
              <w:t>Sales and marketing</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w:t>
            </w:r>
          </w:p>
        </w:tc>
        <w:tc>
          <w:tcPr>
            <w:tcW w:w="80" w:type="dxa"/>
            <w:vAlign w:val="bottom"/>
          </w:tcPr>
          <w:p>
            <w:pPr>
              <w:spacing w:after="0"/>
              <w:rPr>
                <w:sz w:val="19"/>
                <w:szCs w:val="19"/>
                <w:color w:val="auto"/>
              </w:rPr>
            </w:pPr>
          </w:p>
        </w:tc>
      </w:tr>
      <w:tr>
        <w:trPr>
          <w:trHeight w:val="223"/>
        </w:trPr>
        <w:tc>
          <w:tcPr>
            <w:tcW w:w="59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Operations and support</w:t>
            </w:r>
          </w:p>
        </w:tc>
        <w:tc>
          <w:tcPr>
            <w:tcW w:w="240" w:type="dxa"/>
            <w:vAlign w:val="bottom"/>
            <w:shd w:val="clear" w:color="auto" w:fill="E4E4E4"/>
          </w:tcPr>
          <w:p>
            <w:pPr>
              <w:spacing w:after="0"/>
              <w:rPr>
                <w:sz w:val="19"/>
                <w:szCs w:val="19"/>
                <w:color w:val="auto"/>
              </w:rPr>
            </w:pPr>
          </w:p>
        </w:tc>
        <w:tc>
          <w:tcPr>
            <w:tcW w:w="9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174</w:t>
            </w:r>
          </w:p>
        </w:tc>
        <w:tc>
          <w:tcPr>
            <w:tcW w:w="16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57</w:t>
            </w:r>
          </w:p>
        </w:tc>
        <w:tc>
          <w:tcPr>
            <w:tcW w:w="26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155</w:t>
            </w:r>
          </w:p>
        </w:tc>
      </w:tr>
      <w:tr>
        <w:trPr>
          <w:trHeight w:val="223"/>
        </w:trPr>
        <w:tc>
          <w:tcPr>
            <w:tcW w:w="5920" w:type="dxa"/>
            <w:vAlign w:val="bottom"/>
          </w:tcPr>
          <w:p>
            <w:pPr>
              <w:spacing w:after="0"/>
              <w:rPr>
                <w:sz w:val="20"/>
                <w:szCs w:val="20"/>
                <w:color w:val="auto"/>
              </w:rPr>
            </w:pPr>
            <w:r>
              <w:rPr>
                <w:rFonts w:ascii="Times New Roman" w:cs="Times New Roman" w:eastAsia="Times New Roman" w:hAnsi="Times New Roman"/>
                <w:sz w:val="19"/>
                <w:szCs w:val="19"/>
                <w:color w:val="1E1E1E"/>
              </w:rPr>
              <w:t>Product development</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5,763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1E1E1E"/>
              </w:rPr>
              <w:t>3,158</w:t>
            </w:r>
          </w:p>
        </w:tc>
        <w:tc>
          <w:tcPr>
            <w:tcW w:w="2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2,655</w:t>
            </w:r>
          </w:p>
        </w:tc>
      </w:tr>
      <w:tr>
        <w:trPr>
          <w:trHeight w:val="223"/>
        </w:trPr>
        <w:tc>
          <w:tcPr>
            <w:tcW w:w="59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240" w:type="dxa"/>
            <w:vAlign w:val="bottom"/>
            <w:shd w:val="clear" w:color="auto" w:fill="E4E4E4"/>
          </w:tcPr>
          <w:p>
            <w:pPr>
              <w:spacing w:after="0"/>
              <w:rPr>
                <w:sz w:val="19"/>
                <w:szCs w:val="19"/>
                <w:color w:val="auto"/>
              </w:rPr>
            </w:pPr>
          </w:p>
        </w:tc>
        <w:tc>
          <w:tcPr>
            <w:tcW w:w="90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878</w:t>
            </w:r>
          </w:p>
        </w:tc>
        <w:tc>
          <w:tcPr>
            <w:tcW w:w="16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700</w:t>
            </w:r>
          </w:p>
        </w:tc>
        <w:tc>
          <w:tcPr>
            <w:tcW w:w="26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207</w:t>
            </w:r>
          </w:p>
        </w:tc>
      </w:tr>
      <w:tr>
        <w:trPr>
          <w:trHeight w:val="213"/>
        </w:trPr>
        <w:tc>
          <w:tcPr>
            <w:tcW w:w="59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 depreciation expense</w:t>
            </w:r>
          </w:p>
        </w:tc>
        <w:tc>
          <w:tcPr>
            <w:tcW w:w="240" w:type="dxa"/>
            <w:vAlign w:val="bottom"/>
            <w:tcBorders>
              <w:top w:val="single" w:sz="8" w:color="1E1E1E"/>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7,030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1E1E1E"/>
              <w:bottom w:val="single" w:sz="8" w:color="1E1E1E"/>
            </w:tcBorders>
          </w:tcPr>
          <w:p>
            <w:pPr>
              <w:jc w:val="right"/>
              <w:ind w:right="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3,997</w:t>
            </w:r>
          </w:p>
        </w:tc>
        <w:tc>
          <w:tcPr>
            <w:tcW w:w="200" w:type="dxa"/>
            <w:vAlign w:val="bottom"/>
          </w:tcPr>
          <w:p>
            <w:pPr>
              <w:spacing w:after="0"/>
              <w:rPr>
                <w:sz w:val="18"/>
                <w:szCs w:val="18"/>
                <w:color w:val="auto"/>
              </w:rPr>
            </w:pPr>
          </w:p>
        </w:tc>
        <w:tc>
          <w:tcPr>
            <w:tcW w:w="260" w:type="dxa"/>
            <w:vAlign w:val="bottom"/>
            <w:tcBorders>
              <w:top w:val="single" w:sz="8" w:color="1E1E1E"/>
              <w:bottom w:val="single" w:sz="8" w:color="1E1E1E"/>
            </w:tcBorders>
          </w:tcPr>
          <w:p>
            <w:pPr>
              <w:jc w:val="right"/>
              <w:ind w:right="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3,132</w:t>
            </w: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50" w:hanging="650"/>
        <w:spacing w:after="0"/>
        <w:tabs>
          <w:tab w:leader="none" w:pos="650" w:val="left"/>
        </w:tabs>
        <w:numPr>
          <w:ilvl w:val="0"/>
          <w:numId w:val="6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Leases</w:t>
      </w:r>
    </w:p>
    <w:p>
      <w:pPr>
        <w:spacing w:after="0" w:line="231" w:lineRule="exact"/>
        <w:rPr>
          <w:sz w:val="20"/>
          <w:szCs w:val="20"/>
          <w:color w:val="auto"/>
        </w:rPr>
      </w:pPr>
    </w:p>
    <w:p>
      <w:pPr>
        <w:ind w:left="10" w:right="40" w:firstLine="601"/>
        <w:spacing w:after="0" w:line="254" w:lineRule="auto"/>
        <w:rPr>
          <w:sz w:val="20"/>
          <w:szCs w:val="20"/>
          <w:color w:val="auto"/>
        </w:rPr>
      </w:pPr>
      <w:r>
        <w:rPr>
          <w:rFonts w:ascii="Times New Roman" w:cs="Times New Roman" w:eastAsia="Times New Roman" w:hAnsi="Times New Roman"/>
          <w:sz w:val="19"/>
          <w:szCs w:val="19"/>
          <w:color w:val="1E1E1E"/>
        </w:rPr>
        <w:t>The Company leases its offices under non-cancelable lease agreements which expire between 2024 and 2029.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spacing w:after="0" w:line="219" w:lineRule="exact"/>
        <w:rPr>
          <w:sz w:val="20"/>
          <w:szCs w:val="20"/>
          <w:color w:val="auto"/>
        </w:rPr>
      </w:pPr>
    </w:p>
    <w:p>
      <w:pPr>
        <w:ind w:left="10" w:right="300" w:firstLine="601"/>
        <w:spacing w:after="0" w:line="256" w:lineRule="auto"/>
        <w:rPr>
          <w:sz w:val="20"/>
          <w:szCs w:val="20"/>
          <w:color w:val="auto"/>
        </w:rPr>
      </w:pPr>
      <w:r>
        <w:rPr>
          <w:rFonts w:ascii="Times New Roman" w:cs="Times New Roman" w:eastAsia="Times New Roman" w:hAnsi="Times New Roman"/>
          <w:sz w:val="19"/>
          <w:szCs w:val="19"/>
          <w:color w:val="1E1E1E"/>
        </w:rPr>
        <w:t>The Company subleases a portion of its office in New York City to three other companies (the “Sublessees”). The Sublessees pay the Company a portion of the rent under the existing lease with the landlord (the “Head Lease”), the Company was not relieved from its legal obligation to the landlord under the Head Lease. Accordingly, an operating lease liability and an operating lease ROU asset is reflected on the Company’s Consolidated Balance Sheets related to the Head Lease.</w:t>
      </w:r>
    </w:p>
    <w:p>
      <w:pPr>
        <w:spacing w:after="0" w:line="218" w:lineRule="exact"/>
        <w:rPr>
          <w:sz w:val="20"/>
          <w:szCs w:val="20"/>
          <w:color w:val="auto"/>
        </w:rPr>
      </w:pPr>
    </w:p>
    <w:p>
      <w:pPr>
        <w:ind w:left="10" w:right="20" w:firstLine="659"/>
        <w:spacing w:after="0" w:line="254" w:lineRule="auto"/>
        <w:rPr>
          <w:sz w:val="20"/>
          <w:szCs w:val="20"/>
          <w:color w:val="auto"/>
        </w:rPr>
      </w:pPr>
      <w:r>
        <w:rPr>
          <w:rFonts w:ascii="Times New Roman" w:cs="Times New Roman" w:eastAsia="Times New Roman" w:hAnsi="Times New Roman"/>
          <w:sz w:val="19"/>
          <w:szCs w:val="19"/>
          <w:color w:val="1E1E1E"/>
        </w:rPr>
        <w:t>During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2023 in general and administrative on our Consolidated Statements of Operations and Comprehensive Loss. The Company will continue to pay the rent owed under the existing lease agreements.</w:t>
      </w:r>
    </w:p>
    <w:p>
      <w:pPr>
        <w:sectPr>
          <w:pgSz w:w="11880" w:h="15480" w:orient="portrait"/>
          <w:cols w:equalWidth="0" w:num="1">
            <w:col w:w="9770"/>
          </w:cols>
          <w:pgMar w:left="1050" w:top="1080"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84</w:t>
      </w:r>
    </w:p>
    <w:p>
      <w:pPr>
        <w:sectPr>
          <w:pgSz w:w="11880" w:h="15480" w:orient="portrait"/>
          <w:cols w:equalWidth="0" w:num="1">
            <w:col w:w="9770"/>
          </w:cols>
          <w:pgMar w:left="1050" w:top="1080" w:right="1060" w:bottom="215" w:gutter="0" w:footer="0" w:header="0"/>
          <w:type w:val="continuous"/>
        </w:sectPr>
      </w:pPr>
    </w:p>
    <w:bookmarkStart w:id="90" w:name="page91"/>
    <w:bookmarkEnd w:id="90"/>
    <w:p>
      <w:pPr>
        <w:jc w:val="center"/>
        <w:ind w:right="-59"/>
        <w:spacing w:after="0"/>
        <w:rPr>
          <w:sz w:val="20"/>
          <w:szCs w:val="20"/>
          <w:color w:val="auto"/>
        </w:rPr>
      </w:pPr>
      <w:r>
        <w:rPr>
          <w:rFonts w:ascii="Times New Roman" w:cs="Times New Roman" w:eastAsia="Times New Roman" w:hAnsi="Times New Roman"/>
          <w:sz w:val="19"/>
          <w:szCs w:val="19"/>
          <w:color w:val="1E1E1E"/>
        </w:rPr>
        <w:t>Operating lease expense for the years ended December 31, 2023, 2022 and 2021 was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80" w:type="dxa"/>
            <w:vAlign w:val="bottom"/>
          </w:tcPr>
          <w:p>
            <w:pPr>
              <w:spacing w:after="0"/>
              <w:rPr>
                <w:sz w:val="17"/>
                <w:szCs w:val="17"/>
                <w:color w:val="auto"/>
              </w:rPr>
            </w:pPr>
          </w:p>
        </w:tc>
        <w:tc>
          <w:tcPr>
            <w:tcW w:w="260" w:type="dxa"/>
            <w:vAlign w:val="bottom"/>
            <w:tcBorders>
              <w:bottom w:val="single" w:sz="8" w:color="1E1E1E"/>
            </w:tcBorders>
          </w:tcPr>
          <w:p>
            <w:pPr>
              <w:spacing w:after="0"/>
              <w:rPr>
                <w:sz w:val="17"/>
                <w:szCs w:val="17"/>
                <w:color w:val="auto"/>
              </w:rPr>
            </w:pPr>
          </w:p>
        </w:tc>
        <w:tc>
          <w:tcPr>
            <w:tcW w:w="2800" w:type="dxa"/>
            <w:vAlign w:val="bottom"/>
            <w:tcBorders>
              <w:bottom w:val="single" w:sz="8" w:color="1E1E1E"/>
            </w:tcBorders>
            <w:gridSpan w:val="7"/>
          </w:tcPr>
          <w:p>
            <w:pPr>
              <w:jc w:val="center"/>
              <w:ind w:left="569"/>
              <w:spacing w:after="0"/>
              <w:rPr>
                <w:sz w:val="20"/>
                <w:szCs w:val="20"/>
                <w:color w:val="auto"/>
              </w:rPr>
            </w:pPr>
            <w:r>
              <w:rPr>
                <w:rFonts w:ascii="Times New Roman" w:cs="Times New Roman" w:eastAsia="Times New Roman" w:hAnsi="Times New Roman"/>
                <w:sz w:val="16"/>
                <w:szCs w:val="16"/>
                <w:b w:val="1"/>
                <w:bCs w:val="1"/>
                <w:color w:val="1E1E1E"/>
                <w:w w:val="96"/>
              </w:rPr>
              <w:t>Year Ended December 31,</w:t>
            </w:r>
          </w:p>
        </w:tc>
        <w:tc>
          <w:tcPr>
            <w:tcW w:w="9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940" w:type="dxa"/>
            <w:vAlign w:val="bottom"/>
            <w:tcBorders>
              <w:bottom w:val="single" w:sz="8" w:color="1E1E1E"/>
            </w:tcBorders>
          </w:tcPr>
          <w:p>
            <w:pPr>
              <w:jc w:val="right"/>
              <w:ind w:right="349"/>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80" w:type="dxa"/>
            <w:vAlign w:val="bottom"/>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920" w:type="dxa"/>
            <w:vAlign w:val="bottom"/>
            <w:tcBorders>
              <w:bottom w:val="single" w:sz="8" w:color="1E1E1E"/>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Pr>
          <w:p>
            <w:pPr>
              <w:spacing w:after="0"/>
              <w:rPr>
                <w:sz w:val="21"/>
                <w:szCs w:val="21"/>
                <w:color w:val="auto"/>
              </w:rPr>
            </w:pPr>
          </w:p>
        </w:tc>
        <w:tc>
          <w:tcPr>
            <w:tcW w:w="280" w:type="dxa"/>
            <w:vAlign w:val="bottom"/>
            <w:tcBorders>
              <w:bottom w:val="single" w:sz="8" w:color="1E1E1E"/>
            </w:tcBorders>
          </w:tcPr>
          <w:p>
            <w:pPr>
              <w:spacing w:after="0"/>
              <w:rPr>
                <w:sz w:val="21"/>
                <w:szCs w:val="21"/>
                <w:color w:val="auto"/>
              </w:rPr>
            </w:pPr>
          </w:p>
        </w:tc>
        <w:tc>
          <w:tcPr>
            <w:tcW w:w="940" w:type="dxa"/>
            <w:vAlign w:val="bottom"/>
            <w:tcBorders>
              <w:bottom w:val="single" w:sz="8" w:color="1E1E1E"/>
            </w:tcBorders>
          </w:tcPr>
          <w:p>
            <w:pPr>
              <w:jc w:val="right"/>
              <w:ind w:right="367"/>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260" w:type="dxa"/>
            <w:vAlign w:val="bottom"/>
            <w:shd w:val="clear" w:color="auto" w:fill="E4E4E4"/>
          </w:tcPr>
          <w:p>
            <w:pPr>
              <w:jc w:val="right"/>
              <w:ind w:right="63"/>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72</w:t>
            </w:r>
          </w:p>
        </w:tc>
        <w:tc>
          <w:tcPr>
            <w:tcW w:w="460" w:type="dxa"/>
            <w:vAlign w:val="bottom"/>
            <w:gridSpan w:val="3"/>
            <w:shd w:val="clear" w:color="auto" w:fill="E4E4E4"/>
          </w:tcPr>
          <w:p>
            <w:pPr>
              <w:jc w:val="right"/>
              <w:ind w:right="83"/>
              <w:spacing w:after="0"/>
              <w:rPr>
                <w:sz w:val="20"/>
                <w:szCs w:val="20"/>
                <w:color w:val="auto"/>
              </w:rPr>
            </w:pPr>
            <w:r>
              <w:rPr>
                <w:rFonts w:ascii="Times New Roman" w:cs="Times New Roman" w:eastAsia="Times New Roman" w:hAnsi="Times New Roman"/>
                <w:sz w:val="19"/>
                <w:szCs w:val="19"/>
                <w:color w:val="1E1E1E"/>
              </w:rPr>
              <w:t>$</w:t>
            </w:r>
          </w:p>
        </w:tc>
        <w:tc>
          <w:tcPr>
            <w:tcW w:w="112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82</w:t>
            </w:r>
          </w:p>
        </w:tc>
        <w:tc>
          <w:tcPr>
            <w:tcW w:w="280" w:type="dxa"/>
            <w:vAlign w:val="bottom"/>
            <w:shd w:val="clear" w:color="auto" w:fill="E4E4E4"/>
          </w:tcPr>
          <w:p>
            <w:pPr>
              <w:jc w:val="right"/>
              <w:ind w:right="83"/>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93</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9"/>
                <w:szCs w:val="19"/>
                <w:color w:val="1E1E1E"/>
              </w:rPr>
              <w:t>Operations and support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1E1E1E"/>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26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15,008</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7,706</w:t>
            </w:r>
          </w:p>
        </w:tc>
        <w:tc>
          <w:tcPr>
            <w:tcW w:w="28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1,512</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Total operating lease expense</w:t>
            </w:r>
          </w:p>
        </w:tc>
        <w:tc>
          <w:tcPr>
            <w:tcW w:w="260" w:type="dxa"/>
            <w:vAlign w:val="bottom"/>
            <w:shd w:val="clear" w:color="auto" w:fill="1E1E1E"/>
          </w:tcPr>
          <w:p>
            <w:pPr>
              <w:spacing w:after="0" w:line="20" w:lineRule="exact"/>
              <w:rPr>
                <w:sz w:val="1"/>
                <w:szCs w:val="1"/>
                <w:color w:val="auto"/>
              </w:rPr>
            </w:pPr>
          </w:p>
        </w:tc>
        <w:tc>
          <w:tcPr>
            <w:tcW w:w="940" w:type="dxa"/>
            <w:vAlign w:val="bottom"/>
            <w:shd w:val="clear" w:color="auto" w:fill="1E1E1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shd w:val="clear" w:color="auto" w:fill="1E1E1E"/>
          </w:tcPr>
          <w:p>
            <w:pPr>
              <w:spacing w:after="0" w:line="20" w:lineRule="exact"/>
              <w:rPr>
                <w:sz w:val="1"/>
                <w:szCs w:val="1"/>
                <w:color w:val="auto"/>
              </w:rPr>
            </w:pPr>
          </w:p>
        </w:tc>
        <w:tc>
          <w:tcPr>
            <w:tcW w:w="920" w:type="dxa"/>
            <w:vAlign w:val="bottom"/>
            <w:shd w:val="clear" w:color="auto" w:fill="1E1E1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1E1E1E"/>
          </w:tcPr>
          <w:p>
            <w:pPr>
              <w:spacing w:after="0" w:line="20" w:lineRule="exact"/>
              <w:rPr>
                <w:sz w:val="1"/>
                <w:szCs w:val="1"/>
                <w:color w:val="auto"/>
              </w:rPr>
            </w:pPr>
          </w:p>
        </w:tc>
        <w:tc>
          <w:tcPr>
            <w:tcW w:w="940" w:type="dxa"/>
            <w:vAlign w:val="bottom"/>
            <w:shd w:val="clear" w:color="auto" w:fill="1E1E1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vMerge w:val="continue"/>
          </w:tcPr>
          <w:p>
            <w:pPr>
              <w:spacing w:after="0"/>
              <w:rPr>
                <w:sz w:val="21"/>
                <w:szCs w:val="21"/>
                <w:color w:val="auto"/>
              </w:rPr>
            </w:pPr>
          </w:p>
        </w:tc>
        <w:tc>
          <w:tcPr>
            <w:tcW w:w="26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15,080</w:t>
            </w:r>
          </w:p>
        </w:tc>
        <w:tc>
          <w:tcPr>
            <w:tcW w:w="180" w:type="dxa"/>
            <w:vAlign w:val="bottom"/>
            <w:gridSpan w:val="2"/>
          </w:tcPr>
          <w:p>
            <w:pPr>
              <w:spacing w:after="0"/>
              <w:rPr>
                <w:sz w:val="21"/>
                <w:szCs w:val="21"/>
                <w:color w:val="auto"/>
              </w:rPr>
            </w:pP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1E1E1E"/>
                <w:w w:val="83"/>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1E1E1E"/>
              </w:rPr>
              <w:t>7,788</w:t>
            </w: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1,742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Our lease costs for the year ended December 31, 2023 and 2022 are presented below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Borders>
              <w:bottom w:val="single" w:sz="8" w:color="1E1E1E"/>
            </w:tcBorders>
          </w:tcPr>
          <w:p>
            <w:pPr>
              <w:spacing w:after="0"/>
              <w:rPr>
                <w:sz w:val="17"/>
                <w:szCs w:val="17"/>
                <w:color w:val="auto"/>
              </w:rPr>
            </w:pPr>
          </w:p>
        </w:tc>
        <w:tc>
          <w:tcPr>
            <w:tcW w:w="1880" w:type="dxa"/>
            <w:vAlign w:val="bottom"/>
            <w:tcBorders>
              <w:bottom w:val="single" w:sz="8" w:color="1E1E1E"/>
            </w:tcBorders>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w w:val="96"/>
              </w:rPr>
              <w:t>Year Ended December 31,</w:t>
            </w:r>
          </w:p>
        </w:tc>
        <w:tc>
          <w:tcPr>
            <w:tcW w:w="120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5060" w:type="dxa"/>
            <w:vAlign w:val="bottom"/>
            <w:tcBorders>
              <w:bottom w:val="single" w:sz="8" w:color="E4E4E4"/>
            </w:tcBorders>
          </w:tcPr>
          <w:p>
            <w:pPr>
              <w:spacing w:after="0"/>
              <w:rPr>
                <w:sz w:val="14"/>
                <w:szCs w:val="14"/>
                <w:color w:val="auto"/>
              </w:rPr>
            </w:pPr>
          </w:p>
        </w:tc>
        <w:tc>
          <w:tcPr>
            <w:tcW w:w="260" w:type="dxa"/>
            <w:vAlign w:val="bottom"/>
            <w:tcBorders>
              <w:bottom w:val="single" w:sz="8" w:color="E4E4E4"/>
            </w:tcBorders>
          </w:tcPr>
          <w:p>
            <w:pPr>
              <w:spacing w:after="0"/>
              <w:rPr>
                <w:sz w:val="14"/>
                <w:szCs w:val="14"/>
                <w:color w:val="auto"/>
              </w:rPr>
            </w:pPr>
          </w:p>
        </w:tc>
        <w:tc>
          <w:tcPr>
            <w:tcW w:w="128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940" w:type="dxa"/>
            <w:vAlign w:val="bottom"/>
            <w:tcBorders>
              <w:bottom w:val="single" w:sz="8" w:color="1E1E1E"/>
            </w:tcBorders>
          </w:tcPr>
          <w:p>
            <w:pPr>
              <w:spacing w:after="0"/>
              <w:rPr>
                <w:sz w:val="14"/>
                <w:szCs w:val="14"/>
                <w:color w:val="auto"/>
              </w:rPr>
            </w:pPr>
          </w:p>
        </w:tc>
        <w:tc>
          <w:tcPr>
            <w:tcW w:w="100" w:type="dxa"/>
            <w:vAlign w:val="bottom"/>
            <w:tcBorders>
              <w:bottom w:val="single" w:sz="8" w:color="E4E4E4"/>
            </w:tcBorders>
          </w:tcPr>
          <w:p>
            <w:pPr>
              <w:spacing w:after="0"/>
              <w:rPr>
                <w:sz w:val="14"/>
                <w:szCs w:val="14"/>
                <w:color w:val="auto"/>
              </w:rPr>
            </w:pPr>
          </w:p>
        </w:tc>
        <w:tc>
          <w:tcPr>
            <w:tcW w:w="840" w:type="dxa"/>
            <w:vAlign w:val="bottom"/>
            <w:tcBorders>
              <w:bottom w:val="single" w:sz="8" w:color="1E1E1E"/>
            </w:tcBorders>
          </w:tcPr>
          <w:p>
            <w:pPr>
              <w:spacing w:after="0"/>
              <w:rPr>
                <w:sz w:val="14"/>
                <w:szCs w:val="14"/>
                <w:color w:val="auto"/>
              </w:rPr>
            </w:pPr>
          </w:p>
        </w:tc>
        <w:tc>
          <w:tcPr>
            <w:tcW w:w="1200" w:type="dxa"/>
            <w:vAlign w:val="bottom"/>
            <w:tcBorders>
              <w:bottom w:val="single" w:sz="8" w:color="1E1E1E"/>
            </w:tcBorders>
          </w:tcPr>
          <w:p>
            <w:pPr>
              <w:jc w:val="right"/>
              <w:ind w:right="685"/>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4"/>
                <w:szCs w:val="14"/>
                <w:color w:val="auto"/>
              </w:rPr>
            </w:pPr>
          </w:p>
        </w:tc>
      </w:tr>
      <w:tr>
        <w:trPr>
          <w:trHeight w:val="213"/>
        </w:trPr>
        <w:tc>
          <w:tcPr>
            <w:tcW w:w="506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Lease costs:</w:t>
            </w:r>
          </w:p>
        </w:tc>
        <w:tc>
          <w:tcPr>
            <w:tcW w:w="260" w:type="dxa"/>
            <w:vAlign w:val="bottom"/>
            <w:shd w:val="clear" w:color="auto" w:fill="E4E4E4"/>
          </w:tcPr>
          <w:p>
            <w:pPr>
              <w:spacing w:after="0"/>
              <w:rPr>
                <w:sz w:val="18"/>
                <w:szCs w:val="18"/>
                <w:color w:val="auto"/>
              </w:rPr>
            </w:pPr>
          </w:p>
        </w:tc>
        <w:tc>
          <w:tcPr>
            <w:tcW w:w="128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3"/>
        </w:trPr>
        <w:tc>
          <w:tcPr>
            <w:tcW w:w="506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Operating lease costs</w:t>
            </w:r>
          </w:p>
        </w:tc>
        <w:tc>
          <w:tcPr>
            <w:tcW w:w="260" w:type="dxa"/>
            <w:vAlign w:val="bottom"/>
          </w:tcPr>
          <w:p>
            <w:pPr>
              <w:spacing w:after="0"/>
              <w:rPr>
                <w:sz w:val="19"/>
                <w:szCs w:val="19"/>
                <w:color w:val="auto"/>
              </w:rPr>
            </w:pPr>
          </w:p>
        </w:tc>
        <w:tc>
          <w:tcPr>
            <w:tcW w:w="1280" w:type="dxa"/>
            <w:vAlign w:val="bottom"/>
          </w:tcPr>
          <w:p>
            <w:pPr>
              <w:jc w:val="right"/>
              <w:ind w:right="1089"/>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5,725</w:t>
            </w:r>
          </w:p>
        </w:tc>
        <w:tc>
          <w:tcPr>
            <w:tcW w:w="100" w:type="dxa"/>
            <w:vAlign w:val="bottom"/>
          </w:tcPr>
          <w:p>
            <w:pPr>
              <w:spacing w:after="0"/>
              <w:rPr>
                <w:sz w:val="19"/>
                <w:szCs w:val="19"/>
                <w:color w:val="auto"/>
              </w:rPr>
            </w:pPr>
          </w:p>
        </w:tc>
        <w:tc>
          <w:tcPr>
            <w:tcW w:w="840" w:type="dxa"/>
            <w:vAlign w:val="bottom"/>
          </w:tcPr>
          <w:p>
            <w:pPr>
              <w:jc w:val="right"/>
              <w:ind w:right="463"/>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6,805</w:t>
            </w:r>
          </w:p>
        </w:tc>
        <w:tc>
          <w:tcPr>
            <w:tcW w:w="80" w:type="dxa"/>
            <w:vAlign w:val="bottom"/>
          </w:tcPr>
          <w:p>
            <w:pPr>
              <w:spacing w:after="0"/>
              <w:rPr>
                <w:sz w:val="19"/>
                <w:szCs w:val="19"/>
                <w:color w:val="auto"/>
              </w:rPr>
            </w:pPr>
          </w:p>
        </w:tc>
      </w:tr>
      <w:tr>
        <w:trPr>
          <w:trHeight w:val="223"/>
        </w:trPr>
        <w:tc>
          <w:tcPr>
            <w:tcW w:w="5060" w:type="dxa"/>
            <w:vAlign w:val="bottom"/>
            <w:shd w:val="clear" w:color="auto" w:fill="E4E4E4"/>
          </w:tcPr>
          <w:p>
            <w:pPr>
              <w:ind w:left="280"/>
              <w:spacing w:after="0"/>
              <w:rPr>
                <w:sz w:val="20"/>
                <w:szCs w:val="20"/>
                <w:color w:val="auto"/>
              </w:rPr>
            </w:pPr>
            <w:r>
              <w:rPr>
                <w:rFonts w:ascii="Times New Roman" w:cs="Times New Roman" w:eastAsia="Times New Roman" w:hAnsi="Times New Roman"/>
                <w:sz w:val="19"/>
                <w:szCs w:val="19"/>
                <w:color w:val="1E1E1E"/>
              </w:rPr>
              <w:t>Variable lease costs</w:t>
            </w:r>
          </w:p>
        </w:tc>
        <w:tc>
          <w:tcPr>
            <w:tcW w:w="260" w:type="dxa"/>
            <w:vAlign w:val="bottom"/>
            <w:shd w:val="clear" w:color="auto" w:fill="E4E4E4"/>
          </w:tcPr>
          <w:p>
            <w:pPr>
              <w:spacing w:after="0"/>
              <w:rPr>
                <w:sz w:val="19"/>
                <w:szCs w:val="19"/>
                <w:color w:val="auto"/>
              </w:rPr>
            </w:pPr>
          </w:p>
        </w:tc>
        <w:tc>
          <w:tcPr>
            <w:tcW w:w="128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1,315</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1,083</w:t>
            </w:r>
          </w:p>
        </w:tc>
        <w:tc>
          <w:tcPr>
            <w:tcW w:w="80" w:type="dxa"/>
            <w:vAlign w:val="bottom"/>
            <w:shd w:val="clear" w:color="auto" w:fill="E4E4E4"/>
          </w:tcPr>
          <w:p>
            <w:pPr>
              <w:spacing w:after="0"/>
              <w:rPr>
                <w:sz w:val="19"/>
                <w:szCs w:val="19"/>
                <w:color w:val="auto"/>
              </w:rPr>
            </w:pPr>
          </w:p>
        </w:tc>
      </w:tr>
      <w:tr>
        <w:trPr>
          <w:trHeight w:val="223"/>
        </w:trPr>
        <w:tc>
          <w:tcPr>
            <w:tcW w:w="506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Short-term lease costs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160</w:t>
            </w:r>
          </w:p>
        </w:tc>
        <w:tc>
          <w:tcPr>
            <w:tcW w:w="80" w:type="dxa"/>
            <w:vAlign w:val="bottom"/>
          </w:tcPr>
          <w:p>
            <w:pPr>
              <w:spacing w:after="0"/>
              <w:rPr>
                <w:sz w:val="19"/>
                <w:szCs w:val="19"/>
                <w:color w:val="auto"/>
              </w:rPr>
            </w:pPr>
          </w:p>
        </w:tc>
      </w:tr>
      <w:tr>
        <w:trPr>
          <w:trHeight w:val="223"/>
        </w:trPr>
        <w:tc>
          <w:tcPr>
            <w:tcW w:w="5060" w:type="dxa"/>
            <w:vAlign w:val="bottom"/>
            <w:shd w:val="clear" w:color="auto" w:fill="E4E4E4"/>
          </w:tcPr>
          <w:p>
            <w:pPr>
              <w:ind w:left="280"/>
              <w:spacing w:after="0"/>
              <w:rPr>
                <w:sz w:val="20"/>
                <w:szCs w:val="20"/>
                <w:color w:val="auto"/>
              </w:rPr>
            </w:pPr>
            <w:r>
              <w:rPr>
                <w:rFonts w:ascii="Times New Roman" w:cs="Times New Roman" w:eastAsia="Times New Roman" w:hAnsi="Times New Roman"/>
                <w:sz w:val="19"/>
                <w:szCs w:val="19"/>
                <w:color w:val="1E1E1E"/>
              </w:rPr>
              <w:t>Amortization of in-place lease intangible assets</w:t>
            </w:r>
          </w:p>
        </w:tc>
        <w:tc>
          <w:tcPr>
            <w:tcW w:w="260" w:type="dxa"/>
            <w:vAlign w:val="bottom"/>
            <w:shd w:val="clear" w:color="auto" w:fill="E4E4E4"/>
          </w:tcPr>
          <w:p>
            <w:pPr>
              <w:spacing w:after="0"/>
              <w:rPr>
                <w:sz w:val="19"/>
                <w:szCs w:val="19"/>
                <w:color w:val="auto"/>
              </w:rPr>
            </w:pPr>
          </w:p>
        </w:tc>
        <w:tc>
          <w:tcPr>
            <w:tcW w:w="128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364</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386</w:t>
            </w:r>
          </w:p>
        </w:tc>
        <w:tc>
          <w:tcPr>
            <w:tcW w:w="80" w:type="dxa"/>
            <w:vAlign w:val="bottom"/>
            <w:shd w:val="clear" w:color="auto" w:fill="E4E4E4"/>
          </w:tcPr>
          <w:p>
            <w:pPr>
              <w:spacing w:after="0"/>
              <w:rPr>
                <w:sz w:val="19"/>
                <w:szCs w:val="19"/>
                <w:color w:val="auto"/>
              </w:rPr>
            </w:pPr>
          </w:p>
        </w:tc>
      </w:tr>
      <w:tr>
        <w:trPr>
          <w:trHeight w:val="223"/>
        </w:trPr>
        <w:tc>
          <w:tcPr>
            <w:tcW w:w="506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Amortization of in place lease asset - below market</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949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1,332</w:t>
            </w:r>
          </w:p>
        </w:tc>
        <w:tc>
          <w:tcPr>
            <w:tcW w:w="80" w:type="dxa"/>
            <w:vAlign w:val="bottom"/>
          </w:tcPr>
          <w:p>
            <w:pPr>
              <w:spacing w:after="0"/>
              <w:rPr>
                <w:sz w:val="19"/>
                <w:szCs w:val="19"/>
                <w:color w:val="auto"/>
              </w:rPr>
            </w:pPr>
          </w:p>
        </w:tc>
      </w:tr>
      <w:tr>
        <w:trPr>
          <w:trHeight w:val="223"/>
        </w:trPr>
        <w:tc>
          <w:tcPr>
            <w:tcW w:w="5060" w:type="dxa"/>
            <w:vAlign w:val="bottom"/>
            <w:shd w:val="clear" w:color="auto" w:fill="E4E4E4"/>
          </w:tcPr>
          <w:p>
            <w:pPr>
              <w:ind w:left="280"/>
              <w:spacing w:after="0"/>
              <w:rPr>
                <w:sz w:val="20"/>
                <w:szCs w:val="20"/>
                <w:color w:val="auto"/>
              </w:rPr>
            </w:pPr>
            <w:r>
              <w:rPr>
                <w:rFonts w:ascii="Times New Roman" w:cs="Times New Roman" w:eastAsia="Times New Roman" w:hAnsi="Times New Roman"/>
                <w:sz w:val="19"/>
                <w:szCs w:val="19"/>
                <w:color w:val="1E1E1E"/>
              </w:rPr>
              <w:t>Lease abandonment cost</w:t>
            </w:r>
          </w:p>
        </w:tc>
        <w:tc>
          <w:tcPr>
            <w:tcW w:w="260" w:type="dxa"/>
            <w:vAlign w:val="bottom"/>
            <w:shd w:val="clear" w:color="auto" w:fill="E4E4E4"/>
          </w:tcPr>
          <w:p>
            <w:pPr>
              <w:spacing w:after="0"/>
              <w:rPr>
                <w:sz w:val="19"/>
                <w:szCs w:val="19"/>
                <w:color w:val="auto"/>
              </w:rPr>
            </w:pPr>
          </w:p>
        </w:tc>
        <w:tc>
          <w:tcPr>
            <w:tcW w:w="128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8,706</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4E4E4"/>
          </w:tcPr>
          <w:p>
            <w:pPr>
              <w:spacing w:after="0"/>
              <w:rPr>
                <w:sz w:val="19"/>
                <w:szCs w:val="19"/>
                <w:color w:val="auto"/>
              </w:rPr>
            </w:pPr>
          </w:p>
        </w:tc>
      </w:tr>
      <w:tr>
        <w:trPr>
          <w:trHeight w:val="223"/>
        </w:trPr>
        <w:tc>
          <w:tcPr>
            <w:tcW w:w="5060" w:type="dxa"/>
            <w:vAlign w:val="bottom"/>
          </w:tcPr>
          <w:p>
            <w:pPr>
              <w:ind w:left="280"/>
              <w:spacing w:after="0"/>
              <w:rPr>
                <w:sz w:val="20"/>
                <w:szCs w:val="20"/>
                <w:color w:val="auto"/>
              </w:rPr>
            </w:pPr>
            <w:r>
              <w:rPr>
                <w:rFonts w:ascii="Times New Roman" w:cs="Times New Roman" w:eastAsia="Times New Roman" w:hAnsi="Times New Roman"/>
                <w:sz w:val="19"/>
                <w:szCs w:val="19"/>
                <w:color w:val="1E1E1E"/>
              </w:rPr>
              <w:t>Sublease income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(2,112)</w:t>
            </w:r>
          </w:p>
        </w:tc>
        <w:tc>
          <w:tcPr>
            <w:tcW w:w="8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(1,978)</w:t>
            </w:r>
          </w:p>
        </w:tc>
      </w:tr>
      <w:tr>
        <w:trPr>
          <w:trHeight w:val="213"/>
        </w:trPr>
        <w:tc>
          <w:tcPr>
            <w:tcW w:w="506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 operating lease cost</w:t>
            </w:r>
          </w:p>
        </w:tc>
        <w:tc>
          <w:tcPr>
            <w:tcW w:w="260" w:type="dxa"/>
            <w:vAlign w:val="bottom"/>
            <w:tcBorders>
              <w:top w:val="single" w:sz="8" w:color="E4E4E4"/>
            </w:tcBorders>
            <w:shd w:val="clear" w:color="auto" w:fill="E4E4E4"/>
          </w:tcPr>
          <w:p>
            <w:pPr>
              <w:spacing w:after="0"/>
              <w:rPr>
                <w:sz w:val="18"/>
                <w:szCs w:val="18"/>
                <w:color w:val="auto"/>
              </w:rPr>
            </w:pPr>
          </w:p>
        </w:tc>
        <w:tc>
          <w:tcPr>
            <w:tcW w:w="1280" w:type="dxa"/>
            <w:vAlign w:val="bottom"/>
            <w:tcBorders>
              <w:top w:val="single" w:sz="8" w:color="1E1E1E"/>
              <w:bottom w:val="single" w:sz="8" w:color="1E1E1E"/>
            </w:tcBorders>
            <w:shd w:val="clear" w:color="auto" w:fill="E4E4E4"/>
          </w:tcPr>
          <w:p>
            <w:pPr>
              <w:jc w:val="right"/>
              <w:ind w:right="1089"/>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15,080</w:t>
            </w:r>
          </w:p>
        </w:tc>
        <w:tc>
          <w:tcPr>
            <w:tcW w:w="100" w:type="dxa"/>
            <w:vAlign w:val="bottom"/>
            <w:tcBorders>
              <w:top w:val="single" w:sz="8" w:color="E4E4E4"/>
            </w:tcBorders>
            <w:shd w:val="clear" w:color="auto" w:fill="E4E4E4"/>
          </w:tcPr>
          <w:p>
            <w:pPr>
              <w:spacing w:after="0"/>
              <w:rPr>
                <w:sz w:val="18"/>
                <w:szCs w:val="18"/>
                <w:color w:val="auto"/>
              </w:rPr>
            </w:pPr>
          </w:p>
        </w:tc>
        <w:tc>
          <w:tcPr>
            <w:tcW w:w="840" w:type="dxa"/>
            <w:vAlign w:val="bottom"/>
            <w:tcBorders>
              <w:top w:val="single" w:sz="8" w:color="1E1E1E"/>
              <w:bottom w:val="single" w:sz="8" w:color="1E1E1E"/>
            </w:tcBorders>
            <w:shd w:val="clear" w:color="auto" w:fill="E4E4E4"/>
          </w:tcPr>
          <w:p>
            <w:pPr>
              <w:jc w:val="right"/>
              <w:ind w:right="463"/>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2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7,788</w:t>
            </w:r>
          </w:p>
        </w:tc>
        <w:tc>
          <w:tcPr>
            <w:tcW w:w="80" w:type="dxa"/>
            <w:vAlign w:val="bottom"/>
            <w:tcBorders>
              <w:top w:val="single" w:sz="8" w:color="E4E4E4"/>
            </w:tcBorders>
            <w:shd w:val="clear" w:color="auto" w:fill="E4E4E4"/>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1E1E1E"/>
        </w:rPr>
        <w:t>Our lease costs for the year ended December 31, 2021, were primarily operating lease costs.</w:t>
      </w:r>
    </w:p>
    <w:p>
      <w:pPr>
        <w:spacing w:after="0" w:line="2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following table includes supplemental cash and non-cash information related to Xometry’s leases during 2023,</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2022 and 2021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1E1E1E"/>
            </w:tcBorders>
          </w:tcPr>
          <w:p>
            <w:pPr>
              <w:spacing w:after="0"/>
              <w:rPr>
                <w:sz w:val="17"/>
                <w:szCs w:val="17"/>
                <w:color w:val="auto"/>
              </w:rPr>
            </w:pPr>
          </w:p>
        </w:tc>
        <w:tc>
          <w:tcPr>
            <w:tcW w:w="2080" w:type="dxa"/>
            <w:vAlign w:val="bottom"/>
            <w:tcBorders>
              <w:bottom w:val="single" w:sz="8" w:color="1E1E1E"/>
            </w:tcBorders>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7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250"/>
        </w:trPr>
        <w:tc>
          <w:tcPr>
            <w:tcW w:w="59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Pr>
          <w:p>
            <w:pPr>
              <w:spacing w:after="0"/>
              <w:rPr>
                <w:sz w:val="21"/>
                <w:szCs w:val="21"/>
                <w:color w:val="auto"/>
              </w:rPr>
            </w:pPr>
          </w:p>
        </w:tc>
        <w:tc>
          <w:tcPr>
            <w:tcW w:w="72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Pr>
          <w:p>
            <w:pPr>
              <w:spacing w:after="0"/>
              <w:rPr>
                <w:sz w:val="21"/>
                <w:szCs w:val="21"/>
                <w:color w:val="auto"/>
              </w:rPr>
            </w:pPr>
          </w:p>
        </w:tc>
      </w:tr>
      <w:tr>
        <w:trPr>
          <w:trHeight w:val="213"/>
        </w:trPr>
        <w:tc>
          <w:tcPr>
            <w:tcW w:w="598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Cash paid for amounts included in the measurement of lease liabilities:</w:t>
            </w:r>
          </w:p>
        </w:tc>
        <w:tc>
          <w:tcPr>
            <w:tcW w:w="100" w:type="dxa"/>
            <w:vAlign w:val="bottom"/>
            <w:tcBorders>
              <w:top w:val="single" w:sz="8" w:color="E4E4E4"/>
            </w:tcBorders>
            <w:shd w:val="clear" w:color="auto" w:fill="E4E4E4"/>
          </w:tcPr>
          <w:p>
            <w:pPr>
              <w:spacing w:after="0"/>
              <w:rPr>
                <w:sz w:val="18"/>
                <w:szCs w:val="18"/>
                <w:color w:val="auto"/>
              </w:rPr>
            </w:pPr>
          </w:p>
        </w:tc>
        <w:tc>
          <w:tcPr>
            <w:tcW w:w="800" w:type="dxa"/>
            <w:vAlign w:val="bottom"/>
            <w:tcBorders>
              <w:top w:val="single" w:sz="8" w:color="1E1E1E"/>
            </w:tcBorders>
            <w:shd w:val="clear" w:color="auto" w:fill="E4E4E4"/>
          </w:tcPr>
          <w:p>
            <w:pPr>
              <w:spacing w:after="0"/>
              <w:rPr>
                <w:sz w:val="18"/>
                <w:szCs w:val="18"/>
                <w:color w:val="auto"/>
              </w:rPr>
            </w:pPr>
          </w:p>
        </w:tc>
        <w:tc>
          <w:tcPr>
            <w:tcW w:w="440" w:type="dxa"/>
            <w:vAlign w:val="bottom"/>
            <w:tcBorders>
              <w:top w:val="single" w:sz="8" w:color="1E1E1E"/>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380" w:type="dxa"/>
            <w:vAlign w:val="bottom"/>
            <w:tcBorders>
              <w:top w:val="single" w:sz="8" w:color="1E1E1E"/>
            </w:tcBorders>
            <w:shd w:val="clear" w:color="auto" w:fill="E4E4E4"/>
          </w:tcPr>
          <w:p>
            <w:pPr>
              <w:spacing w:after="0"/>
              <w:rPr>
                <w:sz w:val="18"/>
                <w:szCs w:val="18"/>
                <w:color w:val="auto"/>
              </w:rPr>
            </w:pPr>
          </w:p>
        </w:tc>
        <w:tc>
          <w:tcPr>
            <w:tcW w:w="960" w:type="dxa"/>
            <w:vAlign w:val="bottom"/>
            <w:tcBorders>
              <w:top w:val="single" w:sz="8" w:color="1E1E1E"/>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72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Operating cash flows from operating leases</w:t>
            </w:r>
          </w:p>
        </w:tc>
        <w:tc>
          <w:tcPr>
            <w:tcW w:w="100" w:type="dxa"/>
            <w:vAlign w:val="bottom"/>
          </w:tcPr>
          <w:p>
            <w:pPr>
              <w:spacing w:after="0"/>
              <w:rPr>
                <w:sz w:val="19"/>
                <w:szCs w:val="19"/>
                <w:color w:val="auto"/>
              </w:rPr>
            </w:pPr>
          </w:p>
        </w:tc>
        <w:tc>
          <w:tcPr>
            <w:tcW w:w="800" w:type="dxa"/>
            <w:vAlign w:val="bottom"/>
          </w:tcPr>
          <w:p>
            <w:pPr>
              <w:jc w:val="right"/>
              <w:ind w:right="603"/>
              <w:spacing w:after="0"/>
              <w:rPr>
                <w:sz w:val="20"/>
                <w:szCs w:val="20"/>
                <w:color w:val="auto"/>
              </w:rPr>
            </w:pPr>
            <w:r>
              <w:rPr>
                <w:rFonts w:ascii="Times New Roman" w:cs="Times New Roman" w:eastAsia="Times New Roman" w:hAnsi="Times New Roman"/>
                <w:sz w:val="19"/>
                <w:szCs w:val="19"/>
                <w:color w:val="1E1E1E"/>
                <w:w w:val="8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98"/>
              </w:rPr>
              <w:t>6,460</w:t>
            </w:r>
          </w:p>
        </w:tc>
        <w:tc>
          <w:tcPr>
            <w:tcW w:w="100" w:type="dxa"/>
            <w:vAlign w:val="bottom"/>
          </w:tcPr>
          <w:p>
            <w:pPr>
              <w:spacing w:after="0"/>
              <w:rPr>
                <w:sz w:val="19"/>
                <w:szCs w:val="19"/>
                <w:color w:val="auto"/>
              </w:rPr>
            </w:pPr>
          </w:p>
        </w:tc>
        <w:tc>
          <w:tcPr>
            <w:tcW w:w="38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6,472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1,600</w:t>
            </w:r>
          </w:p>
        </w:tc>
        <w:tc>
          <w:tcPr>
            <w:tcW w:w="80" w:type="dxa"/>
            <w:vAlign w:val="bottom"/>
          </w:tcPr>
          <w:p>
            <w:pPr>
              <w:spacing w:after="0"/>
              <w:rPr>
                <w:sz w:val="19"/>
                <w:szCs w:val="19"/>
                <w:color w:val="auto"/>
              </w:rPr>
            </w:pPr>
          </w:p>
        </w:tc>
      </w:tr>
      <w:tr>
        <w:trPr>
          <w:trHeight w:val="223"/>
        </w:trPr>
        <w:tc>
          <w:tcPr>
            <w:tcW w:w="59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Financing cash flows from financing leases</w:t>
            </w:r>
          </w:p>
        </w:tc>
        <w:tc>
          <w:tcPr>
            <w:tcW w:w="10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54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38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w:t>
            </w:r>
          </w:p>
        </w:tc>
        <w:tc>
          <w:tcPr>
            <w:tcW w:w="20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12</w:t>
            </w:r>
          </w:p>
        </w:tc>
        <w:tc>
          <w:tcPr>
            <w:tcW w:w="80" w:type="dxa"/>
            <w:vAlign w:val="bottom"/>
            <w:shd w:val="clear" w:color="auto" w:fill="E4E4E4"/>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1E1E1E"/>
              </w:rPr>
              <w:t>Right of use assets obtained in exchange for lease obligations: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852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5,730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26,706</w:t>
            </w:r>
          </w:p>
        </w:tc>
        <w:tc>
          <w:tcPr>
            <w:tcW w:w="80" w:type="dxa"/>
            <w:vAlign w:val="bottom"/>
          </w:tcPr>
          <w:p>
            <w:pPr>
              <w:spacing w:after="0"/>
              <w:rPr>
                <w:sz w:val="19"/>
                <w:szCs w:val="19"/>
                <w:color w:val="auto"/>
              </w:rPr>
            </w:pPr>
          </w:p>
        </w:tc>
      </w:tr>
      <w:tr>
        <w:trPr>
          <w:trHeight w:val="202"/>
        </w:trPr>
        <w:tc>
          <w:tcPr>
            <w:tcW w:w="5980" w:type="dxa"/>
            <w:vAlign w:val="bottom"/>
            <w:shd w:val="clear" w:color="auto" w:fill="E4E4E4"/>
          </w:tcPr>
          <w:p>
            <w:pPr>
              <w:spacing w:after="0" w:line="203" w:lineRule="exact"/>
              <w:rPr>
                <w:sz w:val="20"/>
                <w:szCs w:val="20"/>
                <w:color w:val="auto"/>
              </w:rPr>
            </w:pPr>
            <w:r>
              <w:rPr>
                <w:rFonts w:ascii="Times New Roman" w:cs="Times New Roman" w:eastAsia="Times New Roman" w:hAnsi="Times New Roman"/>
                <w:sz w:val="19"/>
                <w:szCs w:val="19"/>
                <w:color w:val="1E1E1E"/>
              </w:rPr>
              <w:t>Reduction to right of use assets resulting from reductions to lease</w:t>
            </w:r>
          </w:p>
        </w:tc>
        <w:tc>
          <w:tcPr>
            <w:tcW w:w="100" w:type="dxa"/>
            <w:vAlign w:val="bottom"/>
            <w:shd w:val="clear" w:color="auto" w:fill="E4E4E4"/>
          </w:tcPr>
          <w:p>
            <w:pPr>
              <w:spacing w:after="0"/>
              <w:rPr>
                <w:sz w:val="17"/>
                <w:szCs w:val="17"/>
                <w:color w:val="auto"/>
              </w:rPr>
            </w:pPr>
          </w:p>
        </w:tc>
        <w:tc>
          <w:tcPr>
            <w:tcW w:w="800" w:type="dxa"/>
            <w:vAlign w:val="bottom"/>
            <w:shd w:val="clear" w:color="auto" w:fill="E4E4E4"/>
          </w:tcPr>
          <w:p>
            <w:pPr>
              <w:spacing w:after="0"/>
              <w:rPr>
                <w:sz w:val="17"/>
                <w:szCs w:val="17"/>
                <w:color w:val="auto"/>
              </w:rPr>
            </w:pPr>
          </w:p>
        </w:tc>
        <w:tc>
          <w:tcPr>
            <w:tcW w:w="4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380" w:type="dxa"/>
            <w:vAlign w:val="bottom"/>
            <w:shd w:val="clear" w:color="auto" w:fill="E4E4E4"/>
          </w:tcPr>
          <w:p>
            <w:pPr>
              <w:spacing w:after="0"/>
              <w:rPr>
                <w:sz w:val="17"/>
                <w:szCs w:val="17"/>
                <w:color w:val="auto"/>
              </w:rPr>
            </w:pPr>
          </w:p>
        </w:tc>
        <w:tc>
          <w:tcPr>
            <w:tcW w:w="960" w:type="dxa"/>
            <w:vAlign w:val="bottom"/>
            <w:shd w:val="clear" w:color="auto" w:fill="E4E4E4"/>
          </w:tcPr>
          <w:p>
            <w:pPr>
              <w:spacing w:after="0"/>
              <w:rPr>
                <w:sz w:val="17"/>
                <w:szCs w:val="17"/>
                <w:color w:val="auto"/>
              </w:rPr>
            </w:pPr>
          </w:p>
        </w:tc>
        <w:tc>
          <w:tcPr>
            <w:tcW w:w="200" w:type="dxa"/>
            <w:vAlign w:val="bottom"/>
            <w:shd w:val="clear" w:color="auto" w:fill="E4E4E4"/>
          </w:tcPr>
          <w:p>
            <w:pPr>
              <w:spacing w:after="0"/>
              <w:rPr>
                <w:sz w:val="17"/>
                <w:szCs w:val="17"/>
                <w:color w:val="auto"/>
              </w:rPr>
            </w:pPr>
          </w:p>
        </w:tc>
        <w:tc>
          <w:tcPr>
            <w:tcW w:w="7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r>
      <w:tr>
        <w:trPr>
          <w:trHeight w:val="244"/>
        </w:trPr>
        <w:tc>
          <w:tcPr>
            <w:tcW w:w="59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obligations:</w:t>
            </w:r>
          </w:p>
        </w:tc>
        <w:tc>
          <w:tcPr>
            <w:tcW w:w="100" w:type="dxa"/>
            <w:vAlign w:val="bottom"/>
            <w:shd w:val="clear" w:color="auto" w:fill="E4E4E4"/>
          </w:tcPr>
          <w:p>
            <w:pPr>
              <w:spacing w:after="0"/>
              <w:rPr>
                <w:sz w:val="21"/>
                <w:szCs w:val="21"/>
                <w:color w:val="auto"/>
              </w:rPr>
            </w:pPr>
          </w:p>
        </w:tc>
        <w:tc>
          <w:tcPr>
            <w:tcW w:w="800" w:type="dxa"/>
            <w:vAlign w:val="bottom"/>
            <w:shd w:val="clear" w:color="auto" w:fill="E4E4E4"/>
          </w:tcPr>
          <w:p>
            <w:pPr>
              <w:spacing w:after="0"/>
              <w:rPr>
                <w:sz w:val="21"/>
                <w:szCs w:val="21"/>
                <w:color w:val="auto"/>
              </w:rPr>
            </w:pPr>
          </w:p>
        </w:tc>
        <w:tc>
          <w:tcPr>
            <w:tcW w:w="5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(69)</w:t>
            </w:r>
          </w:p>
        </w:tc>
        <w:tc>
          <w:tcPr>
            <w:tcW w:w="380" w:type="dxa"/>
            <w:vAlign w:val="bottom"/>
            <w:shd w:val="clear" w:color="auto" w:fill="E4E4E4"/>
          </w:tcPr>
          <w:p>
            <w:pPr>
              <w:spacing w:after="0"/>
              <w:rPr>
                <w:sz w:val="21"/>
                <w:szCs w:val="21"/>
                <w:color w:val="auto"/>
              </w:rPr>
            </w:pPr>
          </w:p>
        </w:tc>
        <w:tc>
          <w:tcPr>
            <w:tcW w:w="1160" w:type="dxa"/>
            <w:vAlign w:val="bottom"/>
            <w:gridSpan w:val="2"/>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(67)</w:t>
            </w: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(84)</w:t>
            </w:r>
          </w:p>
        </w:tc>
        <w:tc>
          <w:tcPr>
            <w:tcW w:w="80" w:type="dxa"/>
            <w:vAlign w:val="bottom"/>
            <w:shd w:val="clear" w:color="auto" w:fill="E4E4E4"/>
          </w:tcPr>
          <w:p>
            <w:pPr>
              <w:spacing w:after="0"/>
              <w:rPr>
                <w:sz w:val="21"/>
                <w:szCs w:val="21"/>
                <w:color w:val="auto"/>
              </w:rPr>
            </w:pPr>
          </w:p>
        </w:tc>
      </w:tr>
    </w:tbl>
    <w:p>
      <w:pPr>
        <w:spacing w:after="0" w:line="96" w:lineRule="exact"/>
        <w:rPr>
          <w:sz w:val="20"/>
          <w:szCs w:val="20"/>
          <w:color w:val="auto"/>
        </w:rPr>
      </w:pPr>
    </w:p>
    <w:p>
      <w:pPr>
        <w:ind w:right="160" w:firstLine="659"/>
        <w:spacing w:after="0" w:line="256" w:lineRule="auto"/>
        <w:rPr>
          <w:sz w:val="20"/>
          <w:szCs w:val="20"/>
          <w:color w:val="auto"/>
        </w:rPr>
      </w:pPr>
      <w:r>
        <w:rPr>
          <w:rFonts w:ascii="Times New Roman" w:cs="Times New Roman" w:eastAsia="Times New Roman" w:hAnsi="Times New Roman"/>
          <w:sz w:val="19"/>
          <w:szCs w:val="19"/>
          <w:color w:val="1E1E1E"/>
        </w:rPr>
        <w:t>The change in our ROU assets as December 31, 2023, as compared to December 31, 2022 was primarily due to our lease abandonment of $8.7 million that was recognized in 2023, offset by new leases in Lyon, France and Istanbul, Turkey and the extension of a lease term in Gaithersburg, MD. The increase in our ROU assets at December 31, 2022, as compared to December 31, 2021, is primarily due to our new lease in North Bethesda, Maryland and new and/or amended leases in Germany.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Xometry’s aggregate annual lease obligations at December 31, 2023 are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1E1E1E"/>
              </w:rPr>
              <w:t>Operating Leases</w:t>
            </w:r>
          </w:p>
        </w:tc>
      </w:tr>
      <w:tr>
        <w:trPr>
          <w:trHeight w:val="213"/>
        </w:trPr>
        <w:tc>
          <w:tcPr>
            <w:tcW w:w="7820" w:type="dxa"/>
            <w:vAlign w:val="bottom"/>
            <w:tcBorders>
              <w:top w:val="single" w:sz="8" w:color="E4E4E4"/>
            </w:tcBorders>
            <w:shd w:val="clear" w:color="auto" w:fill="E4E4E4"/>
          </w:tcPr>
          <w:p>
            <w:pPr>
              <w:ind w:left="40"/>
              <w:spacing w:after="0" w:line="213" w:lineRule="exact"/>
              <w:rPr>
                <w:sz w:val="20"/>
                <w:szCs w:val="20"/>
                <w:color w:val="auto"/>
              </w:rPr>
            </w:pPr>
            <w:r>
              <w:rPr>
                <w:rFonts w:ascii="Times New Roman" w:cs="Times New Roman" w:eastAsia="Times New Roman" w:hAnsi="Times New Roman"/>
                <w:sz w:val="19"/>
                <w:szCs w:val="19"/>
                <w:color w:val="1E1E1E"/>
              </w:rPr>
              <w:t>2024</w:t>
            </w:r>
          </w:p>
        </w:tc>
        <w:tc>
          <w:tcPr>
            <w:tcW w:w="20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5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7,538</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782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2025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6,802</w:t>
            </w:r>
          </w:p>
        </w:tc>
        <w:tc>
          <w:tcPr>
            <w:tcW w:w="80" w:type="dxa"/>
            <w:vAlign w:val="bottom"/>
          </w:tcPr>
          <w:p>
            <w:pPr>
              <w:spacing w:after="0"/>
              <w:rPr>
                <w:sz w:val="19"/>
                <w:szCs w:val="19"/>
                <w:color w:val="auto"/>
              </w:rPr>
            </w:pPr>
          </w:p>
        </w:tc>
      </w:tr>
      <w:tr>
        <w:trPr>
          <w:trHeight w:val="223"/>
        </w:trPr>
        <w:tc>
          <w:tcPr>
            <w:tcW w:w="7820" w:type="dxa"/>
            <w:vAlign w:val="bottom"/>
            <w:shd w:val="clear" w:color="auto" w:fill="E4E4E4"/>
          </w:tcPr>
          <w:p>
            <w:pPr>
              <w:ind w:left="40"/>
              <w:spacing w:after="0"/>
              <w:rPr>
                <w:sz w:val="20"/>
                <w:szCs w:val="20"/>
                <w:color w:val="auto"/>
              </w:rPr>
            </w:pPr>
            <w:r>
              <w:rPr>
                <w:rFonts w:ascii="Times New Roman" w:cs="Times New Roman" w:eastAsia="Times New Roman" w:hAnsi="Times New Roman"/>
                <w:sz w:val="19"/>
                <w:szCs w:val="19"/>
                <w:color w:val="1E1E1E"/>
              </w:rPr>
              <w:t>2026</w:t>
            </w: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1,641</w:t>
            </w:r>
          </w:p>
        </w:tc>
        <w:tc>
          <w:tcPr>
            <w:tcW w:w="80" w:type="dxa"/>
            <w:vAlign w:val="bottom"/>
            <w:shd w:val="clear" w:color="auto" w:fill="E4E4E4"/>
          </w:tcPr>
          <w:p>
            <w:pPr>
              <w:spacing w:after="0"/>
              <w:rPr>
                <w:sz w:val="19"/>
                <w:szCs w:val="19"/>
                <w:color w:val="auto"/>
              </w:rPr>
            </w:pPr>
          </w:p>
        </w:tc>
      </w:tr>
      <w:tr>
        <w:trPr>
          <w:trHeight w:val="223"/>
        </w:trPr>
        <w:tc>
          <w:tcPr>
            <w:tcW w:w="782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2027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1,398</w:t>
            </w:r>
          </w:p>
        </w:tc>
        <w:tc>
          <w:tcPr>
            <w:tcW w:w="80" w:type="dxa"/>
            <w:vAlign w:val="bottom"/>
          </w:tcPr>
          <w:p>
            <w:pPr>
              <w:spacing w:after="0"/>
              <w:rPr>
                <w:sz w:val="19"/>
                <w:szCs w:val="19"/>
                <w:color w:val="auto"/>
              </w:rPr>
            </w:pPr>
          </w:p>
        </w:tc>
      </w:tr>
      <w:tr>
        <w:trPr>
          <w:trHeight w:val="223"/>
        </w:trPr>
        <w:tc>
          <w:tcPr>
            <w:tcW w:w="7820" w:type="dxa"/>
            <w:vAlign w:val="bottom"/>
            <w:shd w:val="clear" w:color="auto" w:fill="E4E4E4"/>
          </w:tcPr>
          <w:p>
            <w:pPr>
              <w:ind w:left="40"/>
              <w:spacing w:after="0"/>
              <w:rPr>
                <w:sz w:val="20"/>
                <w:szCs w:val="20"/>
                <w:color w:val="auto"/>
              </w:rPr>
            </w:pPr>
            <w:r>
              <w:rPr>
                <w:rFonts w:ascii="Times New Roman" w:cs="Times New Roman" w:eastAsia="Times New Roman" w:hAnsi="Times New Roman"/>
                <w:sz w:val="19"/>
                <w:szCs w:val="19"/>
                <w:color w:val="1E1E1E"/>
              </w:rPr>
              <w:t>2028</w:t>
            </w: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1,092</w:t>
            </w:r>
          </w:p>
        </w:tc>
        <w:tc>
          <w:tcPr>
            <w:tcW w:w="80" w:type="dxa"/>
            <w:vAlign w:val="bottom"/>
            <w:shd w:val="clear" w:color="auto" w:fill="E4E4E4"/>
          </w:tcPr>
          <w:p>
            <w:pPr>
              <w:spacing w:after="0"/>
              <w:rPr>
                <w:sz w:val="19"/>
                <w:szCs w:val="19"/>
                <w:color w:val="auto"/>
              </w:rPr>
            </w:pPr>
          </w:p>
        </w:tc>
      </w:tr>
      <w:tr>
        <w:trPr>
          <w:trHeight w:val="223"/>
        </w:trPr>
        <w:tc>
          <w:tcPr>
            <w:tcW w:w="7820" w:type="dxa"/>
            <w:vAlign w:val="bottom"/>
            <w:tcBorders>
              <w:bottom w:val="single" w:sz="8" w:color="E4E4E4"/>
            </w:tcBorders>
          </w:tcPr>
          <w:p>
            <w:pPr>
              <w:ind w:left="40"/>
              <w:spacing w:after="0"/>
              <w:rPr>
                <w:sz w:val="20"/>
                <w:szCs w:val="20"/>
                <w:color w:val="auto"/>
              </w:rPr>
            </w:pPr>
            <w:r>
              <w:rPr>
                <w:rFonts w:ascii="Times New Roman" w:cs="Times New Roman" w:eastAsia="Times New Roman" w:hAnsi="Times New Roman"/>
                <w:sz w:val="19"/>
                <w:szCs w:val="19"/>
                <w:color w:val="1E1E1E"/>
              </w:rPr>
              <w:t>Thereafter</w:t>
            </w:r>
          </w:p>
        </w:tc>
        <w:tc>
          <w:tcPr>
            <w:tcW w:w="200" w:type="dxa"/>
            <w:vAlign w:val="bottom"/>
            <w:tcBorders>
              <w:bottom w:val="single" w:sz="8" w:color="E4E4E4"/>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1,091</w:t>
            </w:r>
          </w:p>
        </w:tc>
        <w:tc>
          <w:tcPr>
            <w:tcW w:w="80" w:type="dxa"/>
            <w:vAlign w:val="bottom"/>
            <w:tcBorders>
              <w:bottom w:val="single" w:sz="8" w:color="E4E4E4"/>
            </w:tcBorders>
          </w:tcPr>
          <w:p>
            <w:pPr>
              <w:spacing w:after="0"/>
              <w:rPr>
                <w:sz w:val="19"/>
                <w:szCs w:val="19"/>
                <w:color w:val="auto"/>
              </w:rPr>
            </w:pPr>
          </w:p>
        </w:tc>
      </w:tr>
      <w:tr>
        <w:trPr>
          <w:trHeight w:val="213"/>
        </w:trPr>
        <w:tc>
          <w:tcPr>
            <w:tcW w:w="78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Total undiscounted lease obligations</w:t>
            </w:r>
          </w:p>
        </w:tc>
        <w:tc>
          <w:tcPr>
            <w:tcW w:w="2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5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19,562</w:t>
            </w:r>
          </w:p>
        </w:tc>
        <w:tc>
          <w:tcPr>
            <w:tcW w:w="80" w:type="dxa"/>
            <w:vAlign w:val="bottom"/>
            <w:shd w:val="clear" w:color="auto" w:fill="E4E4E4"/>
          </w:tcPr>
          <w:p>
            <w:pPr>
              <w:spacing w:after="0"/>
              <w:rPr>
                <w:sz w:val="18"/>
                <w:szCs w:val="18"/>
                <w:color w:val="auto"/>
              </w:rPr>
            </w:pPr>
          </w:p>
        </w:tc>
      </w:tr>
      <w:tr>
        <w:trPr>
          <w:trHeight w:val="223"/>
        </w:trPr>
        <w:tc>
          <w:tcPr>
            <w:tcW w:w="78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color w:val="1E1E1E"/>
              </w:rPr>
              <w:t>Less imputed interest</w:t>
            </w:r>
          </w:p>
        </w:tc>
        <w:tc>
          <w:tcPr>
            <w:tcW w:w="200" w:type="dxa"/>
            <w:vAlign w:val="bottom"/>
            <w:tcBorders>
              <w:bottom w:val="single" w:sz="8" w:color="E4E4E4"/>
            </w:tcBorders>
          </w:tcPr>
          <w:p>
            <w:pPr>
              <w:spacing w:after="0"/>
              <w:rPr>
                <w:sz w:val="19"/>
                <w:szCs w:val="19"/>
                <w:color w:val="auto"/>
              </w:rPr>
            </w:pPr>
          </w:p>
        </w:tc>
        <w:tc>
          <w:tcPr>
            <w:tcW w:w="100" w:type="dxa"/>
            <w:vAlign w:val="bottom"/>
            <w:tcBorders>
              <w:bottom w:val="single" w:sz="8" w:color="1E1E1E"/>
            </w:tcBorders>
          </w:tcPr>
          <w:p>
            <w:pPr>
              <w:spacing w:after="0"/>
              <w:rPr>
                <w:sz w:val="19"/>
                <w:szCs w:val="19"/>
                <w:color w:val="auto"/>
              </w:rPr>
            </w:pPr>
          </w:p>
        </w:tc>
        <w:tc>
          <w:tcPr>
            <w:tcW w:w="1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(1,812)</w:t>
            </w:r>
          </w:p>
        </w:tc>
        <w:tc>
          <w:tcPr>
            <w:tcW w:w="80" w:type="dxa"/>
            <w:vAlign w:val="bottom"/>
            <w:tcBorders>
              <w:bottom w:val="single" w:sz="8" w:color="E4E4E4"/>
            </w:tcBorders>
          </w:tcPr>
          <w:p>
            <w:pPr>
              <w:spacing w:after="0"/>
              <w:rPr>
                <w:sz w:val="19"/>
                <w:szCs w:val="19"/>
                <w:color w:val="auto"/>
              </w:rPr>
            </w:pPr>
          </w:p>
        </w:tc>
      </w:tr>
      <w:tr>
        <w:trPr>
          <w:trHeight w:val="213"/>
        </w:trPr>
        <w:tc>
          <w:tcPr>
            <w:tcW w:w="78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Net lease obligations</w:t>
            </w:r>
          </w:p>
        </w:tc>
        <w:tc>
          <w:tcPr>
            <w:tcW w:w="200" w:type="dxa"/>
            <w:vAlign w:val="bottom"/>
            <w:shd w:val="clear" w:color="auto" w:fill="E4E4E4"/>
          </w:tcPr>
          <w:p>
            <w:pPr>
              <w:spacing w:after="0"/>
              <w:rPr>
                <w:sz w:val="18"/>
                <w:szCs w:val="18"/>
                <w:color w:val="auto"/>
              </w:rPr>
            </w:pPr>
          </w:p>
        </w:tc>
        <w:tc>
          <w:tcPr>
            <w:tcW w:w="1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56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17,750</w:t>
            </w:r>
          </w:p>
        </w:tc>
        <w:tc>
          <w:tcPr>
            <w:tcW w:w="80" w:type="dxa"/>
            <w:vAlign w:val="bottom"/>
            <w:shd w:val="clear" w:color="auto" w:fill="E4E4E4"/>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5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60"/>
          </w:cols>
          <w:pgMar w:left="1060" w:top="1083" w:right="1060" w:bottom="215"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85</w:t>
      </w:r>
    </w:p>
    <w:p>
      <w:pPr>
        <w:sectPr>
          <w:pgSz w:w="11880" w:h="15480" w:orient="portrait"/>
          <w:cols w:equalWidth="0" w:num="1">
            <w:col w:w="9760"/>
          </w:cols>
          <w:pgMar w:left="1060" w:top="1083" w:right="1060" w:bottom="215" w:gutter="0" w:footer="0" w:header="0"/>
          <w:type w:val="continuous"/>
        </w:sectPr>
      </w:pPr>
    </w:p>
    <w:bookmarkStart w:id="91" w:name="page92"/>
    <w:bookmarkEnd w:id="91"/>
    <w:p>
      <w:pPr>
        <w:ind w:left="610"/>
        <w:spacing w:after="0"/>
        <w:rPr>
          <w:sz w:val="20"/>
          <w:szCs w:val="20"/>
          <w:color w:val="auto"/>
        </w:rPr>
      </w:pPr>
      <w:r>
        <w:rPr>
          <w:rFonts w:ascii="Times New Roman" w:cs="Times New Roman" w:eastAsia="Times New Roman" w:hAnsi="Times New Roman"/>
          <w:sz w:val="19"/>
          <w:szCs w:val="19"/>
          <w:color w:val="1E1E1E"/>
        </w:rPr>
        <w:t>The following are the remaining weighted average lease terms and discount rates for Xometry’s leases as of</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December 31, 2023 and 2022:</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1E1E1E"/>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20" w:type="dxa"/>
            <w:vAlign w:val="bottom"/>
            <w:tcBorders>
              <w:bottom w:val="single" w:sz="8" w:color="1E1E1E"/>
            </w:tcBorders>
          </w:tcPr>
          <w:p>
            <w:pPr>
              <w:spacing w:after="0"/>
              <w:rPr>
                <w:sz w:val="17"/>
                <w:szCs w:val="17"/>
                <w:color w:val="auto"/>
              </w:rPr>
            </w:pPr>
          </w:p>
        </w:tc>
        <w:tc>
          <w:tcPr>
            <w:tcW w:w="160" w:type="dxa"/>
            <w:vAlign w:val="bottom"/>
          </w:tcPr>
          <w:p>
            <w:pPr>
              <w:spacing w:after="0"/>
              <w:rPr>
                <w:sz w:val="17"/>
                <w:szCs w:val="17"/>
                <w:color w:val="auto"/>
              </w:rPr>
            </w:pPr>
          </w:p>
        </w:tc>
      </w:tr>
      <w:tr>
        <w:trPr>
          <w:trHeight w:val="168"/>
        </w:trPr>
        <w:tc>
          <w:tcPr>
            <w:tcW w:w="6640" w:type="dxa"/>
            <w:vAlign w:val="bottom"/>
            <w:gridSpan w:val="2"/>
          </w:tcPr>
          <w:p>
            <w:pPr>
              <w:spacing w:after="0"/>
              <w:rPr>
                <w:sz w:val="14"/>
                <w:szCs w:val="14"/>
                <w:color w:val="auto"/>
              </w:rPr>
            </w:pPr>
          </w:p>
        </w:tc>
        <w:tc>
          <w:tcPr>
            <w:tcW w:w="900" w:type="dxa"/>
            <w:vAlign w:val="bottom"/>
          </w:tcPr>
          <w:p>
            <w:pPr>
              <w:jc w:val="right"/>
              <w:ind w:right="2"/>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640" w:type="dxa"/>
            <w:vAlign w:val="bottom"/>
            <w:gridSpan w:val="3"/>
          </w:tcPr>
          <w:p>
            <w:pPr>
              <w:jc w:val="right"/>
              <w:ind w:right="100"/>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3"/>
        </w:trPr>
        <w:tc>
          <w:tcPr>
            <w:tcW w:w="652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Weighted average remaining lease term (in years)</w:t>
            </w:r>
          </w:p>
        </w:tc>
        <w:tc>
          <w:tcPr>
            <w:tcW w:w="120" w:type="dxa"/>
            <w:vAlign w:val="bottom"/>
            <w:tcBorders>
              <w:top w:val="single" w:sz="8" w:color="E4E4E4"/>
            </w:tcBorders>
            <w:shd w:val="clear" w:color="auto" w:fill="E4E4E4"/>
          </w:tcPr>
          <w:p>
            <w:pPr>
              <w:spacing w:after="0"/>
              <w:rPr>
                <w:sz w:val="18"/>
                <w:szCs w:val="18"/>
                <w:color w:val="auto"/>
              </w:rPr>
            </w:pPr>
          </w:p>
        </w:tc>
        <w:tc>
          <w:tcPr>
            <w:tcW w:w="900" w:type="dxa"/>
            <w:vAlign w:val="bottom"/>
            <w:tcBorders>
              <w:top w:val="single" w:sz="8" w:color="1E1E1E"/>
            </w:tcBorders>
            <w:shd w:val="clear" w:color="auto" w:fill="E4E4E4"/>
          </w:tcPr>
          <w:p>
            <w:pPr>
              <w:spacing w:after="0"/>
              <w:rPr>
                <w:sz w:val="18"/>
                <w:szCs w:val="18"/>
                <w:color w:val="auto"/>
              </w:rPr>
            </w:pPr>
          </w:p>
        </w:tc>
        <w:tc>
          <w:tcPr>
            <w:tcW w:w="420" w:type="dxa"/>
            <w:vAlign w:val="bottom"/>
            <w:tcBorders>
              <w:top w:val="single" w:sz="8" w:color="1E1E1E"/>
            </w:tcBorders>
            <w:shd w:val="clear" w:color="auto" w:fill="E4E4E4"/>
          </w:tcPr>
          <w:p>
            <w:pPr>
              <w:ind w:left="80"/>
              <w:spacing w:after="0" w:line="213" w:lineRule="exact"/>
              <w:rPr>
                <w:sz w:val="20"/>
                <w:szCs w:val="20"/>
                <w:color w:val="auto"/>
              </w:rPr>
            </w:pPr>
            <w:r>
              <w:rPr>
                <w:rFonts w:ascii="Times New Roman" w:cs="Times New Roman" w:eastAsia="Times New Roman" w:hAnsi="Times New Roman"/>
                <w:sz w:val="19"/>
                <w:szCs w:val="19"/>
                <w:color w:val="1E1E1E"/>
                <w:w w:val="96"/>
              </w:rPr>
              <w:t>3.25</w:t>
            </w:r>
          </w:p>
        </w:tc>
        <w:tc>
          <w:tcPr>
            <w:tcW w:w="18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1E1E1E"/>
            </w:tcBorders>
            <w:shd w:val="clear" w:color="auto" w:fill="E4E4E4"/>
          </w:tcPr>
          <w:p>
            <w:pPr>
              <w:spacing w:after="0"/>
              <w:rPr>
                <w:sz w:val="18"/>
                <w:szCs w:val="18"/>
                <w:color w:val="auto"/>
              </w:rPr>
            </w:pPr>
          </w:p>
        </w:tc>
        <w:tc>
          <w:tcPr>
            <w:tcW w:w="420" w:type="dxa"/>
            <w:vAlign w:val="bottom"/>
            <w:tcBorders>
              <w:top w:val="single" w:sz="8" w:color="1E1E1E"/>
            </w:tcBorders>
            <w:shd w:val="clear" w:color="auto" w:fill="E4E4E4"/>
          </w:tcPr>
          <w:p>
            <w:pPr>
              <w:ind w:left="80"/>
              <w:spacing w:after="0" w:line="213" w:lineRule="exact"/>
              <w:rPr>
                <w:sz w:val="20"/>
                <w:szCs w:val="20"/>
                <w:color w:val="auto"/>
              </w:rPr>
            </w:pPr>
            <w:r>
              <w:rPr>
                <w:rFonts w:ascii="Times New Roman" w:cs="Times New Roman" w:eastAsia="Times New Roman" w:hAnsi="Times New Roman"/>
                <w:sz w:val="19"/>
                <w:szCs w:val="19"/>
                <w:color w:val="1E1E1E"/>
                <w:w w:val="96"/>
              </w:rPr>
              <w:t>3.76</w:t>
            </w:r>
          </w:p>
        </w:tc>
        <w:tc>
          <w:tcPr>
            <w:tcW w:w="160" w:type="dxa"/>
            <w:vAlign w:val="bottom"/>
            <w:tcBorders>
              <w:top w:val="single" w:sz="8" w:color="E4E4E4"/>
            </w:tcBorders>
            <w:shd w:val="clear" w:color="auto" w:fill="E4E4E4"/>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9"/>
                <w:szCs w:val="19"/>
                <w:color w:val="1E1E1E"/>
              </w:rPr>
              <w:t>Weighted average discount rate</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1E1E1E"/>
              </w:rPr>
              <w:t>5.20%</w:t>
            </w:r>
          </w:p>
        </w:tc>
        <w:tc>
          <w:tcPr>
            <w:tcW w:w="104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1E1E1E"/>
                <w:w w:val="97"/>
              </w:rPr>
              <w:t>4.78%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10" w:hanging="610"/>
        <w:spacing w:after="0"/>
        <w:tabs>
          <w:tab w:leader="none" w:pos="610" w:val="left"/>
        </w:tabs>
        <w:numPr>
          <w:ilvl w:val="0"/>
          <w:numId w:val="62"/>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Common Stock</w:t>
      </w:r>
    </w:p>
    <w:p>
      <w:pPr>
        <w:spacing w:after="0" w:line="2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i w:val="1"/>
          <w:iCs w:val="1"/>
          <w:color w:val="1E1E1E"/>
        </w:rPr>
        <w:t>Initial Public Offering</w:t>
      </w:r>
    </w:p>
    <w:p>
      <w:pPr>
        <w:spacing w:after="0" w:line="226" w:lineRule="exact"/>
        <w:rPr>
          <w:sz w:val="20"/>
          <w:szCs w:val="20"/>
          <w:color w:val="auto"/>
        </w:rPr>
      </w:pPr>
    </w:p>
    <w:p>
      <w:pPr>
        <w:ind w:left="10" w:right="80" w:firstLine="534"/>
        <w:spacing w:after="0" w:line="260" w:lineRule="auto"/>
        <w:rPr>
          <w:sz w:val="20"/>
          <w:szCs w:val="20"/>
          <w:color w:val="auto"/>
        </w:rPr>
      </w:pPr>
      <w:r>
        <w:rPr>
          <w:rFonts w:ascii="Times New Roman" w:cs="Times New Roman" w:eastAsia="Times New Roman" w:hAnsi="Times New Roman"/>
          <w:sz w:val="19"/>
          <w:szCs w:val="19"/>
          <w:color w:val="1E1E1E"/>
        </w:rPr>
        <w:t>On July 2, 2021, the Company closed its planned initial public offering ("IPO"), in which it issued and sold 7,906,250 shares of its Class A common stock. The initial offering price was $44.00 per share. The Company received net proceeds of approximately $325.3 million from the IPO after deducting underwriting discounts and commissions of $22.6 million. The Company also incurred approximately $3.7 million of other offering costs in connection with its IPO.</w:t>
      </w:r>
    </w:p>
    <w:p>
      <w:pPr>
        <w:spacing w:after="0" w:line="169" w:lineRule="exact"/>
        <w:rPr>
          <w:sz w:val="20"/>
          <w:szCs w:val="20"/>
          <w:color w:val="auto"/>
        </w:rPr>
      </w:pPr>
    </w:p>
    <w:p>
      <w:pPr>
        <w:ind w:left="10" w:firstLine="534"/>
        <w:spacing w:after="0" w:line="260" w:lineRule="auto"/>
        <w:rPr>
          <w:sz w:val="20"/>
          <w:szCs w:val="20"/>
          <w:color w:val="auto"/>
        </w:rPr>
      </w:pPr>
      <w:r>
        <w:rPr>
          <w:rFonts w:ascii="Times New Roman" w:cs="Times New Roman" w:eastAsia="Times New Roman" w:hAnsi="Times New Roman"/>
          <w:sz w:val="19"/>
          <w:szCs w:val="19"/>
          <w:color w:val="1E1E1E"/>
        </w:rPr>
        <w:t>Upon the closing of the IPO on July 2, 2021, 8,665,797 shares of outstanding common stock were reclassified into Class A common stock, 27,758,941 shares of outstanding convertible preferred stock were converted into Class A common stock, and 2,676,154 shares of Class A common stock were exchanged by our co-founders for an equivalent number of shares of Class B common stock pursuant to the terms of the exchange agreement.</w:t>
      </w:r>
    </w:p>
    <w:p>
      <w:pPr>
        <w:spacing w:after="0" w:line="169" w:lineRule="exact"/>
        <w:rPr>
          <w:sz w:val="20"/>
          <w:szCs w:val="20"/>
          <w:color w:val="auto"/>
        </w:rPr>
      </w:pPr>
    </w:p>
    <w:p>
      <w:pPr>
        <w:ind w:left="10" w:firstLine="534"/>
        <w:spacing w:after="0" w:line="252" w:lineRule="auto"/>
        <w:rPr>
          <w:sz w:val="20"/>
          <w:szCs w:val="20"/>
          <w:color w:val="auto"/>
        </w:rPr>
      </w:pPr>
      <w:r>
        <w:rPr>
          <w:rFonts w:ascii="Times New Roman" w:cs="Times New Roman" w:eastAsia="Times New Roman" w:hAnsi="Times New Roman"/>
          <w:sz w:val="19"/>
          <w:szCs w:val="19"/>
          <w:color w:val="1E1E1E"/>
        </w:rPr>
        <w:t>Also on July 2, 2021, the Company reserved 402,658 shares of its Class A common stock, representing 1% of the Company's fully diluted capitalization as of the date of approval by our board of directors, for charitable contributions to non-profit organizations. These shares will be issued over the next five years, in an amount not to exceed 20% of the initial reserve amount per calendar year. During 2023, 2022 and 2021, the Company donated 60,399, 60,399 and 40,266 shares of its Class A common stock, respectively, to a donor advised fund and recognized an expense associated with the charitable contribution of approximately $1.0 million, $2.3 million and $2.2 million which is recorded in general and administrative expense in the Consolidated Statements of Operations and Comprehensive Loss.</w:t>
      </w:r>
    </w:p>
    <w:p>
      <w:pPr>
        <w:spacing w:after="0" w:line="73" w:lineRule="exact"/>
        <w:rPr>
          <w:sz w:val="20"/>
          <w:szCs w:val="20"/>
          <w:color w:val="auto"/>
        </w:rPr>
      </w:pPr>
    </w:p>
    <w:p>
      <w:pPr>
        <w:ind w:left="10" w:right="300" w:firstLine="601"/>
        <w:spacing w:after="0" w:line="256" w:lineRule="auto"/>
        <w:rPr>
          <w:sz w:val="20"/>
          <w:szCs w:val="20"/>
          <w:color w:val="auto"/>
        </w:rPr>
      </w:pPr>
      <w:r>
        <w:rPr>
          <w:rFonts w:ascii="Times New Roman" w:cs="Times New Roman" w:eastAsia="Times New Roman" w:hAnsi="Times New Roman"/>
          <w:sz w:val="19"/>
          <w:szCs w:val="19"/>
          <w:color w:val="1E1E1E"/>
        </w:rPr>
        <w:t>Prior to the Company's IPO on July 2, 2021, holders of common stock were entitled to one vote per share, receive dividends and, upon liquidation or dissolution, were entitled to receive all assets available for distribution to stockholders. The holders had no preemptive or other subscription rights and there were no redemption or sinking fund provisions with respect to such shares. Common stock was subordinate to the preferred stock with respect to dividend rights, rights upon liquidation, and dissolution of the Company.</w:t>
      </w:r>
    </w:p>
    <w:p>
      <w:pPr>
        <w:spacing w:after="0" w:line="144" w:lineRule="exact"/>
        <w:rPr>
          <w:sz w:val="20"/>
          <w:szCs w:val="20"/>
          <w:color w:val="auto"/>
        </w:rPr>
      </w:pPr>
    </w:p>
    <w:p>
      <w:pPr>
        <w:ind w:left="10" w:right="160" w:firstLine="601"/>
        <w:spacing w:after="0" w:line="267" w:lineRule="auto"/>
        <w:rPr>
          <w:sz w:val="20"/>
          <w:szCs w:val="20"/>
          <w:color w:val="auto"/>
        </w:rPr>
      </w:pPr>
      <w:r>
        <w:rPr>
          <w:rFonts w:ascii="Times New Roman" w:cs="Times New Roman" w:eastAsia="Times New Roman" w:hAnsi="Times New Roman"/>
          <w:sz w:val="19"/>
          <w:szCs w:val="19"/>
          <w:color w:val="1E1E1E"/>
        </w:rPr>
        <w:t>On July 2, 2021, the Company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71" w:lineRule="exact"/>
        <w:rPr>
          <w:sz w:val="20"/>
          <w:szCs w:val="20"/>
          <w:color w:val="auto"/>
        </w:rPr>
      </w:pPr>
    </w:p>
    <w:p>
      <w:pPr>
        <w:ind w:left="1070" w:hanging="469"/>
        <w:spacing w:after="0"/>
        <w:tabs>
          <w:tab w:leader="none" w:pos="1070" w:val="left"/>
        </w:tabs>
        <w:numPr>
          <w:ilvl w:val="0"/>
          <w:numId w:val="63"/>
        </w:numPr>
        <w:rPr>
          <w:rFonts w:ascii="Arial" w:cs="Arial" w:eastAsia="Arial" w:hAnsi="Arial"/>
          <w:sz w:val="19"/>
          <w:szCs w:val="19"/>
          <w:color w:val="1E1E1E"/>
        </w:rPr>
      </w:pPr>
      <w:r>
        <w:rPr>
          <w:rFonts w:ascii="Times New Roman" w:cs="Times New Roman" w:eastAsia="Times New Roman" w:hAnsi="Times New Roman"/>
          <w:sz w:val="19"/>
          <w:szCs w:val="19"/>
          <w:color w:val="1E1E1E"/>
        </w:rPr>
        <w:t>750,000,000 are designated Class A common stock;</w:t>
      </w:r>
    </w:p>
    <w:p>
      <w:pPr>
        <w:spacing w:after="0" w:line="134" w:lineRule="exact"/>
        <w:rPr>
          <w:rFonts w:ascii="Arial" w:cs="Arial" w:eastAsia="Arial" w:hAnsi="Arial"/>
          <w:sz w:val="19"/>
          <w:szCs w:val="19"/>
          <w:color w:val="1E1E1E"/>
        </w:rPr>
      </w:pPr>
    </w:p>
    <w:p>
      <w:pPr>
        <w:ind w:left="1070" w:hanging="469"/>
        <w:spacing w:after="0"/>
        <w:tabs>
          <w:tab w:leader="none" w:pos="1070" w:val="left"/>
        </w:tabs>
        <w:numPr>
          <w:ilvl w:val="0"/>
          <w:numId w:val="63"/>
        </w:numPr>
        <w:rPr>
          <w:rFonts w:ascii="Arial" w:cs="Arial" w:eastAsia="Arial" w:hAnsi="Arial"/>
          <w:sz w:val="19"/>
          <w:szCs w:val="19"/>
          <w:color w:val="1E1E1E"/>
        </w:rPr>
      </w:pPr>
      <w:r>
        <w:rPr>
          <w:rFonts w:ascii="Times New Roman" w:cs="Times New Roman" w:eastAsia="Times New Roman" w:hAnsi="Times New Roman"/>
          <w:sz w:val="19"/>
          <w:szCs w:val="19"/>
          <w:color w:val="1E1E1E"/>
        </w:rPr>
        <w:t>5,000,000 are designated Class B common stock; and</w:t>
      </w:r>
    </w:p>
    <w:p>
      <w:pPr>
        <w:spacing w:after="0" w:line="134" w:lineRule="exact"/>
        <w:rPr>
          <w:rFonts w:ascii="Arial" w:cs="Arial" w:eastAsia="Arial" w:hAnsi="Arial"/>
          <w:sz w:val="19"/>
          <w:szCs w:val="19"/>
          <w:color w:val="1E1E1E"/>
        </w:rPr>
      </w:pPr>
    </w:p>
    <w:p>
      <w:pPr>
        <w:ind w:left="1070" w:hanging="469"/>
        <w:spacing w:after="0"/>
        <w:tabs>
          <w:tab w:leader="none" w:pos="1070" w:val="left"/>
        </w:tabs>
        <w:numPr>
          <w:ilvl w:val="0"/>
          <w:numId w:val="63"/>
        </w:numPr>
        <w:rPr>
          <w:rFonts w:ascii="Arial" w:cs="Arial" w:eastAsia="Arial" w:hAnsi="Arial"/>
          <w:sz w:val="19"/>
          <w:szCs w:val="19"/>
          <w:color w:val="1E1E1E"/>
        </w:rPr>
      </w:pPr>
      <w:r>
        <w:rPr>
          <w:rFonts w:ascii="Times New Roman" w:cs="Times New Roman" w:eastAsia="Times New Roman" w:hAnsi="Times New Roman"/>
          <w:sz w:val="19"/>
          <w:szCs w:val="19"/>
          <w:color w:val="1E1E1E"/>
        </w:rPr>
        <w:t>50,000,000 are designated preferred stock.</w:t>
      </w:r>
    </w:p>
    <w:p>
      <w:pPr>
        <w:spacing w:after="0" w:line="198" w:lineRule="exact"/>
        <w:rPr>
          <w:sz w:val="20"/>
          <w:szCs w:val="20"/>
          <w:color w:val="auto"/>
        </w:rPr>
      </w:pPr>
    </w:p>
    <w:p>
      <w:pPr>
        <w:ind w:left="10" w:right="40" w:firstLine="601"/>
        <w:spacing w:after="0" w:line="256" w:lineRule="auto"/>
        <w:rPr>
          <w:sz w:val="20"/>
          <w:szCs w:val="20"/>
          <w:color w:val="auto"/>
        </w:rPr>
      </w:pPr>
      <w:r>
        <w:rPr>
          <w:rFonts w:ascii="Times New Roman" w:cs="Times New Roman" w:eastAsia="Times New Roman" w:hAnsi="Times New Roman"/>
          <w:sz w:val="19"/>
          <w:szCs w:val="19"/>
          <w:color w:val="1E1E1E"/>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No Class B common stock were converted to Class A common stock during 2022.</w:t>
      </w:r>
    </w:p>
    <w:p>
      <w:pPr>
        <w:spacing w:after="0" w:line="144" w:lineRule="exact"/>
        <w:rPr>
          <w:sz w:val="20"/>
          <w:szCs w:val="20"/>
          <w:color w:val="auto"/>
        </w:rPr>
      </w:pPr>
    </w:p>
    <w:p>
      <w:pPr>
        <w:ind w:left="10" w:firstLine="601"/>
        <w:spacing w:after="0" w:line="267" w:lineRule="auto"/>
        <w:rPr>
          <w:sz w:val="20"/>
          <w:szCs w:val="20"/>
          <w:color w:val="auto"/>
        </w:rPr>
      </w:pPr>
      <w:r>
        <w:rPr>
          <w:rFonts w:ascii="Times New Roman" w:cs="Times New Roman" w:eastAsia="Times New Roman" w:hAnsi="Times New Roman"/>
          <w:sz w:val="19"/>
          <w:szCs w:val="19"/>
          <w:color w:val="1E1E1E"/>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ectPr>
          <w:pgSz w:w="11880" w:h="15480" w:orient="portrait"/>
          <w:cols w:equalWidth="0" w:num="1">
            <w:col w:w="9770"/>
          </w:cols>
          <w:pgMar w:left="1050" w:top="1306"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86</w:t>
      </w:r>
    </w:p>
    <w:p>
      <w:pPr>
        <w:sectPr>
          <w:pgSz w:w="11880" w:h="15480" w:orient="portrait"/>
          <w:cols w:equalWidth="0" w:num="1">
            <w:col w:w="9770"/>
          </w:cols>
          <w:pgMar w:left="1050" w:top="1306" w:right="1060" w:bottom="215" w:gutter="0" w:footer="0" w:header="0"/>
          <w:type w:val="continuous"/>
        </w:sectPr>
      </w:pPr>
    </w:p>
    <w:bookmarkStart w:id="92" w:name="page93"/>
    <w:bookmarkEnd w:id="92"/>
    <w:p>
      <w:pPr>
        <w:ind w:left="610" w:hanging="610"/>
        <w:spacing w:after="0"/>
        <w:tabs>
          <w:tab w:leader="none" w:pos="610" w:val="left"/>
        </w:tabs>
        <w:numPr>
          <w:ilvl w:val="0"/>
          <w:numId w:val="6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Convertible Preferred Stock</w:t>
      </w:r>
    </w:p>
    <w:p>
      <w:pPr>
        <w:spacing w:after="0" w:line="124" w:lineRule="exact"/>
        <w:rPr>
          <w:sz w:val="20"/>
          <w:szCs w:val="20"/>
          <w:color w:val="auto"/>
        </w:rPr>
      </w:pPr>
    </w:p>
    <w:p>
      <w:pPr>
        <w:ind w:left="10" w:right="40" w:firstLine="601"/>
        <w:spacing w:after="0" w:line="254" w:lineRule="auto"/>
        <w:rPr>
          <w:sz w:val="20"/>
          <w:szCs w:val="20"/>
          <w:color w:val="auto"/>
        </w:rPr>
      </w:pPr>
      <w:r>
        <w:rPr>
          <w:rFonts w:ascii="Times New Roman" w:cs="Times New Roman" w:eastAsia="Times New Roman" w:hAnsi="Times New Roman"/>
          <w:sz w:val="19"/>
          <w:szCs w:val="19"/>
          <w:color w:val="1E1E1E"/>
        </w:rPr>
        <w:t>The Company issued the following series of its preferred stock–Series Seed-1 Convertible Preferred Stock in September 2013, Series Seed-2 Convertible Preferred Stock in July 2014, Series A-1 Convertible Preferred Stock in October 2015, Series A-2 Convertible Preferred Stock in December 2016 and July 2020, Series B Convertible Preferred Stock in June 2017 and July 2020, Series C Convertible Preferred Stock in June 2018 and July 2020, Series D Convertible Preferred Stock in May 2019 and July 2020, Series E Convertible Preferred Stock in July 2020 (collectively referred to as the “Convertible Preferred Stock”).</w:t>
      </w:r>
    </w:p>
    <w:p>
      <w:pPr>
        <w:spacing w:after="0" w:line="291" w:lineRule="exact"/>
        <w:rPr>
          <w:sz w:val="20"/>
          <w:szCs w:val="20"/>
          <w:color w:val="auto"/>
        </w:rPr>
      </w:pPr>
    </w:p>
    <w:p>
      <w:pPr>
        <w:ind w:left="10" w:firstLine="601"/>
        <w:spacing w:after="0" w:line="267" w:lineRule="auto"/>
        <w:rPr>
          <w:sz w:val="20"/>
          <w:szCs w:val="20"/>
          <w:color w:val="auto"/>
        </w:rPr>
      </w:pPr>
      <w:r>
        <w:rPr>
          <w:rFonts w:ascii="Times New Roman" w:cs="Times New Roman" w:eastAsia="Times New Roman" w:hAnsi="Times New Roman"/>
          <w:sz w:val="19"/>
          <w:szCs w:val="19"/>
          <w:color w:val="1E1E1E"/>
        </w:rPr>
        <w:t>In connection with the Company's IPO on July 2, 2021, 27,758,941 shares of Convertible Preferred Stock were converted to Class A common stock. Of those 27,758,941 shares of Convertible Preferred Stock, 407,308 were exchanged for Class B common stock.</w:t>
      </w:r>
    </w:p>
    <w:p>
      <w:pPr>
        <w:spacing w:after="0" w:line="200" w:lineRule="exact"/>
        <w:rPr>
          <w:sz w:val="20"/>
          <w:szCs w:val="20"/>
          <w:color w:val="auto"/>
        </w:rPr>
      </w:pPr>
    </w:p>
    <w:p>
      <w:pPr>
        <w:spacing w:after="0" w:line="348" w:lineRule="exact"/>
        <w:rPr>
          <w:sz w:val="20"/>
          <w:szCs w:val="20"/>
          <w:color w:val="auto"/>
        </w:rPr>
      </w:pPr>
    </w:p>
    <w:p>
      <w:pPr>
        <w:ind w:left="610" w:hanging="610"/>
        <w:spacing w:after="0"/>
        <w:tabs>
          <w:tab w:leader="none" w:pos="610" w:val="left"/>
        </w:tabs>
        <w:numPr>
          <w:ilvl w:val="0"/>
          <w:numId w:val="65"/>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Stock Based Compensation</w:t>
      </w:r>
    </w:p>
    <w:p>
      <w:pPr>
        <w:spacing w:after="0" w:line="124" w:lineRule="exact"/>
        <w:rPr>
          <w:sz w:val="20"/>
          <w:szCs w:val="20"/>
          <w:color w:val="auto"/>
        </w:rPr>
      </w:pPr>
    </w:p>
    <w:p>
      <w:pPr>
        <w:ind w:left="10" w:firstLine="601"/>
        <w:spacing w:after="0" w:line="256" w:lineRule="auto"/>
        <w:rPr>
          <w:sz w:val="20"/>
          <w:szCs w:val="20"/>
          <w:color w:val="auto"/>
        </w:rPr>
      </w:pPr>
      <w:r>
        <w:rPr>
          <w:rFonts w:ascii="Times New Roman" w:cs="Times New Roman" w:eastAsia="Times New Roman" w:hAnsi="Times New Roman"/>
          <w:sz w:val="19"/>
          <w:szCs w:val="19"/>
          <w:color w:val="1E1E1E"/>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44" w:lineRule="exact"/>
        <w:rPr>
          <w:sz w:val="20"/>
          <w:szCs w:val="20"/>
          <w:color w:val="auto"/>
        </w:rPr>
      </w:pPr>
    </w:p>
    <w:p>
      <w:pPr>
        <w:ind w:left="10" w:firstLine="601"/>
        <w:spacing w:after="0" w:line="260" w:lineRule="auto"/>
        <w:rPr>
          <w:sz w:val="20"/>
          <w:szCs w:val="20"/>
          <w:color w:val="auto"/>
        </w:rPr>
      </w:pPr>
      <w:r>
        <w:rPr>
          <w:rFonts w:ascii="Times New Roman" w:cs="Times New Roman" w:eastAsia="Times New Roman" w:hAnsi="Times New Roman"/>
          <w:sz w:val="19"/>
          <w:szCs w:val="19"/>
          <w:color w:val="1E1E1E"/>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40" w:lineRule="exact"/>
        <w:rPr>
          <w:sz w:val="20"/>
          <w:szCs w:val="20"/>
          <w:color w:val="auto"/>
        </w:rPr>
      </w:pPr>
    </w:p>
    <w:p>
      <w:pPr>
        <w:ind w:left="10" w:right="80" w:firstLine="601"/>
        <w:spacing w:after="0" w:line="252" w:lineRule="auto"/>
        <w:rPr>
          <w:sz w:val="20"/>
          <w:szCs w:val="20"/>
          <w:color w:val="auto"/>
        </w:rPr>
      </w:pPr>
      <w:r>
        <w:rPr>
          <w:rFonts w:ascii="Times New Roman" w:cs="Times New Roman" w:eastAsia="Times New Roman" w:hAnsi="Times New Roman"/>
          <w:sz w:val="19"/>
          <w:szCs w:val="19"/>
          <w:color w:val="1E1E1E"/>
        </w:rPr>
        <w:t>In connection with the Company’s initial public offering on July 2,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150" w:lineRule="exact"/>
        <w:rPr>
          <w:sz w:val="20"/>
          <w:szCs w:val="20"/>
          <w:color w:val="auto"/>
        </w:rPr>
      </w:pPr>
    </w:p>
    <w:p>
      <w:pPr>
        <w:ind w:left="10" w:right="360" w:firstLine="601"/>
        <w:spacing w:after="0" w:line="290" w:lineRule="auto"/>
        <w:rPr>
          <w:sz w:val="20"/>
          <w:szCs w:val="20"/>
          <w:color w:val="auto"/>
        </w:rPr>
      </w:pPr>
      <w:r>
        <w:rPr>
          <w:rFonts w:ascii="Times New Roman" w:cs="Times New Roman" w:eastAsia="Times New Roman" w:hAnsi="Times New Roman"/>
          <w:sz w:val="19"/>
          <w:szCs w:val="19"/>
          <w:color w:val="1E1E1E"/>
        </w:rPr>
        <w:t>As of December 31, 2023, there were 5,765,450 shares available for the Company to grant under the 2021 Equity Incentive Plan.</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1E1E1E"/>
        </w:rPr>
        <w:t>Stock Options</w:t>
      </w:r>
    </w:p>
    <w:p>
      <w:pPr>
        <w:spacing w:after="0" w:line="202" w:lineRule="exact"/>
        <w:rPr>
          <w:sz w:val="20"/>
          <w:szCs w:val="20"/>
          <w:color w:val="auto"/>
        </w:rPr>
      </w:pPr>
    </w:p>
    <w:p>
      <w:pPr>
        <w:ind w:left="10" w:firstLine="699"/>
        <w:spacing w:after="0" w:line="254" w:lineRule="auto"/>
        <w:rPr>
          <w:sz w:val="20"/>
          <w:szCs w:val="20"/>
          <w:color w:val="auto"/>
        </w:rPr>
      </w:pPr>
      <w:r>
        <w:rPr>
          <w:rFonts w:ascii="Times New Roman" w:cs="Times New Roman" w:eastAsia="Times New Roman" w:hAnsi="Times New Roman"/>
          <w:sz w:val="19"/>
          <w:szCs w:val="19"/>
          <w:color w:val="1E1E1E"/>
        </w:rPr>
        <w:t>Prior to the Company's IPO on July 2, 2021, the fair value of the Company's common stock was estimated by management as there was no public market for the Company's common stock. Xometry's market-based methodology considered a number of objective and subjective factors including third-party valuations of its common stock, the valuation of comparable companies, sales of the Company's convertible preferred stock to outside investors in arms-length transactions the Company's operating and financial performance, the lack of marketability, and general and industry specific economic outlook, amongst others.</w:t>
      </w:r>
    </w:p>
    <w:p>
      <w:pPr>
        <w:spacing w:after="0" w:line="145"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The weighted average assumptions for the year ended December 31, 2023 and 2022 are provided in the following</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table.</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tcBorders>
              <w:bottom w:val="single" w:sz="8" w:color="1E1E1E"/>
            </w:tcBorders>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60" w:type="dxa"/>
            <w:vAlign w:val="bottom"/>
            <w:tcBorders>
              <w:bottom w:val="single" w:sz="8" w:color="1E1E1E"/>
            </w:tcBorders>
          </w:tcPr>
          <w:p>
            <w:pPr>
              <w:spacing w:after="0"/>
              <w:rPr>
                <w:sz w:val="17"/>
                <w:szCs w:val="17"/>
                <w:color w:val="auto"/>
              </w:rPr>
            </w:pPr>
          </w:p>
        </w:tc>
        <w:tc>
          <w:tcPr>
            <w:tcW w:w="160" w:type="dxa"/>
            <w:vAlign w:val="bottom"/>
          </w:tcPr>
          <w:p>
            <w:pPr>
              <w:spacing w:after="0"/>
              <w:rPr>
                <w:sz w:val="17"/>
                <w:szCs w:val="17"/>
                <w:color w:val="auto"/>
              </w:rPr>
            </w:pPr>
          </w:p>
        </w:tc>
      </w:tr>
      <w:tr>
        <w:trPr>
          <w:trHeight w:val="168"/>
        </w:trPr>
        <w:tc>
          <w:tcPr>
            <w:tcW w:w="6580" w:type="dxa"/>
            <w:vAlign w:val="bottom"/>
            <w:tcBorders>
              <w:bottom w:val="single" w:sz="8" w:color="E4E4E4"/>
            </w:tcBorders>
          </w:tcPr>
          <w:p>
            <w:pPr>
              <w:spacing w:after="0"/>
              <w:rPr>
                <w:sz w:val="14"/>
                <w:szCs w:val="14"/>
                <w:color w:val="auto"/>
              </w:rPr>
            </w:pPr>
          </w:p>
        </w:tc>
        <w:tc>
          <w:tcPr>
            <w:tcW w:w="140" w:type="dxa"/>
            <w:vAlign w:val="bottom"/>
            <w:tcBorders>
              <w:bottom w:val="single" w:sz="8" w:color="E4E4E4"/>
            </w:tcBorders>
          </w:tcPr>
          <w:p>
            <w:pPr>
              <w:spacing w:after="0"/>
              <w:rPr>
                <w:sz w:val="14"/>
                <w:szCs w:val="14"/>
                <w:color w:val="auto"/>
              </w:rPr>
            </w:pPr>
          </w:p>
        </w:tc>
        <w:tc>
          <w:tcPr>
            <w:tcW w:w="82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460" w:type="dxa"/>
            <w:vAlign w:val="bottom"/>
            <w:tcBorders>
              <w:bottom w:val="single" w:sz="8" w:color="1E1E1E"/>
            </w:tcBorders>
          </w:tcPr>
          <w:p>
            <w:pPr>
              <w:spacing w:after="0"/>
              <w:rPr>
                <w:sz w:val="14"/>
                <w:szCs w:val="14"/>
                <w:color w:val="auto"/>
              </w:rPr>
            </w:pPr>
          </w:p>
        </w:tc>
        <w:tc>
          <w:tcPr>
            <w:tcW w:w="320" w:type="dxa"/>
            <w:vAlign w:val="bottom"/>
            <w:tcBorders>
              <w:bottom w:val="single" w:sz="8" w:color="E4E4E4"/>
            </w:tcBorders>
          </w:tcPr>
          <w:p>
            <w:pPr>
              <w:spacing w:after="0"/>
              <w:rPr>
                <w:sz w:val="14"/>
                <w:szCs w:val="14"/>
                <w:color w:val="auto"/>
              </w:rPr>
            </w:pPr>
          </w:p>
        </w:tc>
        <w:tc>
          <w:tcPr>
            <w:tcW w:w="82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460" w:type="dxa"/>
            <w:vAlign w:val="bottom"/>
            <w:tcBorders>
              <w:bottom w:val="single" w:sz="8" w:color="1E1E1E"/>
            </w:tcBorders>
          </w:tcPr>
          <w:p>
            <w:pPr>
              <w:spacing w:after="0"/>
              <w:rPr>
                <w:sz w:val="14"/>
                <w:szCs w:val="14"/>
                <w:color w:val="auto"/>
              </w:rPr>
            </w:pPr>
          </w:p>
        </w:tc>
        <w:tc>
          <w:tcPr>
            <w:tcW w:w="160" w:type="dxa"/>
            <w:vAlign w:val="bottom"/>
            <w:tcBorders>
              <w:bottom w:val="single" w:sz="8" w:color="E4E4E4"/>
            </w:tcBorders>
          </w:tcPr>
          <w:p>
            <w:pPr>
              <w:spacing w:after="0"/>
              <w:rPr>
                <w:sz w:val="14"/>
                <w:szCs w:val="14"/>
                <w:color w:val="auto"/>
              </w:rPr>
            </w:pPr>
          </w:p>
        </w:tc>
      </w:tr>
      <w:tr>
        <w:trPr>
          <w:trHeight w:val="213"/>
        </w:trPr>
        <w:tc>
          <w:tcPr>
            <w:tcW w:w="65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Valuation assumptions:</w:t>
            </w:r>
          </w:p>
        </w:tc>
        <w:tc>
          <w:tcPr>
            <w:tcW w:w="14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320" w:type="dxa"/>
            <w:vAlign w:val="bottom"/>
            <w:shd w:val="clear" w:color="auto" w:fill="E4E4E4"/>
          </w:tcPr>
          <w:p>
            <w:pPr>
              <w:spacing w:after="0"/>
              <w:rPr>
                <w:sz w:val="18"/>
                <w:szCs w:val="18"/>
                <w:color w:val="auto"/>
              </w:rPr>
            </w:pPr>
          </w:p>
        </w:tc>
        <w:tc>
          <w:tcPr>
            <w:tcW w:w="82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Expected dividend yield</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60" w:type="dxa"/>
            <w:vAlign w:val="bottom"/>
          </w:tcPr>
          <w:p>
            <w:pPr>
              <w:spacing w:after="0"/>
              <w:rPr>
                <w:sz w:val="19"/>
                <w:szCs w:val="19"/>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Expected volatility</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78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81%</w:t>
            </w:r>
          </w:p>
        </w:tc>
        <w:tc>
          <w:tcPr>
            <w:tcW w:w="820" w:type="dxa"/>
            <w:vAlign w:val="bottom"/>
            <w:shd w:val="clear" w:color="auto" w:fill="E4E4E4"/>
          </w:tcPr>
          <w:p>
            <w:pPr>
              <w:spacing w:after="0"/>
              <w:rPr>
                <w:sz w:val="19"/>
                <w:szCs w:val="19"/>
                <w:color w:val="auto"/>
              </w:rPr>
            </w:pPr>
          </w:p>
        </w:tc>
        <w:tc>
          <w:tcPr>
            <w:tcW w:w="6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67%</w:t>
            </w: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Expected term (years)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1E1E1E"/>
              </w:rPr>
              <w:t>6.3</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5.9</w:t>
            </w:r>
          </w:p>
        </w:tc>
        <w:tc>
          <w:tcPr>
            <w:tcW w:w="160" w:type="dxa"/>
            <w:vAlign w:val="bottom"/>
          </w:tcPr>
          <w:p>
            <w:pPr>
              <w:spacing w:after="0"/>
              <w:rPr>
                <w:sz w:val="19"/>
                <w:szCs w:val="19"/>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Risk-free interest rate</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780" w:type="dxa"/>
            <w:vAlign w:val="bottom"/>
            <w:gridSpan w:val="2"/>
            <w:shd w:val="clear" w:color="auto" w:fill="E4E4E4"/>
          </w:tcPr>
          <w:p>
            <w:pPr>
              <w:jc w:val="right"/>
              <w:ind w:right="160"/>
              <w:spacing w:after="0"/>
              <w:rPr>
                <w:sz w:val="20"/>
                <w:szCs w:val="20"/>
                <w:color w:val="auto"/>
              </w:rPr>
            </w:pPr>
            <w:r>
              <w:rPr>
                <w:rFonts w:ascii="Times New Roman" w:cs="Times New Roman" w:eastAsia="Times New Roman" w:hAnsi="Times New Roman"/>
                <w:sz w:val="19"/>
                <w:szCs w:val="19"/>
                <w:color w:val="1E1E1E"/>
              </w:rPr>
              <w:t>3.8%</w:t>
            </w:r>
          </w:p>
        </w:tc>
        <w:tc>
          <w:tcPr>
            <w:tcW w:w="820" w:type="dxa"/>
            <w:vAlign w:val="bottom"/>
            <w:shd w:val="clear" w:color="auto" w:fill="E4E4E4"/>
          </w:tcPr>
          <w:p>
            <w:pPr>
              <w:spacing w:after="0"/>
              <w:rPr>
                <w:sz w:val="19"/>
                <w:szCs w:val="19"/>
                <w:color w:val="auto"/>
              </w:rPr>
            </w:pPr>
          </w:p>
        </w:tc>
        <w:tc>
          <w:tcPr>
            <w:tcW w:w="6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2.2%</w:t>
            </w:r>
          </w:p>
        </w:tc>
      </w:tr>
      <w:tr>
        <w:trPr>
          <w:trHeight w:val="260"/>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Fair value of share</w:t>
            </w:r>
          </w:p>
        </w:tc>
        <w:tc>
          <w:tcPr>
            <w:tcW w:w="960" w:type="dxa"/>
            <w:vAlign w:val="bottom"/>
            <w:gridSpan w:val="2"/>
          </w:tcPr>
          <w:p>
            <w:pPr>
              <w:jc w:val="right"/>
              <w:ind w:right="642"/>
              <w:spacing w:after="0"/>
              <w:rPr>
                <w:sz w:val="20"/>
                <w:szCs w:val="20"/>
                <w:color w:val="auto"/>
              </w:rPr>
            </w:pPr>
            <w:r>
              <w:rPr>
                <w:rFonts w:ascii="Times New Roman" w:cs="Times New Roman" w:eastAsia="Times New Roman" w:hAnsi="Times New Roman"/>
                <w:sz w:val="19"/>
                <w:szCs w:val="19"/>
                <w:color w:val="1E1E1E"/>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1E1E1E"/>
              </w:rPr>
              <w:t>15.97</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9"/>
                <w:szCs w:val="19"/>
                <w:color w:val="1E1E1E"/>
                <w:w w:val="8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37.60</w:t>
            </w:r>
          </w:p>
        </w:tc>
        <w:tc>
          <w:tcPr>
            <w:tcW w:w="16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70"/>
          </w:cols>
          <w:pgMar w:left="1050" w:top="1080" w:right="1060" w:bottom="21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87</w:t>
      </w:r>
    </w:p>
    <w:p>
      <w:pPr>
        <w:sectPr>
          <w:pgSz w:w="11880" w:h="15480" w:orient="portrait"/>
          <w:cols w:equalWidth="0" w:num="1">
            <w:col w:w="9770"/>
          </w:cols>
          <w:pgMar w:left="1050" w:top="1080" w:right="1060" w:bottom="215" w:gutter="0" w:footer="0" w:header="0"/>
          <w:type w:val="continuous"/>
        </w:sectPr>
      </w:pPr>
    </w:p>
    <w:bookmarkStart w:id="93" w:name="page94"/>
    <w:bookmarkEnd w:id="93"/>
    <w:p>
      <w:pPr>
        <w:spacing w:after="0" w:line="89" w:lineRule="exact"/>
        <w:rPr>
          <w:sz w:val="20"/>
          <w:szCs w:val="20"/>
          <w:color w:val="auto"/>
        </w:rPr>
      </w:pPr>
    </w:p>
    <w:p>
      <w:pPr>
        <w:ind w:right="220" w:firstLine="601"/>
        <w:spacing w:after="0" w:line="290" w:lineRule="auto"/>
        <w:rPr>
          <w:sz w:val="20"/>
          <w:szCs w:val="20"/>
          <w:color w:val="auto"/>
        </w:rPr>
      </w:pPr>
      <w:r>
        <w:rPr>
          <w:rFonts w:ascii="Times New Roman" w:cs="Times New Roman" w:eastAsia="Times New Roman" w:hAnsi="Times New Roman"/>
          <w:sz w:val="19"/>
          <w:szCs w:val="19"/>
          <w:color w:val="1E1E1E"/>
        </w:rPr>
        <w:t>A summary of the status of the Company’s stock option activity and the changes during the years then ended are as follows (in millions, except share, per share amounts and contractual term):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1E1E1E"/>
                <w:w w:val="97"/>
              </w:rPr>
              <w:t>Weighted</w:t>
            </w:r>
          </w:p>
        </w:tc>
        <w:tc>
          <w:tcPr>
            <w:tcW w:w="2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4"/>
              </w:rPr>
              <w:t>Average</w:t>
            </w:r>
          </w:p>
        </w:tc>
        <w:tc>
          <w:tcPr>
            <w:tcW w:w="120" w:type="dxa"/>
            <w:vAlign w:val="bottom"/>
          </w:tcPr>
          <w:p>
            <w:pPr>
              <w:spacing w:after="0"/>
              <w:rPr>
                <w:sz w:val="16"/>
                <w:szCs w:val="16"/>
                <w:color w:val="auto"/>
              </w:rPr>
            </w:pPr>
          </w:p>
        </w:tc>
        <w:tc>
          <w:tcPr>
            <w:tcW w:w="880" w:type="dxa"/>
            <w:vAlign w:val="bottom"/>
            <w:vMerge w:val="restart"/>
          </w:tcPr>
          <w:p>
            <w:pPr>
              <w:jc w:val="center"/>
              <w:ind w:right="28"/>
              <w:spacing w:after="0"/>
              <w:rPr>
                <w:sz w:val="20"/>
                <w:szCs w:val="20"/>
                <w:color w:val="auto"/>
              </w:rPr>
            </w:pPr>
            <w:r>
              <w:rPr>
                <w:rFonts w:ascii="Times New Roman" w:cs="Times New Roman" w:eastAsia="Times New Roman" w:hAnsi="Times New Roman"/>
                <w:sz w:val="16"/>
                <w:szCs w:val="16"/>
                <w:b w:val="1"/>
                <w:bCs w:val="1"/>
                <w:color w:val="1E1E1E"/>
                <w:w w:val="96"/>
              </w:rPr>
              <w:t>Aggregate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25"/>
              <w:spacing w:after="0" w:line="178" w:lineRule="exact"/>
              <w:rPr>
                <w:sz w:val="20"/>
                <w:szCs w:val="20"/>
                <w:color w:val="auto"/>
              </w:rPr>
            </w:pPr>
            <w:r>
              <w:rPr>
                <w:rFonts w:ascii="Times New Roman" w:cs="Times New Roman" w:eastAsia="Times New Roman" w:hAnsi="Times New Roman"/>
                <w:sz w:val="16"/>
                <w:szCs w:val="16"/>
                <w:b w:val="1"/>
                <w:bCs w:val="1"/>
                <w:color w:val="1E1E1E"/>
                <w:w w:val="94"/>
              </w:rPr>
              <w:t>Average</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6"/>
              </w:rPr>
              <w:t>Remaining</w:t>
            </w: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60"/>
              <w:spacing w:after="0" w:line="178" w:lineRule="exact"/>
              <w:rPr>
                <w:sz w:val="20"/>
                <w:szCs w:val="20"/>
                <w:color w:val="auto"/>
              </w:rPr>
            </w:pPr>
            <w:r>
              <w:rPr>
                <w:rFonts w:ascii="Times New Roman" w:cs="Times New Roman" w:eastAsia="Times New Roman" w:hAnsi="Times New Roman"/>
                <w:sz w:val="16"/>
                <w:szCs w:val="16"/>
                <w:b w:val="1"/>
                <w:bCs w:val="1"/>
                <w:color w:val="1E1E1E"/>
              </w:rPr>
              <w:t>Number of</w:t>
            </w:r>
          </w:p>
        </w:tc>
        <w:tc>
          <w:tcPr>
            <w:tcW w:w="960" w:type="dxa"/>
            <w:vAlign w:val="bottom"/>
            <w:gridSpan w:val="2"/>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1E1E1E"/>
                <w:w w:val="96"/>
              </w:rPr>
              <w:t>Exercise Price</w:t>
            </w:r>
          </w:p>
        </w:tc>
        <w:tc>
          <w:tcPr>
            <w:tcW w:w="2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6"/>
              </w:rPr>
              <w:t>Contractual</w:t>
            </w:r>
          </w:p>
        </w:tc>
        <w:tc>
          <w:tcPr>
            <w:tcW w:w="120" w:type="dxa"/>
            <w:vAlign w:val="bottom"/>
          </w:tcPr>
          <w:p>
            <w:pPr>
              <w:spacing w:after="0"/>
              <w:rPr>
                <w:sz w:val="15"/>
                <w:szCs w:val="15"/>
                <w:color w:val="auto"/>
              </w:rPr>
            </w:pPr>
          </w:p>
        </w:tc>
        <w:tc>
          <w:tcPr>
            <w:tcW w:w="880" w:type="dxa"/>
            <w:vAlign w:val="bottom"/>
          </w:tcPr>
          <w:p>
            <w:pPr>
              <w:jc w:val="center"/>
              <w:ind w:right="48"/>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Intrinsic</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40" w:type="dxa"/>
            <w:vAlign w:val="bottom"/>
          </w:tcPr>
          <w:p>
            <w:pPr>
              <w:spacing w:after="0"/>
              <w:rPr>
                <w:sz w:val="17"/>
                <w:szCs w:val="17"/>
                <w:color w:val="auto"/>
              </w:rPr>
            </w:pPr>
          </w:p>
        </w:tc>
        <w:tc>
          <w:tcPr>
            <w:tcW w:w="82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1E1E1E"/>
                <w:w w:val="97"/>
              </w:rPr>
              <w:t>Per Share</w:t>
            </w:r>
          </w:p>
        </w:tc>
        <w:tc>
          <w:tcPr>
            <w:tcW w:w="2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1E1E1E"/>
                <w:w w:val="99"/>
              </w:rPr>
              <w:t>Term</w:t>
            </w:r>
          </w:p>
        </w:tc>
        <w:tc>
          <w:tcPr>
            <w:tcW w:w="120" w:type="dxa"/>
            <w:vAlign w:val="bottom"/>
          </w:tcPr>
          <w:p>
            <w:pPr>
              <w:spacing w:after="0"/>
              <w:rPr>
                <w:sz w:val="17"/>
                <w:szCs w:val="17"/>
                <w:color w:val="auto"/>
              </w:rPr>
            </w:pPr>
          </w:p>
        </w:tc>
        <w:tc>
          <w:tcPr>
            <w:tcW w:w="88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1E1E1E"/>
                <w:w w:val="94"/>
              </w:rPr>
              <w:t>Value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Balance at December 31, 2020</w:t>
            </w:r>
          </w:p>
        </w:tc>
        <w:tc>
          <w:tcPr>
            <w:tcW w:w="10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3,152,774</w:t>
            </w:r>
          </w:p>
        </w:tc>
        <w:tc>
          <w:tcPr>
            <w:tcW w:w="20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2.97</w:t>
            </w:r>
          </w:p>
        </w:tc>
        <w:tc>
          <w:tcPr>
            <w:tcW w:w="20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8.3</w:t>
            </w:r>
          </w:p>
        </w:tc>
        <w:tc>
          <w:tcPr>
            <w:tcW w:w="2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spacing w:after="0"/>
              <w:rPr>
                <w:sz w:val="18"/>
                <w:szCs w:val="18"/>
                <w:color w:val="auto"/>
              </w:rPr>
            </w:pPr>
          </w:p>
        </w:tc>
        <w:tc>
          <w:tcPr>
            <w:tcW w:w="88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Granted</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1,393,431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12.24</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Exercised</w:t>
            </w:r>
          </w:p>
        </w:tc>
        <w:tc>
          <w:tcPr>
            <w:tcW w:w="134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(1,101,539)</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2.07</w:t>
            </w: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Forfeited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1E1E1E"/>
              </w:rPr>
              <w:t>(148,304)</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7.88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Expired</w:t>
            </w:r>
          </w:p>
        </w:tc>
        <w:tc>
          <w:tcPr>
            <w:tcW w:w="134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(9,492)</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2.65</w:t>
            </w: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Balance at December 31, 2021</w:t>
            </w:r>
          </w:p>
        </w:tc>
        <w:tc>
          <w:tcPr>
            <w:tcW w:w="100" w:type="dxa"/>
            <w:vAlign w:val="bottom"/>
          </w:tcPr>
          <w:p>
            <w:pPr>
              <w:spacing w:after="0"/>
              <w:rPr>
                <w:sz w:val="18"/>
                <w:szCs w:val="18"/>
                <w:color w:val="auto"/>
              </w:rPr>
            </w:pPr>
          </w:p>
        </w:tc>
        <w:tc>
          <w:tcPr>
            <w:tcW w:w="10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3,286,870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line="213" w:lineRule="exact"/>
              <w:rPr>
                <w:sz w:val="20"/>
                <w:szCs w:val="20"/>
                <w:color w:val="auto"/>
              </w:rPr>
            </w:pPr>
            <w:r>
              <w:rPr>
                <w:rFonts w:ascii="Times New Roman" w:cs="Times New Roman" w:eastAsia="Times New Roman" w:hAnsi="Times New Roman"/>
                <w:sz w:val="19"/>
                <w:szCs w:val="19"/>
                <w:color w:val="1E1E1E"/>
              </w:rPr>
              <w:t>6.98</w:t>
            </w:r>
          </w:p>
        </w:tc>
        <w:tc>
          <w:tcPr>
            <w:tcW w:w="1460" w:type="dxa"/>
            <w:vAlign w:val="bottom"/>
            <w:gridSpan w:val="3"/>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8.4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Exercisable at December 31, 2021</w:t>
            </w:r>
          </w:p>
        </w:tc>
        <w:tc>
          <w:tcPr>
            <w:tcW w:w="1340" w:type="dxa"/>
            <w:vAlign w:val="bottom"/>
            <w:gridSpan w:val="3"/>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987,622</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3.35</w:t>
            </w:r>
          </w:p>
        </w:tc>
        <w:tc>
          <w:tcPr>
            <w:tcW w:w="14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7.5</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1E1E1E"/>
              </w:rPr>
              <w:t>Balance at December 31, 2021</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1E1E1E"/>
              </w:rPr>
              <w:t>3,286,870</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6.98</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8.4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Granted</w:t>
            </w:r>
          </w:p>
        </w:tc>
        <w:tc>
          <w:tcPr>
            <w:tcW w:w="1340" w:type="dxa"/>
            <w:vAlign w:val="bottom"/>
            <w:gridSpan w:val="3"/>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377,253</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37.60</w:t>
            </w: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Exercised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1E1E1E"/>
              </w:rPr>
              <w:t>(682,958)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5.53</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Forfeited</w:t>
            </w:r>
          </w:p>
        </w:tc>
        <w:tc>
          <w:tcPr>
            <w:tcW w:w="134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(137,413)</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8.18</w:t>
            </w: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Expired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1E1E1E"/>
              </w:rPr>
              <w:t>(2,333)</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7.57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Balance at December 31, 2022</w:t>
            </w: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1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2,841,419</w:t>
            </w:r>
          </w:p>
        </w:tc>
        <w:tc>
          <w:tcPr>
            <w:tcW w:w="200" w:type="dxa"/>
            <w:vAlign w:val="bottom"/>
            <w:tcBorders>
              <w:top w:val="single" w:sz="8" w:color="E4E4E4"/>
              <w:bottom w:val="single" w:sz="8" w:color="E4E4E4"/>
            </w:tcBorders>
            <w:shd w:val="clear" w:color="auto" w:fill="E4E4E4"/>
          </w:tcPr>
          <w:p>
            <w:pPr>
              <w:spacing w:after="0"/>
              <w:rPr>
                <w:sz w:val="20"/>
                <w:szCs w:val="20"/>
                <w:color w:val="auto"/>
              </w:rPr>
            </w:pP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820" w:type="dxa"/>
            <w:vAlign w:val="bottom"/>
            <w:tcBorders>
              <w:top w:val="single" w:sz="8" w:color="E4E4E4"/>
              <w:bottom w:val="single" w:sz="8" w:color="E4E4E4"/>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11.33</w:t>
            </w:r>
          </w:p>
        </w:tc>
        <w:tc>
          <w:tcPr>
            <w:tcW w:w="1460" w:type="dxa"/>
            <w:vAlign w:val="bottom"/>
            <w:tcBorders>
              <w:top w:val="single" w:sz="8" w:color="E4E4E4"/>
              <w:bottom w:val="single" w:sz="8" w:color="E4E4E4"/>
            </w:tcBorders>
            <w:gridSpan w:val="3"/>
            <w:shd w:val="clear" w:color="auto" w:fill="E4E4E4"/>
          </w:tcPr>
          <w:p>
            <w:pPr>
              <w:jc w:val="right"/>
              <w:ind w:right="220"/>
              <w:spacing w:after="0" w:line="213" w:lineRule="exact"/>
              <w:rPr>
                <w:sz w:val="20"/>
                <w:szCs w:val="20"/>
                <w:color w:val="auto"/>
              </w:rPr>
            </w:pPr>
            <w:r>
              <w:rPr>
                <w:rFonts w:ascii="Times New Roman" w:cs="Times New Roman" w:eastAsia="Times New Roman" w:hAnsi="Times New Roman"/>
                <w:sz w:val="19"/>
                <w:szCs w:val="19"/>
                <w:color w:val="1E1E1E"/>
              </w:rPr>
              <w:t>7.7</w:t>
            </w: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88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Exercisable at December 31, 2022</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1E1E1E"/>
              </w:rPr>
              <w:t>1,391,047</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6.09</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7.2</w:t>
            </w: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36.4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Balance at December 31, 2022</w:t>
            </w:r>
          </w:p>
        </w:tc>
        <w:tc>
          <w:tcPr>
            <w:tcW w:w="1340" w:type="dxa"/>
            <w:vAlign w:val="bottom"/>
            <w:gridSpan w:val="3"/>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2,841,419</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11.33</w:t>
            </w:r>
          </w:p>
        </w:tc>
        <w:tc>
          <w:tcPr>
            <w:tcW w:w="14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7.7</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61.4</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Granted</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9"/>
                <w:szCs w:val="19"/>
                <w:color w:val="1E1E1E"/>
              </w:rPr>
              <w:t>474,237</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15.97</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Exercised</w:t>
            </w:r>
          </w:p>
        </w:tc>
        <w:tc>
          <w:tcPr>
            <w:tcW w:w="134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(264,445)</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7.04</w:t>
            </w:r>
          </w:p>
        </w:tc>
        <w:tc>
          <w:tcPr>
            <w:tcW w:w="200" w:type="dxa"/>
            <w:vAlign w:val="bottom"/>
            <w:shd w:val="clear" w:color="auto" w:fill="E4E4E4"/>
          </w:tcPr>
          <w:p>
            <w:pPr>
              <w:spacing w:after="0"/>
              <w:rPr>
                <w:sz w:val="19"/>
                <w:szCs w:val="19"/>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19"/>
                <w:szCs w:val="19"/>
                <w:color w:val="auto"/>
              </w:rPr>
            </w:pP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Forfeited</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1E1E1E"/>
              </w:rPr>
              <w:t>(152,418)</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18.20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Expired</w:t>
            </w:r>
          </w:p>
        </w:tc>
        <w:tc>
          <w:tcPr>
            <w:tcW w:w="134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(17,585)</w:t>
            </w:r>
          </w:p>
        </w:tc>
        <w:tc>
          <w:tcPr>
            <w:tcW w:w="14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28.50</w:t>
            </w:r>
          </w:p>
        </w:tc>
        <w:tc>
          <w:tcPr>
            <w:tcW w:w="200" w:type="dxa"/>
            <w:vAlign w:val="bottom"/>
            <w:shd w:val="clear" w:color="auto" w:fill="E4E4E4"/>
          </w:tcPr>
          <w:p>
            <w:pPr>
              <w:spacing w:after="0"/>
              <w:rPr>
                <w:sz w:val="21"/>
                <w:szCs w:val="21"/>
                <w:color w:val="auto"/>
              </w:rPr>
            </w:pPr>
          </w:p>
        </w:tc>
        <w:tc>
          <w:tcPr>
            <w:tcW w:w="1260" w:type="dxa"/>
            <w:vAlign w:val="bottom"/>
            <w:gridSpan w:val="2"/>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w:t>
            </w:r>
          </w:p>
        </w:tc>
        <w:tc>
          <w:tcPr>
            <w:tcW w:w="120" w:type="dxa"/>
            <w:vAlign w:val="bottom"/>
            <w:shd w:val="clear" w:color="auto" w:fill="E4E4E4"/>
          </w:tcPr>
          <w:p>
            <w:pPr>
              <w:spacing w:after="0"/>
              <w:rPr>
                <w:sz w:val="21"/>
                <w:szCs w:val="21"/>
                <w:color w:val="auto"/>
              </w:rPr>
            </w:pP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920" w:type="dxa"/>
            <w:vAlign w:val="bottom"/>
            <w:tcBorders>
              <w:top w:val="single" w:sz="8" w:color="E4E4E4"/>
              <w:bottom w:val="single" w:sz="8" w:color="E4E4E4"/>
            </w:tcBorders>
          </w:tcPr>
          <w:p>
            <w:pPr>
              <w:spacing w:after="0" w:line="193" w:lineRule="exact"/>
              <w:rPr>
                <w:sz w:val="20"/>
                <w:szCs w:val="20"/>
                <w:color w:val="auto"/>
              </w:rPr>
            </w:pPr>
            <w:r>
              <w:rPr>
                <w:rFonts w:ascii="Times New Roman" w:cs="Times New Roman" w:eastAsia="Times New Roman" w:hAnsi="Times New Roman"/>
                <w:sz w:val="19"/>
                <w:szCs w:val="19"/>
                <w:color w:val="1E1E1E"/>
              </w:rPr>
              <w:t>Balance at December 31, 2023</w:t>
            </w:r>
          </w:p>
        </w:tc>
        <w:tc>
          <w:tcPr>
            <w:tcW w:w="100" w:type="dxa"/>
            <w:vAlign w:val="bottom"/>
            <w:tcBorders>
              <w:top w:val="single" w:sz="8" w:color="E4E4E4"/>
              <w:bottom w:val="single" w:sz="8" w:color="E4E4E4"/>
            </w:tcBorders>
          </w:tcPr>
          <w:p>
            <w:pPr>
              <w:spacing w:after="0"/>
              <w:rPr>
                <w:sz w:val="20"/>
                <w:szCs w:val="20"/>
                <w:color w:val="auto"/>
              </w:rPr>
            </w:pPr>
          </w:p>
        </w:tc>
        <w:tc>
          <w:tcPr>
            <w:tcW w:w="1040" w:type="dxa"/>
            <w:vAlign w:val="bottom"/>
            <w:tcBorders>
              <w:top w:val="single" w:sz="8" w:color="1E1E1E"/>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2,881,208</w:t>
            </w:r>
          </w:p>
        </w:tc>
        <w:tc>
          <w:tcPr>
            <w:tcW w:w="200" w:type="dxa"/>
            <w:vAlign w:val="bottom"/>
            <w:tcBorders>
              <w:top w:val="single" w:sz="8" w:color="E4E4E4"/>
              <w:bottom w:val="single" w:sz="8" w:color="E4E4E4"/>
            </w:tcBorders>
          </w:tcPr>
          <w:p>
            <w:pPr>
              <w:spacing w:after="0"/>
              <w:rPr>
                <w:sz w:val="20"/>
                <w:szCs w:val="20"/>
                <w:color w:val="auto"/>
              </w:rPr>
            </w:pPr>
          </w:p>
        </w:tc>
        <w:tc>
          <w:tcPr>
            <w:tcW w:w="140" w:type="dxa"/>
            <w:vAlign w:val="bottom"/>
            <w:tcBorders>
              <w:top w:val="single" w:sz="8" w:color="E4E4E4"/>
              <w:bottom w:val="single" w:sz="8" w:color="E4E4E4"/>
            </w:tcBorders>
          </w:tcPr>
          <w:p>
            <w:pPr>
              <w:spacing w:after="0"/>
              <w:rPr>
                <w:sz w:val="20"/>
                <w:szCs w:val="20"/>
                <w:color w:val="auto"/>
              </w:rPr>
            </w:pPr>
          </w:p>
        </w:tc>
        <w:tc>
          <w:tcPr>
            <w:tcW w:w="820" w:type="dxa"/>
            <w:vAlign w:val="bottom"/>
            <w:tcBorders>
              <w:top w:val="single" w:sz="8" w:color="E4E4E4"/>
              <w:bottom w:val="single" w:sz="8" w:color="E4E4E4"/>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12.02</w:t>
            </w:r>
          </w:p>
        </w:tc>
        <w:tc>
          <w:tcPr>
            <w:tcW w:w="1460" w:type="dxa"/>
            <w:vAlign w:val="bottom"/>
            <w:tcBorders>
              <w:top w:val="single" w:sz="8" w:color="E4E4E4"/>
              <w:bottom w:val="single" w:sz="8" w:color="E4E4E4"/>
            </w:tcBorders>
            <w:gridSpan w:val="3"/>
          </w:tcPr>
          <w:p>
            <w:pPr>
              <w:jc w:val="right"/>
              <w:ind w:right="220"/>
              <w:spacing w:after="0" w:line="193" w:lineRule="exact"/>
              <w:rPr>
                <w:sz w:val="20"/>
                <w:szCs w:val="20"/>
                <w:color w:val="auto"/>
              </w:rPr>
            </w:pPr>
            <w:r>
              <w:rPr>
                <w:rFonts w:ascii="Times New Roman" w:cs="Times New Roman" w:eastAsia="Times New Roman" w:hAnsi="Times New Roman"/>
                <w:sz w:val="19"/>
                <w:szCs w:val="19"/>
                <w:color w:val="1E1E1E"/>
              </w:rPr>
              <w:t>7.0</w:t>
            </w:r>
          </w:p>
        </w:tc>
        <w:tc>
          <w:tcPr>
            <w:tcW w:w="120" w:type="dxa"/>
            <w:vAlign w:val="bottom"/>
            <w:tcBorders>
              <w:top w:val="single" w:sz="8" w:color="E4E4E4"/>
              <w:bottom w:val="single" w:sz="8" w:color="E4E4E4"/>
            </w:tcBorders>
          </w:tcPr>
          <w:p>
            <w:pPr>
              <w:spacing w:after="0"/>
              <w:rPr>
                <w:sz w:val="20"/>
                <w:szCs w:val="20"/>
                <w:color w:val="auto"/>
              </w:rPr>
            </w:pPr>
          </w:p>
        </w:tc>
        <w:tc>
          <w:tcPr>
            <w:tcW w:w="880" w:type="dxa"/>
            <w:vAlign w:val="bottom"/>
            <w:tcBorders>
              <w:top w:val="single" w:sz="8" w:color="E4E4E4"/>
              <w:bottom w:val="single" w:sz="8" w:color="E4E4E4"/>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69.6</w:t>
            </w:r>
          </w:p>
        </w:tc>
        <w:tc>
          <w:tcPr>
            <w:tcW w:w="80" w:type="dxa"/>
            <w:vAlign w:val="bottom"/>
            <w:tcBorders>
              <w:top w:val="single" w:sz="8" w:color="E4E4E4"/>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20" w:type="dxa"/>
            <w:vAlign w:val="bottom"/>
            <w:shd w:val="clear" w:color="auto" w:fill="E4E4E4"/>
          </w:tcPr>
          <w:p>
            <w:pPr>
              <w:ind w:left="180"/>
              <w:spacing w:after="0" w:line="207" w:lineRule="exact"/>
              <w:rPr>
                <w:sz w:val="20"/>
                <w:szCs w:val="20"/>
                <w:color w:val="auto"/>
              </w:rPr>
            </w:pPr>
            <w:r>
              <w:rPr>
                <w:rFonts w:ascii="Times New Roman" w:cs="Times New Roman" w:eastAsia="Times New Roman" w:hAnsi="Times New Roman"/>
                <w:sz w:val="19"/>
                <w:szCs w:val="19"/>
                <w:color w:val="1E1E1E"/>
              </w:rPr>
              <w:t>Exercisable at December 31, 2023</w:t>
            </w:r>
          </w:p>
        </w:tc>
        <w:tc>
          <w:tcPr>
            <w:tcW w:w="100" w:type="dxa"/>
            <w:vAlign w:val="bottom"/>
            <w:shd w:val="clear" w:color="auto" w:fill="E4E4E4"/>
          </w:tcPr>
          <w:p>
            <w:pPr>
              <w:spacing w:after="0"/>
              <w:rPr>
                <w:sz w:val="17"/>
                <w:szCs w:val="17"/>
                <w:color w:val="auto"/>
              </w:rPr>
            </w:pPr>
          </w:p>
        </w:tc>
        <w:tc>
          <w:tcPr>
            <w:tcW w:w="1040" w:type="dxa"/>
            <w:vAlign w:val="bottom"/>
            <w:shd w:val="clear" w:color="auto" w:fill="E4E4E4"/>
          </w:tcPr>
          <w:p>
            <w:pPr>
              <w:jc w:val="right"/>
              <w:spacing w:after="0" w:line="207" w:lineRule="exact"/>
              <w:rPr>
                <w:sz w:val="20"/>
                <w:szCs w:val="20"/>
                <w:color w:val="auto"/>
              </w:rPr>
            </w:pPr>
            <w:r>
              <w:rPr>
                <w:rFonts w:ascii="Times New Roman" w:cs="Times New Roman" w:eastAsia="Times New Roman" w:hAnsi="Times New Roman"/>
                <w:sz w:val="19"/>
                <w:szCs w:val="19"/>
                <w:color w:val="1E1E1E"/>
              </w:rPr>
              <w:t>1,859,740</w:t>
            </w:r>
          </w:p>
        </w:tc>
        <w:tc>
          <w:tcPr>
            <w:tcW w:w="20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820" w:type="dxa"/>
            <w:vAlign w:val="bottom"/>
            <w:shd w:val="clear" w:color="auto" w:fill="E4E4E4"/>
          </w:tcPr>
          <w:p>
            <w:pPr>
              <w:jc w:val="right"/>
              <w:spacing w:after="0" w:line="207" w:lineRule="exact"/>
              <w:rPr>
                <w:sz w:val="20"/>
                <w:szCs w:val="20"/>
                <w:color w:val="auto"/>
              </w:rPr>
            </w:pPr>
            <w:r>
              <w:rPr>
                <w:rFonts w:ascii="Times New Roman" w:cs="Times New Roman" w:eastAsia="Times New Roman" w:hAnsi="Times New Roman"/>
                <w:sz w:val="19"/>
                <w:szCs w:val="19"/>
                <w:color w:val="1E1E1E"/>
              </w:rPr>
              <w:t>8.78</w:t>
            </w:r>
          </w:p>
        </w:tc>
        <w:tc>
          <w:tcPr>
            <w:tcW w:w="1460" w:type="dxa"/>
            <w:vAlign w:val="bottom"/>
            <w:gridSpan w:val="3"/>
            <w:shd w:val="clear" w:color="auto" w:fill="E4E4E4"/>
          </w:tcPr>
          <w:p>
            <w:pPr>
              <w:jc w:val="right"/>
              <w:ind w:right="220"/>
              <w:spacing w:after="0" w:line="207" w:lineRule="exact"/>
              <w:rPr>
                <w:sz w:val="20"/>
                <w:szCs w:val="20"/>
                <w:color w:val="auto"/>
              </w:rPr>
            </w:pPr>
            <w:r>
              <w:rPr>
                <w:rFonts w:ascii="Times New Roman" w:cs="Times New Roman" w:eastAsia="Times New Roman" w:hAnsi="Times New Roman"/>
                <w:sz w:val="19"/>
                <w:szCs w:val="19"/>
                <w:color w:val="1E1E1E"/>
              </w:rPr>
              <w:t>6.4</w:t>
            </w:r>
          </w:p>
        </w:tc>
        <w:tc>
          <w:tcPr>
            <w:tcW w:w="120" w:type="dxa"/>
            <w:vAlign w:val="bottom"/>
            <w:shd w:val="clear" w:color="auto" w:fill="E4E4E4"/>
          </w:tcPr>
          <w:p>
            <w:pPr>
              <w:spacing w:after="0"/>
              <w:rPr>
                <w:sz w:val="17"/>
                <w:szCs w:val="17"/>
                <w:color w:val="auto"/>
              </w:rPr>
            </w:pPr>
          </w:p>
        </w:tc>
        <w:tc>
          <w:tcPr>
            <w:tcW w:w="880" w:type="dxa"/>
            <w:vAlign w:val="bottom"/>
            <w:shd w:val="clear" w:color="auto" w:fill="E4E4E4"/>
          </w:tcPr>
          <w:p>
            <w:pPr>
              <w:jc w:val="right"/>
              <w:spacing w:after="0" w:line="207" w:lineRule="exact"/>
              <w:rPr>
                <w:sz w:val="20"/>
                <w:szCs w:val="20"/>
                <w:color w:val="auto"/>
              </w:rPr>
            </w:pPr>
            <w:r>
              <w:rPr>
                <w:rFonts w:ascii="Times New Roman" w:cs="Times New Roman" w:eastAsia="Times New Roman" w:hAnsi="Times New Roman"/>
                <w:sz w:val="19"/>
                <w:szCs w:val="19"/>
                <w:color w:val="1E1E1E"/>
              </w:rPr>
              <w:t>50.7</w:t>
            </w:r>
          </w:p>
        </w:tc>
        <w:tc>
          <w:tcPr>
            <w:tcW w:w="8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ind w:right="200" w:firstLine="601"/>
        <w:spacing w:after="0" w:line="267" w:lineRule="auto"/>
        <w:rPr>
          <w:sz w:val="20"/>
          <w:szCs w:val="20"/>
          <w:color w:val="auto"/>
        </w:rPr>
      </w:pPr>
      <w:r>
        <w:rPr>
          <w:rFonts w:ascii="Times New Roman" w:cs="Times New Roman" w:eastAsia="Times New Roman" w:hAnsi="Times New Roman"/>
          <w:sz w:val="19"/>
          <w:szCs w:val="19"/>
          <w:color w:val="1E1E1E"/>
        </w:rPr>
        <w:t>The weighted average grant date fair value of options granted during the years ended December 31, 2023, 2022 and 2021 was $11.55, $22.94 and $26.23, respectively. The total intrinsic value of options exercised during the years ended December 31, 2023, 2022 and 2021 was $3.9 million, $25.1 million and $19.0 million, respectively.</w:t>
      </w:r>
    </w:p>
    <w:p>
      <w:pPr>
        <w:spacing w:after="0" w:line="134" w:lineRule="exact"/>
        <w:rPr>
          <w:sz w:val="20"/>
          <w:szCs w:val="20"/>
          <w:color w:val="auto"/>
        </w:rPr>
      </w:pPr>
    </w:p>
    <w:p>
      <w:pPr>
        <w:ind w:right="320" w:firstLine="601"/>
        <w:spacing w:after="0" w:line="267" w:lineRule="auto"/>
        <w:rPr>
          <w:sz w:val="20"/>
          <w:szCs w:val="20"/>
          <w:color w:val="auto"/>
        </w:rPr>
      </w:pPr>
      <w:r>
        <w:rPr>
          <w:rFonts w:ascii="Times New Roman" w:cs="Times New Roman" w:eastAsia="Times New Roman" w:hAnsi="Times New Roman"/>
          <w:sz w:val="19"/>
          <w:szCs w:val="19"/>
          <w:color w:val="1E1E1E"/>
        </w:rPr>
        <w:t>At December 31, 2023, there was $14.4 million of total unrecognized compensation cost related to unvested stock options granted under the 2021 and 2016 Equity Incentive Plans. That cost is expected to be recognized over a weighted average period of approximately two years as of December 31, 2023.</w:t>
      </w:r>
    </w:p>
    <w:p>
      <w:pPr>
        <w:spacing w:after="0" w:line="1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Company currently uses authorized and unissued shares to satisfy share award exercises.</w:t>
      </w:r>
    </w:p>
    <w:p>
      <w:pPr>
        <w:spacing w:after="0" w:line="228" w:lineRule="exact"/>
        <w:rPr>
          <w:sz w:val="20"/>
          <w:szCs w:val="20"/>
          <w:color w:val="auto"/>
        </w:rPr>
      </w:pPr>
    </w:p>
    <w:p>
      <w:pPr>
        <w:ind w:right="120" w:firstLine="601"/>
        <w:spacing w:after="0" w:line="252" w:lineRule="auto"/>
        <w:rPr>
          <w:sz w:val="20"/>
          <w:szCs w:val="20"/>
          <w:color w:val="auto"/>
        </w:rPr>
      </w:pPr>
      <w:r>
        <w:rPr>
          <w:rFonts w:ascii="Times New Roman" w:cs="Times New Roman" w:eastAsia="Times New Roman" w:hAnsi="Times New Roman"/>
          <w:sz w:val="19"/>
          <w:szCs w:val="19"/>
          <w:color w:val="1E1E1E"/>
        </w:rPr>
        <w:t>In April 2021, the Company granted stock options to purchase up to 1.3 million shares of our common stock at an exercise price of $12.32 per share which generally vest over a requisite service period of four years. In the second quarter of 2021, the Company assessed the fair value of the Company's April 2021 stock option grant, giving consideration to the Company's initial public offering price of $44.00 per share. The Company assumed a $28.00 per share fair value, which was based on a 30% discount from the midpoint of our initial price range, in order to determine the appropriate stock-based compensation expense for financial reporting purposes. The Company estimated that the fair value of the April 2021 grants approximated $25.6 million which is being recognized over four years from the grant date.</w:t>
      </w:r>
    </w:p>
    <w:p>
      <w:pPr>
        <w:sectPr>
          <w:pgSz w:w="11880" w:h="15480" w:orient="portrait"/>
          <w:cols w:equalWidth="0" w:num="1">
            <w:col w:w="9760"/>
          </w:cols>
          <w:pgMar w:left="1060" w:top="1440"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88</w:t>
      </w:r>
    </w:p>
    <w:p>
      <w:pPr>
        <w:sectPr>
          <w:pgSz w:w="11880" w:h="15480" w:orient="portrait"/>
          <w:cols w:equalWidth="0" w:num="1">
            <w:col w:w="9760"/>
          </w:cols>
          <w:pgMar w:left="1060" w:top="1440" w:right="1060" w:bottom="215" w:gutter="0" w:footer="0" w:header="0"/>
          <w:type w:val="continuous"/>
        </w:sectPr>
      </w:pPr>
    </w:p>
    <w:bookmarkStart w:id="94" w:name="page95"/>
    <w:bookmarkEnd w:id="94"/>
    <w:p>
      <w:pPr>
        <w:ind w:left="10"/>
        <w:spacing w:after="0"/>
        <w:rPr>
          <w:sz w:val="20"/>
          <w:szCs w:val="20"/>
          <w:color w:val="auto"/>
        </w:rPr>
      </w:pPr>
      <w:r>
        <w:rPr>
          <w:rFonts w:ascii="Times New Roman" w:cs="Times New Roman" w:eastAsia="Times New Roman" w:hAnsi="Times New Roman"/>
          <w:sz w:val="19"/>
          <w:szCs w:val="19"/>
          <w:b w:val="1"/>
          <w:bCs w:val="1"/>
          <w:color w:val="1E1E1E"/>
        </w:rPr>
        <w:t>Restricted Stock Units</w:t>
      </w:r>
    </w:p>
    <w:p>
      <w:pPr>
        <w:spacing w:after="0" w:line="124" w:lineRule="exact"/>
        <w:rPr>
          <w:sz w:val="20"/>
          <w:szCs w:val="20"/>
          <w:color w:val="auto"/>
        </w:rPr>
      </w:pPr>
    </w:p>
    <w:p>
      <w:pPr>
        <w:ind w:left="10" w:right="100" w:firstLine="601"/>
        <w:spacing w:after="0" w:line="290" w:lineRule="auto"/>
        <w:rPr>
          <w:sz w:val="20"/>
          <w:szCs w:val="20"/>
          <w:color w:val="auto"/>
        </w:rPr>
      </w:pPr>
      <w:r>
        <w:rPr>
          <w:rFonts w:ascii="Times New Roman" w:cs="Times New Roman" w:eastAsia="Times New Roman" w:hAnsi="Times New Roman"/>
          <w:sz w:val="19"/>
          <w:szCs w:val="19"/>
          <w:color w:val="1E1E1E"/>
        </w:rPr>
        <w:t>A summary of the status of the Company’s restricted stock unit activity and the changes during the year ended are as follows (in millions, except share and per share amounts):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w w:val="97"/>
              </w:rPr>
              <w:t>Weighted</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Average</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1E1E1E"/>
                <w:w w:val="96"/>
              </w:rPr>
              <w:t>Aggregate</w:t>
            </w:r>
          </w:p>
        </w:tc>
      </w:tr>
      <w:tr>
        <w:trPr>
          <w:trHeight w:val="178"/>
        </w:trPr>
        <w:tc>
          <w:tcPr>
            <w:tcW w:w="4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right"/>
              <w:ind w:right="700"/>
              <w:spacing w:after="0" w:line="178" w:lineRule="exact"/>
              <w:rPr>
                <w:sz w:val="20"/>
                <w:szCs w:val="20"/>
                <w:color w:val="auto"/>
              </w:rPr>
            </w:pPr>
            <w:r>
              <w:rPr>
                <w:rFonts w:ascii="Times New Roman" w:cs="Times New Roman" w:eastAsia="Times New Roman" w:hAnsi="Times New Roman"/>
                <w:sz w:val="16"/>
                <w:szCs w:val="16"/>
                <w:b w:val="1"/>
                <w:bCs w:val="1"/>
                <w:color w:val="1E1E1E"/>
              </w:rPr>
              <w:t>Number of</w:t>
            </w:r>
          </w:p>
        </w:tc>
        <w:tc>
          <w:tcPr>
            <w:tcW w:w="120" w:type="dxa"/>
            <w:vAlign w:val="bottom"/>
          </w:tcPr>
          <w:p>
            <w:pPr>
              <w:spacing w:after="0"/>
              <w:rPr>
                <w:sz w:val="15"/>
                <w:szCs w:val="15"/>
                <w:color w:val="auto"/>
              </w:rPr>
            </w:pPr>
          </w:p>
        </w:tc>
        <w:tc>
          <w:tcPr>
            <w:tcW w:w="1480" w:type="dxa"/>
            <w:vAlign w:val="bottom"/>
            <w:gridSpan w:val="2"/>
          </w:tcPr>
          <w:p>
            <w:pPr>
              <w:jc w:val="center"/>
              <w:ind w:right="44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Grant Date fair</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1E1E1E"/>
                <w:w w:val="95"/>
              </w:rPr>
              <w:t>Intrinsic</w:t>
            </w:r>
          </w:p>
        </w:tc>
      </w:tr>
      <w:tr>
        <w:trPr>
          <w:trHeight w:val="197"/>
        </w:trPr>
        <w:tc>
          <w:tcPr>
            <w:tcW w:w="4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6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6"/>
              </w:rPr>
              <w:t>value (per share)</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w w:val="94"/>
              </w:rPr>
              <w:t>Value</w:t>
            </w:r>
          </w:p>
        </w:tc>
      </w:tr>
      <w:tr>
        <w:trPr>
          <w:trHeight w:val="213"/>
        </w:trPr>
        <w:tc>
          <w:tcPr>
            <w:tcW w:w="48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Unvested RSUs as of December 31, 2020</w:t>
            </w:r>
          </w:p>
        </w:tc>
        <w:tc>
          <w:tcPr>
            <w:tcW w:w="18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3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1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340" w:type="dxa"/>
            <w:vAlign w:val="bottom"/>
            <w:tcBorders>
              <w:top w:val="single" w:sz="8" w:color="E4E4E4"/>
            </w:tcBorders>
            <w:shd w:val="clear" w:color="auto" w:fill="E4E4E4"/>
          </w:tcPr>
          <w:p>
            <w:pPr>
              <w:spacing w:after="0"/>
              <w:rPr>
                <w:sz w:val="18"/>
                <w:szCs w:val="18"/>
                <w:color w:val="auto"/>
              </w:rPr>
            </w:pPr>
          </w:p>
        </w:tc>
        <w:tc>
          <w:tcPr>
            <w:tcW w:w="18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8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Granted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193,722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64.02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9"/>
                <w:szCs w:val="19"/>
                <w:color w:val="auto"/>
              </w:rPr>
            </w:pPr>
          </w:p>
        </w:tc>
      </w:tr>
      <w:tr>
        <w:trPr>
          <w:trHeight w:val="223"/>
        </w:trPr>
        <w:tc>
          <w:tcPr>
            <w:tcW w:w="48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Vested</w:t>
            </w:r>
          </w:p>
        </w:tc>
        <w:tc>
          <w:tcPr>
            <w:tcW w:w="1980" w:type="dxa"/>
            <w:vAlign w:val="bottom"/>
            <w:gridSpan w:val="3"/>
            <w:shd w:val="clear" w:color="auto" w:fill="E4E4E4"/>
          </w:tcPr>
          <w:p>
            <w:pPr>
              <w:jc w:val="right"/>
              <w:ind w:right="260"/>
              <w:spacing w:after="0"/>
              <w:rPr>
                <w:sz w:val="20"/>
                <w:szCs w:val="20"/>
                <w:color w:val="auto"/>
              </w:rPr>
            </w:pPr>
            <w:r>
              <w:rPr>
                <w:rFonts w:ascii="Times New Roman" w:cs="Times New Roman" w:eastAsia="Times New Roman" w:hAnsi="Times New Roman"/>
                <w:sz w:val="19"/>
                <w:szCs w:val="19"/>
                <w:color w:val="1E1E1E"/>
              </w:rPr>
              <w:t>(1,954)</w:t>
            </w:r>
          </w:p>
        </w:tc>
        <w:tc>
          <w:tcPr>
            <w:tcW w:w="12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9"/>
                <w:szCs w:val="19"/>
                <w:color w:val="1E1E1E"/>
              </w:rPr>
              <w:t>73.17</w:t>
            </w:r>
          </w:p>
        </w:tc>
        <w:tc>
          <w:tcPr>
            <w:tcW w:w="180" w:type="dxa"/>
            <w:vAlign w:val="bottom"/>
            <w:shd w:val="clear" w:color="auto" w:fill="E4E4E4"/>
          </w:tcPr>
          <w:p>
            <w:pPr>
              <w:spacing w:after="0"/>
              <w:rPr>
                <w:sz w:val="19"/>
                <w:szCs w:val="19"/>
                <w:color w:val="auto"/>
              </w:rPr>
            </w:pPr>
          </w:p>
        </w:tc>
        <w:tc>
          <w:tcPr>
            <w:tcW w:w="11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Forfeited and cancelled</w:t>
            </w:r>
          </w:p>
        </w:tc>
        <w:tc>
          <w:tcPr>
            <w:tcW w:w="19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1E1E1E"/>
              </w:rPr>
              <w:t>(5,288)</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1E1E1E"/>
              </w:rPr>
              <w:t>63.58</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48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Unvested RSUs as of December 31, 2021</w:t>
            </w:r>
          </w:p>
        </w:tc>
        <w:tc>
          <w:tcPr>
            <w:tcW w:w="18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186,480</w:t>
            </w:r>
          </w:p>
        </w:tc>
        <w:tc>
          <w:tcPr>
            <w:tcW w:w="3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E4E4E4"/>
            </w:tcBorders>
            <w:gridSpan w:val="2"/>
            <w:shd w:val="clear" w:color="auto" w:fill="E4E4E4"/>
          </w:tcPr>
          <w:p>
            <w:pPr>
              <w:jc w:val="right"/>
              <w:ind w:right="340"/>
              <w:spacing w:after="0" w:line="213" w:lineRule="exact"/>
              <w:rPr>
                <w:sz w:val="20"/>
                <w:szCs w:val="20"/>
                <w:color w:val="auto"/>
              </w:rPr>
            </w:pPr>
            <w:r>
              <w:rPr>
                <w:rFonts w:ascii="Times New Roman" w:cs="Times New Roman" w:eastAsia="Times New Roman" w:hAnsi="Times New Roman"/>
                <w:sz w:val="19"/>
                <w:szCs w:val="19"/>
                <w:color w:val="1E1E1E"/>
              </w:rPr>
              <w:t>63.94</w:t>
            </w:r>
          </w:p>
        </w:tc>
        <w:tc>
          <w:tcPr>
            <w:tcW w:w="180" w:type="dxa"/>
            <w:vAlign w:val="bottom"/>
            <w:tcBorders>
              <w:top w:val="single" w:sz="8" w:color="E4E4E4"/>
            </w:tcBorders>
            <w:shd w:val="clear" w:color="auto" w:fill="E4E4E4"/>
          </w:tcPr>
          <w:p>
            <w:pPr>
              <w:spacing w:after="0"/>
              <w:rPr>
                <w:sz w:val="18"/>
                <w:szCs w:val="18"/>
                <w:color w:val="auto"/>
              </w:rPr>
            </w:pPr>
          </w:p>
        </w:tc>
        <w:tc>
          <w:tcPr>
            <w:tcW w:w="1160" w:type="dxa"/>
            <w:vAlign w:val="bottom"/>
            <w:tcBorders>
              <w:top w:val="single" w:sz="8" w:color="E4E4E4"/>
            </w:tcBorders>
            <w:gridSpan w:val="2"/>
            <w:shd w:val="clear" w:color="auto" w:fill="E4E4E4"/>
          </w:tcPr>
          <w:p>
            <w:pPr>
              <w:jc w:val="right"/>
              <w:ind w:right="80"/>
              <w:spacing w:after="0" w:line="213" w:lineRule="exact"/>
              <w:rPr>
                <w:sz w:val="20"/>
                <w:szCs w:val="20"/>
                <w:color w:val="auto"/>
              </w:rPr>
            </w:pPr>
            <w:r>
              <w:rPr>
                <w:rFonts w:ascii="Times New Roman" w:cs="Times New Roman" w:eastAsia="Times New Roman" w:hAnsi="Times New Roman"/>
                <w:sz w:val="19"/>
                <w:szCs w:val="19"/>
                <w:color w:val="1E1E1E"/>
              </w:rPr>
              <w:t>9.6</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Granted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917,661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1E1E1E"/>
              </w:rPr>
              <w:t>42.54</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48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Vested</w:t>
            </w:r>
          </w:p>
        </w:tc>
        <w:tc>
          <w:tcPr>
            <w:tcW w:w="1980" w:type="dxa"/>
            <w:vAlign w:val="bottom"/>
            <w:gridSpan w:val="3"/>
            <w:shd w:val="clear" w:color="auto" w:fill="E4E4E4"/>
          </w:tcPr>
          <w:p>
            <w:pPr>
              <w:jc w:val="right"/>
              <w:ind w:right="260"/>
              <w:spacing w:after="0"/>
              <w:rPr>
                <w:sz w:val="20"/>
                <w:szCs w:val="20"/>
                <w:color w:val="auto"/>
              </w:rPr>
            </w:pPr>
            <w:r>
              <w:rPr>
                <w:rFonts w:ascii="Times New Roman" w:cs="Times New Roman" w:eastAsia="Times New Roman" w:hAnsi="Times New Roman"/>
                <w:sz w:val="19"/>
                <w:szCs w:val="19"/>
                <w:color w:val="1E1E1E"/>
              </w:rPr>
              <w:t>(73,018)</w:t>
            </w:r>
          </w:p>
        </w:tc>
        <w:tc>
          <w:tcPr>
            <w:tcW w:w="12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9"/>
                <w:szCs w:val="19"/>
                <w:color w:val="1E1E1E"/>
              </w:rPr>
              <w:t>59.02</w:t>
            </w:r>
          </w:p>
        </w:tc>
        <w:tc>
          <w:tcPr>
            <w:tcW w:w="180" w:type="dxa"/>
            <w:vAlign w:val="bottom"/>
            <w:shd w:val="clear" w:color="auto" w:fill="E4E4E4"/>
          </w:tcPr>
          <w:p>
            <w:pPr>
              <w:spacing w:after="0"/>
              <w:rPr>
                <w:sz w:val="19"/>
                <w:szCs w:val="19"/>
                <w:color w:val="auto"/>
              </w:rPr>
            </w:pPr>
          </w:p>
        </w:tc>
        <w:tc>
          <w:tcPr>
            <w:tcW w:w="11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Forfeited and cancelled</w:t>
            </w:r>
          </w:p>
        </w:tc>
        <w:tc>
          <w:tcPr>
            <w:tcW w:w="19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1E1E1E"/>
              </w:rPr>
              <w:t>(155,221)</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1E1E1E"/>
              </w:rPr>
              <w:t>50.15</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484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Unvested RSUs as of December 31, 2022</w:t>
            </w:r>
          </w:p>
        </w:tc>
        <w:tc>
          <w:tcPr>
            <w:tcW w:w="18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875,902</w:t>
            </w:r>
          </w:p>
        </w:tc>
        <w:tc>
          <w:tcPr>
            <w:tcW w:w="3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1480" w:type="dxa"/>
            <w:vAlign w:val="bottom"/>
            <w:tcBorders>
              <w:top w:val="single" w:sz="8" w:color="E4E4E4"/>
            </w:tcBorders>
            <w:gridSpan w:val="2"/>
            <w:shd w:val="clear" w:color="auto" w:fill="E4E4E4"/>
          </w:tcPr>
          <w:p>
            <w:pPr>
              <w:jc w:val="right"/>
              <w:ind w:right="340"/>
              <w:spacing w:after="0" w:line="213" w:lineRule="exact"/>
              <w:rPr>
                <w:sz w:val="20"/>
                <w:szCs w:val="20"/>
                <w:color w:val="auto"/>
              </w:rPr>
            </w:pPr>
            <w:r>
              <w:rPr>
                <w:rFonts w:ascii="Times New Roman" w:cs="Times New Roman" w:eastAsia="Times New Roman" w:hAnsi="Times New Roman"/>
                <w:sz w:val="19"/>
                <w:szCs w:val="19"/>
                <w:color w:val="1E1E1E"/>
              </w:rPr>
              <w:t>44.37</w:t>
            </w:r>
          </w:p>
        </w:tc>
        <w:tc>
          <w:tcPr>
            <w:tcW w:w="180" w:type="dxa"/>
            <w:vAlign w:val="bottom"/>
            <w:tcBorders>
              <w:top w:val="single" w:sz="8" w:color="E4E4E4"/>
            </w:tcBorders>
            <w:shd w:val="clear" w:color="auto" w:fill="E4E4E4"/>
          </w:tcPr>
          <w:p>
            <w:pPr>
              <w:spacing w:after="0"/>
              <w:rPr>
                <w:sz w:val="18"/>
                <w:szCs w:val="18"/>
                <w:color w:val="auto"/>
              </w:rPr>
            </w:pPr>
          </w:p>
        </w:tc>
        <w:tc>
          <w:tcPr>
            <w:tcW w:w="1160" w:type="dxa"/>
            <w:vAlign w:val="bottom"/>
            <w:tcBorders>
              <w:top w:val="single" w:sz="8" w:color="E4E4E4"/>
            </w:tcBorders>
            <w:gridSpan w:val="2"/>
            <w:shd w:val="clear" w:color="auto" w:fill="E4E4E4"/>
          </w:tcPr>
          <w:p>
            <w:pPr>
              <w:jc w:val="right"/>
              <w:ind w:right="80"/>
              <w:spacing w:after="0" w:line="213" w:lineRule="exact"/>
              <w:rPr>
                <w:sz w:val="20"/>
                <w:szCs w:val="20"/>
                <w:color w:val="auto"/>
              </w:rPr>
            </w:pPr>
            <w:r>
              <w:rPr>
                <w:rFonts w:ascii="Times New Roman" w:cs="Times New Roman" w:eastAsia="Times New Roman" w:hAnsi="Times New Roman"/>
                <w:sz w:val="19"/>
                <w:szCs w:val="19"/>
                <w:color w:val="1E1E1E"/>
              </w:rPr>
              <w:t>28.2</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Granted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1,563,404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1E1E1E"/>
              </w:rPr>
              <w:t>16.57</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48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Vested</w:t>
            </w:r>
          </w:p>
        </w:tc>
        <w:tc>
          <w:tcPr>
            <w:tcW w:w="1980" w:type="dxa"/>
            <w:vAlign w:val="bottom"/>
            <w:gridSpan w:val="3"/>
            <w:shd w:val="clear" w:color="auto" w:fill="E4E4E4"/>
          </w:tcPr>
          <w:p>
            <w:pPr>
              <w:jc w:val="right"/>
              <w:ind w:right="260"/>
              <w:spacing w:after="0"/>
              <w:rPr>
                <w:sz w:val="20"/>
                <w:szCs w:val="20"/>
                <w:color w:val="auto"/>
              </w:rPr>
            </w:pPr>
            <w:r>
              <w:rPr>
                <w:rFonts w:ascii="Times New Roman" w:cs="Times New Roman" w:eastAsia="Times New Roman" w:hAnsi="Times New Roman"/>
                <w:sz w:val="19"/>
                <w:szCs w:val="19"/>
                <w:color w:val="1E1E1E"/>
              </w:rPr>
              <w:t>(340,595)</w:t>
            </w:r>
          </w:p>
        </w:tc>
        <w:tc>
          <w:tcPr>
            <w:tcW w:w="120" w:type="dxa"/>
            <w:vAlign w:val="bottom"/>
            <w:shd w:val="clear" w:color="auto" w:fill="E4E4E4"/>
          </w:tcPr>
          <w:p>
            <w:pPr>
              <w:spacing w:after="0"/>
              <w:rPr>
                <w:sz w:val="19"/>
                <w:szCs w:val="19"/>
                <w:color w:val="auto"/>
              </w:rPr>
            </w:pPr>
          </w:p>
        </w:tc>
        <w:tc>
          <w:tcPr>
            <w:tcW w:w="1480" w:type="dxa"/>
            <w:vAlign w:val="bottom"/>
            <w:gridSpan w:val="2"/>
            <w:shd w:val="clear" w:color="auto" w:fill="E4E4E4"/>
          </w:tcPr>
          <w:p>
            <w:pPr>
              <w:jc w:val="right"/>
              <w:ind w:right="340"/>
              <w:spacing w:after="0"/>
              <w:rPr>
                <w:sz w:val="20"/>
                <w:szCs w:val="20"/>
                <w:color w:val="auto"/>
              </w:rPr>
            </w:pPr>
            <w:r>
              <w:rPr>
                <w:rFonts w:ascii="Times New Roman" w:cs="Times New Roman" w:eastAsia="Times New Roman" w:hAnsi="Times New Roman"/>
                <w:sz w:val="19"/>
                <w:szCs w:val="19"/>
                <w:color w:val="1E1E1E"/>
              </w:rPr>
              <w:t>42.18</w:t>
            </w:r>
          </w:p>
        </w:tc>
        <w:tc>
          <w:tcPr>
            <w:tcW w:w="180" w:type="dxa"/>
            <w:vAlign w:val="bottom"/>
            <w:shd w:val="clear" w:color="auto" w:fill="E4E4E4"/>
          </w:tcPr>
          <w:p>
            <w:pPr>
              <w:spacing w:after="0"/>
              <w:rPr>
                <w:sz w:val="19"/>
                <w:szCs w:val="19"/>
                <w:color w:val="auto"/>
              </w:rPr>
            </w:pPr>
          </w:p>
        </w:tc>
        <w:tc>
          <w:tcPr>
            <w:tcW w:w="11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4840" w:type="dxa"/>
            <w:vAlign w:val="bottom"/>
          </w:tcPr>
          <w:p>
            <w:pPr>
              <w:spacing w:after="0"/>
              <w:rPr>
                <w:sz w:val="20"/>
                <w:szCs w:val="20"/>
                <w:color w:val="auto"/>
              </w:rPr>
            </w:pPr>
            <w:r>
              <w:rPr>
                <w:rFonts w:ascii="Times New Roman" w:cs="Times New Roman" w:eastAsia="Times New Roman" w:hAnsi="Times New Roman"/>
                <w:sz w:val="19"/>
                <w:szCs w:val="19"/>
                <w:color w:val="1E1E1E"/>
              </w:rPr>
              <w:t>Forfeited and cancelled</w:t>
            </w:r>
          </w:p>
        </w:tc>
        <w:tc>
          <w:tcPr>
            <w:tcW w:w="198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1E1E1E"/>
              </w:rPr>
              <w:t>(328,837)</w:t>
            </w:r>
          </w:p>
        </w:tc>
        <w:tc>
          <w:tcPr>
            <w:tcW w:w="1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1E1E1E"/>
              </w:rPr>
              <w:t>32.19</w:t>
            </w:r>
          </w:p>
        </w:tc>
        <w:tc>
          <w:tcPr>
            <w:tcW w:w="1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33"/>
        </w:trPr>
        <w:tc>
          <w:tcPr>
            <w:tcW w:w="484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Unvested RSUs as of December 31, 2023</w:t>
            </w:r>
          </w:p>
        </w:tc>
        <w:tc>
          <w:tcPr>
            <w:tcW w:w="180" w:type="dxa"/>
            <w:vAlign w:val="bottom"/>
            <w:tcBorders>
              <w:top w:val="single" w:sz="8" w:color="E4E4E4"/>
              <w:bottom w:val="single" w:sz="8" w:color="E4E4E4"/>
            </w:tcBorders>
            <w:shd w:val="clear" w:color="auto" w:fill="E4E4E4"/>
          </w:tcPr>
          <w:p>
            <w:pPr>
              <w:spacing w:after="0"/>
              <w:rPr>
                <w:sz w:val="20"/>
                <w:szCs w:val="20"/>
                <w:color w:val="auto"/>
              </w:rPr>
            </w:pPr>
          </w:p>
        </w:tc>
        <w:tc>
          <w:tcPr>
            <w:tcW w:w="148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1,769,874</w:t>
            </w:r>
          </w:p>
        </w:tc>
        <w:tc>
          <w:tcPr>
            <w:tcW w:w="320" w:type="dxa"/>
            <w:vAlign w:val="bottom"/>
            <w:tcBorders>
              <w:top w:val="single" w:sz="8" w:color="E4E4E4"/>
              <w:bottom w:val="single" w:sz="8" w:color="E4E4E4"/>
            </w:tcBorders>
            <w:shd w:val="clear" w:color="auto" w:fill="E4E4E4"/>
          </w:tcPr>
          <w:p>
            <w:pPr>
              <w:spacing w:after="0"/>
              <w:rPr>
                <w:sz w:val="20"/>
                <w:szCs w:val="20"/>
                <w:color w:val="auto"/>
              </w:rPr>
            </w:pP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1480" w:type="dxa"/>
            <w:vAlign w:val="bottom"/>
            <w:tcBorders>
              <w:top w:val="single" w:sz="8" w:color="E4E4E4"/>
              <w:bottom w:val="single" w:sz="8" w:color="E4E4E4"/>
            </w:tcBorders>
            <w:gridSpan w:val="2"/>
            <w:shd w:val="clear" w:color="auto" w:fill="E4E4E4"/>
          </w:tcPr>
          <w:p>
            <w:pPr>
              <w:jc w:val="right"/>
              <w:ind w:right="340"/>
              <w:spacing w:after="0" w:line="213" w:lineRule="exact"/>
              <w:rPr>
                <w:sz w:val="20"/>
                <w:szCs w:val="20"/>
                <w:color w:val="auto"/>
              </w:rPr>
            </w:pPr>
            <w:r>
              <w:rPr>
                <w:rFonts w:ascii="Times New Roman" w:cs="Times New Roman" w:eastAsia="Times New Roman" w:hAnsi="Times New Roman"/>
                <w:sz w:val="19"/>
                <w:szCs w:val="19"/>
                <w:color w:val="1E1E1E"/>
              </w:rPr>
              <w:t>22.50</w:t>
            </w:r>
          </w:p>
        </w:tc>
        <w:tc>
          <w:tcPr>
            <w:tcW w:w="180" w:type="dxa"/>
            <w:vAlign w:val="bottom"/>
            <w:tcBorders>
              <w:top w:val="single" w:sz="8" w:color="E4E4E4"/>
              <w:bottom w:val="single" w:sz="8" w:color="E4E4E4"/>
            </w:tcBorders>
            <w:shd w:val="clear" w:color="auto" w:fill="E4E4E4"/>
          </w:tcPr>
          <w:p>
            <w:pPr>
              <w:spacing w:after="0"/>
              <w:rPr>
                <w:sz w:val="20"/>
                <w:szCs w:val="20"/>
                <w:color w:val="auto"/>
              </w:rPr>
            </w:pPr>
          </w:p>
        </w:tc>
        <w:tc>
          <w:tcPr>
            <w:tcW w:w="1160" w:type="dxa"/>
            <w:vAlign w:val="bottom"/>
            <w:tcBorders>
              <w:top w:val="single" w:sz="8" w:color="E4E4E4"/>
              <w:bottom w:val="single" w:sz="8" w:color="E4E4E4"/>
            </w:tcBorders>
            <w:gridSpan w:val="2"/>
            <w:shd w:val="clear" w:color="auto" w:fill="E4E4E4"/>
          </w:tcPr>
          <w:p>
            <w:pPr>
              <w:jc w:val="right"/>
              <w:ind w:right="80"/>
              <w:spacing w:after="0" w:line="213" w:lineRule="exact"/>
              <w:rPr>
                <w:sz w:val="20"/>
                <w:szCs w:val="20"/>
                <w:color w:val="auto"/>
              </w:rPr>
            </w:pPr>
            <w:r>
              <w:rPr>
                <w:rFonts w:ascii="Times New Roman" w:cs="Times New Roman" w:eastAsia="Times New Roman" w:hAnsi="Times New Roman"/>
                <w:sz w:val="19"/>
                <w:szCs w:val="19"/>
                <w:color w:val="1E1E1E"/>
              </w:rPr>
              <w:t>63.6</w:t>
            </w:r>
          </w:p>
        </w:tc>
      </w:tr>
      <w:tr>
        <w:trPr>
          <w:trHeight w:val="20"/>
        </w:trPr>
        <w:tc>
          <w:tcPr>
            <w:tcW w:w="4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bottom w:val="single" w:sz="8" w:color="1E1E1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left="10" w:right="260" w:firstLine="601"/>
        <w:spacing w:after="0" w:line="267" w:lineRule="auto"/>
        <w:rPr>
          <w:sz w:val="20"/>
          <w:szCs w:val="20"/>
          <w:color w:val="auto"/>
        </w:rPr>
      </w:pPr>
      <w:r>
        <w:rPr>
          <w:rFonts w:ascii="Times New Roman" w:cs="Times New Roman" w:eastAsia="Times New Roman" w:hAnsi="Times New Roman"/>
          <w:sz w:val="19"/>
          <w:szCs w:val="19"/>
          <w:color w:val="1E1E1E"/>
        </w:rPr>
        <w:t>At December 31, 2023, there was approximately $33.0 million of total unrecognized compensation cost related to unvested restricted stock units granted under the 2021 Equity Incentive Plan. That cost is expected to be recognized over a weighted average period of approximately three years as of December 31, 2023.</w:t>
      </w:r>
    </w:p>
    <w:p>
      <w:pPr>
        <w:spacing w:after="0" w:line="134" w:lineRule="exact"/>
        <w:rPr>
          <w:sz w:val="20"/>
          <w:szCs w:val="20"/>
          <w:color w:val="auto"/>
        </w:rPr>
      </w:pPr>
    </w:p>
    <w:p>
      <w:pPr>
        <w:ind w:left="10" w:right="420" w:firstLine="601"/>
        <w:spacing w:after="0" w:line="246" w:lineRule="auto"/>
        <w:rPr>
          <w:sz w:val="20"/>
          <w:szCs w:val="20"/>
          <w:color w:val="auto"/>
        </w:rPr>
      </w:pPr>
      <w:r>
        <w:rPr>
          <w:rFonts w:ascii="Times New Roman" w:cs="Times New Roman" w:eastAsia="Times New Roman" w:hAnsi="Times New Roman"/>
          <w:sz w:val="19"/>
          <w:szCs w:val="19"/>
          <w:color w:val="1E1E1E"/>
        </w:rPr>
        <w:t>Total stock-based compensation cost for the years ended December 31, 2023, 2022 and 2021 were as follows (in thousands):</w:t>
      </w:r>
    </w:p>
    <w:tbl>
      <w:tblPr>
        <w:tblLayout w:type="fixed"/>
        <w:tblInd w:w="1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1E1E1E"/>
            </w:tcBorders>
          </w:tcPr>
          <w:p>
            <w:pPr>
              <w:spacing w:after="0"/>
              <w:rPr>
                <w:sz w:val="17"/>
                <w:szCs w:val="17"/>
                <w:color w:val="auto"/>
              </w:rPr>
            </w:pPr>
          </w:p>
        </w:tc>
        <w:tc>
          <w:tcPr>
            <w:tcW w:w="2360" w:type="dxa"/>
            <w:vAlign w:val="bottom"/>
            <w:tcBorders>
              <w:bottom w:val="single" w:sz="8" w:color="1E1E1E"/>
            </w:tcBorders>
            <w:gridSpan w:val="5"/>
          </w:tcPr>
          <w:p>
            <w:pPr>
              <w:ind w:left="5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60" w:type="dxa"/>
            <w:vAlign w:val="bottom"/>
            <w:tcBorders>
              <w:bottom w:val="single" w:sz="8" w:color="1E1E1E"/>
            </w:tcBorders>
          </w:tcPr>
          <w:p>
            <w:pPr>
              <w:spacing w:after="0"/>
              <w:rPr>
                <w:sz w:val="17"/>
                <w:szCs w:val="17"/>
                <w:color w:val="auto"/>
              </w:rPr>
            </w:pPr>
          </w:p>
        </w:tc>
        <w:tc>
          <w:tcPr>
            <w:tcW w:w="300" w:type="dxa"/>
            <w:vAlign w:val="bottom"/>
            <w:tcBorders>
              <w:bottom w:val="single" w:sz="8" w:color="1E1E1E"/>
            </w:tcBorders>
          </w:tcPr>
          <w:p>
            <w:pPr>
              <w:spacing w:after="0"/>
              <w:rPr>
                <w:sz w:val="17"/>
                <w:szCs w:val="17"/>
                <w:color w:val="auto"/>
              </w:rPr>
            </w:pPr>
          </w:p>
        </w:tc>
        <w:tc>
          <w:tcPr>
            <w:tcW w:w="10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1E1E1E"/>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560" w:type="dxa"/>
            <w:vAlign w:val="bottom"/>
            <w:tcBorders>
              <w:bottom w:val="single" w:sz="8" w:color="1E1E1E"/>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Borders>
              <w:bottom w:val="single" w:sz="8" w:color="1E1E1E"/>
            </w:tcBorders>
          </w:tcPr>
          <w:p>
            <w:pPr>
              <w:spacing w:after="0"/>
              <w:rPr>
                <w:sz w:val="14"/>
                <w:szCs w:val="14"/>
                <w:color w:val="auto"/>
              </w:rPr>
            </w:pPr>
          </w:p>
        </w:tc>
        <w:tc>
          <w:tcPr>
            <w:tcW w:w="1140" w:type="dxa"/>
            <w:vAlign w:val="bottom"/>
            <w:tcBorders>
              <w:bottom w:val="single" w:sz="8" w:color="1E1E1E"/>
            </w:tcBorders>
          </w:tcPr>
          <w:p>
            <w:pPr>
              <w:jc w:val="right"/>
              <w:ind w:right="506"/>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1E1E1E"/>
            </w:tcBorders>
          </w:tcPr>
          <w:p>
            <w:pPr>
              <w:spacing w:after="0"/>
              <w:rPr>
                <w:sz w:val="14"/>
                <w:szCs w:val="14"/>
                <w:color w:val="auto"/>
              </w:rPr>
            </w:pPr>
          </w:p>
        </w:tc>
        <w:tc>
          <w:tcPr>
            <w:tcW w:w="1020" w:type="dxa"/>
            <w:vAlign w:val="bottom"/>
            <w:tcBorders>
              <w:bottom w:val="single" w:sz="8" w:color="1E1E1E"/>
            </w:tcBorders>
          </w:tcPr>
          <w:p>
            <w:pPr>
              <w:jc w:val="right"/>
              <w:ind w:right="406"/>
              <w:spacing w:after="0" w:line="168"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8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Sales and marketing</w:t>
            </w:r>
          </w:p>
        </w:tc>
        <w:tc>
          <w:tcPr>
            <w:tcW w:w="1080" w:type="dxa"/>
            <w:vAlign w:val="bottom"/>
            <w:gridSpan w:val="2"/>
            <w:shd w:val="clear" w:color="auto" w:fill="E4E4E4"/>
          </w:tcPr>
          <w:p>
            <w:pPr>
              <w:jc w:val="right"/>
              <w:ind w:right="758"/>
              <w:spacing w:after="0"/>
              <w:rPr>
                <w:sz w:val="20"/>
                <w:szCs w:val="20"/>
                <w:color w:val="auto"/>
              </w:rPr>
            </w:pPr>
            <w:r>
              <w:rPr>
                <w:rFonts w:ascii="Times New Roman" w:cs="Times New Roman" w:eastAsia="Times New Roman" w:hAnsi="Times New Roman"/>
                <w:sz w:val="19"/>
                <w:szCs w:val="19"/>
                <w:color w:val="1E1E1E"/>
              </w:rPr>
              <w:t>$</w:t>
            </w:r>
          </w:p>
        </w:tc>
        <w:tc>
          <w:tcPr>
            <w:tcW w:w="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4,909</w:t>
            </w:r>
          </w:p>
        </w:tc>
        <w:tc>
          <w:tcPr>
            <w:tcW w:w="540" w:type="dxa"/>
            <w:vAlign w:val="bottom"/>
            <w:gridSpan w:val="2"/>
            <w:shd w:val="clear" w:color="auto" w:fill="E4E4E4"/>
          </w:tcPr>
          <w:p>
            <w:pPr>
              <w:jc w:val="right"/>
              <w:ind w:right="174"/>
              <w:spacing w:after="0"/>
              <w:rPr>
                <w:sz w:val="20"/>
                <w:szCs w:val="20"/>
                <w:color w:val="auto"/>
              </w:rPr>
            </w:pPr>
            <w:r>
              <w:rPr>
                <w:rFonts w:ascii="Times New Roman" w:cs="Times New Roman" w:eastAsia="Times New Roman" w:hAnsi="Times New Roman"/>
                <w:sz w:val="19"/>
                <w:szCs w:val="19"/>
                <w:color w:val="1E1E1E"/>
              </w:rPr>
              <w:t>$</w:t>
            </w: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3,875</w:t>
            </w:r>
          </w:p>
        </w:tc>
        <w:tc>
          <w:tcPr>
            <w:tcW w:w="120" w:type="dxa"/>
            <w:vAlign w:val="bottom"/>
            <w:shd w:val="clear" w:color="auto" w:fill="E4E4E4"/>
          </w:tcPr>
          <w:p>
            <w:pPr>
              <w:spacing w:after="0"/>
              <w:rPr>
                <w:sz w:val="19"/>
                <w:szCs w:val="19"/>
                <w:color w:val="auto"/>
              </w:rPr>
            </w:pPr>
          </w:p>
        </w:tc>
        <w:tc>
          <w:tcPr>
            <w:tcW w:w="360" w:type="dxa"/>
            <w:vAlign w:val="bottom"/>
            <w:gridSpan w:val="2"/>
            <w:shd w:val="clear" w:color="auto" w:fill="E4E4E4"/>
          </w:tcPr>
          <w:p>
            <w:pPr>
              <w:jc w:val="right"/>
              <w:ind w:right="103"/>
              <w:spacing w:after="0"/>
              <w:rPr>
                <w:sz w:val="20"/>
                <w:szCs w:val="20"/>
                <w:color w:val="auto"/>
              </w:rPr>
            </w:pPr>
            <w:r>
              <w:rPr>
                <w:rFonts w:ascii="Times New Roman" w:cs="Times New Roman" w:eastAsia="Times New Roman" w:hAnsi="Times New Roman"/>
                <w:sz w:val="19"/>
                <w:szCs w:val="19"/>
                <w:color w:val="1E1E1E"/>
              </w:rPr>
              <w:t>$</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1,223</w:t>
            </w:r>
          </w:p>
        </w:tc>
        <w:tc>
          <w:tcPr>
            <w:tcW w:w="80" w:type="dxa"/>
            <w:vAlign w:val="bottom"/>
            <w:shd w:val="clear" w:color="auto" w:fill="E4E4E4"/>
          </w:tcPr>
          <w:p>
            <w:pPr>
              <w:spacing w:after="0"/>
              <w:rPr>
                <w:sz w:val="19"/>
                <w:szCs w:val="19"/>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9"/>
                <w:szCs w:val="19"/>
                <w:color w:val="1E1E1E"/>
              </w:rPr>
              <w:t>Operations and support</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7,719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6,886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2,659</w:t>
            </w:r>
          </w:p>
        </w:tc>
        <w:tc>
          <w:tcPr>
            <w:tcW w:w="80" w:type="dxa"/>
            <w:vAlign w:val="bottom"/>
          </w:tcPr>
          <w:p>
            <w:pPr>
              <w:spacing w:after="0"/>
              <w:rPr>
                <w:sz w:val="19"/>
                <w:szCs w:val="19"/>
                <w:color w:val="auto"/>
              </w:rPr>
            </w:pPr>
          </w:p>
        </w:tc>
      </w:tr>
      <w:tr>
        <w:trPr>
          <w:trHeight w:val="223"/>
        </w:trPr>
        <w:tc>
          <w:tcPr>
            <w:tcW w:w="48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Product development</w:t>
            </w:r>
          </w:p>
        </w:tc>
        <w:tc>
          <w:tcPr>
            <w:tcW w:w="1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c>
          <w:tcPr>
            <w:tcW w:w="5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5,345</w:t>
            </w:r>
          </w:p>
        </w:tc>
        <w:tc>
          <w:tcPr>
            <w:tcW w:w="200" w:type="dxa"/>
            <w:vAlign w:val="bottom"/>
            <w:shd w:val="clear" w:color="auto" w:fill="E4E4E4"/>
          </w:tcPr>
          <w:p>
            <w:pPr>
              <w:spacing w:after="0"/>
              <w:rPr>
                <w:sz w:val="19"/>
                <w:szCs w:val="19"/>
                <w:color w:val="auto"/>
              </w:rPr>
            </w:pPr>
          </w:p>
        </w:tc>
        <w:tc>
          <w:tcPr>
            <w:tcW w:w="340" w:type="dxa"/>
            <w:vAlign w:val="bottom"/>
            <w:shd w:val="clear" w:color="auto" w:fill="E4E4E4"/>
          </w:tcPr>
          <w:p>
            <w:pPr>
              <w:spacing w:after="0"/>
              <w:rPr>
                <w:sz w:val="19"/>
                <w:szCs w:val="19"/>
                <w:color w:val="auto"/>
              </w:rPr>
            </w:pPr>
          </w:p>
        </w:tc>
        <w:tc>
          <w:tcPr>
            <w:tcW w:w="1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4,300</w:t>
            </w: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1,744</w:t>
            </w:r>
          </w:p>
        </w:tc>
        <w:tc>
          <w:tcPr>
            <w:tcW w:w="80" w:type="dxa"/>
            <w:vAlign w:val="bottom"/>
            <w:shd w:val="clear" w:color="auto" w:fill="E4E4E4"/>
          </w:tcPr>
          <w:p>
            <w:pPr>
              <w:spacing w:after="0"/>
              <w:rPr>
                <w:sz w:val="19"/>
                <w:szCs w:val="19"/>
                <w:color w:val="auto"/>
              </w:rPr>
            </w:pPr>
          </w:p>
        </w:tc>
      </w:tr>
      <w:tr>
        <w:trPr>
          <w:trHeight w:val="223"/>
        </w:trPr>
        <w:tc>
          <w:tcPr>
            <w:tcW w:w="48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160" w:type="dxa"/>
            <w:vAlign w:val="bottom"/>
            <w:tcBorders>
              <w:bottom w:val="single" w:sz="8" w:color="E4E4E4"/>
            </w:tcBorders>
          </w:tcPr>
          <w:p>
            <w:pPr>
              <w:spacing w:after="0"/>
              <w:rPr>
                <w:sz w:val="19"/>
                <w:szCs w:val="19"/>
                <w:color w:val="auto"/>
              </w:rPr>
            </w:pPr>
          </w:p>
        </w:tc>
        <w:tc>
          <w:tcPr>
            <w:tcW w:w="920" w:type="dxa"/>
            <w:vAlign w:val="bottom"/>
            <w:tcBorders>
              <w:bottom w:val="single" w:sz="8" w:color="1E1E1E"/>
            </w:tcBorders>
          </w:tcPr>
          <w:p>
            <w:pPr>
              <w:spacing w:after="0"/>
              <w:rPr>
                <w:sz w:val="19"/>
                <w:szCs w:val="19"/>
                <w:color w:val="auto"/>
              </w:rPr>
            </w:pPr>
          </w:p>
        </w:tc>
        <w:tc>
          <w:tcPr>
            <w:tcW w:w="5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4,145</w:t>
            </w:r>
          </w:p>
        </w:tc>
        <w:tc>
          <w:tcPr>
            <w:tcW w:w="200" w:type="dxa"/>
            <w:vAlign w:val="bottom"/>
            <w:tcBorders>
              <w:bottom w:val="single" w:sz="8" w:color="E4E4E4"/>
            </w:tcBorders>
          </w:tcPr>
          <w:p>
            <w:pPr>
              <w:spacing w:after="0"/>
              <w:rPr>
                <w:sz w:val="19"/>
                <w:szCs w:val="19"/>
                <w:color w:val="auto"/>
              </w:rPr>
            </w:pPr>
          </w:p>
        </w:tc>
        <w:tc>
          <w:tcPr>
            <w:tcW w:w="34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4,111</w:t>
            </w:r>
          </w:p>
        </w:tc>
        <w:tc>
          <w:tcPr>
            <w:tcW w:w="120" w:type="dxa"/>
            <w:vAlign w:val="bottom"/>
            <w:tcBorders>
              <w:bottom w:val="single" w:sz="8" w:color="E4E4E4"/>
            </w:tcBorders>
          </w:tcPr>
          <w:p>
            <w:pPr>
              <w:spacing w:after="0"/>
              <w:rPr>
                <w:sz w:val="19"/>
                <w:szCs w:val="19"/>
                <w:color w:val="auto"/>
              </w:rPr>
            </w:pPr>
          </w:p>
        </w:tc>
        <w:tc>
          <w:tcPr>
            <w:tcW w:w="60" w:type="dxa"/>
            <w:vAlign w:val="bottom"/>
            <w:tcBorders>
              <w:bottom w:val="single" w:sz="8" w:color="E4E4E4"/>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10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1,769</w:t>
            </w:r>
          </w:p>
        </w:tc>
        <w:tc>
          <w:tcPr>
            <w:tcW w:w="80" w:type="dxa"/>
            <w:vAlign w:val="bottom"/>
            <w:tcBorders>
              <w:bottom w:val="single" w:sz="8" w:color="E4E4E4"/>
            </w:tcBorders>
          </w:tcPr>
          <w:p>
            <w:pPr>
              <w:spacing w:after="0"/>
              <w:rPr>
                <w:sz w:val="19"/>
                <w:szCs w:val="19"/>
                <w:color w:val="auto"/>
              </w:rPr>
            </w:pPr>
          </w:p>
        </w:tc>
      </w:tr>
      <w:tr>
        <w:trPr>
          <w:trHeight w:val="213"/>
        </w:trPr>
        <w:tc>
          <w:tcPr>
            <w:tcW w:w="486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 stock compensation expense</w:t>
            </w:r>
          </w:p>
        </w:tc>
        <w:tc>
          <w:tcPr>
            <w:tcW w:w="160" w:type="dxa"/>
            <w:vAlign w:val="bottom"/>
            <w:shd w:val="clear" w:color="auto" w:fill="E4E4E4"/>
          </w:tcPr>
          <w:p>
            <w:pPr>
              <w:spacing w:after="0"/>
              <w:rPr>
                <w:sz w:val="18"/>
                <w:szCs w:val="18"/>
                <w:color w:val="auto"/>
              </w:rPr>
            </w:pPr>
          </w:p>
        </w:tc>
        <w:tc>
          <w:tcPr>
            <w:tcW w:w="920" w:type="dxa"/>
            <w:vAlign w:val="bottom"/>
            <w:tcBorders>
              <w:bottom w:val="single" w:sz="8" w:color="1E1E1E"/>
            </w:tcBorders>
            <w:shd w:val="clear" w:color="auto" w:fill="E4E4E4"/>
          </w:tcPr>
          <w:p>
            <w:pPr>
              <w:jc w:val="right"/>
              <w:ind w:right="758"/>
              <w:spacing w:after="0"/>
              <w:rPr>
                <w:sz w:val="20"/>
                <w:szCs w:val="20"/>
                <w:color w:val="auto"/>
              </w:rPr>
            </w:pPr>
            <w:r>
              <w:rPr>
                <w:rFonts w:ascii="Times New Roman" w:cs="Times New Roman" w:eastAsia="Times New Roman" w:hAnsi="Times New Roman"/>
                <w:sz w:val="17"/>
                <w:szCs w:val="17"/>
                <w:color w:val="1E1E1E"/>
                <w:w w:val="70"/>
              </w:rPr>
              <w:t>$</w:t>
            </w:r>
          </w:p>
        </w:tc>
        <w:tc>
          <w:tcPr>
            <w:tcW w:w="56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22,118</w:t>
            </w:r>
          </w:p>
        </w:tc>
        <w:tc>
          <w:tcPr>
            <w:tcW w:w="200" w:type="dxa"/>
            <w:vAlign w:val="bottom"/>
            <w:shd w:val="clear" w:color="auto" w:fill="E4E4E4"/>
          </w:tcPr>
          <w:p>
            <w:pPr>
              <w:spacing w:after="0"/>
              <w:rPr>
                <w:sz w:val="18"/>
                <w:szCs w:val="18"/>
                <w:color w:val="auto"/>
              </w:rPr>
            </w:pPr>
          </w:p>
        </w:tc>
        <w:tc>
          <w:tcPr>
            <w:tcW w:w="340" w:type="dxa"/>
            <w:vAlign w:val="bottom"/>
            <w:tcBorders>
              <w:bottom w:val="single" w:sz="8" w:color="1E1E1E"/>
            </w:tcBorders>
            <w:shd w:val="clear" w:color="auto" w:fill="E4E4E4"/>
          </w:tcPr>
          <w:p>
            <w:pPr>
              <w:jc w:val="right"/>
              <w:ind w:right="174"/>
              <w:spacing w:after="0"/>
              <w:rPr>
                <w:sz w:val="20"/>
                <w:szCs w:val="20"/>
                <w:color w:val="auto"/>
              </w:rPr>
            </w:pPr>
            <w:r>
              <w:rPr>
                <w:rFonts w:ascii="Times New Roman" w:cs="Times New Roman" w:eastAsia="Times New Roman" w:hAnsi="Times New Roman"/>
                <w:sz w:val="17"/>
                <w:szCs w:val="17"/>
                <w:color w:val="1E1E1E"/>
                <w:w w:val="70"/>
              </w:rPr>
              <w:t>$</w:t>
            </w:r>
          </w:p>
        </w:tc>
        <w:tc>
          <w:tcPr>
            <w:tcW w:w="114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19,172</w:t>
            </w: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300" w:type="dxa"/>
            <w:vAlign w:val="bottom"/>
            <w:tcBorders>
              <w:bottom w:val="single" w:sz="8" w:color="1E1E1E"/>
            </w:tcBorders>
            <w:shd w:val="clear" w:color="auto" w:fill="E4E4E4"/>
          </w:tcPr>
          <w:p>
            <w:pPr>
              <w:jc w:val="right"/>
              <w:ind w:right="1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7,395</w:t>
            </w:r>
          </w:p>
        </w:tc>
        <w:tc>
          <w:tcPr>
            <w:tcW w:w="80" w:type="dxa"/>
            <w:vAlign w:val="bottom"/>
            <w:shd w:val="clear" w:color="auto" w:fill="E4E4E4"/>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3" w:lineRule="exact"/>
        <w:rPr>
          <w:sz w:val="20"/>
          <w:szCs w:val="20"/>
          <w:color w:val="auto"/>
        </w:rPr>
      </w:pPr>
    </w:p>
    <w:p>
      <w:pPr>
        <w:ind w:left="610" w:hanging="610"/>
        <w:spacing w:after="0"/>
        <w:tabs>
          <w:tab w:leader="none" w:pos="610" w:val="left"/>
        </w:tabs>
        <w:numPr>
          <w:ilvl w:val="0"/>
          <w:numId w:val="6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Income Taxes</w:t>
      </w:r>
    </w:p>
    <w:p>
      <w:pPr>
        <w:spacing w:after="0" w:line="124" w:lineRule="exact"/>
        <w:rPr>
          <w:sz w:val="20"/>
          <w:szCs w:val="20"/>
          <w:color w:val="auto"/>
        </w:rPr>
      </w:pPr>
    </w:p>
    <w:p>
      <w:pPr>
        <w:ind w:left="10" w:right="60" w:firstLine="601"/>
        <w:spacing w:after="0" w:line="256" w:lineRule="auto"/>
        <w:rPr>
          <w:sz w:val="20"/>
          <w:szCs w:val="20"/>
          <w:color w:val="auto"/>
        </w:rPr>
      </w:pPr>
      <w:r>
        <w:rPr>
          <w:rFonts w:ascii="Times New Roman" w:cs="Times New Roman" w:eastAsia="Times New Roman" w:hAnsi="Times New Roman"/>
          <w:sz w:val="19"/>
          <w:szCs w:val="19"/>
          <w:color w:val="1E1E1E"/>
        </w:rPr>
        <w:t>For the year ended December 31, 2023 and 2022 the Company has income tax (benefit) provision of $(0.4) million and less than $0.1 million, respectively. The Company's tax benefit is comprised of a current and deferred state tax benefit of $(0.2) million and $(0.2) million respectively for the year ended December 31, 2023. This estimated annual effective tax rate of 1% differs from the U.S. federal statutory rate primarily due to the effects of certain permanent items, foreign tax rate differences, and increases in the valuation allowance against deferred tax assets.</w:t>
      </w:r>
    </w:p>
    <w:p>
      <w:pPr>
        <w:spacing w:after="0" w:line="67"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The reconciliation of the statutory federal income tax rate to the Company’s effective tax rate was as follows: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Borders>
              <w:bottom w:val="single" w:sz="8" w:color="1E1E1E"/>
            </w:tcBorders>
            <w:gridSpan w:val="5"/>
          </w:tcPr>
          <w:p>
            <w:pPr>
              <w:jc w:val="center"/>
              <w:ind w:left="729"/>
              <w:spacing w:after="0"/>
              <w:rPr>
                <w:sz w:val="20"/>
                <w:szCs w:val="20"/>
                <w:color w:val="auto"/>
              </w:rPr>
            </w:pPr>
            <w:r>
              <w:rPr>
                <w:rFonts w:ascii="Times New Roman" w:cs="Times New Roman" w:eastAsia="Times New Roman" w:hAnsi="Times New Roman"/>
                <w:sz w:val="16"/>
                <w:szCs w:val="16"/>
                <w:b w:val="1"/>
                <w:bCs w:val="1"/>
                <w:color w:val="1E1E1E"/>
                <w:w w:val="96"/>
              </w:rPr>
              <w:t>Year Ended December 31,</w:t>
            </w:r>
          </w:p>
        </w:tc>
        <w:tc>
          <w:tcPr>
            <w:tcW w:w="820" w:type="dxa"/>
            <w:vAlign w:val="bottom"/>
            <w:tcBorders>
              <w:bottom w:val="single" w:sz="8" w:color="1E1E1E"/>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820" w:type="dxa"/>
            <w:vAlign w:val="bottom"/>
            <w:tcBorders>
              <w:bottom w:val="single" w:sz="8" w:color="E4E4E4"/>
            </w:tcBorders>
          </w:tcPr>
          <w:p>
            <w:pPr>
              <w:spacing w:after="0"/>
              <w:rPr>
                <w:sz w:val="15"/>
                <w:szCs w:val="15"/>
                <w:color w:val="auto"/>
              </w:rPr>
            </w:pPr>
          </w:p>
        </w:tc>
        <w:tc>
          <w:tcPr>
            <w:tcW w:w="80" w:type="dxa"/>
            <w:vAlign w:val="bottom"/>
            <w:tcBorders>
              <w:bottom w:val="single" w:sz="8" w:color="E4E4E4"/>
            </w:tcBorders>
          </w:tcPr>
          <w:p>
            <w:pPr>
              <w:spacing w:after="0"/>
              <w:rPr>
                <w:sz w:val="15"/>
                <w:szCs w:val="15"/>
                <w:color w:val="auto"/>
              </w:rPr>
            </w:pPr>
          </w:p>
        </w:tc>
        <w:tc>
          <w:tcPr>
            <w:tcW w:w="1080" w:type="dxa"/>
            <w:vAlign w:val="bottom"/>
            <w:tcBorders>
              <w:bottom w:val="single" w:sz="8" w:color="1E1E1E"/>
            </w:tcBorders>
          </w:tcPr>
          <w:p>
            <w:pPr>
              <w:jc w:val="right"/>
              <w:ind w:right="289"/>
              <w:spacing w:after="0" w:line="179" w:lineRule="exact"/>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Pr>
          <w:p>
            <w:pPr>
              <w:spacing w:after="0"/>
              <w:rPr>
                <w:sz w:val="15"/>
                <w:szCs w:val="15"/>
                <w:color w:val="auto"/>
              </w:rPr>
            </w:pPr>
          </w:p>
        </w:tc>
        <w:tc>
          <w:tcPr>
            <w:tcW w:w="1060" w:type="dxa"/>
            <w:vAlign w:val="bottom"/>
            <w:tcBorders>
              <w:bottom w:val="single" w:sz="8" w:color="1E1E1E"/>
            </w:tcBorders>
          </w:tcPr>
          <w:p>
            <w:pPr>
              <w:jc w:val="right"/>
              <w:ind w:right="285"/>
              <w:spacing w:after="0" w:line="179" w:lineRule="exact"/>
              <w:rPr>
                <w:sz w:val="20"/>
                <w:szCs w:val="20"/>
                <w:color w:val="auto"/>
              </w:rPr>
            </w:pPr>
            <w:r>
              <w:rPr>
                <w:rFonts w:ascii="Times New Roman" w:cs="Times New Roman" w:eastAsia="Times New Roman" w:hAnsi="Times New Roman"/>
                <w:sz w:val="16"/>
                <w:szCs w:val="16"/>
                <w:b w:val="1"/>
                <w:bCs w:val="1"/>
                <w:color w:val="1E1E1E"/>
              </w:rPr>
              <w:t>2022</w:t>
            </w:r>
          </w:p>
        </w:tc>
        <w:tc>
          <w:tcPr>
            <w:tcW w:w="260" w:type="dxa"/>
            <w:vAlign w:val="bottom"/>
          </w:tcPr>
          <w:p>
            <w:pPr>
              <w:spacing w:after="0"/>
              <w:rPr>
                <w:sz w:val="15"/>
                <w:szCs w:val="15"/>
                <w:color w:val="auto"/>
              </w:rPr>
            </w:pPr>
          </w:p>
        </w:tc>
        <w:tc>
          <w:tcPr>
            <w:tcW w:w="240" w:type="dxa"/>
            <w:vAlign w:val="bottom"/>
            <w:tcBorders>
              <w:bottom w:val="single" w:sz="8" w:color="1E1E1E"/>
            </w:tcBorders>
          </w:tcPr>
          <w:p>
            <w:pPr>
              <w:spacing w:after="0"/>
              <w:rPr>
                <w:sz w:val="15"/>
                <w:szCs w:val="15"/>
                <w:color w:val="auto"/>
              </w:rPr>
            </w:pPr>
          </w:p>
        </w:tc>
        <w:tc>
          <w:tcPr>
            <w:tcW w:w="820" w:type="dxa"/>
            <w:vAlign w:val="bottom"/>
            <w:tcBorders>
              <w:bottom w:val="single" w:sz="8" w:color="1E1E1E"/>
            </w:tcBorders>
          </w:tcPr>
          <w:p>
            <w:pPr>
              <w:jc w:val="right"/>
              <w:ind w:right="285"/>
              <w:spacing w:after="0" w:line="179" w:lineRule="exact"/>
              <w:rPr>
                <w:sz w:val="20"/>
                <w:szCs w:val="20"/>
                <w:color w:val="auto"/>
              </w:rPr>
            </w:pPr>
            <w:r>
              <w:rPr>
                <w:rFonts w:ascii="Times New Roman" w:cs="Times New Roman" w:eastAsia="Times New Roman" w:hAnsi="Times New Roman"/>
                <w:sz w:val="16"/>
                <w:szCs w:val="16"/>
                <w:b w:val="1"/>
                <w:bCs w:val="1"/>
                <w:color w:val="1E1E1E"/>
              </w:rPr>
              <w:t>2021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820" w:type="dxa"/>
            <w:vAlign w:val="bottom"/>
            <w:tcBorders>
              <w:bottom w:val="single" w:sz="8" w:color="E4E4E4"/>
            </w:tcBorders>
            <w:shd w:val="clear" w:color="auto" w:fill="E4E4E4"/>
          </w:tcPr>
          <w:p>
            <w:pPr>
              <w:spacing w:after="0" w:line="193" w:lineRule="exact"/>
              <w:rPr>
                <w:sz w:val="20"/>
                <w:szCs w:val="20"/>
                <w:color w:val="auto"/>
              </w:rPr>
            </w:pPr>
            <w:r>
              <w:rPr>
                <w:rFonts w:ascii="Times New Roman" w:cs="Times New Roman" w:eastAsia="Times New Roman" w:hAnsi="Times New Roman"/>
                <w:sz w:val="19"/>
                <w:szCs w:val="19"/>
                <w:color w:val="1E1E1E"/>
              </w:rPr>
              <w:t>Federal tax statutory rate</w:t>
            </w:r>
          </w:p>
        </w:tc>
        <w:tc>
          <w:tcPr>
            <w:tcW w:w="80" w:type="dxa"/>
            <w:vAlign w:val="bottom"/>
            <w:tcBorders>
              <w:bottom w:val="single" w:sz="8" w:color="E4E4E4"/>
            </w:tcBorders>
            <w:shd w:val="clear" w:color="auto" w:fill="E4E4E4"/>
          </w:tcPr>
          <w:p>
            <w:pPr>
              <w:spacing w:after="0"/>
              <w:rPr>
                <w:sz w:val="16"/>
                <w:szCs w:val="16"/>
                <w:color w:val="auto"/>
              </w:rPr>
            </w:pPr>
          </w:p>
        </w:tc>
        <w:tc>
          <w:tcPr>
            <w:tcW w:w="132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9"/>
                <w:szCs w:val="19"/>
                <w:color w:val="1E1E1E"/>
              </w:rPr>
              <w:t>21%</w:t>
            </w:r>
          </w:p>
        </w:tc>
        <w:tc>
          <w:tcPr>
            <w:tcW w:w="13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1E1E1E"/>
              </w:rPr>
              <w:t>21%</w:t>
            </w:r>
          </w:p>
        </w:tc>
        <w:tc>
          <w:tcPr>
            <w:tcW w:w="24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9"/>
                <w:szCs w:val="19"/>
                <w:color w:val="1E1E1E"/>
              </w:rPr>
              <w:t>21%</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State tax rate, net of federal benefit</w:t>
            </w:r>
          </w:p>
        </w:tc>
        <w:tc>
          <w:tcPr>
            <w:tcW w:w="8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1E1E1E"/>
              </w:rPr>
              <w:t>2</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23"/>
        </w:trPr>
        <w:tc>
          <w:tcPr>
            <w:tcW w:w="58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Foreign rate difference</w:t>
            </w:r>
          </w:p>
        </w:tc>
        <w:tc>
          <w:tcPr>
            <w:tcW w:w="1400" w:type="dxa"/>
            <w:vAlign w:val="bottom"/>
            <w:gridSpan w:val="3"/>
            <w:shd w:val="clear" w:color="auto" w:fill="E4E4E4"/>
          </w:tcPr>
          <w:p>
            <w:pPr>
              <w:jc w:val="right"/>
              <w:ind w:right="240"/>
              <w:spacing w:after="0"/>
              <w:rPr>
                <w:sz w:val="20"/>
                <w:szCs w:val="20"/>
                <w:color w:val="auto"/>
              </w:rPr>
            </w:pPr>
            <w:r>
              <w:rPr>
                <w:rFonts w:ascii="Times New Roman" w:cs="Times New Roman" w:eastAsia="Times New Roman" w:hAnsi="Times New Roman"/>
                <w:sz w:val="19"/>
                <w:szCs w:val="19"/>
                <w:color w:val="1E1E1E"/>
              </w:rPr>
              <w:t>2</w:t>
            </w:r>
          </w:p>
        </w:tc>
        <w:tc>
          <w:tcPr>
            <w:tcW w:w="1320" w:type="dxa"/>
            <w:vAlign w:val="bottom"/>
            <w:gridSpan w:val="2"/>
            <w:shd w:val="clear" w:color="auto" w:fill="E4E4E4"/>
          </w:tcPr>
          <w:p>
            <w:pPr>
              <w:jc w:val="right"/>
              <w:ind w:right="163"/>
              <w:spacing w:after="0"/>
              <w:rPr>
                <w:sz w:val="20"/>
                <w:szCs w:val="20"/>
                <w:color w:val="auto"/>
              </w:rPr>
            </w:pPr>
            <w:r>
              <w:rPr>
                <w:rFonts w:ascii="Times New Roman" w:cs="Times New Roman" w:eastAsia="Times New Roman" w:hAnsi="Times New Roman"/>
                <w:sz w:val="19"/>
                <w:szCs w:val="19"/>
                <w:color w:val="1E1E1E"/>
              </w:rPr>
              <w:t>2</w:t>
            </w: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ind w:right="63"/>
              <w:spacing w:after="0"/>
              <w:rPr>
                <w:sz w:val="20"/>
                <w:szCs w:val="20"/>
                <w:color w:val="auto"/>
              </w:rPr>
            </w:pPr>
            <w:r>
              <w:rPr>
                <w:rFonts w:ascii="Times New Roman" w:cs="Times New Roman" w:eastAsia="Times New Roman" w:hAnsi="Times New Roman"/>
                <w:sz w:val="19"/>
                <w:szCs w:val="19"/>
                <w:color w:val="1E1E1E"/>
              </w:rPr>
              <w:t>1</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Permanent difference: stock based compensation</w:t>
            </w:r>
          </w:p>
        </w:tc>
        <w:tc>
          <w:tcPr>
            <w:tcW w:w="14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1E1E1E"/>
              </w:rPr>
              <w:t>(2)</w:t>
            </w:r>
          </w:p>
        </w:tc>
        <w:tc>
          <w:tcPr>
            <w:tcW w:w="1320" w:type="dxa"/>
            <w:vAlign w:val="bottom"/>
            <w:gridSpan w:val="2"/>
          </w:tcPr>
          <w:p>
            <w:pPr>
              <w:jc w:val="right"/>
              <w:ind w:right="163"/>
              <w:spacing w:after="0"/>
              <w:rPr>
                <w:sz w:val="20"/>
                <w:szCs w:val="20"/>
                <w:color w:val="auto"/>
              </w:rPr>
            </w:pPr>
            <w:r>
              <w:rPr>
                <w:rFonts w:ascii="Times New Roman" w:cs="Times New Roman" w:eastAsia="Times New Roman" w:hAnsi="Times New Roman"/>
                <w:sz w:val="19"/>
                <w:szCs w:val="19"/>
                <w:color w:val="1E1E1E"/>
              </w:rPr>
              <w:t>3</w:t>
            </w:r>
          </w:p>
        </w:tc>
        <w:tc>
          <w:tcPr>
            <w:tcW w:w="240" w:type="dxa"/>
            <w:vAlign w:val="bottom"/>
          </w:tcPr>
          <w:p>
            <w:pPr>
              <w:spacing w:after="0"/>
              <w:rPr>
                <w:sz w:val="19"/>
                <w:szCs w:val="19"/>
                <w:color w:val="auto"/>
              </w:rPr>
            </w:pPr>
          </w:p>
        </w:tc>
        <w:tc>
          <w:tcPr>
            <w:tcW w:w="9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1E1E1E"/>
              </w:rPr>
              <w:t>1</w:t>
            </w:r>
          </w:p>
        </w:tc>
        <w:tc>
          <w:tcPr>
            <w:tcW w:w="0" w:type="dxa"/>
            <w:vAlign w:val="bottom"/>
          </w:tcPr>
          <w:p>
            <w:pPr>
              <w:spacing w:after="0"/>
              <w:rPr>
                <w:sz w:val="1"/>
                <w:szCs w:val="1"/>
                <w:color w:val="auto"/>
              </w:rPr>
            </w:pPr>
          </w:p>
        </w:tc>
      </w:tr>
      <w:tr>
        <w:trPr>
          <w:trHeight w:val="223"/>
        </w:trPr>
        <w:tc>
          <w:tcPr>
            <w:tcW w:w="58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Permanent difference: other</w:t>
            </w:r>
          </w:p>
        </w:tc>
        <w:tc>
          <w:tcPr>
            <w:tcW w:w="1400" w:type="dxa"/>
            <w:vAlign w:val="bottom"/>
            <w:gridSpan w:val="3"/>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(5)</w:t>
            </w:r>
          </w:p>
        </w:tc>
        <w:tc>
          <w:tcPr>
            <w:tcW w:w="1320" w:type="dxa"/>
            <w:vAlign w:val="bottom"/>
            <w:gridSpan w:val="2"/>
            <w:shd w:val="clear" w:color="auto" w:fill="E4E4E4"/>
          </w:tcPr>
          <w:p>
            <w:pPr>
              <w:jc w:val="right"/>
              <w:ind w:right="83"/>
              <w:spacing w:after="0"/>
              <w:rPr>
                <w:sz w:val="20"/>
                <w:szCs w:val="20"/>
                <w:color w:val="auto"/>
              </w:rPr>
            </w:pPr>
            <w:r>
              <w:rPr>
                <w:rFonts w:ascii="Times New Roman" w:cs="Times New Roman" w:eastAsia="Times New Roman" w:hAnsi="Times New Roman"/>
                <w:sz w:val="19"/>
                <w:szCs w:val="19"/>
                <w:color w:val="1E1E1E"/>
              </w:rPr>
              <w:t>(2)</w:t>
            </w: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Change in state tax rate</w:t>
            </w: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1E1E1E"/>
              </w:rPr>
              <w:t>5</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23"/>
        </w:trPr>
        <w:tc>
          <w:tcPr>
            <w:tcW w:w="58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Valuation allowance</w:t>
            </w:r>
          </w:p>
        </w:tc>
        <w:tc>
          <w:tcPr>
            <w:tcW w:w="8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(22)</w:t>
            </w:r>
          </w:p>
        </w:tc>
        <w:tc>
          <w:tcPr>
            <w:tcW w:w="1320" w:type="dxa"/>
            <w:vAlign w:val="bottom"/>
            <w:gridSpan w:val="2"/>
            <w:shd w:val="clear" w:color="auto" w:fill="E4E4E4"/>
          </w:tcPr>
          <w:p>
            <w:pPr>
              <w:jc w:val="right"/>
              <w:ind w:right="83"/>
              <w:spacing w:after="0"/>
              <w:rPr>
                <w:sz w:val="20"/>
                <w:szCs w:val="20"/>
                <w:color w:val="auto"/>
              </w:rPr>
            </w:pPr>
            <w:r>
              <w:rPr>
                <w:rFonts w:ascii="Times New Roman" w:cs="Times New Roman" w:eastAsia="Times New Roman" w:hAnsi="Times New Roman"/>
                <w:sz w:val="19"/>
                <w:szCs w:val="19"/>
                <w:color w:val="1E1E1E"/>
              </w:rPr>
              <w:t>(24)</w:t>
            </w:r>
          </w:p>
        </w:tc>
        <w:tc>
          <w:tcPr>
            <w:tcW w:w="24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(22)</w:t>
            </w:r>
          </w:p>
        </w:tc>
        <w:tc>
          <w:tcPr>
            <w:tcW w:w="0" w:type="dxa"/>
            <w:vAlign w:val="bottom"/>
          </w:tcPr>
          <w:p>
            <w:pPr>
              <w:spacing w:after="0"/>
              <w:rPr>
                <w:sz w:val="1"/>
                <w:szCs w:val="1"/>
                <w:color w:val="auto"/>
              </w:rPr>
            </w:pPr>
          </w:p>
        </w:tc>
      </w:tr>
      <w:tr>
        <w:trPr>
          <w:trHeight w:val="20"/>
        </w:trPr>
        <w:tc>
          <w:tcPr>
            <w:tcW w:w="5820" w:type="dxa"/>
            <w:vAlign w:val="bottom"/>
            <w:tcBorders>
              <w:top w:val="single" w:sz="8" w:color="E4E4E4"/>
            </w:tcBorders>
          </w:tcPr>
          <w:p>
            <w:pPr>
              <w:spacing w:after="0" w:line="20" w:lineRule="exact"/>
              <w:rPr>
                <w:sz w:val="1"/>
                <w:szCs w:val="1"/>
                <w:color w:val="auto"/>
              </w:rPr>
            </w:pPr>
          </w:p>
        </w:tc>
        <w:tc>
          <w:tcPr>
            <w:tcW w:w="80" w:type="dxa"/>
            <w:vAlign w:val="bottom"/>
            <w:tcBorders>
              <w:top w:val="single" w:sz="8" w:color="E4E4E4"/>
            </w:tcBorders>
            <w:vMerge w:val="restart"/>
          </w:tcPr>
          <w:p>
            <w:pPr>
              <w:spacing w:after="0" w:line="20" w:lineRule="exact"/>
              <w:rPr>
                <w:sz w:val="1"/>
                <w:szCs w:val="1"/>
                <w:color w:val="auto"/>
              </w:rPr>
            </w:pPr>
          </w:p>
        </w:tc>
        <w:tc>
          <w:tcPr>
            <w:tcW w:w="1080" w:type="dxa"/>
            <w:vAlign w:val="bottom"/>
            <w:tcBorders>
              <w:top w:val="single" w:sz="8" w:color="1E1E1E"/>
            </w:tcBorders>
            <w:shd w:val="clear" w:color="auto" w:fill="1E1E1E"/>
          </w:tcPr>
          <w:p>
            <w:pPr>
              <w:spacing w:after="0" w:line="20" w:lineRule="exact"/>
              <w:rPr>
                <w:sz w:val="1"/>
                <w:szCs w:val="1"/>
                <w:color w:val="auto"/>
              </w:rPr>
            </w:pPr>
          </w:p>
        </w:tc>
        <w:tc>
          <w:tcPr>
            <w:tcW w:w="240" w:type="dxa"/>
            <w:vAlign w:val="bottom"/>
            <w:tcBorders>
              <w:top w:val="single" w:sz="8" w:color="E4E4E4"/>
            </w:tcBorders>
          </w:tcPr>
          <w:p>
            <w:pPr>
              <w:spacing w:after="0" w:line="20" w:lineRule="exact"/>
              <w:rPr>
                <w:sz w:val="1"/>
                <w:szCs w:val="1"/>
                <w:color w:val="auto"/>
              </w:rPr>
            </w:pPr>
          </w:p>
        </w:tc>
        <w:tc>
          <w:tcPr>
            <w:tcW w:w="1060" w:type="dxa"/>
            <w:vAlign w:val="bottom"/>
            <w:tcBorders>
              <w:top w:val="single" w:sz="8" w:color="1E1E1E"/>
            </w:tcBorders>
            <w:shd w:val="clear" w:color="auto" w:fill="1E1E1E"/>
          </w:tcPr>
          <w:p>
            <w:pPr>
              <w:spacing w:after="0" w:line="20" w:lineRule="exact"/>
              <w:rPr>
                <w:sz w:val="1"/>
                <w:szCs w:val="1"/>
                <w:color w:val="auto"/>
              </w:rPr>
            </w:pPr>
          </w:p>
        </w:tc>
        <w:tc>
          <w:tcPr>
            <w:tcW w:w="260" w:type="dxa"/>
            <w:vAlign w:val="bottom"/>
            <w:tcBorders>
              <w:top w:val="single" w:sz="8" w:color="E4E4E4"/>
            </w:tcBorders>
            <w:vMerge w:val="restart"/>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240" w:type="dxa"/>
            <w:vAlign w:val="bottom"/>
            <w:tcBorders>
              <w:top w:val="single" w:sz="8" w:color="1E1E1E"/>
            </w:tcBorders>
            <w:shd w:val="clear" w:color="auto" w:fill="1E1E1E"/>
          </w:tcPr>
          <w:p>
            <w:pPr>
              <w:spacing w:after="0" w:line="20" w:lineRule="exact"/>
              <w:rPr>
                <w:sz w:val="1"/>
                <w:szCs w:val="1"/>
                <w:color w:val="auto"/>
              </w:rPr>
            </w:pPr>
          </w:p>
        </w:tc>
        <w:tc>
          <w:tcPr>
            <w:tcW w:w="820" w:type="dxa"/>
            <w:vAlign w:val="bottom"/>
            <w:tcBorders>
              <w:top w:val="single" w:sz="8" w:color="1E1E1E"/>
            </w:tcBorders>
            <w:shd w:val="clear" w:color="auto" w:fill="1E1E1E"/>
          </w:tcPr>
          <w:p>
            <w:pPr>
              <w:spacing w:after="0" w:line="20" w:lineRule="exact"/>
              <w:rPr>
                <w:sz w:val="1"/>
                <w:szCs w:val="1"/>
                <w:color w:val="auto"/>
              </w:rPr>
            </w:pPr>
          </w:p>
        </w:tc>
        <w:tc>
          <w:tcPr>
            <w:tcW w:w="160" w:type="dxa"/>
            <w:vAlign w:val="bottom"/>
            <w:tcBorders>
              <w:top w:val="single" w:sz="8" w:color="E4E4E4"/>
            </w:tcBorders>
            <w:vMerge w:val="restart"/>
          </w:tcPr>
          <w:p>
            <w:pPr>
              <w:jc w:val="right"/>
              <w:spacing w:after="0" w:line="213" w:lineRule="exact"/>
              <w:rPr>
                <w:sz w:val="20"/>
                <w:szCs w:val="20"/>
                <w:color w:val="auto"/>
              </w:rPr>
            </w:pPr>
            <w:r>
              <w:rPr>
                <w:rFonts w:ascii="Times New Roman" w:cs="Times New Roman" w:eastAsia="Times New Roman" w:hAnsi="Times New Roman"/>
                <w:sz w:val="19"/>
                <w:szCs w:val="19"/>
                <w:color w:val="1E1E1E"/>
                <w:w w:val="88"/>
              </w:rPr>
              <w:t>%</w:t>
            </w:r>
          </w:p>
        </w:tc>
        <w:tc>
          <w:tcPr>
            <w:tcW w:w="0" w:type="dxa"/>
            <w:vAlign w:val="bottom"/>
          </w:tcPr>
          <w:p>
            <w:pPr>
              <w:spacing w:after="0" w:line="20" w:lineRule="exact"/>
              <w:rPr>
                <w:sz w:val="1"/>
                <w:szCs w:val="1"/>
                <w:color w:val="auto"/>
              </w:rPr>
            </w:pPr>
          </w:p>
        </w:tc>
      </w:tr>
      <w:tr>
        <w:trPr>
          <w:trHeight w:val="193"/>
        </w:trPr>
        <w:tc>
          <w:tcPr>
            <w:tcW w:w="58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gridSpan w:val="2"/>
          </w:tcPr>
          <w:p>
            <w:pPr>
              <w:jc w:val="right"/>
              <w:ind w:right="80"/>
              <w:spacing w:after="0" w:line="193" w:lineRule="exact"/>
              <w:rPr>
                <w:sz w:val="20"/>
                <w:szCs w:val="20"/>
                <w:color w:val="auto"/>
              </w:rPr>
            </w:pPr>
            <w:r>
              <w:rPr>
                <w:rFonts w:ascii="Times New Roman" w:cs="Times New Roman" w:eastAsia="Times New Roman" w:hAnsi="Times New Roman"/>
                <w:sz w:val="19"/>
                <w:szCs w:val="19"/>
                <w:color w:val="1E1E1E"/>
              </w:rPr>
              <w:t>1%</w:t>
            </w:r>
          </w:p>
        </w:tc>
        <w:tc>
          <w:tcPr>
            <w:tcW w:w="1060" w:type="dxa"/>
            <w:vAlign w:val="bottom"/>
          </w:tcPr>
          <w:p>
            <w:pPr>
              <w:ind w:left="880"/>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2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Times New Roman" w:cs="Times New Roman" w:eastAsia="Times New Roman" w:hAnsi="Times New Roman"/>
                <w:sz w:val="19"/>
                <w:szCs w:val="19"/>
                <w:color w:val="1E1E1E"/>
              </w:rPr>
              <w:t>—</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1E1E1E"/>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2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-1172845</wp:posOffset>
            </wp:positionV>
            <wp:extent cx="2352675" cy="147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52675" cy="147955"/>
                    </a:xfrm>
                    <a:prstGeom prst="rect">
                      <a:avLst/>
                    </a:prstGeom>
                    <a:noFill/>
                  </pic:spPr>
                </pic:pic>
              </a:graphicData>
            </a:graphic>
          </wp:anchor>
        </w:drawing>
      </w:r>
    </w:p>
    <w:p>
      <w:pPr>
        <w:sectPr>
          <w:pgSz w:w="11880" w:h="15480" w:orient="portrait"/>
          <w:cols w:equalWidth="0" w:num="1">
            <w:col w:w="9770"/>
          </w:cols>
          <w:pgMar w:left="1050" w:top="1080"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89</w:t>
      </w:r>
    </w:p>
    <w:p>
      <w:pPr>
        <w:sectPr>
          <w:pgSz w:w="11880" w:h="15480" w:orient="portrait"/>
          <w:cols w:equalWidth="0" w:num="1">
            <w:col w:w="9770"/>
          </w:cols>
          <w:pgMar w:left="1050" w:top="1080" w:right="1060" w:bottom="215" w:gutter="0" w:footer="0" w:header="0"/>
          <w:type w:val="continuous"/>
        </w:sectPr>
      </w:pPr>
    </w:p>
    <w:bookmarkStart w:id="95" w:name="page96"/>
    <w:bookmarkEnd w:id="95"/>
    <w:p>
      <w:pPr>
        <w:ind w:right="260" w:firstLine="601"/>
        <w:spacing w:after="0" w:line="260" w:lineRule="auto"/>
        <w:rPr>
          <w:sz w:val="20"/>
          <w:szCs w:val="20"/>
          <w:color w:val="auto"/>
        </w:rPr>
      </w:pPr>
      <w:r>
        <w:rPr>
          <w:rFonts w:ascii="Times New Roman" w:cs="Times New Roman" w:eastAsia="Times New Roman" w:hAnsi="Times New Roman"/>
          <w:sz w:val="19"/>
          <w:szCs w:val="19"/>
          <w:color w:val="1E1E1E"/>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2023 and 2022 are presented below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1E1E1E"/>
            </w:tcBorders>
          </w:tcPr>
          <w:p>
            <w:pPr>
              <w:spacing w:after="0"/>
              <w:rPr>
                <w:sz w:val="17"/>
                <w:szCs w:val="17"/>
                <w:color w:val="auto"/>
              </w:rPr>
            </w:pPr>
          </w:p>
        </w:tc>
        <w:tc>
          <w:tcPr>
            <w:tcW w:w="1920" w:type="dxa"/>
            <w:vAlign w:val="bottom"/>
            <w:tcBorders>
              <w:bottom w:val="single" w:sz="8" w:color="1E1E1E"/>
            </w:tcBorders>
            <w:gridSpan w:val="3"/>
          </w:tcPr>
          <w:p>
            <w:pPr>
              <w:jc w:val="right"/>
              <w:ind w:right="3"/>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9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580" w:type="dxa"/>
            <w:vAlign w:val="bottom"/>
            <w:tcBorders>
              <w:bottom w:val="single" w:sz="8" w:color="E4E4E4"/>
            </w:tcBorders>
          </w:tcPr>
          <w:p>
            <w:pPr>
              <w:spacing w:after="0"/>
              <w:rPr>
                <w:sz w:val="14"/>
                <w:szCs w:val="14"/>
                <w:color w:val="auto"/>
              </w:rPr>
            </w:pPr>
          </w:p>
        </w:tc>
        <w:tc>
          <w:tcPr>
            <w:tcW w:w="140" w:type="dxa"/>
            <w:vAlign w:val="bottom"/>
            <w:tcBorders>
              <w:bottom w:val="single" w:sz="8" w:color="E4E4E4"/>
            </w:tcBorders>
          </w:tcPr>
          <w:p>
            <w:pPr>
              <w:spacing w:after="0"/>
              <w:rPr>
                <w:sz w:val="14"/>
                <w:szCs w:val="14"/>
                <w:color w:val="auto"/>
              </w:rPr>
            </w:pP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1E1E1E"/>
            </w:tcBorders>
          </w:tcPr>
          <w:p>
            <w:pPr>
              <w:spacing w:after="0"/>
              <w:rPr>
                <w:sz w:val="14"/>
                <w:szCs w:val="14"/>
                <w:color w:val="auto"/>
              </w:rPr>
            </w:pPr>
          </w:p>
        </w:tc>
        <w:tc>
          <w:tcPr>
            <w:tcW w:w="1260" w:type="dxa"/>
            <w:vAlign w:val="bottom"/>
            <w:tcBorders>
              <w:bottom w:val="single" w:sz="8" w:color="1E1E1E"/>
            </w:tcBorders>
          </w:tcPr>
          <w:p>
            <w:pPr>
              <w:jc w:val="right"/>
              <w:ind w:right="425"/>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240" w:type="dxa"/>
            <w:vAlign w:val="bottom"/>
            <w:tcBorders>
              <w:bottom w:val="single" w:sz="8" w:color="E4E4E4"/>
            </w:tcBorders>
          </w:tcPr>
          <w:p>
            <w:pPr>
              <w:spacing w:after="0"/>
              <w:rPr>
                <w:sz w:val="14"/>
                <w:szCs w:val="14"/>
                <w:color w:val="auto"/>
              </w:rPr>
            </w:pPr>
          </w:p>
        </w:tc>
        <w:tc>
          <w:tcPr>
            <w:tcW w:w="420" w:type="dxa"/>
            <w:vAlign w:val="bottom"/>
            <w:tcBorders>
              <w:bottom w:val="single" w:sz="8" w:color="1E1E1E"/>
            </w:tcBorders>
          </w:tcPr>
          <w:p>
            <w:pPr>
              <w:spacing w:after="0"/>
              <w:rPr>
                <w:sz w:val="14"/>
                <w:szCs w:val="14"/>
                <w:color w:val="auto"/>
              </w:rPr>
            </w:pPr>
          </w:p>
        </w:tc>
        <w:tc>
          <w:tcPr>
            <w:tcW w:w="940" w:type="dxa"/>
            <w:vAlign w:val="bottom"/>
            <w:tcBorders>
              <w:bottom w:val="single" w:sz="8" w:color="1E1E1E"/>
            </w:tcBorders>
          </w:tcPr>
          <w:p>
            <w:pPr>
              <w:jc w:val="right"/>
              <w:ind w:right="424"/>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5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Deferred tax assets:</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9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Deferred compensation</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3,783</w:t>
            </w:r>
          </w:p>
        </w:tc>
        <w:tc>
          <w:tcPr>
            <w:tcW w:w="240" w:type="dxa"/>
            <w:vAlign w:val="bottom"/>
          </w:tcPr>
          <w:p>
            <w:pPr>
              <w:spacing w:after="0"/>
              <w:rPr>
                <w:sz w:val="19"/>
                <w:szCs w:val="19"/>
                <w:color w:val="auto"/>
              </w:rPr>
            </w:pPr>
          </w:p>
        </w:tc>
        <w:tc>
          <w:tcPr>
            <w:tcW w:w="4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Leases</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4,070</w:t>
            </w:r>
          </w:p>
        </w:tc>
        <w:tc>
          <w:tcPr>
            <w:tcW w:w="2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4,913</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Sec. 163(j) interest limitation carryforward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2,778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Allowance for doubtful accounts</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553</w:t>
            </w:r>
          </w:p>
        </w:tc>
        <w:tc>
          <w:tcPr>
            <w:tcW w:w="2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501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Fixed assets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998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Charitable contributions</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1,365</w:t>
            </w:r>
          </w:p>
        </w:tc>
        <w:tc>
          <w:tcPr>
            <w:tcW w:w="2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1,051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Unrealized 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457</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Other</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1,354</w:t>
            </w:r>
          </w:p>
        </w:tc>
        <w:tc>
          <w:tcPr>
            <w:tcW w:w="240" w:type="dxa"/>
            <w:vAlign w:val="bottom"/>
            <w:shd w:val="clear" w:color="auto" w:fill="E4E4E4"/>
          </w:tcPr>
          <w:p>
            <w:pPr>
              <w:spacing w:after="0"/>
              <w:rPr>
                <w:sz w:val="19"/>
                <w:szCs w:val="19"/>
                <w:color w:val="auto"/>
              </w:rPr>
            </w:pPr>
          </w:p>
        </w:tc>
        <w:tc>
          <w:tcPr>
            <w:tcW w:w="420" w:type="dxa"/>
            <w:vAlign w:val="bottom"/>
            <w:shd w:val="clear" w:color="auto" w:fill="E4E4E4"/>
          </w:tcPr>
          <w:p>
            <w:pPr>
              <w:spacing w:after="0"/>
              <w:rPr>
                <w:sz w:val="19"/>
                <w:szCs w:val="19"/>
                <w:color w:val="auto"/>
              </w:rPr>
            </w:pP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1,346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Net operating loss</w:t>
            </w:r>
          </w:p>
        </w:tc>
        <w:tc>
          <w:tcPr>
            <w:tcW w:w="140" w:type="dxa"/>
            <w:vAlign w:val="bottom"/>
            <w:tcBorders>
              <w:bottom w:val="single" w:sz="8" w:color="E4E4E4"/>
            </w:tcBorders>
          </w:tcPr>
          <w:p>
            <w:pPr>
              <w:spacing w:after="0"/>
              <w:rPr>
                <w:sz w:val="19"/>
                <w:szCs w:val="19"/>
                <w:color w:val="auto"/>
              </w:rPr>
            </w:pPr>
          </w:p>
        </w:tc>
        <w:tc>
          <w:tcPr>
            <w:tcW w:w="20" w:type="dxa"/>
            <w:vAlign w:val="bottom"/>
            <w:tcBorders>
              <w:bottom w:val="single" w:sz="8" w:color="E4E4E4"/>
            </w:tcBorders>
          </w:tcPr>
          <w:p>
            <w:pPr>
              <w:spacing w:after="0"/>
              <w:rPr>
                <w:sz w:val="19"/>
                <w:szCs w:val="19"/>
                <w:color w:val="auto"/>
              </w:rPr>
            </w:pPr>
          </w:p>
        </w:tc>
        <w:tc>
          <w:tcPr>
            <w:tcW w:w="80" w:type="dxa"/>
            <w:vAlign w:val="bottom"/>
            <w:tcBorders>
              <w:bottom w:val="single" w:sz="8" w:color="1E1E1E"/>
            </w:tcBorders>
          </w:tcPr>
          <w:p>
            <w:pPr>
              <w:spacing w:after="0"/>
              <w:rPr>
                <w:sz w:val="19"/>
                <w:szCs w:val="19"/>
                <w:color w:val="auto"/>
              </w:rPr>
            </w:pPr>
          </w:p>
        </w:tc>
        <w:tc>
          <w:tcPr>
            <w:tcW w:w="12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71,077</w:t>
            </w:r>
          </w:p>
        </w:tc>
        <w:tc>
          <w:tcPr>
            <w:tcW w:w="240" w:type="dxa"/>
            <w:vAlign w:val="bottom"/>
            <w:tcBorders>
              <w:bottom w:val="single" w:sz="8" w:color="E4E4E4"/>
            </w:tcBorders>
          </w:tcPr>
          <w:p>
            <w:pPr>
              <w:spacing w:after="0"/>
              <w:rPr>
                <w:sz w:val="19"/>
                <w:szCs w:val="19"/>
                <w:color w:val="auto"/>
              </w:rPr>
            </w:pPr>
          </w:p>
        </w:tc>
        <w:tc>
          <w:tcPr>
            <w:tcW w:w="420" w:type="dxa"/>
            <w:vAlign w:val="bottom"/>
            <w:tcBorders>
              <w:bottom w:val="single" w:sz="8" w:color="1E1E1E"/>
            </w:tcBorders>
          </w:tcPr>
          <w:p>
            <w:pPr>
              <w:spacing w:after="0"/>
              <w:rPr>
                <w:sz w:val="19"/>
                <w:szCs w:val="19"/>
                <w:color w:val="auto"/>
              </w:rPr>
            </w:pPr>
          </w:p>
        </w:tc>
        <w:tc>
          <w:tcPr>
            <w:tcW w:w="9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63,109</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5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Total deferred tax assets</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2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86,435</w:t>
            </w:r>
          </w:p>
        </w:tc>
        <w:tc>
          <w:tcPr>
            <w:tcW w:w="24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9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76,243</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Less valuation allowance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(73,412)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(59,789)</w:t>
            </w:r>
          </w:p>
        </w:tc>
        <w:tc>
          <w:tcPr>
            <w:tcW w:w="0" w:type="dxa"/>
            <w:vAlign w:val="bottom"/>
          </w:tcPr>
          <w:p>
            <w:pPr>
              <w:spacing w:after="0"/>
              <w:rPr>
                <w:sz w:val="1"/>
                <w:szCs w:val="1"/>
                <w:color w:val="auto"/>
              </w:rPr>
            </w:pPr>
          </w:p>
        </w:tc>
      </w:tr>
      <w:tr>
        <w:trPr>
          <w:trHeight w:val="233"/>
        </w:trPr>
        <w:tc>
          <w:tcPr>
            <w:tcW w:w="658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Total deferred tax assets, net</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20" w:type="dxa"/>
            <w:vAlign w:val="bottom"/>
            <w:tcBorders>
              <w:top w:val="single" w:sz="8" w:color="E4E4E4"/>
              <w:bottom w:val="single" w:sz="8" w:color="E4E4E4"/>
            </w:tcBorders>
            <w:shd w:val="clear" w:color="auto" w:fill="E4E4E4"/>
          </w:tcPr>
          <w:p>
            <w:pPr>
              <w:spacing w:after="0"/>
              <w:rPr>
                <w:sz w:val="20"/>
                <w:szCs w:val="20"/>
                <w:color w:val="auto"/>
              </w:rPr>
            </w:pPr>
          </w:p>
        </w:tc>
        <w:tc>
          <w:tcPr>
            <w:tcW w:w="8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2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13,023</w:t>
            </w:r>
          </w:p>
        </w:tc>
        <w:tc>
          <w:tcPr>
            <w:tcW w:w="240" w:type="dxa"/>
            <w:vAlign w:val="bottom"/>
            <w:tcBorders>
              <w:top w:val="single" w:sz="8" w:color="E4E4E4"/>
              <w:bottom w:val="single" w:sz="8" w:color="E4E4E4"/>
            </w:tcBorders>
            <w:shd w:val="clear" w:color="auto" w:fill="E4E4E4"/>
          </w:tcPr>
          <w:p>
            <w:pPr>
              <w:spacing w:after="0"/>
              <w:rPr>
                <w:sz w:val="20"/>
                <w:szCs w:val="20"/>
                <w:color w:val="auto"/>
              </w:rPr>
            </w:pPr>
          </w:p>
        </w:tc>
        <w:tc>
          <w:tcPr>
            <w:tcW w:w="420" w:type="dxa"/>
            <w:vAlign w:val="bottom"/>
            <w:tcBorders>
              <w:top w:val="single" w:sz="8" w:color="1E1E1E"/>
              <w:bottom w:val="single" w:sz="8" w:color="1E1E1E"/>
            </w:tcBorders>
            <w:shd w:val="clear" w:color="auto" w:fill="E4E4E4"/>
          </w:tcPr>
          <w:p>
            <w:pPr>
              <w:jc w:val="right"/>
              <w:ind w:right="2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16,454</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Deferred tax liabilities:</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Leases</w:t>
            </w:r>
          </w:p>
        </w:tc>
        <w:tc>
          <w:tcPr>
            <w:tcW w:w="240" w:type="dxa"/>
            <w:vAlign w:val="bottom"/>
            <w:gridSpan w:val="3"/>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5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(2,826)</w:t>
            </w:r>
          </w:p>
        </w:tc>
        <w:tc>
          <w:tcPr>
            <w:tcW w:w="420" w:type="dxa"/>
            <w:vAlign w:val="bottom"/>
            <w:shd w:val="clear" w:color="auto" w:fill="E4E4E4"/>
          </w:tcPr>
          <w:p>
            <w:pPr>
              <w:jc w:val="right"/>
              <w:ind w:right="223"/>
              <w:spacing w:after="0"/>
              <w:rPr>
                <w:sz w:val="20"/>
                <w:szCs w:val="20"/>
                <w:color w:val="auto"/>
              </w:rPr>
            </w:pPr>
            <w:r>
              <w:rPr>
                <w:rFonts w:ascii="Times New Roman" w:cs="Times New Roman" w:eastAsia="Times New Roman" w:hAnsi="Times New Roman"/>
                <w:sz w:val="19"/>
                <w:szCs w:val="19"/>
                <w:color w:val="1E1E1E"/>
                <w:w w:val="83"/>
              </w:rPr>
              <w:t>$</w:t>
            </w:r>
          </w:p>
        </w:tc>
        <w:tc>
          <w:tcPr>
            <w:tcW w:w="10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(5,886)</w:t>
            </w: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Deferred sales commissions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(1,409)</w:t>
            </w:r>
          </w:p>
        </w:tc>
        <w:tc>
          <w:tcPr>
            <w:tcW w:w="0" w:type="dxa"/>
            <w:vAlign w:val="bottom"/>
          </w:tcPr>
          <w:p>
            <w:pPr>
              <w:spacing w:after="0"/>
              <w:rPr>
                <w:sz w:val="1"/>
                <w:szCs w:val="1"/>
                <w:color w:val="auto"/>
              </w:rPr>
            </w:pPr>
          </w:p>
        </w:tc>
      </w:tr>
      <w:tr>
        <w:trPr>
          <w:trHeight w:val="223"/>
        </w:trPr>
        <w:tc>
          <w:tcPr>
            <w:tcW w:w="658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Acquisition costs and intangibles</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5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19"/>
                <w:szCs w:val="19"/>
                <w:color w:val="1E1E1E"/>
              </w:rPr>
              <w:t>(10,036)</w:t>
            </w:r>
          </w:p>
        </w:tc>
        <w:tc>
          <w:tcPr>
            <w:tcW w:w="420" w:type="dxa"/>
            <w:vAlign w:val="bottom"/>
            <w:shd w:val="clear" w:color="auto" w:fill="E4E4E4"/>
          </w:tcPr>
          <w:p>
            <w:pPr>
              <w:spacing w:after="0"/>
              <w:rPr>
                <w:sz w:val="19"/>
                <w:szCs w:val="19"/>
                <w:color w:val="auto"/>
              </w:rPr>
            </w:pPr>
          </w:p>
        </w:tc>
        <w:tc>
          <w:tcPr>
            <w:tcW w:w="10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(9,576)</w:t>
            </w:r>
          </w:p>
        </w:tc>
        <w:tc>
          <w:tcPr>
            <w:tcW w:w="0" w:type="dxa"/>
            <w:vAlign w:val="bottom"/>
          </w:tcPr>
          <w:p>
            <w:pPr>
              <w:spacing w:after="0"/>
              <w:rPr>
                <w:sz w:val="1"/>
                <w:szCs w:val="1"/>
                <w:color w:val="auto"/>
              </w:rPr>
            </w:pPr>
          </w:p>
        </w:tc>
      </w:tr>
      <w:tr>
        <w:trPr>
          <w:trHeight w:val="223"/>
        </w:trPr>
        <w:tc>
          <w:tcPr>
            <w:tcW w:w="658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Other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1E1E1E"/>
              </w:rPr>
              <w:t>(441)</w:t>
            </w:r>
          </w:p>
        </w:tc>
        <w:tc>
          <w:tcPr>
            <w:tcW w:w="4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(12)</w:t>
            </w:r>
          </w:p>
        </w:tc>
        <w:tc>
          <w:tcPr>
            <w:tcW w:w="0" w:type="dxa"/>
            <w:vAlign w:val="bottom"/>
          </w:tcPr>
          <w:p>
            <w:pPr>
              <w:spacing w:after="0"/>
              <w:rPr>
                <w:sz w:val="1"/>
                <w:szCs w:val="1"/>
                <w:color w:val="auto"/>
              </w:rPr>
            </w:pPr>
          </w:p>
        </w:tc>
      </w:tr>
      <w:tr>
        <w:trPr>
          <w:trHeight w:val="213"/>
        </w:trPr>
        <w:tc>
          <w:tcPr>
            <w:tcW w:w="658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Total deferred tax liabilities</w:t>
            </w:r>
          </w:p>
        </w:tc>
        <w:tc>
          <w:tcPr>
            <w:tcW w:w="14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1E1E1E"/>
              <w:bottom w:val="single" w:sz="8" w:color="1E1E1E"/>
            </w:tcBorders>
            <w:shd w:val="clear" w:color="auto" w:fill="E4E4E4"/>
          </w:tcPr>
          <w:p>
            <w:pPr>
              <w:spacing w:after="0"/>
              <w:rPr>
                <w:sz w:val="18"/>
                <w:szCs w:val="18"/>
                <w:color w:val="auto"/>
              </w:rPr>
            </w:pPr>
          </w:p>
        </w:tc>
        <w:tc>
          <w:tcPr>
            <w:tcW w:w="12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(13,298)</w:t>
            </w:r>
          </w:p>
        </w:tc>
        <w:tc>
          <w:tcPr>
            <w:tcW w:w="240" w:type="dxa"/>
            <w:vAlign w:val="bottom"/>
            <w:tcBorders>
              <w:top w:val="single" w:sz="8" w:color="E4E4E4"/>
            </w:tcBorders>
            <w:shd w:val="clear" w:color="auto" w:fill="E4E4E4"/>
          </w:tcPr>
          <w:p>
            <w:pPr>
              <w:spacing w:after="0"/>
              <w:rPr>
                <w:sz w:val="18"/>
                <w:szCs w:val="18"/>
                <w:color w:val="auto"/>
              </w:rPr>
            </w:pPr>
          </w:p>
        </w:tc>
        <w:tc>
          <w:tcPr>
            <w:tcW w:w="420" w:type="dxa"/>
            <w:vAlign w:val="bottom"/>
            <w:tcBorders>
              <w:top w:val="single" w:sz="8" w:color="1E1E1E"/>
              <w:bottom w:val="single" w:sz="8" w:color="1E1E1E"/>
            </w:tcBorders>
            <w:shd w:val="clear" w:color="auto" w:fill="E4E4E4"/>
          </w:tcPr>
          <w:p>
            <w:pPr>
              <w:spacing w:after="0"/>
              <w:rPr>
                <w:sz w:val="18"/>
                <w:szCs w:val="18"/>
                <w:color w:val="auto"/>
              </w:rPr>
            </w:pPr>
          </w:p>
        </w:tc>
        <w:tc>
          <w:tcPr>
            <w:tcW w:w="9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(16,883)</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580" w:type="dxa"/>
            <w:vAlign w:val="bottom"/>
          </w:tcPr>
          <w:p>
            <w:pPr>
              <w:spacing w:after="0" w:line="213" w:lineRule="exact"/>
              <w:rPr>
                <w:sz w:val="20"/>
                <w:szCs w:val="20"/>
                <w:color w:val="auto"/>
              </w:rPr>
            </w:pPr>
            <w:r>
              <w:rPr>
                <w:rFonts w:ascii="Times New Roman" w:cs="Times New Roman" w:eastAsia="Times New Roman" w:hAnsi="Times New Roman"/>
                <w:sz w:val="19"/>
                <w:szCs w:val="19"/>
                <w:b w:val="1"/>
                <w:bCs w:val="1"/>
                <w:color w:val="1E1E1E"/>
              </w:rPr>
              <w:t>Net deferred tax liability</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26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(275)</w:t>
            </w:r>
          </w:p>
        </w:tc>
        <w:tc>
          <w:tcPr>
            <w:tcW w:w="240" w:type="dxa"/>
            <w:vAlign w:val="bottom"/>
          </w:tcPr>
          <w:p>
            <w:pPr>
              <w:spacing w:after="0"/>
              <w:rPr>
                <w:sz w:val="18"/>
                <w:szCs w:val="18"/>
                <w:color w:val="auto"/>
              </w:rPr>
            </w:pPr>
          </w:p>
        </w:tc>
        <w:tc>
          <w:tcPr>
            <w:tcW w:w="420" w:type="dxa"/>
            <w:vAlign w:val="bottom"/>
            <w:tcBorders>
              <w:bottom w:val="single" w:sz="8" w:color="1E1E1E"/>
            </w:tcBorders>
          </w:tcPr>
          <w:p>
            <w:pPr>
              <w:jc w:val="right"/>
              <w:ind w:right="2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Tax Valuation Allowance</w:t>
      </w:r>
    </w:p>
    <w:p>
      <w:pPr>
        <w:spacing w:after="0" w:line="118" w:lineRule="exact"/>
        <w:rPr>
          <w:sz w:val="20"/>
          <w:szCs w:val="20"/>
          <w:color w:val="auto"/>
        </w:rPr>
      </w:pPr>
    </w:p>
    <w:p>
      <w:pPr>
        <w:ind w:firstLine="601"/>
        <w:spacing w:after="0" w:line="256" w:lineRule="auto"/>
        <w:rPr>
          <w:sz w:val="20"/>
          <w:szCs w:val="20"/>
          <w:color w:val="auto"/>
        </w:rPr>
      </w:pPr>
      <w:r>
        <w:rPr>
          <w:rFonts w:ascii="Times New Roman" w:cs="Times New Roman" w:eastAsia="Times New Roman" w:hAnsi="Times New Roman"/>
          <w:sz w:val="19"/>
          <w:szCs w:val="19"/>
          <w:color w:val="1E1E1E"/>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44" w:lineRule="exact"/>
        <w:rPr>
          <w:sz w:val="20"/>
          <w:szCs w:val="20"/>
          <w:color w:val="auto"/>
        </w:rPr>
      </w:pPr>
    </w:p>
    <w:p>
      <w:pPr>
        <w:ind w:right="140" w:firstLine="601"/>
        <w:spacing w:after="0" w:line="256" w:lineRule="auto"/>
        <w:rPr>
          <w:sz w:val="20"/>
          <w:szCs w:val="20"/>
          <w:color w:val="auto"/>
        </w:rPr>
      </w:pPr>
      <w:r>
        <w:rPr>
          <w:rFonts w:ascii="Times New Roman" w:cs="Times New Roman" w:eastAsia="Times New Roman" w:hAnsi="Times New Roman"/>
          <w:sz w:val="19"/>
          <w:szCs w:val="19"/>
          <w:color w:val="1E1E1E"/>
        </w:rPr>
        <w:t>As of December 31, 2023, and 2022, the Company had a valuation allowance of $73.4 million and $59.8 million, respectively, against certain deferred tax assets. The valuation allowance relates to the deferred tax assets of the Company’s U.S. entities, including federal and state tax attributes and timing differences, as well as the deferred tax assets of its foreign subsidiaries. The increase in the valuation allowance during 2023 is primarily related to the pre-tax losses generated in the U.S and non-U.S.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Net Operating Loss and Credit Carryforwards</w:t>
      </w:r>
    </w:p>
    <w:p>
      <w:pPr>
        <w:spacing w:after="0" w:line="118" w:lineRule="exact"/>
        <w:rPr>
          <w:sz w:val="20"/>
          <w:szCs w:val="20"/>
          <w:color w:val="auto"/>
        </w:rPr>
      </w:pPr>
    </w:p>
    <w:p>
      <w:pPr>
        <w:ind w:right="180" w:firstLine="601"/>
        <w:spacing w:after="0" w:line="251" w:lineRule="auto"/>
        <w:rPr>
          <w:sz w:val="20"/>
          <w:szCs w:val="20"/>
          <w:color w:val="auto"/>
        </w:rPr>
      </w:pPr>
      <w:r>
        <w:rPr>
          <w:rFonts w:ascii="Times New Roman" w:cs="Times New Roman" w:eastAsia="Times New Roman" w:hAnsi="Times New Roman"/>
          <w:sz w:val="19"/>
          <w:szCs w:val="19"/>
          <w:color w:val="1E1E1E"/>
        </w:rPr>
        <w:t>As of December 31, 2023, the Company has net operating loss (“NOL”) carryforwards for U.S. federal income tax purposes, and similar state amounts, of approximately $228.6 million available to reduce future income subject to income taxes before limitations. As of December 31, 2023, the Company had a net operating loss carryforward for tax purposes related to its foreign subsidiaries of $50.1 million. U.S. federal net operating carryforwards generated prior to 2018 in the approximate amount of $61.5 million will begin to expire, if not utilized, in 2025.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p>
    <w:p>
      <w:pPr>
        <w:spacing w:after="0" w:line="74" w:lineRule="exact"/>
        <w:rPr>
          <w:sz w:val="20"/>
          <w:szCs w:val="20"/>
          <w:color w:val="auto"/>
        </w:rPr>
      </w:pPr>
    </w:p>
    <w:p>
      <w:pPr>
        <w:ind w:right="120" w:firstLine="601"/>
        <w:spacing w:after="0" w:line="254" w:lineRule="auto"/>
        <w:rPr>
          <w:sz w:val="20"/>
          <w:szCs w:val="20"/>
          <w:color w:val="auto"/>
        </w:rPr>
      </w:pPr>
      <w:r>
        <w:rPr>
          <w:rFonts w:ascii="Times New Roman" w:cs="Times New Roman" w:eastAsia="Times New Roman" w:hAnsi="Times New Roman"/>
          <w:sz w:val="19"/>
          <w:szCs w:val="19"/>
          <w:color w:val="1E1E1E"/>
        </w:rPr>
        <w:t>Of the total loss carryforward available, approximately $57.2 million of net operating losses were attributable to the acquisition of Thomas.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ectPr>
          <w:pgSz w:w="11880" w:h="15480" w:orient="portrait"/>
          <w:cols w:equalWidth="0" w:num="1">
            <w:col w:w="9760"/>
          </w:cols>
          <w:pgMar w:left="1060" w:top="1306" w:right="1060" w:bottom="215"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90</w:t>
      </w:r>
    </w:p>
    <w:p>
      <w:pPr>
        <w:sectPr>
          <w:pgSz w:w="11880" w:h="15480" w:orient="portrait"/>
          <w:cols w:equalWidth="0" w:num="1">
            <w:col w:w="9760"/>
          </w:cols>
          <w:pgMar w:left="1060" w:top="1306" w:right="1060" w:bottom="215" w:gutter="0" w:footer="0" w:header="0"/>
          <w:type w:val="continuous"/>
        </w:sectPr>
      </w:pPr>
    </w:p>
    <w:bookmarkStart w:id="96" w:name="page97"/>
    <w:bookmarkEnd w:id="96"/>
    <w:p>
      <w:pPr>
        <w:ind w:left="10"/>
        <w:spacing w:after="0"/>
        <w:rPr>
          <w:sz w:val="20"/>
          <w:szCs w:val="20"/>
          <w:color w:val="auto"/>
        </w:rPr>
      </w:pPr>
      <w:r>
        <w:rPr>
          <w:rFonts w:ascii="Times New Roman" w:cs="Times New Roman" w:eastAsia="Times New Roman" w:hAnsi="Times New Roman"/>
          <w:sz w:val="19"/>
          <w:szCs w:val="19"/>
          <w:i w:val="1"/>
          <w:iCs w:val="1"/>
          <w:color w:val="1E1E1E"/>
        </w:rPr>
        <w:t>Uncertain Tax Positions</w:t>
      </w:r>
    </w:p>
    <w:p>
      <w:pPr>
        <w:spacing w:after="0" w:line="118" w:lineRule="exact"/>
        <w:rPr>
          <w:sz w:val="20"/>
          <w:szCs w:val="20"/>
          <w:color w:val="auto"/>
        </w:rPr>
      </w:pPr>
    </w:p>
    <w:p>
      <w:pPr>
        <w:jc w:val="both"/>
        <w:ind w:left="10" w:right="220" w:firstLine="601"/>
        <w:spacing w:after="0" w:line="256" w:lineRule="auto"/>
        <w:rPr>
          <w:sz w:val="20"/>
          <w:szCs w:val="20"/>
          <w:color w:val="auto"/>
        </w:rPr>
      </w:pPr>
      <w:r>
        <w:rPr>
          <w:rFonts w:ascii="Times New Roman" w:cs="Times New Roman" w:eastAsia="Times New Roman" w:hAnsi="Times New Roman"/>
          <w:sz w:val="19"/>
          <w:szCs w:val="19"/>
          <w:color w:val="1E1E1E"/>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periods presented.</w:t>
      </w:r>
    </w:p>
    <w:p>
      <w:pPr>
        <w:spacing w:after="0" w:line="174" w:lineRule="exact"/>
        <w:rPr>
          <w:sz w:val="20"/>
          <w:szCs w:val="20"/>
          <w:color w:val="auto"/>
        </w:rPr>
      </w:pPr>
    </w:p>
    <w:p>
      <w:pPr>
        <w:ind w:left="10" w:right="220" w:firstLine="601"/>
        <w:spacing w:after="0" w:line="260" w:lineRule="auto"/>
        <w:rPr>
          <w:sz w:val="20"/>
          <w:szCs w:val="20"/>
          <w:color w:val="auto"/>
        </w:rPr>
      </w:pPr>
      <w:r>
        <w:rPr>
          <w:rFonts w:ascii="Times New Roman" w:cs="Times New Roman" w:eastAsia="Times New Roman" w:hAnsi="Times New Roman"/>
          <w:sz w:val="19"/>
          <w:szCs w:val="19"/>
          <w:color w:val="1E1E1E"/>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10" w:hanging="610"/>
        <w:spacing w:after="0"/>
        <w:tabs>
          <w:tab w:leader="none" w:pos="610" w:val="left"/>
        </w:tabs>
        <w:numPr>
          <w:ilvl w:val="0"/>
          <w:numId w:val="67"/>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Net Loss Per Share Attributable to Common Stockholders</w:t>
      </w:r>
    </w:p>
    <w:p>
      <w:pPr>
        <w:spacing w:after="0" w:line="124" w:lineRule="exact"/>
        <w:rPr>
          <w:sz w:val="20"/>
          <w:szCs w:val="20"/>
          <w:color w:val="auto"/>
        </w:rPr>
      </w:pPr>
    </w:p>
    <w:p>
      <w:pPr>
        <w:ind w:left="10" w:right="20" w:firstLine="601"/>
        <w:spacing w:after="0" w:line="260" w:lineRule="auto"/>
        <w:rPr>
          <w:sz w:val="20"/>
          <w:szCs w:val="20"/>
          <w:color w:val="auto"/>
        </w:rPr>
      </w:pPr>
      <w:r>
        <w:rPr>
          <w:rFonts w:ascii="Times New Roman" w:cs="Times New Roman" w:eastAsia="Times New Roman" w:hAnsi="Times New Roman"/>
          <w:sz w:val="19"/>
          <w:szCs w:val="19"/>
          <w:color w:val="1E1E1E"/>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1E1E1E"/>
            </w:tcBorders>
          </w:tcPr>
          <w:p>
            <w:pPr>
              <w:spacing w:after="0"/>
              <w:rPr>
                <w:sz w:val="17"/>
                <w:szCs w:val="17"/>
                <w:color w:val="auto"/>
              </w:rPr>
            </w:pPr>
          </w:p>
        </w:tc>
        <w:tc>
          <w:tcPr>
            <w:tcW w:w="2700" w:type="dxa"/>
            <w:vAlign w:val="bottom"/>
            <w:tcBorders>
              <w:bottom w:val="single" w:sz="8" w:color="1E1E1E"/>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82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100" w:type="dxa"/>
            <w:vAlign w:val="bottom"/>
            <w:tcBorders>
              <w:bottom w:val="single" w:sz="8" w:color="1E1E1E"/>
            </w:tcBorders>
          </w:tcPr>
          <w:p>
            <w:pPr>
              <w:spacing w:after="0"/>
              <w:rPr>
                <w:sz w:val="14"/>
                <w:szCs w:val="14"/>
                <w:color w:val="auto"/>
              </w:rPr>
            </w:pPr>
          </w:p>
        </w:tc>
        <w:tc>
          <w:tcPr>
            <w:tcW w:w="960" w:type="dxa"/>
            <w:vAlign w:val="bottom"/>
            <w:tcBorders>
              <w:bottom w:val="single" w:sz="8" w:color="1E1E1E"/>
            </w:tcBorders>
          </w:tcPr>
          <w:p>
            <w:pPr>
              <w:jc w:val="right"/>
              <w:ind w:right="289"/>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120" w:type="dxa"/>
            <w:vAlign w:val="bottom"/>
            <w:tcBorders>
              <w:bottom w:val="single" w:sz="8" w:color="E4E4E4"/>
            </w:tcBorders>
          </w:tcPr>
          <w:p>
            <w:pPr>
              <w:spacing w:after="0"/>
              <w:rPr>
                <w:sz w:val="14"/>
                <w:szCs w:val="14"/>
                <w:color w:val="auto"/>
              </w:rPr>
            </w:pPr>
          </w:p>
        </w:tc>
        <w:tc>
          <w:tcPr>
            <w:tcW w:w="60" w:type="dxa"/>
            <w:vAlign w:val="bottom"/>
            <w:tcBorders>
              <w:bottom w:val="single" w:sz="8" w:color="E4E4E4"/>
            </w:tcBorders>
          </w:tcPr>
          <w:p>
            <w:pPr>
              <w:spacing w:after="0"/>
              <w:rPr>
                <w:sz w:val="14"/>
                <w:szCs w:val="14"/>
                <w:color w:val="auto"/>
              </w:rPr>
            </w:pPr>
          </w:p>
        </w:tc>
        <w:tc>
          <w:tcPr>
            <w:tcW w:w="220" w:type="dxa"/>
            <w:vAlign w:val="bottom"/>
            <w:tcBorders>
              <w:bottom w:val="single" w:sz="8" w:color="1E1E1E"/>
            </w:tcBorders>
          </w:tcPr>
          <w:p>
            <w:pPr>
              <w:spacing w:after="0"/>
              <w:rPr>
                <w:sz w:val="14"/>
                <w:szCs w:val="14"/>
                <w:color w:val="auto"/>
              </w:rPr>
            </w:pPr>
          </w:p>
        </w:tc>
        <w:tc>
          <w:tcPr>
            <w:tcW w:w="1000" w:type="dxa"/>
            <w:vAlign w:val="bottom"/>
            <w:tcBorders>
              <w:bottom w:val="single" w:sz="8" w:color="1E1E1E"/>
            </w:tcBorders>
          </w:tcPr>
          <w:p>
            <w:pPr>
              <w:jc w:val="right"/>
              <w:ind w:right="366"/>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Borders>
              <w:bottom w:val="single" w:sz="8" w:color="E4E4E4"/>
            </w:tcBorders>
          </w:tcPr>
          <w:p>
            <w:pPr>
              <w:spacing w:after="0"/>
              <w:rPr>
                <w:sz w:val="14"/>
                <w:szCs w:val="14"/>
                <w:color w:val="auto"/>
              </w:rPr>
            </w:pPr>
          </w:p>
        </w:tc>
        <w:tc>
          <w:tcPr>
            <w:tcW w:w="140" w:type="dxa"/>
            <w:vAlign w:val="bottom"/>
            <w:tcBorders>
              <w:bottom w:val="single" w:sz="8" w:color="1E1E1E"/>
            </w:tcBorders>
          </w:tcPr>
          <w:p>
            <w:pPr>
              <w:spacing w:after="0"/>
              <w:rPr>
                <w:sz w:val="14"/>
                <w:szCs w:val="14"/>
                <w:color w:val="auto"/>
              </w:rPr>
            </w:pPr>
          </w:p>
        </w:tc>
        <w:tc>
          <w:tcPr>
            <w:tcW w:w="940" w:type="dxa"/>
            <w:vAlign w:val="bottom"/>
            <w:tcBorders>
              <w:bottom w:val="single" w:sz="8" w:color="1E1E1E"/>
            </w:tcBorders>
          </w:tcPr>
          <w:p>
            <w:pPr>
              <w:jc w:val="right"/>
              <w:ind w:right="306"/>
              <w:spacing w:after="0" w:line="168"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8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Net loss</w:t>
            </w:r>
          </w:p>
        </w:tc>
        <w:tc>
          <w:tcPr>
            <w:tcW w:w="120" w:type="dxa"/>
            <w:vAlign w:val="bottom"/>
            <w:shd w:val="clear" w:color="auto" w:fill="E4E4E4"/>
          </w:tcPr>
          <w:p>
            <w:pPr>
              <w:spacing w:after="0"/>
              <w:rPr>
                <w:sz w:val="18"/>
                <w:szCs w:val="18"/>
                <w:color w:val="auto"/>
              </w:rPr>
            </w:pPr>
          </w:p>
        </w:tc>
        <w:tc>
          <w:tcPr>
            <w:tcW w:w="1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shd w:val="clear" w:color="auto" w:fill="E4E4E4"/>
              </w:rPr>
              <w:t>$</w:t>
            </w:r>
          </w:p>
        </w:tc>
        <w:tc>
          <w:tcPr>
            <w:tcW w:w="9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(67,465)</w:t>
            </w: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20" w:type="dxa"/>
            <w:vAlign w:val="bottom"/>
            <w:shd w:val="clear" w:color="auto" w:fill="E4E4E4"/>
          </w:tcPr>
          <w:p>
            <w:pPr>
              <w:jc w:val="right"/>
              <w:ind w:right="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(79,043)</w:t>
            </w:r>
          </w:p>
        </w:tc>
        <w:tc>
          <w:tcPr>
            <w:tcW w:w="200" w:type="dxa"/>
            <w:vAlign w:val="bottom"/>
            <w:shd w:val="clear" w:color="auto" w:fill="E4E4E4"/>
          </w:tcPr>
          <w:p>
            <w:pPr>
              <w:spacing w:after="0"/>
              <w:rPr>
                <w:sz w:val="18"/>
                <w:szCs w:val="18"/>
                <w:color w:val="auto"/>
              </w:rPr>
            </w:pPr>
          </w:p>
        </w:tc>
        <w:tc>
          <w:tcPr>
            <w:tcW w:w="1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(61,381)</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Net (loss) income attributable to noncontrolling interest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(2)</w:t>
            </w:r>
          </w:p>
        </w:tc>
        <w:tc>
          <w:tcPr>
            <w:tcW w:w="0" w:type="dxa"/>
            <w:vAlign w:val="bottom"/>
          </w:tcPr>
          <w:p>
            <w:pPr>
              <w:spacing w:after="0"/>
              <w:rPr>
                <w:sz w:val="1"/>
                <w:szCs w:val="1"/>
                <w:color w:val="auto"/>
              </w:rPr>
            </w:pPr>
          </w:p>
        </w:tc>
      </w:tr>
      <w:tr>
        <w:trPr>
          <w:trHeight w:val="213"/>
        </w:trPr>
        <w:tc>
          <w:tcPr>
            <w:tcW w:w="582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12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(67,472</w:t>
            </w:r>
          </w:p>
        </w:tc>
        <w:tc>
          <w:tcPr>
            <w:tcW w:w="120" w:type="dxa"/>
            <w:vAlign w:val="bottom"/>
            <w:tcBorders>
              <w:top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60" w:type="dxa"/>
            <w:vAlign w:val="bottom"/>
            <w:tcBorders>
              <w:top w:val="single" w:sz="8" w:color="E4E4E4"/>
            </w:tcBorders>
            <w:shd w:val="clear" w:color="auto" w:fill="E4E4E4"/>
          </w:tcPr>
          <w:p>
            <w:pPr>
              <w:spacing w:after="0"/>
              <w:rPr>
                <w:sz w:val="18"/>
                <w:szCs w:val="18"/>
                <w:color w:val="auto"/>
              </w:rPr>
            </w:pPr>
          </w:p>
        </w:tc>
        <w:tc>
          <w:tcPr>
            <w:tcW w:w="220" w:type="dxa"/>
            <w:vAlign w:val="bottom"/>
            <w:tcBorders>
              <w:top w:val="single" w:sz="8" w:color="1E1E1E"/>
              <w:bottom w:val="single" w:sz="8" w:color="1E1E1E"/>
            </w:tcBorders>
            <w:shd w:val="clear" w:color="auto" w:fill="E4E4E4"/>
          </w:tcPr>
          <w:p>
            <w:pPr>
              <w:jc w:val="right"/>
              <w:ind w:right="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(79,059)</w:t>
            </w:r>
          </w:p>
        </w:tc>
        <w:tc>
          <w:tcPr>
            <w:tcW w:w="200" w:type="dxa"/>
            <w:vAlign w:val="bottom"/>
            <w:tcBorders>
              <w:top w:val="single" w:sz="8" w:color="E4E4E4"/>
            </w:tcBorders>
            <w:shd w:val="clear" w:color="auto" w:fill="E4E4E4"/>
          </w:tcPr>
          <w:p>
            <w:pPr>
              <w:spacing w:after="0"/>
              <w:rPr>
                <w:sz w:val="18"/>
                <w:szCs w:val="18"/>
                <w:color w:val="auto"/>
              </w:rPr>
            </w:pPr>
          </w:p>
        </w:tc>
        <w:tc>
          <w:tcPr>
            <w:tcW w:w="1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(61,379)</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Weighted-average number of shares outstanding used to compute net loss</w:t>
            </w:r>
          </w:p>
        </w:tc>
        <w:tc>
          <w:tcPr>
            <w:tcW w:w="1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per share attributable to common stockholders, basic and diluted, of Class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1E1E1E"/>
              </w:rPr>
              <w:t>A and Class B common stock</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47,914,039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1E1E1E"/>
              </w:rPr>
              <w:t>47,158,247</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26,318,349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820" w:type="dxa"/>
            <w:vAlign w:val="bottom"/>
            <w:tcBorders>
              <w:top w:val="single" w:sz="8" w:color="E4E4E4"/>
            </w:tcBorders>
            <w:shd w:val="clear" w:color="auto" w:fill="E4E4E4"/>
          </w:tcPr>
          <w:p>
            <w:pPr>
              <w:spacing w:after="0" w:line="186" w:lineRule="exact"/>
              <w:rPr>
                <w:sz w:val="20"/>
                <w:szCs w:val="20"/>
                <w:color w:val="auto"/>
              </w:rPr>
            </w:pPr>
            <w:r>
              <w:rPr>
                <w:rFonts w:ascii="Times New Roman" w:cs="Times New Roman" w:eastAsia="Times New Roman" w:hAnsi="Times New Roman"/>
                <w:sz w:val="19"/>
                <w:szCs w:val="19"/>
                <w:color w:val="1E1E1E"/>
              </w:rPr>
              <w:t>Net loss per share attributable to common stockholders, basic and diluted,</w:t>
            </w:r>
          </w:p>
        </w:tc>
        <w:tc>
          <w:tcPr>
            <w:tcW w:w="120" w:type="dxa"/>
            <w:vAlign w:val="bottom"/>
            <w:tcBorders>
              <w:top w:val="single" w:sz="8" w:color="E4E4E4"/>
            </w:tcBorders>
            <w:shd w:val="clear" w:color="auto" w:fill="E4E4E4"/>
          </w:tcPr>
          <w:p>
            <w:pPr>
              <w:spacing w:after="0"/>
              <w:rPr>
                <w:sz w:val="16"/>
                <w:szCs w:val="16"/>
                <w:color w:val="auto"/>
              </w:rPr>
            </w:pPr>
          </w:p>
        </w:tc>
        <w:tc>
          <w:tcPr>
            <w:tcW w:w="100" w:type="dxa"/>
            <w:vAlign w:val="bottom"/>
            <w:tcBorders>
              <w:top w:val="single" w:sz="8" w:color="1E1E1E"/>
            </w:tcBorders>
            <w:shd w:val="clear" w:color="auto" w:fill="E4E4E4"/>
          </w:tcPr>
          <w:p>
            <w:pPr>
              <w:spacing w:after="0"/>
              <w:rPr>
                <w:sz w:val="16"/>
                <w:szCs w:val="16"/>
                <w:color w:val="auto"/>
              </w:rPr>
            </w:pPr>
          </w:p>
        </w:tc>
        <w:tc>
          <w:tcPr>
            <w:tcW w:w="960" w:type="dxa"/>
            <w:vAlign w:val="bottom"/>
            <w:tcBorders>
              <w:top w:val="single" w:sz="8" w:color="1E1E1E"/>
            </w:tcBorders>
            <w:shd w:val="clear" w:color="auto" w:fill="E4E4E4"/>
          </w:tcPr>
          <w:p>
            <w:pPr>
              <w:spacing w:after="0"/>
              <w:rPr>
                <w:sz w:val="16"/>
                <w:szCs w:val="16"/>
                <w:color w:val="auto"/>
              </w:rPr>
            </w:pPr>
          </w:p>
        </w:tc>
        <w:tc>
          <w:tcPr>
            <w:tcW w:w="120" w:type="dxa"/>
            <w:vAlign w:val="bottom"/>
            <w:tcBorders>
              <w:top w:val="single" w:sz="8" w:color="E4E4E4"/>
            </w:tcBorders>
            <w:shd w:val="clear" w:color="auto" w:fill="E4E4E4"/>
          </w:tcPr>
          <w:p>
            <w:pPr>
              <w:spacing w:after="0"/>
              <w:rPr>
                <w:sz w:val="16"/>
                <w:szCs w:val="16"/>
                <w:color w:val="auto"/>
              </w:rPr>
            </w:pPr>
          </w:p>
        </w:tc>
        <w:tc>
          <w:tcPr>
            <w:tcW w:w="60" w:type="dxa"/>
            <w:vAlign w:val="bottom"/>
            <w:tcBorders>
              <w:top w:val="single" w:sz="8" w:color="E4E4E4"/>
            </w:tcBorders>
            <w:shd w:val="clear" w:color="auto" w:fill="E4E4E4"/>
          </w:tcPr>
          <w:p>
            <w:pPr>
              <w:spacing w:after="0"/>
              <w:rPr>
                <w:sz w:val="16"/>
                <w:szCs w:val="16"/>
                <w:color w:val="auto"/>
              </w:rPr>
            </w:pPr>
          </w:p>
        </w:tc>
        <w:tc>
          <w:tcPr>
            <w:tcW w:w="220" w:type="dxa"/>
            <w:vAlign w:val="bottom"/>
            <w:tcBorders>
              <w:top w:val="single" w:sz="8" w:color="1E1E1E"/>
            </w:tcBorders>
            <w:shd w:val="clear" w:color="auto" w:fill="E4E4E4"/>
          </w:tcPr>
          <w:p>
            <w:pPr>
              <w:spacing w:after="0"/>
              <w:rPr>
                <w:sz w:val="16"/>
                <w:szCs w:val="16"/>
                <w:color w:val="auto"/>
              </w:rPr>
            </w:pPr>
          </w:p>
        </w:tc>
        <w:tc>
          <w:tcPr>
            <w:tcW w:w="1000" w:type="dxa"/>
            <w:vAlign w:val="bottom"/>
            <w:tcBorders>
              <w:top w:val="single" w:sz="8" w:color="1E1E1E"/>
            </w:tcBorders>
            <w:shd w:val="clear" w:color="auto" w:fill="E4E4E4"/>
          </w:tcPr>
          <w:p>
            <w:pPr>
              <w:spacing w:after="0"/>
              <w:rPr>
                <w:sz w:val="16"/>
                <w:szCs w:val="16"/>
                <w:color w:val="auto"/>
              </w:rPr>
            </w:pPr>
          </w:p>
        </w:tc>
        <w:tc>
          <w:tcPr>
            <w:tcW w:w="200" w:type="dxa"/>
            <w:vAlign w:val="bottom"/>
            <w:tcBorders>
              <w:top w:val="single" w:sz="8" w:color="E4E4E4"/>
            </w:tcBorders>
            <w:shd w:val="clear" w:color="auto" w:fill="E4E4E4"/>
          </w:tcPr>
          <w:p>
            <w:pPr>
              <w:spacing w:after="0"/>
              <w:rPr>
                <w:sz w:val="16"/>
                <w:szCs w:val="16"/>
                <w:color w:val="auto"/>
              </w:rPr>
            </w:pPr>
          </w:p>
        </w:tc>
        <w:tc>
          <w:tcPr>
            <w:tcW w:w="140" w:type="dxa"/>
            <w:vAlign w:val="bottom"/>
            <w:tcBorders>
              <w:top w:val="single" w:sz="8" w:color="1E1E1E"/>
            </w:tcBorders>
            <w:shd w:val="clear" w:color="auto" w:fill="E4E4E4"/>
          </w:tcPr>
          <w:p>
            <w:pPr>
              <w:spacing w:after="0"/>
              <w:rPr>
                <w:sz w:val="16"/>
                <w:szCs w:val="16"/>
                <w:color w:val="auto"/>
              </w:rPr>
            </w:pPr>
          </w:p>
        </w:tc>
        <w:tc>
          <w:tcPr>
            <w:tcW w:w="940" w:type="dxa"/>
            <w:vAlign w:val="bottom"/>
            <w:tcBorders>
              <w:top w:val="single" w:sz="8" w:color="1E1E1E"/>
            </w:tcBorders>
            <w:shd w:val="clear" w:color="auto" w:fill="E4E4E4"/>
          </w:tcPr>
          <w:p>
            <w:pPr>
              <w:spacing w:after="0"/>
              <w:rPr>
                <w:sz w:val="16"/>
                <w:szCs w:val="16"/>
                <w:color w:val="auto"/>
              </w:rPr>
            </w:pPr>
          </w:p>
        </w:tc>
        <w:tc>
          <w:tcPr>
            <w:tcW w:w="80" w:type="dxa"/>
            <w:vAlign w:val="bottom"/>
            <w:tcBorders>
              <w:top w:val="single" w:sz="8" w:color="E4E4E4"/>
            </w:tcBorders>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of Class A and Class B common stock</w:t>
            </w:r>
          </w:p>
        </w:tc>
        <w:tc>
          <w:tcPr>
            <w:tcW w:w="22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(1.41)</w:t>
            </w:r>
          </w:p>
        </w:tc>
        <w:tc>
          <w:tcPr>
            <w:tcW w:w="280" w:type="dxa"/>
            <w:vAlign w:val="bottom"/>
            <w:gridSpan w:val="2"/>
            <w:shd w:val="clear" w:color="auto" w:fill="E4E4E4"/>
          </w:tcPr>
          <w:p>
            <w:pPr>
              <w:jc w:val="right"/>
              <w:ind w:right="23"/>
              <w:spacing w:after="0"/>
              <w:rPr>
                <w:sz w:val="20"/>
                <w:szCs w:val="20"/>
                <w:color w:val="auto"/>
              </w:rPr>
            </w:pPr>
            <w:r>
              <w:rPr>
                <w:rFonts w:ascii="Times New Roman" w:cs="Times New Roman" w:eastAsia="Times New Roman" w:hAnsi="Times New Roman"/>
                <w:sz w:val="19"/>
                <w:szCs w:val="19"/>
                <w:color w:val="1E1E1E"/>
              </w:rPr>
              <w:t>$</w:t>
            </w:r>
          </w:p>
        </w:tc>
        <w:tc>
          <w:tcPr>
            <w:tcW w:w="1200" w:type="dxa"/>
            <w:vAlign w:val="bottom"/>
            <w:gridSpan w:val="2"/>
            <w:shd w:val="clear" w:color="auto" w:fill="E4E4E4"/>
          </w:tcPr>
          <w:p>
            <w:pPr>
              <w:jc w:val="right"/>
              <w:ind w:right="140"/>
              <w:spacing w:after="0"/>
              <w:rPr>
                <w:sz w:val="20"/>
                <w:szCs w:val="20"/>
                <w:color w:val="auto"/>
              </w:rPr>
            </w:pPr>
            <w:r>
              <w:rPr>
                <w:rFonts w:ascii="Times New Roman" w:cs="Times New Roman" w:eastAsia="Times New Roman" w:hAnsi="Times New Roman"/>
                <w:sz w:val="19"/>
                <w:szCs w:val="19"/>
                <w:color w:val="1E1E1E"/>
              </w:rPr>
              <w:t>(1.68)</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0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(2.33)</w:t>
            </w:r>
          </w:p>
        </w:tc>
        <w:tc>
          <w:tcPr>
            <w:tcW w:w="0" w:type="dxa"/>
            <w:vAlign w:val="bottom"/>
          </w:tcPr>
          <w:p>
            <w:pPr>
              <w:spacing w:after="0"/>
              <w:rPr>
                <w:sz w:val="1"/>
                <w:szCs w:val="1"/>
                <w:color w:val="auto"/>
              </w:rPr>
            </w:pPr>
          </w:p>
        </w:tc>
      </w:tr>
      <w:tr>
        <w:trPr>
          <w:trHeight w:val="20"/>
        </w:trPr>
        <w:tc>
          <w:tcPr>
            <w:tcW w:w="5820" w:type="dxa"/>
            <w:vAlign w:val="bottom"/>
            <w:tcBorders>
              <w:top w:val="single" w:sz="8" w:color="E4E4E4"/>
            </w:tcBorders>
          </w:tcPr>
          <w:p>
            <w:pPr>
              <w:spacing w:after="0" w:line="20" w:lineRule="exact"/>
              <w:rPr>
                <w:sz w:val="1"/>
                <w:szCs w:val="1"/>
                <w:color w:val="auto"/>
              </w:rPr>
            </w:pPr>
          </w:p>
        </w:tc>
        <w:tc>
          <w:tcPr>
            <w:tcW w:w="120" w:type="dxa"/>
            <w:vAlign w:val="bottom"/>
            <w:tcBorders>
              <w:top w:val="single" w:sz="8" w:color="E4E4E4"/>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120" w:type="dxa"/>
            <w:vAlign w:val="bottom"/>
            <w:tcBorders>
              <w:top w:val="single" w:sz="8" w:color="E4E4E4"/>
            </w:tcBorders>
          </w:tcPr>
          <w:p>
            <w:pPr>
              <w:spacing w:after="0" w:line="20" w:lineRule="exact"/>
              <w:rPr>
                <w:sz w:val="1"/>
                <w:szCs w:val="1"/>
                <w:color w:val="auto"/>
              </w:rPr>
            </w:pPr>
          </w:p>
        </w:tc>
        <w:tc>
          <w:tcPr>
            <w:tcW w:w="60" w:type="dxa"/>
            <w:vAlign w:val="bottom"/>
            <w:tcBorders>
              <w:top w:val="single" w:sz="8" w:color="E4E4E4"/>
            </w:tcBorders>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00" w:type="dxa"/>
            <w:vAlign w:val="bottom"/>
            <w:tcBorders>
              <w:top w:val="single" w:sz="8" w:color="1E1E1E"/>
              <w:bottom w:val="single" w:sz="8" w:color="1E1E1E"/>
            </w:tcBorders>
          </w:tcPr>
          <w:p>
            <w:pPr>
              <w:spacing w:after="0" w:line="20" w:lineRule="exact"/>
              <w:rPr>
                <w:sz w:val="1"/>
                <w:szCs w:val="1"/>
                <w:color w:val="auto"/>
              </w:rPr>
            </w:pPr>
          </w:p>
        </w:tc>
        <w:tc>
          <w:tcPr>
            <w:tcW w:w="200" w:type="dxa"/>
            <w:vAlign w:val="bottom"/>
            <w:tcBorders>
              <w:top w:val="single" w:sz="8" w:color="E4E4E4"/>
            </w:tcBorders>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Borders>
              <w:top w:val="single" w:sz="8" w:color="E4E4E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 w:right="80" w:firstLine="601"/>
        <w:spacing w:after="0" w:line="267" w:lineRule="auto"/>
        <w:rPr>
          <w:sz w:val="20"/>
          <w:szCs w:val="20"/>
          <w:color w:val="auto"/>
        </w:rPr>
      </w:pPr>
      <w:r>
        <w:rPr>
          <w:rFonts w:ascii="Times New Roman" w:cs="Times New Roman" w:eastAsia="Times New Roman" w:hAnsi="Times New Roman"/>
          <w:sz w:val="19"/>
          <w:szCs w:val="19"/>
          <w:color w:val="1E1E1E"/>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1E1E1E"/>
            </w:tcBorders>
            <w:gridSpan w:val="3"/>
          </w:tcPr>
          <w:p>
            <w:pPr>
              <w:ind w:left="12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12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610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1620" w:type="dxa"/>
            <w:vAlign w:val="bottom"/>
            <w:tcBorders>
              <w:bottom w:val="single" w:sz="8" w:color="1E1E1E"/>
            </w:tcBorders>
          </w:tcPr>
          <w:p>
            <w:pPr>
              <w:jc w:val="right"/>
              <w:ind w:right="571"/>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220" w:type="dxa"/>
            <w:vAlign w:val="bottom"/>
            <w:tcBorders>
              <w:bottom w:val="single" w:sz="8" w:color="E4E4E4"/>
            </w:tcBorders>
          </w:tcPr>
          <w:p>
            <w:pPr>
              <w:spacing w:after="0"/>
              <w:rPr>
                <w:sz w:val="14"/>
                <w:szCs w:val="14"/>
                <w:color w:val="auto"/>
              </w:rPr>
            </w:pPr>
          </w:p>
        </w:tc>
        <w:tc>
          <w:tcPr>
            <w:tcW w:w="500" w:type="dxa"/>
            <w:vAlign w:val="bottom"/>
            <w:tcBorders>
              <w:bottom w:val="single" w:sz="8" w:color="1E1E1E"/>
            </w:tcBorders>
          </w:tcPr>
          <w:p>
            <w:pPr>
              <w:spacing w:after="0"/>
              <w:rPr>
                <w:sz w:val="14"/>
                <w:szCs w:val="14"/>
                <w:color w:val="auto"/>
              </w:rPr>
            </w:pPr>
          </w:p>
        </w:tc>
        <w:tc>
          <w:tcPr>
            <w:tcW w:w="1120" w:type="dxa"/>
            <w:vAlign w:val="bottom"/>
            <w:tcBorders>
              <w:bottom w:val="single" w:sz="8" w:color="1E1E1E"/>
            </w:tcBorders>
          </w:tcPr>
          <w:p>
            <w:pPr>
              <w:jc w:val="right"/>
              <w:ind w:right="566"/>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4"/>
                <w:szCs w:val="14"/>
                <w:color w:val="auto"/>
              </w:rPr>
            </w:pPr>
          </w:p>
        </w:tc>
      </w:tr>
      <w:tr>
        <w:trPr>
          <w:trHeight w:val="213"/>
        </w:trPr>
        <w:tc>
          <w:tcPr>
            <w:tcW w:w="610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Stock options outstanding</w:t>
            </w:r>
          </w:p>
        </w:tc>
        <w:tc>
          <w:tcPr>
            <w:tcW w:w="120" w:type="dxa"/>
            <w:vAlign w:val="bottom"/>
            <w:shd w:val="clear" w:color="auto" w:fill="E4E4E4"/>
          </w:tcPr>
          <w:p>
            <w:pPr>
              <w:spacing w:after="0"/>
              <w:rPr>
                <w:sz w:val="18"/>
                <w:szCs w:val="18"/>
                <w:color w:val="auto"/>
              </w:rPr>
            </w:pPr>
          </w:p>
        </w:tc>
        <w:tc>
          <w:tcPr>
            <w:tcW w:w="16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2,881,208</w:t>
            </w:r>
          </w:p>
        </w:tc>
        <w:tc>
          <w:tcPr>
            <w:tcW w:w="22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11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2,841,419</w:t>
            </w:r>
          </w:p>
        </w:tc>
        <w:tc>
          <w:tcPr>
            <w:tcW w:w="80" w:type="dxa"/>
            <w:vAlign w:val="bottom"/>
            <w:shd w:val="clear" w:color="auto" w:fill="E4E4E4"/>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1E1E1E"/>
              </w:rPr>
              <w:t>Unvested restricted stock units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1,769,874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875,902</w:t>
            </w:r>
          </w:p>
        </w:tc>
        <w:tc>
          <w:tcPr>
            <w:tcW w:w="80" w:type="dxa"/>
            <w:vAlign w:val="bottom"/>
          </w:tcPr>
          <w:p>
            <w:pPr>
              <w:spacing w:after="0"/>
              <w:rPr>
                <w:sz w:val="19"/>
                <w:szCs w:val="19"/>
                <w:color w:val="auto"/>
              </w:rPr>
            </w:pPr>
          </w:p>
        </w:tc>
      </w:tr>
      <w:tr>
        <w:trPr>
          <w:trHeight w:val="223"/>
        </w:trPr>
        <w:tc>
          <w:tcPr>
            <w:tcW w:w="6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Warrants outstanding</w:t>
            </w:r>
          </w:p>
        </w:tc>
        <w:tc>
          <w:tcPr>
            <w:tcW w:w="17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87,784</w:t>
            </w:r>
          </w:p>
        </w:tc>
        <w:tc>
          <w:tcPr>
            <w:tcW w:w="22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87,784</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9"/>
                <w:szCs w:val="19"/>
                <w:color w:val="1E1E1E"/>
              </w:rPr>
              <w:t>Shares reserved for charitable contribution</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241,594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301,993</w:t>
            </w:r>
          </w:p>
        </w:tc>
      </w:tr>
      <w:tr>
        <w:trPr>
          <w:trHeight w:val="223"/>
        </w:trPr>
        <w:tc>
          <w:tcPr>
            <w:tcW w:w="61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Convertible notes</w:t>
            </w:r>
          </w:p>
        </w:tc>
        <w:tc>
          <w:tcPr>
            <w:tcW w:w="17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5,123,624</w:t>
            </w:r>
          </w:p>
        </w:tc>
        <w:tc>
          <w:tcPr>
            <w:tcW w:w="22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120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5,123,624</w:t>
            </w:r>
          </w:p>
        </w:tc>
      </w:tr>
      <w:tr>
        <w:trPr>
          <w:trHeight w:val="213"/>
        </w:trPr>
        <w:tc>
          <w:tcPr>
            <w:tcW w:w="61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 shares</w:t>
            </w:r>
          </w:p>
        </w:tc>
        <w:tc>
          <w:tcPr>
            <w:tcW w:w="120" w:type="dxa"/>
            <w:vAlign w:val="bottom"/>
          </w:tcPr>
          <w:p>
            <w:pPr>
              <w:spacing w:after="0"/>
              <w:rPr>
                <w:sz w:val="18"/>
                <w:szCs w:val="18"/>
                <w:color w:val="auto"/>
              </w:rPr>
            </w:pPr>
          </w:p>
        </w:tc>
        <w:tc>
          <w:tcPr>
            <w:tcW w:w="162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10,104,084</w:t>
            </w:r>
          </w:p>
        </w:tc>
        <w:tc>
          <w:tcPr>
            <w:tcW w:w="220" w:type="dxa"/>
            <w:vAlign w:val="bottom"/>
          </w:tcPr>
          <w:p>
            <w:pPr>
              <w:spacing w:after="0"/>
              <w:rPr>
                <w:sz w:val="18"/>
                <w:szCs w:val="18"/>
                <w:color w:val="auto"/>
              </w:rPr>
            </w:pPr>
          </w:p>
        </w:tc>
        <w:tc>
          <w:tcPr>
            <w:tcW w:w="500" w:type="dxa"/>
            <w:vAlign w:val="bottom"/>
            <w:tcBorders>
              <w:top w:val="single" w:sz="8" w:color="1E1E1E"/>
              <w:bottom w:val="single" w:sz="8" w:color="1E1E1E"/>
            </w:tcBorders>
          </w:tcPr>
          <w:p>
            <w:pPr>
              <w:spacing w:after="0"/>
              <w:rPr>
                <w:sz w:val="18"/>
                <w:szCs w:val="18"/>
                <w:color w:val="auto"/>
              </w:rPr>
            </w:pPr>
          </w:p>
        </w:tc>
        <w:tc>
          <w:tcPr>
            <w:tcW w:w="112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9,230,722</w:t>
            </w:r>
          </w:p>
        </w:tc>
        <w:tc>
          <w:tcPr>
            <w:tcW w:w="8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left="610" w:hanging="610"/>
        <w:spacing w:after="0"/>
        <w:tabs>
          <w:tab w:leader="none" w:pos="610" w:val="left"/>
        </w:tabs>
        <w:numPr>
          <w:ilvl w:val="0"/>
          <w:numId w:val="68"/>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Debt and Commitments and Contingencies</w:t>
      </w: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2027 Convertible Notes</w:t>
      </w:r>
    </w:p>
    <w:p>
      <w:pPr>
        <w:spacing w:after="0" w:line="224" w:lineRule="exact"/>
        <w:rPr>
          <w:sz w:val="20"/>
          <w:szCs w:val="20"/>
          <w:color w:val="auto"/>
        </w:rPr>
      </w:pPr>
    </w:p>
    <w:p>
      <w:pPr>
        <w:ind w:left="10" w:right="40" w:firstLine="601"/>
        <w:spacing w:after="0" w:line="254" w:lineRule="auto"/>
        <w:rPr>
          <w:sz w:val="20"/>
          <w:szCs w:val="20"/>
          <w:color w:val="auto"/>
        </w:rPr>
      </w:pPr>
      <w:r>
        <w:rPr>
          <w:rFonts w:ascii="Times New Roman" w:cs="Times New Roman" w:eastAsia="Times New Roman" w:hAnsi="Times New Roman"/>
          <w:sz w:val="19"/>
          <w:szCs w:val="19"/>
          <w:color w:val="1E1E1E"/>
        </w:rPr>
        <w:t>In February 2022, we entered into a purchase agreement with certain counterparties for the sale of an aggregate of $287.5 million principal amount of convertible senior notes due in 2027 (the “2027 Notes”) in a private offering to qualified institutional buyers pursuant to Rule 144A under the Securities Act of 1933, as amended (the “Securities Act”). The 2027 Notes consisted of a $250 million initial placement and an over-allotment option that provided the initial purchasers of the 2027 Notes with the option to purchase an additional $37.5 million aggregate principal amount of the 2027 Notes, which was fully exercised. The 2027 Notes were issued pursuant to an indenture dated February 4, 2022. The net proceeds from the</w:t>
      </w:r>
    </w:p>
    <w:p>
      <w:pPr>
        <w:sectPr>
          <w:pgSz w:w="11880" w:h="15480" w:orient="portrait"/>
          <w:cols w:equalWidth="0" w:num="1">
            <w:col w:w="9770"/>
          </w:cols>
          <w:pgMar w:left="1050" w:top="1086" w:right="1060" w:bottom="215" w:gutter="0" w:footer="0" w:header="0"/>
        </w:sectPr>
      </w:pPr>
    </w:p>
    <w:p>
      <w:pPr>
        <w:spacing w:after="0" w:line="37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91</w:t>
      </w:r>
    </w:p>
    <w:p>
      <w:pPr>
        <w:sectPr>
          <w:pgSz w:w="11880" w:h="15480" w:orient="portrait"/>
          <w:cols w:equalWidth="0" w:num="1">
            <w:col w:w="9770"/>
          </w:cols>
          <w:pgMar w:left="1050" w:top="1086" w:right="1060" w:bottom="215" w:gutter="0" w:footer="0" w:header="0"/>
          <w:type w:val="continuous"/>
        </w:sectPr>
      </w:pPr>
    </w:p>
    <w:bookmarkStart w:id="97" w:name="page98"/>
    <w:bookmarkEnd w:id="97"/>
    <w:p>
      <w:pPr>
        <w:ind w:right="160"/>
        <w:spacing w:after="0" w:line="290" w:lineRule="auto"/>
        <w:rPr>
          <w:sz w:val="20"/>
          <w:szCs w:val="20"/>
          <w:color w:val="auto"/>
        </w:rPr>
      </w:pPr>
      <w:r>
        <w:rPr>
          <w:rFonts w:ascii="Times New Roman" w:cs="Times New Roman" w:eastAsia="Times New Roman" w:hAnsi="Times New Roman"/>
          <w:sz w:val="19"/>
          <w:szCs w:val="19"/>
          <w:color w:val="1E1E1E"/>
        </w:rPr>
        <w:t>issuance of the 2027 Notes were $278.2 million, net of debt issuance costs. The debt issuance costs are amortized to interest expense using the effective interest rate method.</w:t>
      </w:r>
    </w:p>
    <w:p>
      <w:pPr>
        <w:spacing w:after="0" w:line="141" w:lineRule="exact"/>
        <w:rPr>
          <w:sz w:val="20"/>
          <w:szCs w:val="20"/>
          <w:color w:val="auto"/>
        </w:rPr>
      </w:pPr>
    </w:p>
    <w:p>
      <w:pPr>
        <w:jc w:val="both"/>
        <w:ind w:right="260" w:firstLine="601"/>
        <w:spacing w:after="0" w:line="267" w:lineRule="auto"/>
        <w:rPr>
          <w:sz w:val="20"/>
          <w:szCs w:val="20"/>
          <w:color w:val="auto"/>
        </w:rPr>
      </w:pPr>
      <w:r>
        <w:rPr>
          <w:rFonts w:ascii="Times New Roman" w:cs="Times New Roman" w:eastAsia="Times New Roman" w:hAnsi="Times New Roman"/>
          <w:sz w:val="19"/>
          <w:szCs w:val="19"/>
          <w:color w:val="1E1E1E"/>
        </w:rPr>
        <w:t>The 2027 Notes are unsecured obligations which bear regular interest at 1% per annum and for which the principal balance will not accrete. Interest payment are due on February 1 and August 1. The 2027 Notes will mature on February 1, 2027 unless repurchased, redeemed, or converted in accordance with their terms prior to such date.</w:t>
      </w:r>
    </w:p>
    <w:p>
      <w:pPr>
        <w:spacing w:after="0" w:line="163" w:lineRule="exact"/>
        <w:rPr>
          <w:sz w:val="20"/>
          <w:szCs w:val="20"/>
          <w:color w:val="auto"/>
        </w:rPr>
      </w:pPr>
    </w:p>
    <w:p>
      <w:pPr>
        <w:ind w:right="140" w:firstLine="601"/>
        <w:spacing w:after="0" w:line="256" w:lineRule="auto"/>
        <w:rPr>
          <w:sz w:val="20"/>
          <w:szCs w:val="20"/>
          <w:color w:val="auto"/>
        </w:rPr>
      </w:pPr>
      <w:r>
        <w:rPr>
          <w:rFonts w:ascii="Times New Roman" w:cs="Times New Roman" w:eastAsia="Times New Roman" w:hAnsi="Times New Roman"/>
          <w:sz w:val="19"/>
          <w:szCs w:val="19"/>
          <w:color w:val="1E1E1E"/>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w:t>
      </w:r>
    </w:p>
    <w:p>
      <w:pPr>
        <w:spacing w:after="0" w:line="174" w:lineRule="exact"/>
        <w:rPr>
          <w:sz w:val="20"/>
          <w:szCs w:val="20"/>
          <w:color w:val="auto"/>
        </w:rPr>
      </w:pPr>
    </w:p>
    <w:p>
      <w:pPr>
        <w:ind w:right="40" w:firstLine="601"/>
        <w:spacing w:after="0" w:line="260" w:lineRule="auto"/>
        <w:rPr>
          <w:sz w:val="20"/>
          <w:szCs w:val="20"/>
          <w:color w:val="auto"/>
        </w:rPr>
      </w:pPr>
      <w:r>
        <w:rPr>
          <w:rFonts w:ascii="Times New Roman" w:cs="Times New Roman" w:eastAsia="Times New Roman" w:hAnsi="Times New Roman"/>
          <w:sz w:val="19"/>
          <w:szCs w:val="19"/>
          <w:color w:val="1E1E1E"/>
        </w:rPr>
        <w:t>We may redeem for cash all or any portion of the 2027 Notes, at our option, on or after February 5, 2025 if the last reported sale price of our Class A common stock has been at least 130% of the conversion price then in effect for at least 20 trading days at a redemption price equal to 100% of the principal amount of the 2027 Notes to be redeemed, plus accrued and unpaid interest or additional interest, if any.</w:t>
      </w:r>
    </w:p>
    <w:p>
      <w:pPr>
        <w:spacing w:after="0" w:line="169" w:lineRule="exact"/>
        <w:rPr>
          <w:sz w:val="20"/>
          <w:szCs w:val="20"/>
          <w:color w:val="auto"/>
        </w:rPr>
      </w:pPr>
    </w:p>
    <w:p>
      <w:pPr>
        <w:ind w:right="80" w:firstLine="601"/>
        <w:spacing w:after="0" w:line="290" w:lineRule="auto"/>
        <w:rPr>
          <w:sz w:val="20"/>
          <w:szCs w:val="20"/>
          <w:color w:val="auto"/>
        </w:rPr>
      </w:pPr>
      <w:r>
        <w:rPr>
          <w:rFonts w:ascii="Times New Roman" w:cs="Times New Roman" w:eastAsia="Times New Roman" w:hAnsi="Times New Roman"/>
          <w:sz w:val="19"/>
          <w:szCs w:val="19"/>
          <w:color w:val="1E1E1E"/>
        </w:rPr>
        <w:t>Holders of the 2027 Notes may convert all or a portion of their 2027 Notes at their option prior to November 1, 2026, in multiples of $1,000 principal amounts, only under the following circumstances:</w:t>
      </w:r>
    </w:p>
    <w:p>
      <w:pPr>
        <w:spacing w:after="0" w:line="49" w:lineRule="exact"/>
        <w:rPr>
          <w:sz w:val="20"/>
          <w:szCs w:val="20"/>
          <w:color w:val="auto"/>
        </w:rPr>
      </w:pPr>
    </w:p>
    <w:p>
      <w:pPr>
        <w:jc w:val="both"/>
        <w:ind w:left="940" w:right="20" w:hanging="475"/>
        <w:spacing w:after="0" w:line="267" w:lineRule="auto"/>
        <w:tabs>
          <w:tab w:leader="none" w:pos="940" w:val="left"/>
        </w:tabs>
        <w:numPr>
          <w:ilvl w:val="0"/>
          <w:numId w:val="69"/>
        </w:numPr>
        <w:rPr>
          <w:rFonts w:ascii="Arial" w:cs="Arial" w:eastAsia="Arial" w:hAnsi="Arial"/>
          <w:sz w:val="19"/>
          <w:szCs w:val="19"/>
          <w:color w:val="1E1E1E"/>
        </w:rPr>
      </w:pPr>
      <w:r>
        <w:rPr>
          <w:rFonts w:ascii="Times New Roman" w:cs="Times New Roman" w:eastAsia="Times New Roman" w:hAnsi="Times New Roman"/>
          <w:sz w:val="19"/>
          <w:szCs w:val="19"/>
          <w:color w:val="1E1E1E"/>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Arial" w:cs="Arial" w:eastAsia="Arial" w:hAnsi="Arial"/>
          <w:sz w:val="19"/>
          <w:szCs w:val="19"/>
          <w:color w:val="1E1E1E"/>
        </w:rPr>
      </w:pPr>
    </w:p>
    <w:p>
      <w:pPr>
        <w:jc w:val="both"/>
        <w:ind w:left="940" w:hanging="475"/>
        <w:spacing w:after="0" w:line="259" w:lineRule="auto"/>
        <w:tabs>
          <w:tab w:leader="none" w:pos="940" w:val="left"/>
        </w:tabs>
        <w:numPr>
          <w:ilvl w:val="0"/>
          <w:numId w:val="69"/>
        </w:numPr>
        <w:rPr>
          <w:rFonts w:ascii="Arial" w:cs="Arial" w:eastAsia="Arial" w:hAnsi="Arial"/>
          <w:sz w:val="19"/>
          <w:szCs w:val="19"/>
          <w:color w:val="1E1E1E"/>
        </w:rPr>
      </w:pPr>
      <w:r>
        <w:rPr>
          <w:rFonts w:ascii="Times New Roman" w:cs="Times New Roman" w:eastAsia="Times New Roman" w:hAnsi="Times New Roman"/>
          <w:sz w:val="19"/>
          <w:szCs w:val="19"/>
          <w:color w:val="1E1E1E"/>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78" w:lineRule="exact"/>
        <w:rPr>
          <w:rFonts w:ascii="Arial" w:cs="Arial" w:eastAsia="Arial" w:hAnsi="Arial"/>
          <w:sz w:val="19"/>
          <w:szCs w:val="19"/>
          <w:color w:val="1E1E1E"/>
        </w:rPr>
      </w:pPr>
    </w:p>
    <w:p>
      <w:pPr>
        <w:jc w:val="both"/>
        <w:ind w:left="940" w:hanging="475"/>
        <w:spacing w:after="0" w:line="267" w:lineRule="auto"/>
        <w:tabs>
          <w:tab w:leader="none" w:pos="940" w:val="left"/>
        </w:tabs>
        <w:numPr>
          <w:ilvl w:val="0"/>
          <w:numId w:val="69"/>
        </w:numPr>
        <w:rPr>
          <w:rFonts w:ascii="Arial" w:cs="Arial" w:eastAsia="Arial" w:hAnsi="Arial"/>
          <w:sz w:val="19"/>
          <w:szCs w:val="19"/>
          <w:color w:val="1E1E1E"/>
        </w:rPr>
      </w:pPr>
      <w:r>
        <w:rPr>
          <w:rFonts w:ascii="Times New Roman" w:cs="Times New Roman" w:eastAsia="Times New Roman" w:hAnsi="Times New Roman"/>
          <w:sz w:val="19"/>
          <w:szCs w:val="19"/>
          <w:color w:val="1E1E1E"/>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69" w:lineRule="exact"/>
        <w:rPr>
          <w:rFonts w:ascii="Arial" w:cs="Arial" w:eastAsia="Arial" w:hAnsi="Arial"/>
          <w:sz w:val="19"/>
          <w:szCs w:val="19"/>
          <w:color w:val="1E1E1E"/>
        </w:rPr>
      </w:pPr>
    </w:p>
    <w:p>
      <w:pPr>
        <w:ind w:left="940" w:hanging="475"/>
        <w:spacing w:after="0"/>
        <w:tabs>
          <w:tab w:leader="none" w:pos="940" w:val="left"/>
        </w:tabs>
        <w:numPr>
          <w:ilvl w:val="0"/>
          <w:numId w:val="69"/>
        </w:numPr>
        <w:rPr>
          <w:rFonts w:ascii="Arial" w:cs="Arial" w:eastAsia="Arial" w:hAnsi="Arial"/>
          <w:sz w:val="19"/>
          <w:szCs w:val="19"/>
          <w:color w:val="1E1E1E"/>
        </w:rPr>
      </w:pPr>
      <w:r>
        <w:rPr>
          <w:rFonts w:ascii="Times New Roman" w:cs="Times New Roman" w:eastAsia="Times New Roman" w:hAnsi="Times New Roman"/>
          <w:sz w:val="19"/>
          <w:szCs w:val="19"/>
          <w:color w:val="1E1E1E"/>
        </w:rPr>
        <w:t>on the occurrence of specified corporate events.</w:t>
      </w:r>
    </w:p>
    <w:p>
      <w:pPr>
        <w:spacing w:after="0" w:line="227" w:lineRule="exact"/>
        <w:rPr>
          <w:sz w:val="20"/>
          <w:szCs w:val="20"/>
          <w:color w:val="auto"/>
        </w:rPr>
      </w:pPr>
    </w:p>
    <w:p>
      <w:pPr>
        <w:ind w:right="280" w:firstLine="601"/>
        <w:spacing w:after="0" w:line="290" w:lineRule="auto"/>
        <w:rPr>
          <w:sz w:val="20"/>
          <w:szCs w:val="20"/>
          <w:color w:val="auto"/>
        </w:rPr>
      </w:pPr>
      <w:r>
        <w:rPr>
          <w:rFonts w:ascii="Times New Roman" w:cs="Times New Roman" w:eastAsia="Times New Roman" w:hAnsi="Times New Roman"/>
          <w:sz w:val="19"/>
          <w:szCs w:val="19"/>
          <w:color w:val="1E1E1E"/>
        </w:rPr>
        <w:t>On or after November 1, 2026, the 2027 Notes are convertible at any time until the close of business on the second scheduled trading day immediately preceding the maturity date.</w:t>
      </w:r>
    </w:p>
    <w:p>
      <w:pPr>
        <w:spacing w:after="0" w:line="141" w:lineRule="exact"/>
        <w:rPr>
          <w:sz w:val="20"/>
          <w:szCs w:val="20"/>
          <w:color w:val="auto"/>
        </w:rPr>
      </w:pPr>
    </w:p>
    <w:p>
      <w:pPr>
        <w:ind w:right="160" w:firstLine="601"/>
        <w:spacing w:after="0" w:line="256" w:lineRule="auto"/>
        <w:rPr>
          <w:sz w:val="20"/>
          <w:szCs w:val="20"/>
          <w:color w:val="auto"/>
        </w:rPr>
      </w:pPr>
      <w:r>
        <w:rPr>
          <w:rFonts w:ascii="Times New Roman" w:cs="Times New Roman" w:eastAsia="Times New Roman" w:hAnsi="Times New Roman"/>
          <w:sz w:val="19"/>
          <w:szCs w:val="19"/>
          <w:color w:val="1E1E1E"/>
        </w:rPr>
        <w:t>Holders of the 2027 Notes who convert the 2027 Notes in connection with a make-whole fundamental change, as defined in the indenture governing the 2027 Notes, or in connection with a redemption are entitled to an increase in the conversion rate. Additionally, in the event of a fundamental change, holders of the 2027 Notes may require us to repurchase all or a portion of the 2027 Notes at a price equal to 100% of the principal amount of 2027 Notes, plus any accrued and unpaid special interest, if any.</w:t>
      </w:r>
    </w:p>
    <w:p>
      <w:pPr>
        <w:spacing w:after="0" w:line="174" w:lineRule="exact"/>
        <w:rPr>
          <w:sz w:val="20"/>
          <w:szCs w:val="20"/>
          <w:color w:val="auto"/>
        </w:rPr>
      </w:pPr>
    </w:p>
    <w:p>
      <w:pPr>
        <w:ind w:right="540" w:firstLine="601"/>
        <w:spacing w:after="0" w:line="290" w:lineRule="auto"/>
        <w:rPr>
          <w:sz w:val="20"/>
          <w:szCs w:val="20"/>
          <w:color w:val="auto"/>
        </w:rPr>
      </w:pPr>
      <w:r>
        <w:rPr>
          <w:rFonts w:ascii="Times New Roman" w:cs="Times New Roman" w:eastAsia="Times New Roman" w:hAnsi="Times New Roman"/>
          <w:sz w:val="19"/>
          <w:szCs w:val="19"/>
          <w:color w:val="1E1E1E"/>
        </w:rPr>
        <w:t>We accounted for the issuance of the 2027 Notes as a single liability measured at its amortized cost, as no other embedded features require bifurcation and recognition as derivatives.</w:t>
      </w:r>
    </w:p>
    <w:p>
      <w:pPr>
        <w:spacing w:after="0" w:line="186" w:lineRule="exact"/>
        <w:rPr>
          <w:sz w:val="20"/>
          <w:szCs w:val="20"/>
          <w:color w:val="auto"/>
        </w:rPr>
      </w:pPr>
    </w:p>
    <w:p>
      <w:pPr>
        <w:ind w:right="280" w:firstLine="601"/>
        <w:spacing w:after="0" w:line="246" w:lineRule="auto"/>
        <w:rPr>
          <w:sz w:val="20"/>
          <w:szCs w:val="20"/>
          <w:color w:val="auto"/>
        </w:rPr>
      </w:pPr>
      <w:r>
        <w:rPr>
          <w:rFonts w:ascii="Times New Roman" w:cs="Times New Roman" w:eastAsia="Times New Roman" w:hAnsi="Times New Roman"/>
          <w:sz w:val="19"/>
          <w:szCs w:val="19"/>
          <w:color w:val="1E1E1E"/>
        </w:rPr>
        <w:t>The following table presents the outstanding principal amount and carrying value of the 2027 Notes as of the dates indicated (in thousands):</w:t>
      </w: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68"/>
        </w:trPr>
        <w:tc>
          <w:tcPr>
            <w:tcW w:w="6720" w:type="dxa"/>
            <w:vAlign w:val="bottom"/>
            <w:tcBorders>
              <w:bottom w:val="single" w:sz="8" w:color="E4E4E4"/>
            </w:tcBorders>
          </w:tcPr>
          <w:p>
            <w:pPr>
              <w:spacing w:after="0"/>
              <w:rPr>
                <w:sz w:val="14"/>
                <w:szCs w:val="14"/>
                <w:color w:val="auto"/>
              </w:rPr>
            </w:pPr>
          </w:p>
        </w:tc>
        <w:tc>
          <w:tcPr>
            <w:tcW w:w="160" w:type="dxa"/>
            <w:vAlign w:val="bottom"/>
            <w:tcBorders>
              <w:bottom w:val="single" w:sz="8" w:color="E4E4E4"/>
            </w:tcBorders>
          </w:tcPr>
          <w:p>
            <w:pPr>
              <w:spacing w:after="0"/>
              <w:rPr>
                <w:sz w:val="14"/>
                <w:szCs w:val="14"/>
                <w:color w:val="auto"/>
              </w:rPr>
            </w:pPr>
          </w:p>
        </w:tc>
        <w:tc>
          <w:tcPr>
            <w:tcW w:w="20" w:type="dxa"/>
            <w:vAlign w:val="bottom"/>
            <w:tcBorders>
              <w:bottom w:val="single" w:sz="8" w:color="E4E4E4"/>
            </w:tcBorders>
          </w:tcPr>
          <w:p>
            <w:pPr>
              <w:spacing w:after="0"/>
              <w:rPr>
                <w:sz w:val="14"/>
                <w:szCs w:val="14"/>
                <w:color w:val="auto"/>
              </w:rPr>
            </w:pPr>
          </w:p>
        </w:tc>
        <w:tc>
          <w:tcPr>
            <w:tcW w:w="120" w:type="dxa"/>
            <w:vAlign w:val="bottom"/>
            <w:tcBorders>
              <w:top w:val="single" w:sz="8" w:color="1E1E1E"/>
              <w:bottom w:val="single" w:sz="8" w:color="1E1E1E"/>
            </w:tcBorders>
          </w:tcPr>
          <w:p>
            <w:pPr>
              <w:spacing w:after="0"/>
              <w:rPr>
                <w:sz w:val="14"/>
                <w:szCs w:val="14"/>
                <w:color w:val="auto"/>
              </w:rPr>
            </w:pPr>
          </w:p>
        </w:tc>
        <w:tc>
          <w:tcPr>
            <w:tcW w:w="1100" w:type="dxa"/>
            <w:vAlign w:val="bottom"/>
            <w:tcBorders>
              <w:top w:val="single" w:sz="8" w:color="1E1E1E"/>
              <w:bottom w:val="single" w:sz="8" w:color="1E1E1E"/>
            </w:tcBorders>
          </w:tcPr>
          <w:p>
            <w:pPr>
              <w:jc w:val="right"/>
              <w:ind w:right="369"/>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E4E4E4"/>
            </w:tcBorders>
          </w:tcPr>
          <w:p>
            <w:pPr>
              <w:spacing w:after="0"/>
              <w:rPr>
                <w:sz w:val="14"/>
                <w:szCs w:val="14"/>
                <w:color w:val="auto"/>
              </w:rPr>
            </w:pPr>
          </w:p>
        </w:tc>
        <w:tc>
          <w:tcPr>
            <w:tcW w:w="100" w:type="dxa"/>
            <w:vAlign w:val="bottom"/>
            <w:tcBorders>
              <w:top w:val="single" w:sz="8" w:color="1E1E1E"/>
              <w:bottom w:val="single" w:sz="8" w:color="E4E4E4"/>
            </w:tcBorders>
          </w:tcPr>
          <w:p>
            <w:pPr>
              <w:spacing w:after="0"/>
              <w:rPr>
                <w:sz w:val="14"/>
                <w:szCs w:val="14"/>
                <w:color w:val="auto"/>
              </w:rPr>
            </w:pPr>
          </w:p>
        </w:tc>
        <w:tc>
          <w:tcPr>
            <w:tcW w:w="1360" w:type="dxa"/>
            <w:vAlign w:val="bottom"/>
            <w:tcBorders>
              <w:top w:val="single" w:sz="8" w:color="1E1E1E"/>
              <w:bottom w:val="single" w:sz="8" w:color="1E1E1E"/>
            </w:tcBorders>
          </w:tcPr>
          <w:p>
            <w:pPr>
              <w:jc w:val="right"/>
              <w:ind w:right="429"/>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14"/>
                <w:szCs w:val="14"/>
                <w:color w:val="auto"/>
              </w:rPr>
            </w:pPr>
          </w:p>
        </w:tc>
      </w:tr>
      <w:tr>
        <w:trPr>
          <w:trHeight w:val="213"/>
        </w:trPr>
        <w:tc>
          <w:tcPr>
            <w:tcW w:w="672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Principal</w:t>
            </w:r>
          </w:p>
        </w:tc>
        <w:tc>
          <w:tcPr>
            <w:tcW w:w="1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1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10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287,500</w:t>
            </w: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3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287,500</w:t>
            </w:r>
          </w:p>
        </w:tc>
        <w:tc>
          <w:tcPr>
            <w:tcW w:w="80" w:type="dxa"/>
            <w:vAlign w:val="bottom"/>
            <w:shd w:val="clear" w:color="auto" w:fill="E4E4E4"/>
          </w:tcPr>
          <w:p>
            <w:pPr>
              <w:spacing w:after="0"/>
              <w:rPr>
                <w:sz w:val="18"/>
                <w:szCs w:val="18"/>
                <w:color w:val="auto"/>
              </w:rPr>
            </w:pP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9"/>
                <w:szCs w:val="19"/>
                <w:color w:val="1E1E1E"/>
              </w:rPr>
              <w:t>Unamortized debt discount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(7,044)</w:t>
            </w:r>
          </w:p>
        </w:tc>
        <w:tc>
          <w:tcPr>
            <w:tcW w:w="80" w:type="dxa"/>
            <w:vAlign w:val="bottom"/>
          </w:tcPr>
          <w:p>
            <w:pPr>
              <w:spacing w:after="0"/>
              <w:rPr>
                <w:sz w:val="19"/>
                <w:szCs w:val="19"/>
                <w:color w:val="auto"/>
              </w:rPr>
            </w:pPr>
          </w:p>
        </w:tc>
      </w:tr>
      <w:tr>
        <w:trPr>
          <w:trHeight w:val="223"/>
        </w:trPr>
        <w:tc>
          <w:tcPr>
            <w:tcW w:w="67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Unamortized debt issuance costs</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1200" w:type="dxa"/>
            <w:vAlign w:val="bottom"/>
            <w:gridSpan w:val="3"/>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(412)</w:t>
            </w:r>
          </w:p>
        </w:tc>
        <w:tc>
          <w:tcPr>
            <w:tcW w:w="100" w:type="dxa"/>
            <w:vAlign w:val="bottom"/>
            <w:shd w:val="clear" w:color="auto" w:fill="E4E4E4"/>
          </w:tcPr>
          <w:p>
            <w:pPr>
              <w:spacing w:after="0"/>
              <w:rPr>
                <w:sz w:val="19"/>
                <w:szCs w:val="19"/>
                <w:color w:val="auto"/>
              </w:rPr>
            </w:pPr>
          </w:p>
        </w:tc>
        <w:tc>
          <w:tcPr>
            <w:tcW w:w="14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(547)</w:t>
            </w:r>
          </w:p>
        </w:tc>
      </w:tr>
      <w:tr>
        <w:trPr>
          <w:trHeight w:val="213"/>
        </w:trPr>
        <w:tc>
          <w:tcPr>
            <w:tcW w:w="672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Net carrying value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1E1E1E"/>
              <w:bottom w:val="single" w:sz="8" w:color="1E1E1E"/>
            </w:tcBorders>
          </w:tcPr>
          <w:p>
            <w:pPr>
              <w:jc w:val="right"/>
              <w:spacing w:after="0"/>
              <w:rPr>
                <w:sz w:val="20"/>
                <w:szCs w:val="20"/>
                <w:color w:val="auto"/>
              </w:rPr>
            </w:pPr>
            <w:r>
              <w:rPr>
                <w:rFonts w:ascii="Times New Roman" w:cs="Times New Roman" w:eastAsia="Times New Roman" w:hAnsi="Times New Roman"/>
                <w:sz w:val="17"/>
                <w:szCs w:val="17"/>
                <w:color w:val="1E1E1E"/>
                <w:w w:val="70"/>
              </w:rPr>
              <w:t>$</w:t>
            </w:r>
          </w:p>
        </w:tc>
        <w:tc>
          <w:tcPr>
            <w:tcW w:w="11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281,769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279,909</w:t>
            </w:r>
          </w:p>
        </w:tc>
        <w:tc>
          <w:tcPr>
            <w:tcW w:w="8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1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80"/>
          </w:cols>
          <w:pgMar w:left="1060" w:top="1083" w:right="104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1E1E1E"/>
        </w:rPr>
        <w:t>92</w:t>
      </w:r>
    </w:p>
    <w:p>
      <w:pPr>
        <w:sectPr>
          <w:pgSz w:w="11880" w:h="15480" w:orient="portrait"/>
          <w:cols w:equalWidth="0" w:num="1">
            <w:col w:w="9780"/>
          </w:cols>
          <w:pgMar w:left="1060" w:top="1083" w:right="1040" w:bottom="215" w:gutter="0" w:footer="0" w:header="0"/>
          <w:type w:val="continuous"/>
        </w:sectPr>
      </w:pPr>
    </w:p>
    <w:bookmarkStart w:id="98" w:name="page99"/>
    <w:bookmarkEnd w:id="98"/>
    <w:p>
      <w:pPr>
        <w:ind w:left="610"/>
        <w:spacing w:after="0"/>
        <w:rPr>
          <w:sz w:val="20"/>
          <w:szCs w:val="20"/>
          <w:color w:val="auto"/>
        </w:rPr>
      </w:pPr>
      <w:r>
        <w:rPr>
          <w:rFonts w:ascii="Times New Roman" w:cs="Times New Roman" w:eastAsia="Times New Roman" w:hAnsi="Times New Roman"/>
          <w:sz w:val="19"/>
          <w:szCs w:val="19"/>
          <w:color w:val="1E1E1E"/>
        </w:rPr>
        <w:t>The annual effective interest rate for the 2027 Notes was approximately 1.6%. Interest expense related to the 2027</w:t>
      </w:r>
    </w:p>
    <w:p>
      <w:pPr>
        <w:spacing w:after="0" w:line="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Notes for the periods presented below was as follows (in thousands):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4"/>
          </w:tcPr>
          <w:p>
            <w:pPr>
              <w:jc w:val="center"/>
              <w:ind w:right="440"/>
              <w:spacing w:after="0"/>
              <w:rPr>
                <w:sz w:val="20"/>
                <w:szCs w:val="20"/>
                <w:color w:val="auto"/>
              </w:rPr>
            </w:pPr>
            <w:r>
              <w:rPr>
                <w:rFonts w:ascii="Times New Roman" w:cs="Times New Roman" w:eastAsia="Times New Roman" w:hAnsi="Times New Roman"/>
                <w:sz w:val="16"/>
                <w:szCs w:val="16"/>
                <w:b w:val="1"/>
                <w:bCs w:val="1"/>
                <w:color w:val="1E1E1E"/>
                <w:w w:val="97"/>
              </w:rPr>
              <w:t>Year Ended</w:t>
            </w:r>
          </w:p>
        </w:tc>
        <w:tc>
          <w:tcPr>
            <w:tcW w:w="240" w:type="dxa"/>
            <w:vAlign w:val="bottom"/>
          </w:tcPr>
          <w:p>
            <w:pPr>
              <w:spacing w:after="0"/>
              <w:rPr>
                <w:sz w:val="16"/>
                <w:szCs w:val="16"/>
                <w:color w:val="auto"/>
              </w:rPr>
            </w:pPr>
          </w:p>
        </w:tc>
        <w:tc>
          <w:tcPr>
            <w:tcW w:w="1460" w:type="dxa"/>
            <w:vAlign w:val="bottom"/>
          </w:tcPr>
          <w:p>
            <w:pPr>
              <w:jc w:val="center"/>
              <w:ind w:right="171"/>
              <w:spacing w:after="0"/>
              <w:rPr>
                <w:sz w:val="20"/>
                <w:szCs w:val="20"/>
                <w:color w:val="auto"/>
              </w:rPr>
            </w:pPr>
            <w:r>
              <w:rPr>
                <w:rFonts w:ascii="Times New Roman" w:cs="Times New Roman" w:eastAsia="Times New Roman" w:hAnsi="Times New Roman"/>
                <w:sz w:val="16"/>
                <w:szCs w:val="16"/>
                <w:b w:val="1"/>
                <w:bCs w:val="1"/>
                <w:color w:val="1E1E1E"/>
                <w:w w:val="97"/>
              </w:rPr>
              <w:t>Year Ended</w:t>
            </w:r>
          </w:p>
        </w:tc>
        <w:tc>
          <w:tcPr>
            <w:tcW w:w="80" w:type="dxa"/>
            <w:vAlign w:val="bottom"/>
          </w:tcPr>
          <w:p>
            <w:pPr>
              <w:spacing w:after="0"/>
              <w:rPr>
                <w:sz w:val="16"/>
                <w:szCs w:val="16"/>
                <w:color w:val="auto"/>
              </w:rPr>
            </w:pPr>
          </w:p>
        </w:tc>
      </w:tr>
      <w:tr>
        <w:trPr>
          <w:trHeight w:val="197"/>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4"/>
          </w:tcPr>
          <w:p>
            <w:pPr>
              <w:jc w:val="center"/>
              <w:ind w:right="420"/>
              <w:spacing w:after="0"/>
              <w:rPr>
                <w:sz w:val="20"/>
                <w:szCs w:val="20"/>
                <w:color w:val="auto"/>
              </w:rPr>
            </w:pPr>
            <w:r>
              <w:rPr>
                <w:rFonts w:ascii="Times New Roman" w:cs="Times New Roman" w:eastAsia="Times New Roman" w:hAnsi="Times New Roman"/>
                <w:sz w:val="16"/>
                <w:szCs w:val="16"/>
                <w:b w:val="1"/>
                <w:bCs w:val="1"/>
                <w:color w:val="1E1E1E"/>
                <w:w w:val="96"/>
              </w:rPr>
              <w:t>December 31,</w:t>
            </w:r>
          </w:p>
        </w:tc>
        <w:tc>
          <w:tcPr>
            <w:tcW w:w="240" w:type="dxa"/>
            <w:vAlign w:val="bottom"/>
          </w:tcPr>
          <w:p>
            <w:pPr>
              <w:spacing w:after="0"/>
              <w:rPr>
                <w:sz w:val="17"/>
                <w:szCs w:val="17"/>
                <w:color w:val="auto"/>
              </w:rPr>
            </w:pPr>
          </w:p>
        </w:tc>
        <w:tc>
          <w:tcPr>
            <w:tcW w:w="146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1E1E1E"/>
                <w:w w:val="96"/>
              </w:rPr>
              <w:t>December 31,</w:t>
            </w:r>
          </w:p>
        </w:tc>
        <w:tc>
          <w:tcPr>
            <w:tcW w:w="80" w:type="dxa"/>
            <w:vAlign w:val="bottom"/>
          </w:tcPr>
          <w:p>
            <w:pPr>
              <w:spacing w:after="0"/>
              <w:rPr>
                <w:sz w:val="17"/>
                <w:szCs w:val="17"/>
                <w:color w:val="auto"/>
              </w:rPr>
            </w:pPr>
          </w:p>
        </w:tc>
      </w:tr>
      <w:tr>
        <w:trPr>
          <w:trHeight w:val="168"/>
        </w:trPr>
        <w:tc>
          <w:tcPr>
            <w:tcW w:w="5980" w:type="dxa"/>
            <w:vAlign w:val="bottom"/>
            <w:tcBorders>
              <w:bottom w:val="single" w:sz="8" w:color="E4E4E4"/>
            </w:tcBorders>
          </w:tcPr>
          <w:p>
            <w:pPr>
              <w:spacing w:after="0"/>
              <w:rPr>
                <w:sz w:val="14"/>
                <w:szCs w:val="14"/>
                <w:color w:val="auto"/>
              </w:rPr>
            </w:pPr>
          </w:p>
        </w:tc>
        <w:tc>
          <w:tcPr>
            <w:tcW w:w="120" w:type="dxa"/>
            <w:vAlign w:val="bottom"/>
            <w:tcBorders>
              <w:bottom w:val="single" w:sz="8" w:color="E4E4E4"/>
            </w:tcBorders>
          </w:tcPr>
          <w:p>
            <w:pPr>
              <w:spacing w:after="0"/>
              <w:rPr>
                <w:sz w:val="14"/>
                <w:szCs w:val="14"/>
                <w:color w:val="auto"/>
              </w:rPr>
            </w:pPr>
          </w:p>
        </w:tc>
        <w:tc>
          <w:tcPr>
            <w:tcW w:w="20" w:type="dxa"/>
            <w:vAlign w:val="bottom"/>
            <w:tcBorders>
              <w:bottom w:val="single" w:sz="8" w:color="E4E4E4"/>
            </w:tcBorders>
          </w:tcPr>
          <w:p>
            <w:pPr>
              <w:spacing w:after="0"/>
              <w:rPr>
                <w:sz w:val="14"/>
                <w:szCs w:val="14"/>
                <w:color w:val="auto"/>
              </w:rPr>
            </w:pPr>
          </w:p>
        </w:tc>
        <w:tc>
          <w:tcPr>
            <w:tcW w:w="220" w:type="dxa"/>
            <w:vAlign w:val="bottom"/>
            <w:tcBorders>
              <w:top w:val="single" w:sz="8" w:color="1E1E1E"/>
              <w:bottom w:val="single" w:sz="8" w:color="1E1E1E"/>
            </w:tcBorders>
          </w:tcPr>
          <w:p>
            <w:pPr>
              <w:spacing w:after="0"/>
              <w:rPr>
                <w:sz w:val="14"/>
                <w:szCs w:val="14"/>
                <w:color w:val="auto"/>
              </w:rPr>
            </w:pPr>
          </w:p>
        </w:tc>
        <w:tc>
          <w:tcPr>
            <w:tcW w:w="1440" w:type="dxa"/>
            <w:vAlign w:val="bottom"/>
            <w:tcBorders>
              <w:top w:val="single" w:sz="8" w:color="1E1E1E"/>
              <w:bottom w:val="single" w:sz="8" w:color="1E1E1E"/>
            </w:tcBorders>
          </w:tcPr>
          <w:p>
            <w:pPr>
              <w:jc w:val="center"/>
              <w:ind w:right="151"/>
              <w:spacing w:after="0" w:line="168" w:lineRule="exact"/>
              <w:rPr>
                <w:sz w:val="20"/>
                <w:szCs w:val="20"/>
                <w:color w:val="auto"/>
              </w:rPr>
            </w:pPr>
            <w:r>
              <w:rPr>
                <w:rFonts w:ascii="Times New Roman" w:cs="Times New Roman" w:eastAsia="Times New Roman" w:hAnsi="Times New Roman"/>
                <w:sz w:val="16"/>
                <w:szCs w:val="16"/>
                <w:b w:val="1"/>
                <w:bCs w:val="1"/>
                <w:color w:val="1E1E1E"/>
                <w:w w:val="99"/>
              </w:rPr>
              <w:t>2023</w:t>
            </w:r>
          </w:p>
        </w:tc>
        <w:tc>
          <w:tcPr>
            <w:tcW w:w="20" w:type="dxa"/>
            <w:vAlign w:val="bottom"/>
            <w:tcBorders>
              <w:bottom w:val="single" w:sz="8" w:color="E4E4E4"/>
            </w:tcBorders>
          </w:tcPr>
          <w:p>
            <w:pPr>
              <w:spacing w:after="0"/>
              <w:rPr>
                <w:sz w:val="14"/>
                <w:szCs w:val="14"/>
                <w:color w:val="auto"/>
              </w:rPr>
            </w:pPr>
          </w:p>
        </w:tc>
        <w:tc>
          <w:tcPr>
            <w:tcW w:w="80" w:type="dxa"/>
            <w:vAlign w:val="bottom"/>
            <w:tcBorders>
              <w:bottom w:val="single" w:sz="8" w:color="E4E4E4"/>
            </w:tcBorders>
          </w:tcPr>
          <w:p>
            <w:pPr>
              <w:spacing w:after="0"/>
              <w:rPr>
                <w:sz w:val="14"/>
                <w:szCs w:val="14"/>
                <w:color w:val="auto"/>
              </w:rPr>
            </w:pPr>
          </w:p>
        </w:tc>
        <w:tc>
          <w:tcPr>
            <w:tcW w:w="100" w:type="dxa"/>
            <w:vAlign w:val="bottom"/>
            <w:tcBorders>
              <w:top w:val="single" w:sz="8" w:color="1E1E1E"/>
              <w:bottom w:val="single" w:sz="8" w:color="E4E4E4"/>
            </w:tcBorders>
          </w:tcPr>
          <w:p>
            <w:pPr>
              <w:spacing w:after="0"/>
              <w:rPr>
                <w:sz w:val="14"/>
                <w:szCs w:val="14"/>
                <w:color w:val="auto"/>
              </w:rPr>
            </w:pPr>
          </w:p>
        </w:tc>
        <w:tc>
          <w:tcPr>
            <w:tcW w:w="240" w:type="dxa"/>
            <w:vAlign w:val="bottom"/>
            <w:tcBorders>
              <w:top w:val="single" w:sz="8" w:color="1E1E1E"/>
              <w:bottom w:val="single" w:sz="8" w:color="1E1E1E"/>
            </w:tcBorders>
          </w:tcPr>
          <w:p>
            <w:pPr>
              <w:spacing w:after="0"/>
              <w:rPr>
                <w:sz w:val="14"/>
                <w:szCs w:val="14"/>
                <w:color w:val="auto"/>
              </w:rPr>
            </w:pPr>
          </w:p>
        </w:tc>
        <w:tc>
          <w:tcPr>
            <w:tcW w:w="1460" w:type="dxa"/>
            <w:vAlign w:val="bottom"/>
            <w:tcBorders>
              <w:top w:val="single" w:sz="8" w:color="1E1E1E"/>
              <w:bottom w:val="single" w:sz="8" w:color="1E1E1E"/>
            </w:tcBorders>
          </w:tcPr>
          <w:p>
            <w:pPr>
              <w:jc w:val="center"/>
              <w:ind w:right="171"/>
              <w:spacing w:after="0" w:line="168" w:lineRule="exact"/>
              <w:rPr>
                <w:sz w:val="20"/>
                <w:szCs w:val="20"/>
                <w:color w:val="auto"/>
              </w:rPr>
            </w:pPr>
            <w:r>
              <w:rPr>
                <w:rFonts w:ascii="Times New Roman" w:cs="Times New Roman" w:eastAsia="Times New Roman" w:hAnsi="Times New Roman"/>
                <w:sz w:val="16"/>
                <w:szCs w:val="16"/>
                <w:b w:val="1"/>
                <w:bCs w:val="1"/>
                <w:color w:val="1E1E1E"/>
                <w:w w:val="99"/>
              </w:rPr>
              <w:t>2022</w:t>
            </w:r>
          </w:p>
        </w:tc>
        <w:tc>
          <w:tcPr>
            <w:tcW w:w="80" w:type="dxa"/>
            <w:vAlign w:val="bottom"/>
            <w:tcBorders>
              <w:bottom w:val="single" w:sz="8" w:color="E4E4E4"/>
            </w:tcBorders>
          </w:tcPr>
          <w:p>
            <w:pPr>
              <w:spacing w:after="0"/>
              <w:rPr>
                <w:sz w:val="14"/>
                <w:szCs w:val="14"/>
                <w:color w:val="auto"/>
              </w:rPr>
            </w:pPr>
          </w:p>
        </w:tc>
      </w:tr>
      <w:tr>
        <w:trPr>
          <w:trHeight w:val="213"/>
        </w:trPr>
        <w:tc>
          <w:tcPr>
            <w:tcW w:w="598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Coupon interest</w:t>
            </w:r>
          </w:p>
        </w:tc>
        <w:tc>
          <w:tcPr>
            <w:tcW w:w="12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20" w:type="dxa"/>
            <w:vAlign w:val="bottom"/>
            <w:shd w:val="clear" w:color="auto" w:fill="E4E4E4"/>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14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2,875</w:t>
            </w: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40" w:type="dxa"/>
            <w:vAlign w:val="bottom"/>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4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2,606</w:t>
            </w:r>
          </w:p>
        </w:tc>
        <w:tc>
          <w:tcPr>
            <w:tcW w:w="80" w:type="dxa"/>
            <w:vAlign w:val="bottom"/>
            <w:shd w:val="clear" w:color="auto" w:fill="E4E4E4"/>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1E1E1E"/>
              </w:rPr>
              <w:t>Amortization of debt discount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1,582</w:t>
            </w:r>
          </w:p>
        </w:tc>
        <w:tc>
          <w:tcPr>
            <w:tcW w:w="80" w:type="dxa"/>
            <w:vAlign w:val="bottom"/>
          </w:tcPr>
          <w:p>
            <w:pPr>
              <w:spacing w:after="0"/>
              <w:rPr>
                <w:sz w:val="19"/>
                <w:szCs w:val="19"/>
                <w:color w:val="auto"/>
              </w:rPr>
            </w:pPr>
          </w:p>
        </w:tc>
      </w:tr>
      <w:tr>
        <w:trPr>
          <w:trHeight w:val="223"/>
        </w:trPr>
        <w:tc>
          <w:tcPr>
            <w:tcW w:w="598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Amortization of transaction costs</w:t>
            </w:r>
          </w:p>
        </w:tc>
        <w:tc>
          <w:tcPr>
            <w:tcW w:w="1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4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135</w:t>
            </w: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136</w:t>
            </w:r>
          </w:p>
        </w:tc>
        <w:tc>
          <w:tcPr>
            <w:tcW w:w="80" w:type="dxa"/>
            <w:vAlign w:val="bottom"/>
            <w:shd w:val="clear" w:color="auto" w:fill="E4E4E4"/>
          </w:tcPr>
          <w:p>
            <w:pPr>
              <w:spacing w:after="0"/>
              <w:rPr>
                <w:sz w:val="19"/>
                <w:szCs w:val="19"/>
                <w:color w:val="auto"/>
              </w:rPr>
            </w:pPr>
          </w:p>
        </w:tc>
      </w:tr>
      <w:tr>
        <w:trPr>
          <w:trHeight w:val="213"/>
        </w:trPr>
        <w:tc>
          <w:tcPr>
            <w:tcW w:w="598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 interest expense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1E1E1E"/>
              <w:bottom w:val="single" w:sz="8" w:color="1E1E1E"/>
            </w:tcBorders>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14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4,735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1E1E1E"/>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4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4,324</w:t>
            </w:r>
          </w:p>
        </w:tc>
        <w:tc>
          <w:tcPr>
            <w:tcW w:w="8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14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14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ind w:left="10" w:right="220" w:firstLine="243"/>
        <w:spacing w:after="0" w:line="255" w:lineRule="auto"/>
        <w:rPr>
          <w:sz w:val="20"/>
          <w:szCs w:val="20"/>
          <w:color w:val="auto"/>
        </w:rPr>
      </w:pPr>
      <w:r>
        <w:rPr>
          <w:rFonts w:ascii="Times New Roman" w:cs="Times New Roman" w:eastAsia="Times New Roman" w:hAnsi="Times New Roman"/>
          <w:sz w:val="19"/>
          <w:szCs w:val="19"/>
          <w:color w:val="1E1E1E"/>
        </w:rPr>
        <w:t>The Company estimates the fair value of the 2027 Notes with inputs that are unobservable. The following table presents the carrying value and estimated fair value of the 2027 Notes as of the date indicated (in thousands):</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Borders>
              <w:bottom w:val="single" w:sz="8" w:color="1E1E1E"/>
            </w:tcBorders>
          </w:tcPr>
          <w:p>
            <w:pPr>
              <w:spacing w:after="0"/>
              <w:rPr>
                <w:sz w:val="21"/>
                <w:szCs w:val="21"/>
                <w:color w:val="auto"/>
              </w:rPr>
            </w:pPr>
          </w:p>
        </w:tc>
        <w:tc>
          <w:tcPr>
            <w:tcW w:w="2520" w:type="dxa"/>
            <w:vAlign w:val="bottom"/>
            <w:tcBorders>
              <w:bottom w:val="single" w:sz="8" w:color="1E1E1E"/>
            </w:tcBorders>
            <w:gridSpan w:val="4"/>
          </w:tcPr>
          <w:p>
            <w:pPr>
              <w:ind w:left="400"/>
              <w:spacing w:after="0"/>
              <w:rPr>
                <w:sz w:val="20"/>
                <w:szCs w:val="20"/>
                <w:color w:val="auto"/>
              </w:rPr>
            </w:pPr>
            <w:r>
              <w:rPr>
                <w:rFonts w:ascii="Times New Roman" w:cs="Times New Roman" w:eastAsia="Times New Roman" w:hAnsi="Times New Roman"/>
                <w:sz w:val="19"/>
                <w:szCs w:val="19"/>
                <w:b w:val="1"/>
                <w:bCs w:val="1"/>
                <w:color w:val="1E1E1E"/>
              </w:rPr>
              <w:t>December 31, 2023</w:t>
            </w:r>
          </w:p>
        </w:tc>
        <w:tc>
          <w:tcPr>
            <w:tcW w:w="240" w:type="dxa"/>
            <w:vAlign w:val="bottom"/>
          </w:tcPr>
          <w:p>
            <w:pPr>
              <w:spacing w:after="0"/>
              <w:rPr>
                <w:sz w:val="21"/>
                <w:szCs w:val="21"/>
                <w:color w:val="auto"/>
              </w:rPr>
            </w:pPr>
          </w:p>
        </w:tc>
        <w:tc>
          <w:tcPr>
            <w:tcW w:w="120" w:type="dxa"/>
            <w:vAlign w:val="bottom"/>
            <w:tcBorders>
              <w:bottom w:val="single" w:sz="8" w:color="1E1E1E"/>
            </w:tcBorders>
          </w:tcPr>
          <w:p>
            <w:pPr>
              <w:spacing w:after="0"/>
              <w:rPr>
                <w:sz w:val="21"/>
                <w:szCs w:val="21"/>
                <w:color w:val="auto"/>
              </w:rPr>
            </w:pPr>
          </w:p>
        </w:tc>
        <w:tc>
          <w:tcPr>
            <w:tcW w:w="3300" w:type="dxa"/>
            <w:vAlign w:val="bottom"/>
            <w:tcBorders>
              <w:bottom w:val="single" w:sz="8" w:color="1E1E1E"/>
            </w:tcBorders>
            <w:gridSpan w:val="4"/>
          </w:tcPr>
          <w:p>
            <w:pPr>
              <w:ind w:left="800"/>
              <w:spacing w:after="0"/>
              <w:rPr>
                <w:sz w:val="20"/>
                <w:szCs w:val="20"/>
                <w:color w:val="auto"/>
              </w:rPr>
            </w:pPr>
            <w:r>
              <w:rPr>
                <w:rFonts w:ascii="Times New Roman" w:cs="Times New Roman" w:eastAsia="Times New Roman" w:hAnsi="Times New Roman"/>
                <w:sz w:val="19"/>
                <w:szCs w:val="19"/>
                <w:b w:val="1"/>
                <w:bCs w:val="1"/>
                <w:color w:val="1E1E1E"/>
              </w:rPr>
              <w:t>December 31, 2022</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9"/>
                <w:szCs w:val="19"/>
                <w:b w:val="1"/>
                <w:bCs w:val="1"/>
                <w:color w:val="1E1E1E"/>
              </w:rPr>
              <w:t>Carrying</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2027 Notes</w:t>
            </w:r>
            <w:r>
              <w:rPr>
                <w:rFonts w:ascii="Times New Roman" w:cs="Times New Roman" w:eastAsia="Times New Roman" w:hAnsi="Times New Roman"/>
                <w:sz w:val="12"/>
                <w:szCs w:val="12"/>
                <w:color w:val="1E1E1E"/>
              </w:rPr>
              <w:t>(1)</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9"/>
                <w:szCs w:val="19"/>
                <w:b w:val="1"/>
                <w:bCs w:val="1"/>
                <w:color w:val="1E1E1E"/>
              </w:rPr>
              <w:t>Value</w:t>
            </w:r>
          </w:p>
        </w:tc>
        <w:tc>
          <w:tcPr>
            <w:tcW w:w="120" w:type="dxa"/>
            <w:vAlign w:val="bottom"/>
          </w:tcPr>
          <w:p>
            <w:pPr>
              <w:spacing w:after="0"/>
              <w:rPr>
                <w:sz w:val="21"/>
                <w:szCs w:val="21"/>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9"/>
                <w:szCs w:val="19"/>
                <w:b w:val="1"/>
                <w:bCs w:val="1"/>
                <w:color w:val="1E1E1E"/>
              </w:rPr>
              <w:t>Fair Value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1E1E1E"/>
              </w:rPr>
              <w:t>Carrying Value</w:t>
            </w:r>
          </w:p>
        </w:tc>
        <w:tc>
          <w:tcPr>
            <w:tcW w:w="220" w:type="dxa"/>
            <w:vAlign w:val="bottom"/>
          </w:tcPr>
          <w:p>
            <w:pPr>
              <w:spacing w:after="0"/>
              <w:rPr>
                <w:sz w:val="21"/>
                <w:szCs w:val="21"/>
                <w:color w:val="auto"/>
              </w:rPr>
            </w:pPr>
          </w:p>
        </w:tc>
        <w:tc>
          <w:tcPr>
            <w:tcW w:w="136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1E1E1E"/>
              </w:rPr>
              <w:t>Fair Value</w:t>
            </w:r>
          </w:p>
        </w:tc>
        <w:tc>
          <w:tcPr>
            <w:tcW w:w="0" w:type="dxa"/>
            <w:vAlign w:val="bottom"/>
          </w:tcPr>
          <w:p>
            <w:pPr>
              <w:spacing w:after="0"/>
              <w:rPr>
                <w:sz w:val="1"/>
                <w:szCs w:val="1"/>
                <w:color w:val="auto"/>
              </w:rPr>
            </w:pPr>
          </w:p>
        </w:tc>
      </w:tr>
      <w:tr>
        <w:trPr>
          <w:trHeight w:val="192"/>
        </w:trPr>
        <w:tc>
          <w:tcPr>
            <w:tcW w:w="218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040" w:type="dxa"/>
            <w:vAlign w:val="bottom"/>
            <w:tcBorders>
              <w:top w:val="single" w:sz="8" w:color="1E1E1E"/>
            </w:tcBorders>
          </w:tcPr>
          <w:p>
            <w:pPr>
              <w:ind w:left="420"/>
              <w:spacing w:after="0" w:line="193" w:lineRule="exact"/>
              <w:rPr>
                <w:sz w:val="20"/>
                <w:szCs w:val="20"/>
                <w:color w:val="auto"/>
              </w:rPr>
            </w:pPr>
            <w:r>
              <w:rPr>
                <w:rFonts w:ascii="Times New Roman" w:cs="Times New Roman" w:eastAsia="Times New Roman" w:hAnsi="Times New Roman"/>
                <w:sz w:val="19"/>
                <w:szCs w:val="19"/>
                <w:color w:val="1E1E1E"/>
                <w:w w:val="97"/>
              </w:rPr>
              <w:t>281,769</w:t>
            </w:r>
          </w:p>
        </w:tc>
        <w:tc>
          <w:tcPr>
            <w:tcW w:w="280" w:type="dxa"/>
            <w:vAlign w:val="bottom"/>
          </w:tcPr>
          <w:p>
            <w:pPr>
              <w:spacing w:after="0"/>
              <w:rPr>
                <w:sz w:val="16"/>
                <w:szCs w:val="16"/>
                <w:color w:val="auto"/>
              </w:rPr>
            </w:pPr>
          </w:p>
        </w:tc>
        <w:tc>
          <w:tcPr>
            <w:tcW w:w="12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08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268,554</w:t>
            </w:r>
          </w:p>
        </w:tc>
        <w:tc>
          <w:tcPr>
            <w:tcW w:w="240" w:type="dxa"/>
            <w:vAlign w:val="bottom"/>
          </w:tcPr>
          <w:p>
            <w:pPr>
              <w:spacing w:after="0"/>
              <w:rPr>
                <w:sz w:val="16"/>
                <w:szCs w:val="16"/>
                <w:color w:val="auto"/>
              </w:rPr>
            </w:pPr>
          </w:p>
        </w:tc>
        <w:tc>
          <w:tcPr>
            <w:tcW w:w="12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420" w:type="dxa"/>
            <w:vAlign w:val="bottom"/>
            <w:tcBorders>
              <w:top w:val="single" w:sz="8" w:color="1E1E1E"/>
            </w:tcBorders>
          </w:tcPr>
          <w:p>
            <w:pPr>
              <w:ind w:left="780"/>
              <w:spacing w:after="0" w:line="193" w:lineRule="exact"/>
              <w:rPr>
                <w:sz w:val="20"/>
                <w:szCs w:val="20"/>
                <w:color w:val="auto"/>
              </w:rPr>
            </w:pPr>
            <w:r>
              <w:rPr>
                <w:rFonts w:ascii="Times New Roman" w:cs="Times New Roman" w:eastAsia="Times New Roman" w:hAnsi="Times New Roman"/>
                <w:sz w:val="19"/>
                <w:szCs w:val="19"/>
                <w:color w:val="1E1E1E"/>
              </w:rPr>
              <w:t>279,909</w:t>
            </w:r>
          </w:p>
        </w:tc>
        <w:tc>
          <w:tcPr>
            <w:tcW w:w="300" w:type="dxa"/>
            <w:vAlign w:val="bottom"/>
          </w:tcPr>
          <w:p>
            <w:pPr>
              <w:spacing w:after="0"/>
              <w:rPr>
                <w:sz w:val="16"/>
                <w:szCs w:val="16"/>
                <w:color w:val="auto"/>
              </w:rPr>
            </w:pPr>
          </w:p>
        </w:tc>
        <w:tc>
          <w:tcPr>
            <w:tcW w:w="220" w:type="dxa"/>
            <w:vAlign w:val="bottom"/>
            <w:tcBorders>
              <w:top w:val="single" w:sz="8" w:color="1E1E1E"/>
            </w:tcBorders>
          </w:tcPr>
          <w:p>
            <w:pPr>
              <w:jc w:val="right"/>
              <w:ind w:right="23"/>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360" w:type="dxa"/>
            <w:vAlign w:val="bottom"/>
            <w:tcBorders>
              <w:top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257,671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210300" cy="147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10300" cy="147955"/>
                    </a:xfrm>
                    <a:prstGeom prst="rect">
                      <a:avLst/>
                    </a:prstGeom>
                    <a:noFill/>
                  </pic:spPr>
                </pic:pic>
              </a:graphicData>
            </a:graphic>
          </wp:anchor>
        </w:drawing>
      </w:r>
    </w:p>
    <w:p>
      <w:pPr>
        <w:ind w:left="10" w:right="380" w:hanging="10"/>
        <w:spacing w:after="0" w:line="267" w:lineRule="auto"/>
        <w:tabs>
          <w:tab w:leader="none" w:pos="285" w:val="left"/>
        </w:tabs>
        <w:numPr>
          <w:ilvl w:val="0"/>
          <w:numId w:val="70"/>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At December 31, 2022, the fair value is estimated using a discounted cash flow analysis, using interest rate that we believe are offered for similar borrowings (a Level 3 measurement). As of December 31, 2023, the fair value of the 2027 Notes was measured using Level 2 inputs based on the frequency of trading on our debt at the end of the year.</w:t>
      </w:r>
    </w:p>
    <w:p>
      <w:pPr>
        <w:spacing w:after="0" w:line="16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Term Loan Facility</w:t>
      </w:r>
    </w:p>
    <w:p>
      <w:pPr>
        <w:spacing w:after="0" w:line="118" w:lineRule="exact"/>
        <w:rPr>
          <w:sz w:val="20"/>
          <w:szCs w:val="20"/>
          <w:color w:val="auto"/>
        </w:rPr>
      </w:pPr>
    </w:p>
    <w:p>
      <w:pPr>
        <w:ind w:left="10" w:right="40" w:firstLine="601"/>
        <w:spacing w:after="0" w:line="252" w:lineRule="auto"/>
        <w:rPr>
          <w:sz w:val="20"/>
          <w:szCs w:val="20"/>
          <w:color w:val="auto"/>
        </w:rPr>
      </w:pPr>
      <w:r>
        <w:rPr>
          <w:rFonts w:ascii="Times New Roman" w:cs="Times New Roman" w:eastAsia="Times New Roman" w:hAnsi="Times New Roman"/>
          <w:sz w:val="19"/>
          <w:szCs w:val="19"/>
          <w:color w:val="1E1E1E"/>
        </w:rPr>
        <w:t>The Company was party to an amended and restated loan and security agreement ("Amended Loan and Security Agreement") with Hercules Capital, Inc. (“Hercules”) for a term loan ("the Term Loan Facility"). Under the Amended Loan and Security Agreement, effective January 30, 2020, the Company could borrow up to $15 million under the Term Loan Facility, all of which became available to the Company immediately on the agreement date. On July 9, 2021, the Company repaid the full amount of its term loan with Hercules with proceeds from the IPO (see Note 7). In connection with the debt extinguishment, the Company paid Hercules $16.1 million and recorded a loss on debt extinguishment of approximately $0.3 million.</w:t>
      </w:r>
    </w:p>
    <w:p>
      <w:pPr>
        <w:spacing w:after="0" w:line="150" w:lineRule="exact"/>
        <w:rPr>
          <w:sz w:val="20"/>
          <w:szCs w:val="20"/>
          <w:color w:val="auto"/>
        </w:rPr>
      </w:pPr>
    </w:p>
    <w:p>
      <w:pPr>
        <w:ind w:left="10" w:right="60" w:firstLine="601"/>
        <w:spacing w:after="0" w:line="260" w:lineRule="auto"/>
        <w:rPr>
          <w:sz w:val="20"/>
          <w:szCs w:val="20"/>
          <w:color w:val="auto"/>
        </w:rPr>
      </w:pPr>
      <w:r>
        <w:rPr>
          <w:rFonts w:ascii="Times New Roman" w:cs="Times New Roman" w:eastAsia="Times New Roman" w:hAnsi="Times New Roman"/>
          <w:sz w:val="19"/>
          <w:szCs w:val="19"/>
          <w:color w:val="1E1E1E"/>
        </w:rPr>
        <w:t>Prior to its repayment, the term loan accrued interest at the greater of (i) 8.7% per annum or (ii) 8.7% per annum plus the prime rate minus 4.75% per annum. The term loan agreement required a maximum $1.2 million end of term fee due and payable on the maturity date of May 1, 2022, however, if the term loan was repaid prior to November 1, 2021, the amount owed would be $0.9 million.</w:t>
      </w:r>
    </w:p>
    <w:p>
      <w:pPr>
        <w:spacing w:after="0" w:line="140" w:lineRule="exact"/>
        <w:rPr>
          <w:sz w:val="20"/>
          <w:szCs w:val="20"/>
          <w:color w:val="auto"/>
        </w:rPr>
      </w:pPr>
    </w:p>
    <w:p>
      <w:pPr>
        <w:ind w:left="10" w:right="60" w:firstLine="601"/>
        <w:spacing w:after="0" w:line="267" w:lineRule="auto"/>
        <w:rPr>
          <w:sz w:val="20"/>
          <w:szCs w:val="20"/>
          <w:color w:val="auto"/>
        </w:rPr>
      </w:pPr>
      <w:r>
        <w:rPr>
          <w:rFonts w:ascii="Times New Roman" w:cs="Times New Roman" w:eastAsia="Times New Roman" w:hAnsi="Times New Roman"/>
          <w:sz w:val="19"/>
          <w:szCs w:val="19"/>
          <w:color w:val="1E1E1E"/>
        </w:rPr>
        <w:t>As part of the initial term loan agreement with Hercules, the Company issued a warrant to purchase 87,784 shares of the Company’s Series B Convertible Preferred Stock with a strike price of $5.13 per share that expires in May 2025. Upon closing of the IPO on July 2, 2021, the warrant held by Hercules may only be exercised for shares of Class A common stock.</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Contingencies</w:t>
      </w:r>
    </w:p>
    <w:p>
      <w:pPr>
        <w:spacing w:after="0" w:line="118" w:lineRule="exact"/>
        <w:rPr>
          <w:sz w:val="20"/>
          <w:szCs w:val="20"/>
          <w:color w:val="auto"/>
        </w:rPr>
      </w:pPr>
    </w:p>
    <w:p>
      <w:pPr>
        <w:ind w:left="10" w:right="40" w:firstLine="601"/>
        <w:spacing w:after="0" w:line="260" w:lineRule="auto"/>
        <w:rPr>
          <w:sz w:val="20"/>
          <w:szCs w:val="20"/>
          <w:color w:val="auto"/>
        </w:rPr>
      </w:pPr>
      <w:r>
        <w:rPr>
          <w:rFonts w:ascii="Times New Roman" w:cs="Times New Roman" w:eastAsia="Times New Roman" w:hAnsi="Times New Roman"/>
          <w:sz w:val="19"/>
          <w:szCs w:val="19"/>
          <w:color w:val="1E1E1E"/>
        </w:rPr>
        <w:t>The Company from time to time may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2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Restructuring</w:t>
      </w:r>
    </w:p>
    <w:p>
      <w:pPr>
        <w:spacing w:after="0" w:line="118" w:lineRule="exact"/>
        <w:rPr>
          <w:sz w:val="20"/>
          <w:szCs w:val="20"/>
          <w:color w:val="auto"/>
        </w:rPr>
      </w:pPr>
    </w:p>
    <w:p>
      <w:pPr>
        <w:ind w:left="10" w:right="60" w:firstLine="649"/>
        <w:spacing w:after="0" w:line="260" w:lineRule="auto"/>
        <w:rPr>
          <w:sz w:val="20"/>
          <w:szCs w:val="20"/>
          <w:color w:val="auto"/>
        </w:rPr>
      </w:pPr>
      <w:r>
        <w:rPr>
          <w:rFonts w:ascii="Times New Roman" w:cs="Times New Roman" w:eastAsia="Times New Roman" w:hAnsi="Times New Roman"/>
          <w:sz w:val="19"/>
          <w:szCs w:val="19"/>
          <w:color w:val="1E1E1E"/>
        </w:rPr>
        <w:t>In May 2023 and December 2022</w:t>
      </w:r>
      <w:r>
        <w:rPr>
          <w:rFonts w:ascii="Times New Roman" w:cs="Times New Roman" w:eastAsia="Times New Roman" w:hAnsi="Times New Roman"/>
          <w:sz w:val="19"/>
          <w:szCs w:val="19"/>
          <w:i w:val="1"/>
          <w:iCs w:val="1"/>
          <w:color w:val="1E1E1E"/>
        </w:rPr>
        <w:t>,</w:t>
      </w:r>
      <w:r>
        <w:rPr>
          <w:rFonts w:ascii="Times New Roman" w:cs="Times New Roman" w:eastAsia="Times New Roman" w:hAnsi="Times New Roman"/>
          <w:sz w:val="19"/>
          <w:szCs w:val="19"/>
          <w:color w:val="1E1E1E"/>
        </w:rPr>
        <w:t xml:space="preserve"> we initiated restructuring actions to help manage our operating expenses by reducing our workforce. For the year ended December 31, 2023 and December 31, 2022, we incurred $0.7 million and $1.5 million, respectively, for employee termination costs related to this restructuring. The majority of these costs was paid by the Company in 2023.</w:t>
      </w:r>
    </w:p>
    <w:p>
      <w:pPr>
        <w:spacing w:after="0" w:line="62" w:lineRule="exact"/>
        <w:rPr>
          <w:sz w:val="20"/>
          <w:szCs w:val="20"/>
          <w:color w:val="auto"/>
        </w:rPr>
      </w:pPr>
    </w:p>
    <w:p>
      <w:pPr>
        <w:ind w:left="10" w:right="140" w:firstLine="601"/>
        <w:spacing w:after="0" w:line="267" w:lineRule="auto"/>
        <w:rPr>
          <w:sz w:val="20"/>
          <w:szCs w:val="20"/>
          <w:color w:val="auto"/>
        </w:rPr>
      </w:pPr>
      <w:r>
        <w:rPr>
          <w:rFonts w:ascii="Times New Roman" w:cs="Times New Roman" w:eastAsia="Times New Roman" w:hAnsi="Times New Roman"/>
          <w:sz w:val="19"/>
          <w:szCs w:val="19"/>
          <w:color w:val="1E1E1E"/>
        </w:rPr>
        <w:t>The following table shows the total amount incurred and the liability, which is recorded in accrued expenses in the Consolidated Balance Sheets, for restructuring-related employee termination benefits as of December 31, 2023 and 2022 (in thousands):</w:t>
      </w:r>
    </w:p>
    <w:p>
      <w:pPr>
        <w:sectPr>
          <w:pgSz w:w="11880" w:h="15480" w:orient="portrait"/>
          <w:cols w:equalWidth="0" w:num="1">
            <w:col w:w="9770"/>
          </w:cols>
          <w:pgMar w:left="105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93</w:t>
      </w:r>
    </w:p>
    <w:p>
      <w:pPr>
        <w:sectPr>
          <w:pgSz w:w="11880" w:h="15480" w:orient="portrait"/>
          <w:cols w:equalWidth="0" w:num="1">
            <w:col w:w="9770"/>
          </w:cols>
          <w:pgMar w:left="1050" w:top="1083" w:right="1060" w:bottom="215" w:gutter="0" w:footer="0" w:header="0"/>
          <w:type w:val="continuous"/>
        </w:sectPr>
      </w:pPr>
    </w:p>
    <w:bookmarkStart w:id="99" w:name="page100"/>
    <w:bookmarkEnd w:id="99"/>
    <w:tbl>
      <w:tblPr>
        <w:tblLayout w:type="fixed"/>
        <w:tblInd w:w="10" w:type="dxa"/>
        <w:tblCellMar>
          <w:top w:w="0" w:type="dxa"/>
          <w:left w:w="0" w:type="dxa"/>
          <w:bottom w:w="0" w:type="dxa"/>
          <w:right w:w="0" w:type="dxa"/>
        </w:tblCellMar>
      </w:tblPr>
      <w:tr>
        <w:trPr>
          <w:trHeight w:val="184"/>
        </w:trPr>
        <w:tc>
          <w:tcPr>
            <w:tcW w:w="7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1E1E1E"/>
              </w:rPr>
              <w:t>Employee Termination</w:t>
            </w:r>
          </w:p>
        </w:tc>
      </w:tr>
      <w:tr>
        <w:trPr>
          <w:trHeight w:val="197"/>
        </w:trPr>
        <w:tc>
          <w:tcPr>
            <w:tcW w:w="7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Borders>
              <w:bottom w:val="single" w:sz="8" w:color="1E1E1E"/>
            </w:tcBorders>
          </w:tcPr>
          <w:p>
            <w:pPr>
              <w:spacing w:after="0"/>
              <w:rPr>
                <w:sz w:val="17"/>
                <w:szCs w:val="17"/>
                <w:color w:val="auto"/>
              </w:rPr>
            </w:pPr>
          </w:p>
        </w:tc>
        <w:tc>
          <w:tcPr>
            <w:tcW w:w="1260" w:type="dxa"/>
            <w:vAlign w:val="bottom"/>
            <w:tcBorders>
              <w:bottom w:val="single" w:sz="8" w:color="1E1E1E"/>
            </w:tcBorders>
          </w:tcPr>
          <w:p>
            <w:pPr>
              <w:jc w:val="right"/>
              <w:ind w:right="427"/>
              <w:spacing w:after="0"/>
              <w:rPr>
                <w:sz w:val="20"/>
                <w:szCs w:val="20"/>
                <w:color w:val="auto"/>
              </w:rPr>
            </w:pPr>
            <w:r>
              <w:rPr>
                <w:rFonts w:ascii="Times New Roman" w:cs="Times New Roman" w:eastAsia="Times New Roman" w:hAnsi="Times New Roman"/>
                <w:sz w:val="16"/>
                <w:szCs w:val="16"/>
                <w:b w:val="1"/>
                <w:bCs w:val="1"/>
                <w:color w:val="1E1E1E"/>
              </w:rPr>
              <w:t>Benefits</w:t>
            </w:r>
          </w:p>
        </w:tc>
        <w:tc>
          <w:tcPr>
            <w:tcW w:w="80" w:type="dxa"/>
            <w:vAlign w:val="bottom"/>
          </w:tcPr>
          <w:p>
            <w:pPr>
              <w:spacing w:after="0"/>
              <w:rPr>
                <w:sz w:val="17"/>
                <w:szCs w:val="17"/>
                <w:color w:val="auto"/>
              </w:rPr>
            </w:pPr>
          </w:p>
        </w:tc>
      </w:tr>
      <w:tr>
        <w:trPr>
          <w:trHeight w:val="391"/>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1E1E1E"/>
              </w:rPr>
              <w:t>Accrued restructuring costs as of December 31, 2022</w:t>
            </w: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9"/>
                <w:szCs w:val="19"/>
                <w:color w:val="1E1E1E"/>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1,549</w:t>
            </w:r>
          </w:p>
        </w:tc>
        <w:tc>
          <w:tcPr>
            <w:tcW w:w="80" w:type="dxa"/>
            <w:vAlign w:val="bottom"/>
          </w:tcPr>
          <w:p>
            <w:pPr>
              <w:spacing w:after="0"/>
              <w:rPr>
                <w:sz w:val="24"/>
                <w:szCs w:val="24"/>
                <w:color w:val="auto"/>
              </w:rPr>
            </w:pPr>
          </w:p>
        </w:tc>
      </w:tr>
      <w:tr>
        <w:trPr>
          <w:trHeight w:val="223"/>
        </w:trPr>
        <w:tc>
          <w:tcPr>
            <w:tcW w:w="72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Restructuring costs incurred during the twelve months ended December 31, 2023</w:t>
            </w:r>
          </w:p>
        </w:tc>
        <w:tc>
          <w:tcPr>
            <w:tcW w:w="900" w:type="dxa"/>
            <w:vAlign w:val="bottom"/>
            <w:shd w:val="clear" w:color="auto" w:fill="E4E4E4"/>
          </w:tcPr>
          <w:p>
            <w:pPr>
              <w:spacing w:after="0"/>
              <w:rPr>
                <w:sz w:val="19"/>
                <w:szCs w:val="19"/>
                <w:color w:val="auto"/>
              </w:rPr>
            </w:pPr>
          </w:p>
        </w:tc>
        <w:tc>
          <w:tcPr>
            <w:tcW w:w="320" w:type="dxa"/>
            <w:vAlign w:val="bottom"/>
            <w:shd w:val="clear" w:color="auto" w:fill="E4E4E4"/>
          </w:tcPr>
          <w:p>
            <w:pPr>
              <w:spacing w:after="0"/>
              <w:rPr>
                <w:sz w:val="19"/>
                <w:szCs w:val="19"/>
                <w:color w:val="auto"/>
              </w:rPr>
            </w:pPr>
          </w:p>
        </w:tc>
        <w:tc>
          <w:tcPr>
            <w:tcW w:w="12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738</w:t>
            </w:r>
          </w:p>
        </w:tc>
        <w:tc>
          <w:tcPr>
            <w:tcW w:w="80" w:type="dxa"/>
            <w:vAlign w:val="bottom"/>
            <w:shd w:val="clear" w:color="auto" w:fill="E4E4E4"/>
          </w:tcPr>
          <w:p>
            <w:pPr>
              <w:spacing w:after="0"/>
              <w:rPr>
                <w:sz w:val="19"/>
                <w:szCs w:val="19"/>
                <w:color w:val="auto"/>
              </w:rPr>
            </w:pPr>
          </w:p>
        </w:tc>
      </w:tr>
      <w:tr>
        <w:trPr>
          <w:trHeight w:val="223"/>
        </w:trPr>
        <w:tc>
          <w:tcPr>
            <w:tcW w:w="7200" w:type="dxa"/>
            <w:vAlign w:val="bottom"/>
          </w:tcPr>
          <w:p>
            <w:pPr>
              <w:spacing w:after="0"/>
              <w:rPr>
                <w:sz w:val="20"/>
                <w:szCs w:val="20"/>
                <w:color w:val="auto"/>
              </w:rPr>
            </w:pPr>
            <w:r>
              <w:rPr>
                <w:rFonts w:ascii="Times New Roman" w:cs="Times New Roman" w:eastAsia="Times New Roman" w:hAnsi="Times New Roman"/>
                <w:sz w:val="19"/>
                <w:szCs w:val="19"/>
                <w:color w:val="1E1E1E"/>
              </w:rPr>
              <w:t>Amount paid during the period ended December 31, 2023</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(2,228)</w:t>
            </w:r>
          </w:p>
        </w:tc>
      </w:tr>
      <w:tr>
        <w:trPr>
          <w:trHeight w:val="233"/>
        </w:trPr>
        <w:tc>
          <w:tcPr>
            <w:tcW w:w="720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Accrued restructuring costs as of December 31, 2023</w:t>
            </w:r>
          </w:p>
        </w:tc>
        <w:tc>
          <w:tcPr>
            <w:tcW w:w="900" w:type="dxa"/>
            <w:vAlign w:val="bottom"/>
            <w:tcBorders>
              <w:top w:val="single" w:sz="8" w:color="E4E4E4"/>
              <w:bottom w:val="single" w:sz="8" w:color="E4E4E4"/>
            </w:tcBorders>
            <w:shd w:val="clear" w:color="auto" w:fill="E4E4E4"/>
          </w:tcPr>
          <w:p>
            <w:pPr>
              <w:spacing w:after="0"/>
              <w:rPr>
                <w:sz w:val="20"/>
                <w:szCs w:val="20"/>
                <w:color w:val="auto"/>
              </w:rPr>
            </w:pPr>
          </w:p>
        </w:tc>
        <w:tc>
          <w:tcPr>
            <w:tcW w:w="320" w:type="dxa"/>
            <w:vAlign w:val="bottom"/>
            <w:tcBorders>
              <w:top w:val="single" w:sz="8" w:color="1E1E1E"/>
              <w:bottom w:val="single" w:sz="8" w:color="1E1E1E"/>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126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59</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r>
      <w:tr>
        <w:trPr>
          <w:trHeight w:val="20"/>
        </w:trPr>
        <w:tc>
          <w:tcPr>
            <w:tcW w:w="7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10" w:right="180" w:firstLine="601"/>
        <w:spacing w:after="0" w:line="246" w:lineRule="auto"/>
        <w:rPr>
          <w:sz w:val="20"/>
          <w:szCs w:val="20"/>
          <w:color w:val="auto"/>
        </w:rPr>
      </w:pPr>
      <w:r>
        <w:rPr>
          <w:rFonts w:ascii="Times New Roman" w:cs="Times New Roman" w:eastAsia="Times New Roman" w:hAnsi="Times New Roman"/>
          <w:sz w:val="19"/>
          <w:szCs w:val="19"/>
          <w:color w:val="1E1E1E"/>
        </w:rPr>
        <w:t>The following table shows the total restructuring costs incurred during the year ended December 31, 2023 and 2022 (in thousands):</w:t>
      </w:r>
    </w:p>
    <w:tbl>
      <w:tblPr>
        <w:tblLayout w:type="fixed"/>
        <w:tblInd w:w="1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gridSpan w:val="5"/>
          </w:tcPr>
          <w:p>
            <w:pPr>
              <w:jc w:val="right"/>
              <w:ind w:right="173"/>
              <w:spacing w:after="0"/>
              <w:rPr>
                <w:sz w:val="20"/>
                <w:szCs w:val="20"/>
                <w:color w:val="auto"/>
              </w:rPr>
            </w:pPr>
            <w:r>
              <w:rPr>
                <w:rFonts w:ascii="Times New Roman" w:cs="Times New Roman" w:eastAsia="Times New Roman" w:hAnsi="Times New Roman"/>
                <w:sz w:val="16"/>
                <w:szCs w:val="16"/>
                <w:b w:val="1"/>
                <w:bCs w:val="1"/>
                <w:color w:val="1E1E1E"/>
              </w:rPr>
              <w:t>For the Year Ended December 31,</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1E1E1E"/>
              <w:bottom w:val="single" w:sz="8" w:color="1E1E1E"/>
            </w:tcBorders>
          </w:tcPr>
          <w:p>
            <w:pPr>
              <w:jc w:val="right"/>
              <w:ind w:right="116"/>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480" w:type="dxa"/>
            <w:vAlign w:val="bottom"/>
            <w:tcBorders>
              <w:top w:val="single" w:sz="8" w:color="1E1E1E"/>
              <w:bottom w:val="single" w:sz="8" w:color="1E1E1E"/>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Borders>
              <w:top w:val="single" w:sz="8" w:color="1E1E1E"/>
              <w:bottom w:val="single" w:sz="8" w:color="1E1E1E"/>
            </w:tcBorders>
          </w:tcPr>
          <w:p>
            <w:pPr>
              <w:jc w:val="right"/>
              <w:ind w:right="173"/>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700" w:type="dxa"/>
            <w:vAlign w:val="bottom"/>
            <w:tcBorders>
              <w:top w:val="single" w:sz="8" w:color="1E1E1E"/>
              <w:bottom w:val="single" w:sz="8" w:color="1E1E1E"/>
            </w:tcBorders>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Sales and marketing</w:t>
            </w:r>
          </w:p>
        </w:tc>
        <w:tc>
          <w:tcPr>
            <w:tcW w:w="1380" w:type="dxa"/>
            <w:vAlign w:val="bottom"/>
            <w:gridSpan w:val="2"/>
            <w:shd w:val="clear" w:color="auto" w:fill="E4E4E4"/>
          </w:tcPr>
          <w:p>
            <w:pPr>
              <w:jc w:val="right"/>
              <w:ind w:right="1036"/>
              <w:spacing w:after="0"/>
              <w:rPr>
                <w:sz w:val="20"/>
                <w:szCs w:val="20"/>
                <w:color w:val="auto"/>
              </w:rPr>
            </w:pPr>
            <w:r>
              <w:rPr>
                <w:rFonts w:ascii="Times New Roman" w:cs="Times New Roman" w:eastAsia="Times New Roman" w:hAnsi="Times New Roman"/>
                <w:sz w:val="19"/>
                <w:szCs w:val="19"/>
                <w:color w:val="1E1E1E"/>
              </w:rPr>
              <w:t>$</w:t>
            </w:r>
          </w:p>
        </w:tc>
        <w:tc>
          <w:tcPr>
            <w:tcW w:w="6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224</w:t>
            </w:r>
          </w:p>
        </w:tc>
        <w:tc>
          <w:tcPr>
            <w:tcW w:w="1640" w:type="dxa"/>
            <w:vAlign w:val="bottom"/>
            <w:gridSpan w:val="2"/>
            <w:shd w:val="clear" w:color="auto" w:fill="E4E4E4"/>
          </w:tcPr>
          <w:p>
            <w:pPr>
              <w:jc w:val="right"/>
              <w:ind w:right="1313"/>
              <w:spacing w:after="0"/>
              <w:rPr>
                <w:sz w:val="20"/>
                <w:szCs w:val="20"/>
                <w:color w:val="auto"/>
              </w:rPr>
            </w:pPr>
            <w:r>
              <w:rPr>
                <w:rFonts w:ascii="Times New Roman" w:cs="Times New Roman" w:eastAsia="Times New Roman" w:hAnsi="Times New Roman"/>
                <w:sz w:val="19"/>
                <w:szCs w:val="19"/>
                <w:color w:val="1E1E1E"/>
              </w:rPr>
              <w:t>$</w:t>
            </w: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506</w:t>
            </w:r>
          </w:p>
        </w:tc>
        <w:tc>
          <w:tcPr>
            <w:tcW w:w="80" w:type="dxa"/>
            <w:vAlign w:val="bottom"/>
            <w:shd w:val="clear" w:color="auto" w:fill="E4E4E4"/>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9"/>
                <w:szCs w:val="19"/>
                <w:color w:val="1E1E1E"/>
              </w:rPr>
              <w:t>Operations and support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230</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432</w:t>
            </w:r>
          </w:p>
        </w:tc>
        <w:tc>
          <w:tcPr>
            <w:tcW w:w="80" w:type="dxa"/>
            <w:vAlign w:val="bottom"/>
          </w:tcPr>
          <w:p>
            <w:pPr>
              <w:spacing w:after="0"/>
              <w:rPr>
                <w:sz w:val="19"/>
                <w:szCs w:val="19"/>
                <w:color w:val="auto"/>
              </w:rPr>
            </w:pPr>
          </w:p>
        </w:tc>
      </w:tr>
      <w:tr>
        <w:trPr>
          <w:trHeight w:val="223"/>
        </w:trPr>
        <w:tc>
          <w:tcPr>
            <w:tcW w:w="53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Product development</w:t>
            </w:r>
          </w:p>
        </w:tc>
        <w:tc>
          <w:tcPr>
            <w:tcW w:w="160" w:type="dxa"/>
            <w:vAlign w:val="bottom"/>
            <w:shd w:val="clear" w:color="auto" w:fill="E4E4E4"/>
          </w:tcPr>
          <w:p>
            <w:pPr>
              <w:spacing w:after="0"/>
              <w:rPr>
                <w:sz w:val="19"/>
                <w:szCs w:val="19"/>
                <w:color w:val="auto"/>
              </w:rPr>
            </w:pPr>
          </w:p>
        </w:tc>
        <w:tc>
          <w:tcPr>
            <w:tcW w:w="1220" w:type="dxa"/>
            <w:vAlign w:val="bottom"/>
            <w:shd w:val="clear" w:color="auto" w:fill="E4E4E4"/>
          </w:tcPr>
          <w:p>
            <w:pPr>
              <w:spacing w:after="0"/>
              <w:rPr>
                <w:sz w:val="19"/>
                <w:szCs w:val="19"/>
                <w:color w:val="auto"/>
              </w:rPr>
            </w:pPr>
          </w:p>
        </w:tc>
        <w:tc>
          <w:tcPr>
            <w:tcW w:w="62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19"/>
                <w:szCs w:val="19"/>
                <w:color w:val="1E1E1E"/>
              </w:rPr>
              <w:t>117</w:t>
            </w:r>
          </w:p>
        </w:tc>
        <w:tc>
          <w:tcPr>
            <w:tcW w:w="140" w:type="dxa"/>
            <w:vAlign w:val="bottom"/>
            <w:shd w:val="clear" w:color="auto" w:fill="E4E4E4"/>
          </w:tcPr>
          <w:p>
            <w:pPr>
              <w:spacing w:after="0"/>
              <w:rPr>
                <w:sz w:val="19"/>
                <w:szCs w:val="19"/>
                <w:color w:val="auto"/>
              </w:rPr>
            </w:pPr>
          </w:p>
        </w:tc>
        <w:tc>
          <w:tcPr>
            <w:tcW w:w="1500" w:type="dxa"/>
            <w:vAlign w:val="bottom"/>
            <w:shd w:val="clear" w:color="auto" w:fill="E4E4E4"/>
          </w:tcPr>
          <w:p>
            <w:pPr>
              <w:spacing w:after="0"/>
              <w:rPr>
                <w:sz w:val="19"/>
                <w:szCs w:val="19"/>
                <w:color w:val="auto"/>
              </w:rPr>
            </w:pPr>
          </w:p>
        </w:tc>
        <w:tc>
          <w:tcPr>
            <w:tcW w:w="7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458</w:t>
            </w:r>
          </w:p>
        </w:tc>
        <w:tc>
          <w:tcPr>
            <w:tcW w:w="80" w:type="dxa"/>
            <w:vAlign w:val="bottom"/>
            <w:shd w:val="clear" w:color="auto" w:fill="E4E4E4"/>
          </w:tcPr>
          <w:p>
            <w:pPr>
              <w:spacing w:after="0"/>
              <w:rPr>
                <w:sz w:val="19"/>
                <w:szCs w:val="19"/>
                <w:color w:val="auto"/>
              </w:rPr>
            </w:pP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9"/>
                <w:szCs w:val="19"/>
                <w:color w:val="1E1E1E"/>
              </w:rPr>
              <w:t>General and administrative</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1E1E1E"/>
              </w:rPr>
              <w:t>167</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153</w:t>
            </w:r>
          </w:p>
        </w:tc>
        <w:tc>
          <w:tcPr>
            <w:tcW w:w="80" w:type="dxa"/>
            <w:vAlign w:val="bottom"/>
          </w:tcPr>
          <w:p>
            <w:pPr>
              <w:spacing w:after="0"/>
              <w:rPr>
                <w:sz w:val="19"/>
                <w:szCs w:val="19"/>
                <w:color w:val="auto"/>
              </w:rPr>
            </w:pPr>
          </w:p>
        </w:tc>
      </w:tr>
      <w:tr>
        <w:trPr>
          <w:trHeight w:val="233"/>
        </w:trPr>
        <w:tc>
          <w:tcPr>
            <w:tcW w:w="534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 restructure charge</w:t>
            </w:r>
          </w:p>
        </w:tc>
        <w:tc>
          <w:tcPr>
            <w:tcW w:w="160" w:type="dxa"/>
            <w:vAlign w:val="bottom"/>
            <w:tcBorders>
              <w:top w:val="single" w:sz="8" w:color="E4E4E4"/>
              <w:bottom w:val="single" w:sz="8" w:color="E4E4E4"/>
            </w:tcBorders>
            <w:shd w:val="clear" w:color="auto" w:fill="E4E4E4"/>
          </w:tcPr>
          <w:p>
            <w:pPr>
              <w:spacing w:after="0"/>
              <w:rPr>
                <w:sz w:val="20"/>
                <w:szCs w:val="20"/>
                <w:color w:val="auto"/>
              </w:rPr>
            </w:pPr>
          </w:p>
        </w:tc>
        <w:tc>
          <w:tcPr>
            <w:tcW w:w="1220" w:type="dxa"/>
            <w:vAlign w:val="bottom"/>
            <w:tcBorders>
              <w:top w:val="single" w:sz="8" w:color="1E1E1E"/>
              <w:bottom w:val="single" w:sz="8" w:color="1E1E1E"/>
            </w:tcBorders>
            <w:shd w:val="clear" w:color="auto" w:fill="E4E4E4"/>
          </w:tcPr>
          <w:p>
            <w:pPr>
              <w:jc w:val="right"/>
              <w:ind w:right="1036"/>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480" w:type="dxa"/>
            <w:vAlign w:val="bottom"/>
            <w:tcBorders>
              <w:top w:val="single" w:sz="8" w:color="1E1E1E"/>
              <w:bottom w:val="single" w:sz="8" w:color="1E1E1E"/>
            </w:tcBorders>
            <w:shd w:val="clear" w:color="auto" w:fill="E4E4E4"/>
          </w:tcPr>
          <w:p>
            <w:pPr>
              <w:ind w:left="200"/>
              <w:spacing w:after="0" w:line="213" w:lineRule="exact"/>
              <w:rPr>
                <w:sz w:val="20"/>
                <w:szCs w:val="20"/>
                <w:color w:val="auto"/>
              </w:rPr>
            </w:pPr>
            <w:r>
              <w:rPr>
                <w:rFonts w:ascii="Times New Roman" w:cs="Times New Roman" w:eastAsia="Times New Roman" w:hAnsi="Times New Roman"/>
                <w:sz w:val="19"/>
                <w:szCs w:val="19"/>
                <w:color w:val="1E1E1E"/>
                <w:w w:val="91"/>
              </w:rPr>
              <w:t>738</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1500" w:type="dxa"/>
            <w:vAlign w:val="bottom"/>
            <w:tcBorders>
              <w:top w:val="single" w:sz="8" w:color="1E1E1E"/>
              <w:bottom w:val="single" w:sz="8" w:color="1E1E1E"/>
            </w:tcBorders>
            <w:shd w:val="clear" w:color="auto" w:fill="E4E4E4"/>
          </w:tcPr>
          <w:p>
            <w:pPr>
              <w:jc w:val="right"/>
              <w:ind w:right="131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70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1,549</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r>
      <w:tr>
        <w:trPr>
          <w:trHeight w:val="20"/>
        </w:trPr>
        <w:tc>
          <w:tcPr>
            <w:tcW w:w="5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1E1E1E"/>
            </w:tcBorders>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Exit from the Supplies Business</w:t>
      </w:r>
    </w:p>
    <w:p>
      <w:pPr>
        <w:spacing w:after="0" w:line="234" w:lineRule="exact"/>
        <w:rPr>
          <w:sz w:val="20"/>
          <w:szCs w:val="20"/>
          <w:color w:val="auto"/>
        </w:rPr>
      </w:pPr>
    </w:p>
    <w:p>
      <w:pPr>
        <w:ind w:left="10" w:firstLine="475"/>
        <w:spacing w:after="0" w:line="260" w:lineRule="auto"/>
        <w:rPr>
          <w:sz w:val="20"/>
          <w:szCs w:val="20"/>
          <w:color w:val="auto"/>
        </w:rPr>
      </w:pPr>
      <w:r>
        <w:rPr>
          <w:rFonts w:ascii="Times New Roman" w:cs="Times New Roman" w:eastAsia="Times New Roman" w:hAnsi="Times New Roman"/>
          <w:sz w:val="19"/>
          <w:szCs w:val="19"/>
          <w:color w:val="1E1E1E"/>
        </w:rPr>
        <w:t>The Company previously provided suppliers with access to competitively priced tools, material and supplies in the U.S. As a result of exiting the supplies business during 2023, the Company recognized $0.6 million of costs associated with its closure, of which $0.2 million is recognized in cost of revenue and $0.4 million is recognized in operations and support on the Consolidated Statements of Operations and Comprehensive Loss.</w:t>
      </w:r>
    </w:p>
    <w:p>
      <w:pPr>
        <w:spacing w:after="0" w:line="2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Defined Contribution Plans</w:t>
      </w:r>
    </w:p>
    <w:p>
      <w:pPr>
        <w:spacing w:after="0" w:line="234" w:lineRule="exact"/>
        <w:rPr>
          <w:sz w:val="20"/>
          <w:szCs w:val="20"/>
          <w:color w:val="auto"/>
        </w:rPr>
      </w:pPr>
    </w:p>
    <w:p>
      <w:pPr>
        <w:ind w:left="10" w:firstLine="475"/>
        <w:spacing w:after="0" w:line="260" w:lineRule="auto"/>
        <w:rPr>
          <w:sz w:val="20"/>
          <w:szCs w:val="20"/>
          <w:color w:val="auto"/>
        </w:rPr>
      </w:pPr>
      <w:r>
        <w:rPr>
          <w:rFonts w:ascii="Times New Roman" w:cs="Times New Roman" w:eastAsia="Times New Roman" w:hAnsi="Times New Roman"/>
          <w:sz w:val="19"/>
          <w:szCs w:val="19"/>
          <w:color w:val="1E1E1E"/>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$2.1 million, $1.6 million and $0.7 million for the years ending December 31, 2023, 2022 and 2021, respectively.</w:t>
      </w:r>
    </w:p>
    <w:p>
      <w:pPr>
        <w:spacing w:after="0" w:line="399" w:lineRule="exact"/>
        <w:rPr>
          <w:sz w:val="20"/>
          <w:szCs w:val="20"/>
          <w:color w:val="auto"/>
        </w:rPr>
      </w:pPr>
    </w:p>
    <w:p>
      <w:pPr>
        <w:ind w:left="610" w:hanging="610"/>
        <w:spacing w:after="0"/>
        <w:tabs>
          <w:tab w:leader="none" w:pos="610" w:val="left"/>
        </w:tabs>
        <w:numPr>
          <w:ilvl w:val="0"/>
          <w:numId w:val="71"/>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Acquisitions</w:t>
      </w: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i w:val="1"/>
          <w:iCs w:val="1"/>
          <w:color w:val="1E1E1E"/>
        </w:rPr>
        <w:t>Tridi</w:t>
      </w:r>
    </w:p>
    <w:p>
      <w:pPr>
        <w:spacing w:after="0" w:line="118" w:lineRule="exact"/>
        <w:rPr>
          <w:sz w:val="20"/>
          <w:szCs w:val="20"/>
          <w:color w:val="auto"/>
        </w:rPr>
      </w:pPr>
    </w:p>
    <w:p>
      <w:pPr>
        <w:ind w:left="10" w:right="100" w:firstLine="601"/>
        <w:spacing w:after="0" w:line="248" w:lineRule="auto"/>
        <w:rPr>
          <w:sz w:val="20"/>
          <w:szCs w:val="20"/>
          <w:color w:val="auto"/>
        </w:rPr>
      </w:pPr>
      <w:r>
        <w:rPr>
          <w:rFonts w:ascii="Times New Roman" w:cs="Times New Roman" w:eastAsia="Times New Roman" w:hAnsi="Times New Roman"/>
          <w:sz w:val="19"/>
          <w:szCs w:val="19"/>
          <w:color w:val="1E1E1E"/>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will be paid in a future period.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December 31, 2023, the total contingent consideration had a fair value of $1.1 million. During the year ended December 31, 2023, the Company recorded an approximate $0.3 million increase to the contingent consideration liability with a corresponding expense recognized in general and administrative expense on our Consolidated Statements of Operations and Comprehensive Loss.</w:t>
      </w:r>
    </w:p>
    <w:p>
      <w:pPr>
        <w:sectPr>
          <w:pgSz w:w="11880" w:h="15480" w:orient="portrait"/>
          <w:cols w:equalWidth="0" w:num="1">
            <w:col w:w="9770"/>
          </w:cols>
          <w:pgMar w:left="1050" w:top="1079"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94</w:t>
      </w:r>
    </w:p>
    <w:p>
      <w:pPr>
        <w:sectPr>
          <w:pgSz w:w="11880" w:h="15480" w:orient="portrait"/>
          <w:cols w:equalWidth="0" w:num="1">
            <w:col w:w="9770"/>
          </w:cols>
          <w:pgMar w:left="1050" w:top="1079" w:right="1060" w:bottom="215" w:gutter="0" w:footer="0" w:header="0"/>
          <w:type w:val="continuous"/>
        </w:sectPr>
      </w:pPr>
    </w:p>
    <w:bookmarkStart w:id="100" w:name="page101"/>
    <w:bookmarkEnd w:id="100"/>
    <w:p>
      <w:pPr>
        <w:ind w:right="240" w:firstLine="601"/>
        <w:spacing w:after="0" w:line="290" w:lineRule="auto"/>
        <w:rPr>
          <w:sz w:val="20"/>
          <w:szCs w:val="20"/>
          <w:color w:val="auto"/>
        </w:rPr>
      </w:pPr>
      <w:r>
        <w:rPr>
          <w:rFonts w:ascii="Times New Roman" w:cs="Times New Roman" w:eastAsia="Times New Roman" w:hAnsi="Times New Roman"/>
          <w:sz w:val="19"/>
          <w:szCs w:val="19"/>
          <w:color w:val="1E1E1E"/>
        </w:rPr>
        <w:t>The following table (in thousands) summarizes the consideration paid for Tridi and the final fair value of the assets acquired and liabilities assumed on the acquisition date: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8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Consideration:</w:t>
            </w:r>
          </w:p>
        </w:tc>
        <w:tc>
          <w:tcPr>
            <w:tcW w:w="66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Cash</w:t>
            </w:r>
          </w:p>
        </w:tc>
        <w:tc>
          <w:tcPr>
            <w:tcW w:w="660" w:type="dxa"/>
            <w:vAlign w:val="bottom"/>
          </w:tcPr>
          <w:p>
            <w:pPr>
              <w:jc w:val="right"/>
              <w:ind w:right="463"/>
              <w:spacing w:after="0"/>
              <w:rPr>
                <w:sz w:val="20"/>
                <w:szCs w:val="20"/>
                <w:color w:val="auto"/>
              </w:rPr>
            </w:pPr>
            <w:r>
              <w:rPr>
                <w:rFonts w:ascii="Times New Roman" w:cs="Times New Roman" w:eastAsia="Times New Roman" w:hAnsi="Times New Roman"/>
                <w:sz w:val="19"/>
                <w:szCs w:val="19"/>
                <w:color w:val="1E1E1E"/>
                <w:w w:val="8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3,824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Settlement of preexisting relationship</w:t>
            </w:r>
          </w:p>
        </w:tc>
        <w:tc>
          <w:tcPr>
            <w:tcW w:w="6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357</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Fair value of contingent consideration</w:t>
            </w:r>
          </w:p>
        </w:tc>
        <w:tc>
          <w:tcPr>
            <w:tcW w:w="6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860</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E4E4E4"/>
          </w:tcPr>
          <w:p>
            <w:pPr>
              <w:ind w:left="180"/>
              <w:spacing w:after="0" w:line="213" w:lineRule="exact"/>
              <w:rPr>
                <w:sz w:val="20"/>
                <w:szCs w:val="20"/>
                <w:color w:val="auto"/>
              </w:rPr>
            </w:pPr>
            <w:r>
              <w:rPr>
                <w:rFonts w:ascii="Times New Roman" w:cs="Times New Roman" w:eastAsia="Times New Roman" w:hAnsi="Times New Roman"/>
                <w:sz w:val="19"/>
                <w:szCs w:val="19"/>
                <w:color w:val="1E1E1E"/>
              </w:rPr>
              <w:t>Fair value of consideration</w:t>
            </w:r>
          </w:p>
        </w:tc>
        <w:tc>
          <w:tcPr>
            <w:tcW w:w="660" w:type="dxa"/>
            <w:vAlign w:val="bottom"/>
            <w:tcBorders>
              <w:bottom w:val="single" w:sz="8" w:color="1E1E1E"/>
            </w:tcBorders>
            <w:shd w:val="clear" w:color="auto" w:fill="E4E4E4"/>
          </w:tcPr>
          <w:p>
            <w:pPr>
              <w:spacing w:after="0"/>
              <w:rPr>
                <w:sz w:val="18"/>
                <w:szCs w:val="18"/>
                <w:color w:val="auto"/>
              </w:rPr>
            </w:pPr>
          </w:p>
        </w:tc>
        <w:tc>
          <w:tcPr>
            <w:tcW w:w="10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5,041</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Recognized amounts of identifiable assets acquired and liabilities assumed:</w:t>
            </w:r>
          </w:p>
        </w:tc>
        <w:tc>
          <w:tcPr>
            <w:tcW w:w="6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0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Current assets</w:t>
            </w:r>
          </w:p>
        </w:tc>
        <w:tc>
          <w:tcPr>
            <w:tcW w:w="6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460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Property and equipment</w:t>
            </w:r>
          </w:p>
        </w:tc>
        <w:tc>
          <w:tcPr>
            <w:tcW w:w="6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Intangible asset</w:t>
            </w:r>
          </w:p>
        </w:tc>
        <w:tc>
          <w:tcPr>
            <w:tcW w:w="66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Current liabilities</w:t>
            </w:r>
          </w:p>
        </w:tc>
        <w:tc>
          <w:tcPr>
            <w:tcW w:w="6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(373)</w:t>
            </w:r>
          </w:p>
        </w:tc>
        <w:tc>
          <w:tcPr>
            <w:tcW w:w="0" w:type="dxa"/>
            <w:vAlign w:val="bottom"/>
          </w:tcPr>
          <w:p>
            <w:pPr>
              <w:spacing w:after="0"/>
              <w:rPr>
                <w:sz w:val="1"/>
                <w:szCs w:val="1"/>
                <w:color w:val="auto"/>
              </w:rPr>
            </w:pPr>
          </w:p>
        </w:tc>
      </w:tr>
      <w:tr>
        <w:trPr>
          <w:trHeight w:val="213"/>
        </w:trPr>
        <w:tc>
          <w:tcPr>
            <w:tcW w:w="8020" w:type="dxa"/>
            <w:vAlign w:val="bottom"/>
            <w:tcBorders>
              <w:top w:val="single" w:sz="8" w:color="E4E4E4"/>
            </w:tcBorders>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identifiable net assets assumed</w:t>
            </w:r>
          </w:p>
        </w:tc>
        <w:tc>
          <w:tcPr>
            <w:tcW w:w="660" w:type="dxa"/>
            <w:vAlign w:val="bottom"/>
            <w:tcBorders>
              <w:top w:val="single" w:sz="8" w:color="1E1E1E"/>
            </w:tcBorders>
            <w:shd w:val="clear" w:color="auto" w:fill="E4E4E4"/>
          </w:tcPr>
          <w:p>
            <w:pPr>
              <w:spacing w:after="0"/>
              <w:rPr>
                <w:sz w:val="18"/>
                <w:szCs w:val="18"/>
                <w:color w:val="auto"/>
              </w:rPr>
            </w:pPr>
          </w:p>
        </w:tc>
        <w:tc>
          <w:tcPr>
            <w:tcW w:w="100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205</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Goodwill</w:t>
            </w:r>
          </w:p>
        </w:tc>
        <w:tc>
          <w:tcPr>
            <w:tcW w:w="660" w:type="dxa"/>
            <w:vAlign w:val="bottom"/>
            <w:tcBorders>
              <w:bottom w:val="single" w:sz="8" w:color="1E1E1E"/>
            </w:tcBorders>
          </w:tcPr>
          <w:p>
            <w:pPr>
              <w:spacing w:after="0"/>
              <w:rPr>
                <w:sz w:val="19"/>
                <w:szCs w:val="19"/>
                <w:color w:val="auto"/>
              </w:rPr>
            </w:pPr>
          </w:p>
        </w:tc>
        <w:tc>
          <w:tcPr>
            <w:tcW w:w="10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4,836</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660" w:type="dxa"/>
            <w:vAlign w:val="bottom"/>
            <w:tcBorders>
              <w:bottom w:val="single" w:sz="8" w:color="1E1E1E"/>
            </w:tcBorders>
            <w:shd w:val="clear" w:color="auto" w:fill="E4E4E4"/>
          </w:tcPr>
          <w:p>
            <w:pPr>
              <w:jc w:val="right"/>
              <w:ind w:right="4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0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5,041</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right="200" w:firstLine="601"/>
        <w:spacing w:after="0" w:line="267" w:lineRule="auto"/>
        <w:rPr>
          <w:sz w:val="20"/>
          <w:szCs w:val="20"/>
          <w:color w:val="auto"/>
        </w:rPr>
      </w:pPr>
      <w:r>
        <w:rPr>
          <w:rFonts w:ascii="Times New Roman" w:cs="Times New Roman" w:eastAsia="Times New Roman" w:hAnsi="Times New Roman"/>
          <w:sz w:val="19"/>
          <w:szCs w:val="19"/>
          <w:color w:val="1E1E1E"/>
        </w:rPr>
        <w:t>The estimated fair value of the intangible asset acquired was determined by the Company. The Company engaged a third-party expert to assist with the valuation analysis. The Company used a cost method to estimate the fair value of the vendor relationship using Level 3 inputs. The useful life of the vendor relationship is 10 years.</w:t>
      </w:r>
    </w:p>
    <w:p>
      <w:pPr>
        <w:spacing w:after="0" w:line="57" w:lineRule="exact"/>
        <w:rPr>
          <w:sz w:val="20"/>
          <w:szCs w:val="20"/>
          <w:color w:val="auto"/>
        </w:rPr>
      </w:pPr>
    </w:p>
    <w:p>
      <w:pPr>
        <w:ind w:right="280" w:firstLine="601"/>
        <w:spacing w:after="0" w:line="267" w:lineRule="auto"/>
        <w:rPr>
          <w:sz w:val="20"/>
          <w:szCs w:val="20"/>
          <w:color w:val="auto"/>
        </w:rPr>
      </w:pPr>
      <w:r>
        <w:rPr>
          <w:rFonts w:ascii="Times New Roman" w:cs="Times New Roman" w:eastAsia="Times New Roman" w:hAnsi="Times New Roman"/>
          <w:sz w:val="19"/>
          <w:szCs w:val="19"/>
          <w:color w:val="1E1E1E"/>
        </w:rPr>
        <w:t>Tridi’s results of operations were included in the Company's consolidated financial statements from the date of acquisition, January 2, 2023. The acquisition of Tridi was not considered material to the Company for the years presented, and therefore, proforma information has not been presented.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Big Blue Saw</w:t>
      </w:r>
    </w:p>
    <w:p>
      <w:pPr>
        <w:spacing w:after="0" w:line="118" w:lineRule="exact"/>
        <w:rPr>
          <w:sz w:val="20"/>
          <w:szCs w:val="20"/>
          <w:color w:val="auto"/>
        </w:rPr>
      </w:pPr>
    </w:p>
    <w:p>
      <w:pPr>
        <w:ind w:firstLine="601"/>
        <w:spacing w:after="0" w:line="249" w:lineRule="auto"/>
        <w:rPr>
          <w:sz w:val="20"/>
          <w:szCs w:val="20"/>
          <w:color w:val="auto"/>
        </w:rPr>
      </w:pPr>
      <w:r>
        <w:rPr>
          <w:rFonts w:ascii="Times New Roman" w:cs="Times New Roman" w:eastAsia="Times New Roman" w:hAnsi="Times New Roman"/>
          <w:sz w:val="19"/>
          <w:szCs w:val="19"/>
          <w:color w:val="1E1E1E"/>
        </w:rPr>
        <w:t>On November 1, 2021, the Company acquired Big Blue Saw LLC ("Big Blue Saw") subject to an Asset Purchase Agreement. The acquisition of Big Blue Saw extended our marketplace capabilities in water jet and laser cutting. The Company accounted for the acquisition as a business combination. The goodwill of $2.1 million arising from the acquisition of Big Blue Saw related to certain expected synergies which includes improved pricing capabilities. This goodwill which is included in our U.S. reporting segment is deductible for tax purposes. The aggregate non-contingent portion of the purchase price was $1.5 million and was paid in cash and Class A common stock on the acquisition date. In addition, the purchase price includes a contingent consideration arrangement to the former owner of Big Blue Saw up to a maximum amount of $1.0 million (undiscounted) in two installments on the first and second anniversary of the acquisition and is based on client conversions. The initial fair value of the contingent consideration of $0.9 million was estimated by applying an income valuation approach. The measurement is based on inputs that are not observable in the market (Level 3 inputs). Key assumptions made include (a) discount rate and (b) probably weighted assumptions about client conversions.</w:t>
      </w:r>
    </w:p>
    <w:p>
      <w:pPr>
        <w:spacing w:after="0" w:line="77" w:lineRule="exact"/>
        <w:rPr>
          <w:sz w:val="20"/>
          <w:szCs w:val="20"/>
          <w:color w:val="auto"/>
        </w:rPr>
      </w:pPr>
    </w:p>
    <w:p>
      <w:pPr>
        <w:ind w:right="20" w:firstLine="601"/>
        <w:spacing w:after="0" w:line="251" w:lineRule="auto"/>
        <w:rPr>
          <w:sz w:val="20"/>
          <w:szCs w:val="20"/>
          <w:color w:val="auto"/>
        </w:rPr>
      </w:pPr>
      <w:r>
        <w:rPr>
          <w:rFonts w:ascii="Times New Roman" w:cs="Times New Roman" w:eastAsia="Times New Roman" w:hAnsi="Times New Roman"/>
          <w:sz w:val="19"/>
          <w:szCs w:val="19"/>
          <w:color w:val="1E1E1E"/>
        </w:rPr>
        <w:t>During the years ended December 31, 2023 and 2022, the Company recorded an approximate $53,000 and $54,000, respectively, increase to the contingent consideration liability with a corresponding expense recognized in general and administrative expense on our Consolidated Statements of Operations and Comprehensive Loss. The Company re-evaluated the fair value of the contingent consideration based on current information available to the Company subsequent to our acquisition using a similar methodology as described above. As of December 31, 2022, the total contingent consideration had a fair value of $0.4 million. In December 2022, the Company paid the first installment payment of $0.5 million to the former owner of Big Blue Saw. In November 2023, the Company paid the second installment payment of approximately $0.5 million to the former owner of Big Blue Saw.</w:t>
      </w:r>
    </w:p>
    <w:p>
      <w:pPr>
        <w:sectPr>
          <w:pgSz w:w="11880" w:h="15480" w:orient="portrait"/>
          <w:cols w:equalWidth="0" w:num="1">
            <w:col w:w="9760"/>
          </w:cols>
          <w:pgMar w:left="106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95</w:t>
      </w:r>
    </w:p>
    <w:p>
      <w:pPr>
        <w:sectPr>
          <w:pgSz w:w="11880" w:h="15480" w:orient="portrait"/>
          <w:cols w:equalWidth="0" w:num="1">
            <w:col w:w="9760"/>
          </w:cols>
          <w:pgMar w:left="1060" w:top="1083" w:right="1060" w:bottom="215" w:gutter="0" w:footer="0" w:header="0"/>
          <w:type w:val="continuous"/>
        </w:sectPr>
      </w:pPr>
    </w:p>
    <w:bookmarkStart w:id="101" w:name="page102"/>
    <w:bookmarkEnd w:id="101"/>
    <w:p>
      <w:pPr>
        <w:ind w:right="40" w:firstLine="601"/>
        <w:spacing w:after="0" w:line="245" w:lineRule="auto"/>
        <w:rPr>
          <w:sz w:val="20"/>
          <w:szCs w:val="20"/>
          <w:color w:val="auto"/>
        </w:rPr>
      </w:pPr>
      <w:r>
        <w:rPr>
          <w:rFonts w:ascii="Times New Roman" w:cs="Times New Roman" w:eastAsia="Times New Roman" w:hAnsi="Times New Roman"/>
          <w:sz w:val="19"/>
          <w:szCs w:val="19"/>
          <w:color w:val="1E1E1E"/>
        </w:rPr>
        <w:t>The following table (in thousands) summarizes the consideration paid for Big Blue Saw and the final fair value of the assets acquired and liabilities assumed on the acquisition date:</w:t>
      </w:r>
    </w:p>
    <w:tbl>
      <w:tblPr>
        <w:tblLayout w:type="fixed"/>
        <w:tblInd w:w="0" w:type="dxa"/>
        <w:tblCellMar>
          <w:top w:w="0" w:type="dxa"/>
          <w:left w:w="0" w:type="dxa"/>
          <w:bottom w:w="0" w:type="dxa"/>
          <w:right w:w="0" w:type="dxa"/>
        </w:tblCellMar>
      </w:tblPr>
      <w:tr>
        <w:trPr>
          <w:trHeight w:val="21"/>
        </w:trPr>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Consideration:</w:t>
            </w:r>
          </w:p>
        </w:tc>
        <w:tc>
          <w:tcPr>
            <w:tcW w:w="40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Cash</w:t>
            </w:r>
          </w:p>
        </w:tc>
        <w:tc>
          <w:tcPr>
            <w:tcW w:w="10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Fair value of Class A common stock</w:t>
            </w:r>
          </w:p>
        </w:tc>
        <w:tc>
          <w:tcPr>
            <w:tcW w:w="40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250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Fair value of contingent consideration</w:t>
            </w:r>
          </w:p>
        </w:tc>
        <w:tc>
          <w:tcPr>
            <w:tcW w:w="400" w:type="dxa"/>
            <w:vAlign w:val="bottom"/>
            <w:tcBorders>
              <w:bottom w:val="single" w:sz="8" w:color="E4E4E4"/>
            </w:tcBorders>
          </w:tcPr>
          <w:p>
            <w:pPr>
              <w:spacing w:after="0"/>
              <w:rPr>
                <w:sz w:val="19"/>
                <w:szCs w:val="19"/>
                <w:color w:val="auto"/>
              </w:rPr>
            </w:pPr>
          </w:p>
        </w:tc>
        <w:tc>
          <w:tcPr>
            <w:tcW w:w="62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859</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E4E4E4"/>
          </w:tcPr>
          <w:p>
            <w:pPr>
              <w:ind w:left="180"/>
              <w:spacing w:after="0" w:line="213" w:lineRule="exact"/>
              <w:rPr>
                <w:sz w:val="20"/>
                <w:szCs w:val="20"/>
                <w:color w:val="auto"/>
              </w:rPr>
            </w:pPr>
            <w:r>
              <w:rPr>
                <w:rFonts w:ascii="Times New Roman" w:cs="Times New Roman" w:eastAsia="Times New Roman" w:hAnsi="Times New Roman"/>
                <w:sz w:val="19"/>
                <w:szCs w:val="19"/>
                <w:color w:val="1E1E1E"/>
              </w:rPr>
              <w:t>Fair value of consideration</w:t>
            </w:r>
          </w:p>
        </w:tc>
        <w:tc>
          <w:tcPr>
            <w:tcW w:w="400" w:type="dxa"/>
            <w:vAlign w:val="bottom"/>
            <w:shd w:val="clear" w:color="auto" w:fill="E4E4E4"/>
          </w:tcPr>
          <w:p>
            <w:pPr>
              <w:spacing w:after="0"/>
              <w:rPr>
                <w:sz w:val="18"/>
                <w:szCs w:val="18"/>
                <w:color w:val="auto"/>
              </w:rPr>
            </w:pPr>
          </w:p>
        </w:tc>
        <w:tc>
          <w:tcPr>
            <w:tcW w:w="620" w:type="dxa"/>
            <w:vAlign w:val="bottom"/>
            <w:tcBorders>
              <w:bottom w:val="single" w:sz="8" w:color="1E1E1E"/>
            </w:tcBorders>
            <w:shd w:val="clear" w:color="auto" w:fill="E4E4E4"/>
          </w:tcPr>
          <w:p>
            <w:pPr>
              <w:spacing w:after="0"/>
              <w:rPr>
                <w:sz w:val="18"/>
                <w:szCs w:val="18"/>
                <w:color w:val="auto"/>
              </w:rPr>
            </w:pPr>
          </w:p>
        </w:tc>
        <w:tc>
          <w:tcPr>
            <w:tcW w:w="96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2,310</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Acquisition cost included in general and administrative for the year ended December 31, 2021</w:t>
            </w:r>
          </w:p>
        </w:tc>
        <w:tc>
          <w:tcPr>
            <w:tcW w:w="400" w:type="dxa"/>
            <w:vAlign w:val="bottom"/>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0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line="207" w:lineRule="exact"/>
              <w:rPr>
                <w:sz w:val="20"/>
                <w:szCs w:val="20"/>
                <w:color w:val="auto"/>
              </w:rPr>
            </w:pPr>
            <w:r>
              <w:rPr>
                <w:rFonts w:ascii="Times New Roman" w:cs="Times New Roman" w:eastAsia="Times New Roman" w:hAnsi="Times New Roman"/>
                <w:sz w:val="19"/>
                <w:szCs w:val="19"/>
                <w:color w:val="1E1E1E"/>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Recognized amounts of identifiable assets acquired and liabilities assumed:</w:t>
            </w:r>
          </w:p>
        </w:tc>
        <w:tc>
          <w:tcPr>
            <w:tcW w:w="40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96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Current assets</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Property and equipment</w:t>
            </w:r>
          </w:p>
        </w:tc>
        <w:tc>
          <w:tcPr>
            <w:tcW w:w="40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9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206</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Right-of-use asset</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Lease liability</w:t>
            </w:r>
          </w:p>
        </w:tc>
        <w:tc>
          <w:tcPr>
            <w:tcW w:w="400" w:type="dxa"/>
            <w:vAlign w:val="bottom"/>
            <w:shd w:val="clear" w:color="auto" w:fill="E4E4E4"/>
          </w:tcPr>
          <w:p>
            <w:pPr>
              <w:spacing w:after="0"/>
              <w:rPr>
                <w:sz w:val="19"/>
                <w:szCs w:val="19"/>
                <w:color w:val="auto"/>
              </w:rPr>
            </w:pPr>
          </w:p>
        </w:tc>
        <w:tc>
          <w:tcPr>
            <w:tcW w:w="620" w:type="dxa"/>
            <w:vAlign w:val="bottom"/>
            <w:shd w:val="clear" w:color="auto" w:fill="E4E4E4"/>
          </w:tcPr>
          <w:p>
            <w:pPr>
              <w:spacing w:after="0"/>
              <w:rPr>
                <w:sz w:val="19"/>
                <w:szCs w:val="19"/>
                <w:color w:val="auto"/>
              </w:rPr>
            </w:pPr>
          </w:p>
        </w:tc>
        <w:tc>
          <w:tcPr>
            <w:tcW w:w="10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(105)</w:t>
            </w:r>
          </w:p>
        </w:tc>
        <w:tc>
          <w:tcPr>
            <w:tcW w:w="0" w:type="dxa"/>
            <w:vAlign w:val="bottom"/>
          </w:tcPr>
          <w:p>
            <w:pPr>
              <w:spacing w:after="0"/>
              <w:rPr>
                <w:sz w:val="1"/>
                <w:szCs w:val="1"/>
                <w:color w:val="auto"/>
              </w:rPr>
            </w:pPr>
          </w:p>
        </w:tc>
      </w:tr>
      <w:tr>
        <w:trPr>
          <w:trHeight w:val="223"/>
        </w:trPr>
        <w:tc>
          <w:tcPr>
            <w:tcW w:w="77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Current liabilities</w:t>
            </w: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(109)</w:t>
            </w:r>
          </w:p>
        </w:tc>
        <w:tc>
          <w:tcPr>
            <w:tcW w:w="0" w:type="dxa"/>
            <w:vAlign w:val="bottom"/>
          </w:tcPr>
          <w:p>
            <w:pPr>
              <w:spacing w:after="0"/>
              <w:rPr>
                <w:sz w:val="1"/>
                <w:szCs w:val="1"/>
                <w:color w:val="auto"/>
              </w:rPr>
            </w:pPr>
          </w:p>
        </w:tc>
      </w:tr>
      <w:tr>
        <w:trPr>
          <w:trHeight w:val="213"/>
        </w:trPr>
        <w:tc>
          <w:tcPr>
            <w:tcW w:w="7700" w:type="dxa"/>
            <w:vAlign w:val="bottom"/>
            <w:tcBorders>
              <w:top w:val="single" w:sz="8" w:color="E4E4E4"/>
            </w:tcBorders>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identifiable net assets assumed</w:t>
            </w:r>
          </w:p>
        </w:tc>
        <w:tc>
          <w:tcPr>
            <w:tcW w:w="400" w:type="dxa"/>
            <w:vAlign w:val="bottom"/>
            <w:tcBorders>
              <w:top w:val="single" w:sz="8" w:color="E4E4E4"/>
            </w:tcBorders>
            <w:shd w:val="clear" w:color="auto" w:fill="E4E4E4"/>
          </w:tcPr>
          <w:p>
            <w:pPr>
              <w:spacing w:after="0"/>
              <w:rPr>
                <w:sz w:val="18"/>
                <w:szCs w:val="18"/>
                <w:color w:val="auto"/>
              </w:rPr>
            </w:pPr>
          </w:p>
        </w:tc>
        <w:tc>
          <w:tcPr>
            <w:tcW w:w="620" w:type="dxa"/>
            <w:vAlign w:val="bottom"/>
            <w:tcBorders>
              <w:top w:val="single" w:sz="8" w:color="1E1E1E"/>
            </w:tcBorders>
            <w:shd w:val="clear" w:color="auto" w:fill="E4E4E4"/>
          </w:tcPr>
          <w:p>
            <w:pPr>
              <w:spacing w:after="0"/>
              <w:rPr>
                <w:sz w:val="18"/>
                <w:szCs w:val="18"/>
                <w:color w:val="auto"/>
              </w:rPr>
            </w:pPr>
          </w:p>
        </w:tc>
        <w:tc>
          <w:tcPr>
            <w:tcW w:w="9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222</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Goodwill</w:t>
            </w:r>
          </w:p>
        </w:tc>
        <w:tc>
          <w:tcPr>
            <w:tcW w:w="400" w:type="dxa"/>
            <w:vAlign w:val="bottom"/>
            <w:tcBorders>
              <w:bottom w:val="single" w:sz="8" w:color="E4E4E4"/>
            </w:tcBorders>
          </w:tcPr>
          <w:p>
            <w:pPr>
              <w:spacing w:after="0"/>
              <w:rPr>
                <w:sz w:val="19"/>
                <w:szCs w:val="19"/>
                <w:color w:val="auto"/>
              </w:rPr>
            </w:pPr>
          </w:p>
        </w:tc>
        <w:tc>
          <w:tcPr>
            <w:tcW w:w="620" w:type="dxa"/>
            <w:vAlign w:val="bottom"/>
            <w:tcBorders>
              <w:bottom w:val="single" w:sz="8" w:color="1E1E1E"/>
            </w:tcBorders>
          </w:tcPr>
          <w:p>
            <w:pPr>
              <w:spacing w:after="0"/>
              <w:rPr>
                <w:sz w:val="19"/>
                <w:szCs w:val="19"/>
                <w:color w:val="auto"/>
              </w:rPr>
            </w:pPr>
          </w:p>
        </w:tc>
        <w:tc>
          <w:tcPr>
            <w:tcW w:w="96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2,088</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00" w:type="dxa"/>
            <w:vAlign w:val="bottom"/>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400" w:type="dxa"/>
            <w:vAlign w:val="bottom"/>
            <w:shd w:val="clear" w:color="auto" w:fill="E4E4E4"/>
          </w:tcPr>
          <w:p>
            <w:pPr>
              <w:spacing w:after="0"/>
              <w:rPr>
                <w:sz w:val="18"/>
                <w:szCs w:val="18"/>
                <w:color w:val="auto"/>
              </w:rPr>
            </w:pPr>
          </w:p>
        </w:tc>
        <w:tc>
          <w:tcPr>
            <w:tcW w:w="620" w:type="dxa"/>
            <w:vAlign w:val="bottom"/>
            <w:tcBorders>
              <w:bottom w:val="single" w:sz="8" w:color="1E1E1E"/>
            </w:tcBorders>
            <w:shd w:val="clear" w:color="auto" w:fill="E4E4E4"/>
          </w:tcPr>
          <w:p>
            <w:pPr>
              <w:jc w:val="right"/>
              <w:ind w:right="4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6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2,310</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FactoryFour</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On November 5, 2021, the Company acquired FactoryFour subject to an Asset Purchase Agreement. FactoryFour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provides SaaS based solution to help manufacturers in the Xometry marketplace improve lead times and make strong, data-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driven decisions through real-time production tracking. The Company accounted for the acquisition as a business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combination. The goodwill of $5.0 million arising from the acquisition of FactoryFour related to certain expected synergies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which includes our ability to offer a wider range of products to sellers on our platform. This goodwill which is included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our U.S. reporting segment is deductible for tax purposes. The aggregate non-contingent portion of the purchase price was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$3.3 million and was paid in cash and Class A common stock on the acquisition date. In addition, the purchase price includes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a contingent consideration arrangement to the former owners of FactoryFour up to a maximum amount of $2.5 million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(undiscounted) in three installments on the first, second and third anniversary of the acquisition and is based on gross total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orders. The initial fair value of the contingent consideration of $1.5 million was estimated by applying an option pricing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model. The measurement is based on inputs that are not observable in the market (Level 3 inputs). Key assumptions made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include (a) discount rate, (b) time to expiration, (c) stock price, (d) hurdle rate, (e) risk free rate, (f) volatility, (g) dividend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rate and (f) assumptions about gross total orders.</w:t>
      </w:r>
    </w:p>
    <w:p>
      <w:pPr>
        <w:spacing w:after="0" w:line="121" w:lineRule="exact"/>
        <w:rPr>
          <w:sz w:val="20"/>
          <w:szCs w:val="20"/>
          <w:color w:val="auto"/>
        </w:rPr>
      </w:pPr>
    </w:p>
    <w:p>
      <w:pPr>
        <w:ind w:right="60" w:firstLine="601"/>
        <w:spacing w:after="0" w:line="250" w:lineRule="auto"/>
        <w:rPr>
          <w:sz w:val="20"/>
          <w:szCs w:val="20"/>
          <w:color w:val="auto"/>
        </w:rPr>
      </w:pPr>
      <w:r>
        <w:rPr>
          <w:rFonts w:ascii="Times New Roman" w:cs="Times New Roman" w:eastAsia="Times New Roman" w:hAnsi="Times New Roman"/>
          <w:sz w:val="19"/>
          <w:szCs w:val="19"/>
          <w:color w:val="1E1E1E"/>
        </w:rPr>
        <w:t>During the years ended December 31, 2023 and 2022, the Company recorded an approximate $0.3 million and $0.8 million, respectively, increase to the contingent consideration liability with a corresponding expense recognized in general and administrative expense on our Consolidated Statement of Operations and Comprehensive Loss. The Company re-evaluated the fair value of the contingent consideration based on current information available to the Company subsequent to our acquisition. To estimate the current fair value, we applied an income valuation approach. The measurement is based on inputs that are not observable in the market (Level 3 inputs). Key assumptions made include (a) discount rate and (b) probability weighted assumptions about gross total orders. As of December 31, 2023 and 2022, the total contingent consideration had a fair value of $1.0 million and $1.5 million, respectively. In December 2022, the Company paid the first installment payment of $0.8 million to the former owners of FactoryFour. In November 2023, the Company paid the second installment payment of $0.8 million to the former owners of FactoryFour.</w:t>
      </w:r>
    </w:p>
    <w:p>
      <w:pPr>
        <w:sectPr>
          <w:pgSz w:w="11880" w:h="15480" w:orient="portrait"/>
          <w:cols w:equalWidth="0" w:num="1">
            <w:col w:w="9760"/>
          </w:cols>
          <w:pgMar w:left="106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96</w:t>
      </w:r>
    </w:p>
    <w:p>
      <w:pPr>
        <w:sectPr>
          <w:pgSz w:w="11880" w:h="15480" w:orient="portrait"/>
          <w:cols w:equalWidth="0" w:num="1">
            <w:col w:w="9760"/>
          </w:cols>
          <w:pgMar w:left="1060" w:top="1083" w:right="1060" w:bottom="215" w:gutter="0" w:footer="0" w:header="0"/>
          <w:type w:val="continuous"/>
        </w:sectPr>
      </w:pPr>
    </w:p>
    <w:bookmarkStart w:id="102" w:name="page103"/>
    <w:bookmarkEnd w:id="102"/>
    <w:p>
      <w:pPr>
        <w:ind w:left="600"/>
        <w:spacing w:after="0"/>
        <w:rPr>
          <w:sz w:val="20"/>
          <w:szCs w:val="20"/>
          <w:color w:val="auto"/>
        </w:rPr>
      </w:pPr>
      <w:r>
        <w:rPr>
          <w:rFonts w:ascii="Times New Roman" w:cs="Times New Roman" w:eastAsia="Times New Roman" w:hAnsi="Times New Roman"/>
          <w:sz w:val="19"/>
          <w:szCs w:val="19"/>
          <w:color w:val="1E1E1E"/>
        </w:rPr>
        <w:t>The following table (in thousands) summarizes the consideration paid for FactoryFour and the fair value of the assets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acquired and liabilities assumed on the acquisition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033770" cy="165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3770" cy="165735"/>
                    </a:xfrm>
                    <a:prstGeom prst="rect">
                      <a:avLst/>
                    </a:prstGeom>
                    <a:noFill/>
                  </pic:spPr>
                </pic:pic>
              </a:graphicData>
            </a:graphic>
          </wp:anchor>
        </w:drawing>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7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8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Cash</w:t>
            </w:r>
          </w:p>
        </w:tc>
        <w:tc>
          <w:tcPr>
            <w:tcW w:w="60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1E1E1E"/>
                <w:w w:val="8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2,167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Fair value of Class A common stock</w:t>
            </w:r>
          </w:p>
        </w:tc>
        <w:tc>
          <w:tcPr>
            <w:tcW w:w="600" w:type="dxa"/>
            <w:vAlign w:val="bottom"/>
            <w:shd w:val="clear" w:color="auto" w:fill="E4E4E4"/>
          </w:tcPr>
          <w:p>
            <w:pPr>
              <w:spacing w:after="0"/>
              <w:rPr>
                <w:sz w:val="22"/>
                <w:szCs w:val="22"/>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1,139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Fair value of contingent consideration</w:t>
            </w:r>
          </w:p>
        </w:tc>
        <w:tc>
          <w:tcPr>
            <w:tcW w:w="6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1,470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800" w:type="dxa"/>
            <w:vAlign w:val="bottom"/>
            <w:tcBorders>
              <w:top w:val="single" w:sz="8" w:color="E4E4E4"/>
            </w:tcBorders>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Fair value of consideration</w:t>
            </w:r>
          </w:p>
        </w:tc>
        <w:tc>
          <w:tcPr>
            <w:tcW w:w="600" w:type="dxa"/>
            <w:vAlign w:val="bottom"/>
            <w:tcBorders>
              <w:top w:val="single" w:sz="8" w:color="1E1E1E"/>
              <w:bottom w:val="single" w:sz="8" w:color="1E1E1E"/>
            </w:tcBorders>
            <w:shd w:val="clear" w:color="auto" w:fill="E4E4E4"/>
          </w:tcPr>
          <w:p>
            <w:pPr>
              <w:spacing w:after="0"/>
              <w:rPr>
                <w:sz w:val="21"/>
                <w:szCs w:val="21"/>
                <w:color w:val="auto"/>
              </w:rPr>
            </w:pPr>
          </w:p>
        </w:tc>
        <w:tc>
          <w:tcPr>
            <w:tcW w:w="1000" w:type="dxa"/>
            <w:vAlign w:val="bottom"/>
            <w:tcBorders>
              <w:top w:val="single" w:sz="8" w:color="1E1E1E"/>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4,776</w:t>
            </w:r>
          </w:p>
        </w:tc>
        <w:tc>
          <w:tcPr>
            <w:tcW w:w="100" w:type="dxa"/>
            <w:vAlign w:val="bottom"/>
            <w:tcBorders>
              <w:top w:val="single" w:sz="8" w:color="E4E4E4"/>
            </w:tcBorders>
            <w:shd w:val="clear" w:color="auto" w:fill="E4E4E4"/>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Acquisition costs included in general and administrative for the year ended December 31, 2021</w:t>
            </w:r>
          </w:p>
        </w:tc>
        <w:tc>
          <w:tcPr>
            <w:tcW w:w="6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8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Recognized amounts of identifiable assets acquired and liabilities assumed:</w:t>
            </w:r>
          </w:p>
        </w:tc>
        <w:tc>
          <w:tcPr>
            <w:tcW w:w="600" w:type="dxa"/>
            <w:vAlign w:val="bottom"/>
            <w:shd w:val="clear" w:color="auto" w:fill="E4E4E4"/>
          </w:tcPr>
          <w:p>
            <w:pPr>
              <w:spacing w:after="0"/>
              <w:rPr>
                <w:sz w:val="22"/>
                <w:szCs w:val="22"/>
                <w:color w:val="auto"/>
              </w:rPr>
            </w:pPr>
          </w:p>
        </w:tc>
        <w:tc>
          <w:tcPr>
            <w:tcW w:w="1000" w:type="dxa"/>
            <w:vAlign w:val="bottom"/>
            <w:shd w:val="clear" w:color="auto" w:fill="E4E4E4"/>
          </w:tcPr>
          <w:p>
            <w:pPr>
              <w:spacing w:after="0"/>
              <w:rPr>
                <w:sz w:val="22"/>
                <w:szCs w:val="22"/>
                <w:color w:val="auto"/>
              </w:rPr>
            </w:pPr>
          </w:p>
        </w:tc>
        <w:tc>
          <w:tcPr>
            <w:tcW w:w="100" w:type="dxa"/>
            <w:vAlign w:val="bottom"/>
            <w:shd w:val="clear" w:color="auto" w:fill="E4E4E4"/>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Current assets</w:t>
            </w:r>
          </w:p>
        </w:tc>
        <w:tc>
          <w:tcPr>
            <w:tcW w:w="60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234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Property and equipment</w:t>
            </w:r>
          </w:p>
        </w:tc>
        <w:tc>
          <w:tcPr>
            <w:tcW w:w="600" w:type="dxa"/>
            <w:vAlign w:val="bottom"/>
            <w:shd w:val="clear" w:color="auto" w:fill="E4E4E4"/>
          </w:tcPr>
          <w:p>
            <w:pPr>
              <w:spacing w:after="0"/>
              <w:rPr>
                <w:sz w:val="22"/>
                <w:szCs w:val="22"/>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28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1E1E1E"/>
                <w:w w:val="85"/>
              </w:rPr>
              <w:t>(1)</w:t>
            </w:r>
          </w:p>
        </w:tc>
        <w:tc>
          <w:tcPr>
            <w:tcW w:w="0" w:type="dxa"/>
            <w:vAlign w:val="bottom"/>
          </w:tcPr>
          <w:p>
            <w:pPr>
              <w:spacing w:after="0"/>
              <w:rPr>
                <w:sz w:val="1"/>
                <w:szCs w:val="1"/>
                <w:color w:val="auto"/>
              </w:rPr>
            </w:pPr>
          </w:p>
        </w:tc>
      </w:tr>
      <w:tr>
        <w:trPr>
          <w:trHeight w:val="245"/>
        </w:trPr>
        <w:tc>
          <w:tcPr>
            <w:tcW w:w="78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Intangible asset - developed technology</w:t>
            </w: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140</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Right-of-use asset</w:t>
            </w:r>
          </w:p>
        </w:tc>
        <w:tc>
          <w:tcPr>
            <w:tcW w:w="600" w:type="dxa"/>
            <w:vAlign w:val="bottom"/>
            <w:shd w:val="clear" w:color="auto" w:fill="E4E4E4"/>
          </w:tcPr>
          <w:p>
            <w:pPr>
              <w:spacing w:after="0"/>
              <w:rPr>
                <w:sz w:val="22"/>
                <w:szCs w:val="22"/>
                <w:color w:val="auto"/>
              </w:rPr>
            </w:pPr>
          </w:p>
        </w:tc>
        <w:tc>
          <w:tcPr>
            <w:tcW w:w="110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1,044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Lease liability</w:t>
            </w:r>
          </w:p>
        </w:tc>
        <w:tc>
          <w:tcPr>
            <w:tcW w:w="60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(1,044)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Current liabilities</w:t>
            </w:r>
          </w:p>
        </w:tc>
        <w:tc>
          <w:tcPr>
            <w:tcW w:w="600" w:type="dxa"/>
            <w:vAlign w:val="bottom"/>
            <w:shd w:val="clear" w:color="auto" w:fill="E4E4E4"/>
          </w:tcPr>
          <w:p>
            <w:pPr>
              <w:spacing w:after="0"/>
              <w:rPr>
                <w:sz w:val="22"/>
                <w:szCs w:val="22"/>
                <w:color w:val="auto"/>
              </w:rPr>
            </w:pPr>
          </w:p>
        </w:tc>
        <w:tc>
          <w:tcPr>
            <w:tcW w:w="110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(658)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1E1E1E"/>
              </w:rPr>
              <w:t>Total identifiable net assets assumed</w:t>
            </w:r>
          </w:p>
        </w:tc>
        <w:tc>
          <w:tcPr>
            <w:tcW w:w="600" w:type="dxa"/>
            <w:vAlign w:val="bottom"/>
            <w:shd w:val="clear" w:color="auto" w:fill="1E1E1E"/>
          </w:tcPr>
          <w:p>
            <w:pPr>
              <w:spacing w:after="0" w:line="20" w:lineRule="exact"/>
              <w:rPr>
                <w:sz w:val="1"/>
                <w:szCs w:val="1"/>
                <w:color w:val="auto"/>
              </w:rPr>
            </w:pPr>
          </w:p>
        </w:tc>
        <w:tc>
          <w:tcPr>
            <w:tcW w:w="1000" w:type="dxa"/>
            <w:vAlign w:val="bottom"/>
            <w:shd w:val="clear" w:color="auto" w:fill="1E1E1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vMerge w:val="continue"/>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(256)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80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Goodwill</w:t>
            </w:r>
          </w:p>
        </w:tc>
        <w:tc>
          <w:tcPr>
            <w:tcW w:w="600" w:type="dxa"/>
            <w:vAlign w:val="bottom"/>
            <w:tcBorders>
              <w:bottom w:val="single" w:sz="8" w:color="1E1E1E"/>
            </w:tcBorders>
            <w:shd w:val="clear" w:color="auto" w:fill="E4E4E4"/>
          </w:tcPr>
          <w:p>
            <w:pPr>
              <w:spacing w:after="0"/>
              <w:rPr>
                <w:sz w:val="22"/>
                <w:szCs w:val="22"/>
                <w:color w:val="auto"/>
              </w:rPr>
            </w:pPr>
          </w:p>
        </w:tc>
        <w:tc>
          <w:tcPr>
            <w:tcW w:w="10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5,032</w:t>
            </w:r>
          </w:p>
        </w:tc>
        <w:tc>
          <w:tcPr>
            <w:tcW w:w="100" w:type="dxa"/>
            <w:vAlign w:val="bottom"/>
            <w:shd w:val="clear" w:color="auto" w:fill="E4E4E4"/>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78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Total</w:t>
            </w:r>
          </w:p>
        </w:tc>
        <w:tc>
          <w:tcPr>
            <w:tcW w:w="60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1E1E1E"/>
                <w:w w:val="83"/>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4,776</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-9525</wp:posOffset>
            </wp:positionV>
            <wp:extent cx="101219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12190" cy="952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6"/>
          <w:szCs w:val="16"/>
          <w:color w:val="1E1E1E"/>
        </w:rPr>
        <w:t>(1) The useful life of the acquired developed technology is 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4953000</wp:posOffset>
            </wp:positionH>
            <wp:positionV relativeFrom="paragraph">
              <wp:posOffset>-114935</wp:posOffset>
            </wp:positionV>
            <wp:extent cx="101219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12190" cy="9525"/>
                    </a:xfrm>
                    <a:prstGeom prst="rect">
                      <a:avLst/>
                    </a:prstGeom>
                    <a:noFill/>
                  </pic:spPr>
                </pic:pic>
              </a:graphicData>
            </a:graphic>
          </wp:anchor>
        </w:drawing>
      </w:r>
    </w:p>
    <w:p>
      <w:pPr>
        <w:spacing w:after="0" w:line="194" w:lineRule="exact"/>
        <w:rPr>
          <w:sz w:val="20"/>
          <w:szCs w:val="20"/>
          <w:color w:val="auto"/>
        </w:rPr>
      </w:pPr>
    </w:p>
    <w:p>
      <w:pPr>
        <w:ind w:right="220" w:firstLine="601"/>
        <w:spacing w:after="0" w:line="290" w:lineRule="auto"/>
        <w:rPr>
          <w:sz w:val="20"/>
          <w:szCs w:val="20"/>
          <w:color w:val="auto"/>
        </w:rPr>
      </w:pPr>
      <w:r>
        <w:rPr>
          <w:rFonts w:ascii="Times New Roman" w:cs="Times New Roman" w:eastAsia="Times New Roman" w:hAnsi="Times New Roman"/>
          <w:sz w:val="19"/>
          <w:szCs w:val="19"/>
          <w:color w:val="1E1E1E"/>
        </w:rPr>
        <w:t>The acquisitions of Big Blue Saw and FactoryFour were not considered material individually or in the aggregate to the Company for the periods presented, and therefore, proforma information has not been presented.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1E1E1E"/>
        </w:rPr>
        <w:t>Thomas</w:t>
      </w:r>
    </w:p>
    <w:p>
      <w:pPr>
        <w:spacing w:after="0" w:line="118" w:lineRule="exact"/>
        <w:rPr>
          <w:sz w:val="20"/>
          <w:szCs w:val="20"/>
          <w:color w:val="auto"/>
        </w:rPr>
      </w:pPr>
    </w:p>
    <w:p>
      <w:pPr>
        <w:ind w:firstLine="601"/>
        <w:spacing w:after="0" w:line="252" w:lineRule="auto"/>
        <w:rPr>
          <w:sz w:val="20"/>
          <w:szCs w:val="20"/>
          <w:color w:val="auto"/>
        </w:rPr>
      </w:pPr>
      <w:r>
        <w:rPr>
          <w:rFonts w:ascii="Times New Roman" w:cs="Times New Roman" w:eastAsia="Times New Roman" w:hAnsi="Times New Roman"/>
          <w:sz w:val="19"/>
          <w:szCs w:val="19"/>
          <w:color w:val="1E1E1E"/>
        </w:rPr>
        <w:t>On December 9, 2021, the Company acquired Thomas subject to an Agreement and Plan of Merger. Xometry leverages Thomas’ marketing and data services to deliver a suite of end-to-end services for suppliers with additional financial services and digital marketing products. The Company accounted for the acquisition as a business combination. The goodwill of $250.1 million arising from the acquisition of Thomas related to certain expected synergies which includes growing buyers and suppliers, expanding into new categories and enhancing supplier services. This goodwill, which is included in our U.S. reporting segment, is not deductible for tax purposes. The aggregate non-contingent portion of the purchase price was approximately $275.8 million and was paid in cash and Class A common stock on the acquisition date.</w:t>
      </w:r>
    </w:p>
    <w:p>
      <w:pPr>
        <w:spacing w:after="0" w:line="150" w:lineRule="exact"/>
        <w:rPr>
          <w:sz w:val="20"/>
          <w:szCs w:val="20"/>
          <w:color w:val="auto"/>
        </w:rPr>
      </w:pPr>
    </w:p>
    <w:p>
      <w:pPr>
        <w:ind w:right="20" w:firstLine="601"/>
        <w:spacing w:after="0" w:line="256" w:lineRule="auto"/>
        <w:rPr>
          <w:sz w:val="20"/>
          <w:szCs w:val="20"/>
          <w:color w:val="auto"/>
        </w:rPr>
      </w:pPr>
      <w:r>
        <w:rPr>
          <w:rFonts w:ascii="Times New Roman" w:cs="Times New Roman" w:eastAsia="Times New Roman" w:hAnsi="Times New Roman"/>
          <w:sz w:val="19"/>
          <w:szCs w:val="19"/>
          <w:color w:val="1E1E1E"/>
        </w:rPr>
        <w:t>During the year ended December 31, 2022, the Company recognized measurement period adjustments primarily related to certain other assets, lease intangibles and tax liabilities which resulted in additional goodwill of approximately $3.9 million. The Company also recognized within current assets $4.8 million of indemnity receivables from the Thomas seller which was recovered by the Company in 2023. A portion of the deferred tax liability of $0.6 million which was recognized on the acquisition date was subsequently recognized into income during the year ended December 31, 2022.</w:t>
      </w:r>
    </w:p>
    <w:p>
      <w:pPr>
        <w:sectPr>
          <w:pgSz w:w="11880" w:h="15480" w:orient="portrait"/>
          <w:cols w:equalWidth="0" w:num="1">
            <w:col w:w="9740"/>
          </w:cols>
          <w:pgMar w:left="1060" w:top="1083" w:right="108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1E1E1E"/>
        </w:rPr>
        <w:t>97</w:t>
      </w:r>
    </w:p>
    <w:p>
      <w:pPr>
        <w:sectPr>
          <w:pgSz w:w="11880" w:h="15480" w:orient="portrait"/>
          <w:cols w:equalWidth="0" w:num="1">
            <w:col w:w="9740"/>
          </w:cols>
          <w:pgMar w:left="1060" w:top="1083" w:right="1080" w:bottom="215" w:gutter="0" w:footer="0" w:header="0"/>
          <w:type w:val="continuous"/>
        </w:sectPr>
      </w:pPr>
    </w:p>
    <w:bookmarkStart w:id="103" w:name="page104"/>
    <w:bookmarkEnd w:id="103"/>
    <w:p>
      <w:pPr>
        <w:ind w:left="600"/>
        <w:spacing w:after="0"/>
        <w:rPr>
          <w:sz w:val="20"/>
          <w:szCs w:val="20"/>
          <w:color w:val="auto"/>
        </w:rPr>
      </w:pPr>
      <w:r>
        <w:rPr>
          <w:rFonts w:ascii="Times New Roman" w:cs="Times New Roman" w:eastAsia="Times New Roman" w:hAnsi="Times New Roman"/>
          <w:sz w:val="19"/>
          <w:szCs w:val="19"/>
          <w:color w:val="1E1E1E"/>
        </w:rPr>
        <w:t>The following table (in thousands) summarizes the consideration paid for Thomas and the final fair value of the assets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acquired and liabilities assumed on the acquisition date: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Consideration:</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Cash</w:t>
            </w:r>
          </w:p>
        </w:tc>
        <w:tc>
          <w:tcPr>
            <w:tcW w:w="880" w:type="dxa"/>
            <w:vAlign w:val="bottom"/>
            <w:gridSpan w:val="2"/>
            <w:shd w:val="clear" w:color="auto" w:fill="E4E4E4"/>
          </w:tcPr>
          <w:p>
            <w:pPr>
              <w:jc w:val="right"/>
              <w:ind w:right="503"/>
              <w:spacing w:after="0"/>
              <w:rPr>
                <w:sz w:val="20"/>
                <w:szCs w:val="20"/>
                <w:color w:val="auto"/>
              </w:rPr>
            </w:pPr>
            <w:r>
              <w:rPr>
                <w:rFonts w:ascii="Times New Roman" w:cs="Times New Roman" w:eastAsia="Times New Roman" w:hAnsi="Times New Roman"/>
                <w:sz w:val="19"/>
                <w:szCs w:val="19"/>
                <w:color w:val="1E1E1E"/>
              </w:rPr>
              <w:t>$</w:t>
            </w: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174,320</w:t>
            </w:r>
          </w:p>
        </w:tc>
        <w:tc>
          <w:tcPr>
            <w:tcW w:w="80" w:type="dxa"/>
            <w:vAlign w:val="bottom"/>
            <w:shd w:val="clear" w:color="auto" w:fill="E4E4E4"/>
          </w:tcPr>
          <w:p>
            <w:pPr>
              <w:spacing w:after="0"/>
              <w:rPr>
                <w:sz w:val="19"/>
                <w:szCs w:val="19"/>
                <w:color w:val="auto"/>
              </w:rPr>
            </w:pPr>
          </w:p>
        </w:tc>
      </w:tr>
      <w:tr>
        <w:trPr>
          <w:trHeight w:val="223"/>
        </w:trPr>
        <w:tc>
          <w:tcPr>
            <w:tcW w:w="756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Fair value of Class A common stock</w:t>
            </w:r>
          </w:p>
        </w:tc>
        <w:tc>
          <w:tcPr>
            <w:tcW w:w="180" w:type="dxa"/>
            <w:vAlign w:val="bottom"/>
            <w:tcBorders>
              <w:bottom w:val="single" w:sz="8" w:color="E4E4E4"/>
            </w:tcBorders>
          </w:tcPr>
          <w:p>
            <w:pPr>
              <w:spacing w:after="0"/>
              <w:rPr>
                <w:sz w:val="19"/>
                <w:szCs w:val="19"/>
                <w:color w:val="auto"/>
              </w:rPr>
            </w:pPr>
          </w:p>
        </w:tc>
        <w:tc>
          <w:tcPr>
            <w:tcW w:w="7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101,499</w:t>
            </w:r>
          </w:p>
        </w:tc>
        <w:tc>
          <w:tcPr>
            <w:tcW w:w="80" w:type="dxa"/>
            <w:vAlign w:val="bottom"/>
            <w:tcBorders>
              <w:bottom w:val="single" w:sz="8" w:color="E4E4E4"/>
            </w:tcBorders>
          </w:tcPr>
          <w:p>
            <w:pPr>
              <w:spacing w:after="0"/>
              <w:rPr>
                <w:sz w:val="19"/>
                <w:szCs w:val="19"/>
                <w:color w:val="auto"/>
              </w:rPr>
            </w:pPr>
          </w:p>
        </w:tc>
      </w:tr>
      <w:tr>
        <w:trPr>
          <w:trHeight w:val="213"/>
        </w:trPr>
        <w:tc>
          <w:tcPr>
            <w:tcW w:w="7560" w:type="dxa"/>
            <w:vAlign w:val="bottom"/>
            <w:shd w:val="clear" w:color="auto" w:fill="E4E4E4"/>
          </w:tcPr>
          <w:p>
            <w:pPr>
              <w:ind w:left="180"/>
              <w:spacing w:after="0" w:line="213" w:lineRule="exact"/>
              <w:rPr>
                <w:sz w:val="20"/>
                <w:szCs w:val="20"/>
                <w:color w:val="auto"/>
              </w:rPr>
            </w:pPr>
            <w:r>
              <w:rPr>
                <w:rFonts w:ascii="Times New Roman" w:cs="Times New Roman" w:eastAsia="Times New Roman" w:hAnsi="Times New Roman"/>
                <w:sz w:val="19"/>
                <w:szCs w:val="19"/>
                <w:color w:val="1E1E1E"/>
              </w:rPr>
              <w:t>Fair value of consideration</w:t>
            </w:r>
          </w:p>
        </w:tc>
        <w:tc>
          <w:tcPr>
            <w:tcW w:w="180" w:type="dxa"/>
            <w:vAlign w:val="bottom"/>
            <w:shd w:val="clear" w:color="auto" w:fill="E4E4E4"/>
          </w:tcPr>
          <w:p>
            <w:pPr>
              <w:spacing w:after="0"/>
              <w:rPr>
                <w:sz w:val="18"/>
                <w:szCs w:val="18"/>
                <w:color w:val="auto"/>
              </w:rPr>
            </w:pPr>
          </w:p>
        </w:tc>
        <w:tc>
          <w:tcPr>
            <w:tcW w:w="700" w:type="dxa"/>
            <w:vAlign w:val="bottom"/>
            <w:tcBorders>
              <w:bottom w:val="single" w:sz="8" w:color="1E1E1E"/>
            </w:tcBorders>
            <w:shd w:val="clear" w:color="auto" w:fill="E4E4E4"/>
          </w:tcPr>
          <w:p>
            <w:pPr>
              <w:spacing w:after="0"/>
              <w:rPr>
                <w:sz w:val="18"/>
                <w:szCs w:val="18"/>
                <w:color w:val="auto"/>
              </w:rPr>
            </w:pPr>
          </w:p>
        </w:tc>
        <w:tc>
          <w:tcPr>
            <w:tcW w:w="124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275,819</w:t>
            </w:r>
          </w:p>
        </w:tc>
        <w:tc>
          <w:tcPr>
            <w:tcW w:w="80" w:type="dxa"/>
            <w:vAlign w:val="bottom"/>
            <w:shd w:val="clear" w:color="auto" w:fill="E4E4E4"/>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0"/>
        </w:trPr>
        <w:tc>
          <w:tcPr>
            <w:tcW w:w="7560" w:type="dxa"/>
            <w:vAlign w:val="bottom"/>
          </w:tcPr>
          <w:p>
            <w:pPr>
              <w:spacing w:after="0"/>
              <w:rPr>
                <w:sz w:val="20"/>
                <w:szCs w:val="20"/>
                <w:color w:val="auto"/>
              </w:rPr>
            </w:pPr>
            <w:r>
              <w:rPr>
                <w:rFonts w:ascii="Times New Roman" w:cs="Times New Roman" w:eastAsia="Times New Roman" w:hAnsi="Times New Roman"/>
                <w:sz w:val="19"/>
                <w:szCs w:val="19"/>
                <w:color w:val="1E1E1E"/>
              </w:rPr>
              <w:t>Acquisition costs included in general and administrative for the year ended December 31, 2021</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5,661</w:t>
            </w:r>
          </w:p>
        </w:tc>
        <w:tc>
          <w:tcPr>
            <w:tcW w:w="80" w:type="dxa"/>
            <w:vAlign w:val="bottom"/>
          </w:tcPr>
          <w:p>
            <w:pPr>
              <w:spacing w:after="0"/>
              <w:rPr>
                <w:sz w:val="24"/>
                <w:szCs w:val="24"/>
                <w:color w:val="auto"/>
              </w:rPr>
            </w:pPr>
          </w:p>
        </w:tc>
      </w:tr>
      <w:tr>
        <w:trPr>
          <w:trHeight w:val="223"/>
        </w:trPr>
        <w:tc>
          <w:tcPr>
            <w:tcW w:w="75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Recognized amounts of identifiable assets acquired and liabilities assumed:</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2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Current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16,411</w:t>
            </w:r>
          </w:p>
        </w:tc>
        <w:tc>
          <w:tcPr>
            <w:tcW w:w="80" w:type="dxa"/>
            <w:vAlign w:val="bottom"/>
          </w:tcPr>
          <w:p>
            <w:pPr>
              <w:spacing w:after="0"/>
              <w:rPr>
                <w:sz w:val="19"/>
                <w:szCs w:val="19"/>
                <w:color w:val="auto"/>
              </w:rPr>
            </w:pP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Property and equipment</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890</w:t>
            </w:r>
          </w:p>
        </w:tc>
        <w:tc>
          <w:tcPr>
            <w:tcW w:w="80" w:type="dxa"/>
            <w:vAlign w:val="bottom"/>
            <w:shd w:val="clear" w:color="auto" w:fill="E4E4E4"/>
          </w:tcPr>
          <w:p>
            <w:pPr>
              <w:spacing w:after="0"/>
              <w:rPr>
                <w:sz w:val="19"/>
                <w:szCs w:val="19"/>
                <w:color w:val="auto"/>
              </w:rPr>
            </w:pP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Intangible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41,844</w:t>
            </w:r>
          </w:p>
        </w:tc>
        <w:tc>
          <w:tcPr>
            <w:tcW w:w="80" w:type="dxa"/>
            <w:vAlign w:val="bottom"/>
          </w:tcPr>
          <w:p>
            <w:pPr>
              <w:spacing w:after="0"/>
              <w:rPr>
                <w:sz w:val="19"/>
                <w:szCs w:val="19"/>
                <w:color w:val="auto"/>
              </w:rPr>
            </w:pP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Right-of-use assets</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24,130</w:t>
            </w:r>
          </w:p>
        </w:tc>
        <w:tc>
          <w:tcPr>
            <w:tcW w:w="80" w:type="dxa"/>
            <w:vAlign w:val="bottom"/>
            <w:shd w:val="clear" w:color="auto" w:fill="E4E4E4"/>
          </w:tcPr>
          <w:p>
            <w:pPr>
              <w:spacing w:after="0"/>
              <w:rPr>
                <w:sz w:val="19"/>
                <w:szCs w:val="19"/>
                <w:color w:val="auto"/>
              </w:rPr>
            </w:pP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Other long-term assets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44</w:t>
            </w:r>
          </w:p>
        </w:tc>
        <w:tc>
          <w:tcPr>
            <w:tcW w:w="80" w:type="dxa"/>
            <w:vAlign w:val="bottom"/>
          </w:tcPr>
          <w:p>
            <w:pPr>
              <w:spacing w:after="0"/>
              <w:rPr>
                <w:sz w:val="19"/>
                <w:szCs w:val="19"/>
                <w:color w:val="auto"/>
              </w:rPr>
            </w:pP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Investment in unconsolidated joint venture</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2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4,156</w:t>
            </w:r>
          </w:p>
        </w:tc>
        <w:tc>
          <w:tcPr>
            <w:tcW w:w="80" w:type="dxa"/>
            <w:vAlign w:val="bottom"/>
            <w:shd w:val="clear" w:color="auto" w:fill="E4E4E4"/>
          </w:tcPr>
          <w:p>
            <w:pPr>
              <w:spacing w:after="0"/>
              <w:rPr>
                <w:sz w:val="19"/>
                <w:szCs w:val="19"/>
                <w:color w:val="auto"/>
              </w:rPr>
            </w:pP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Lease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(18,690)</w:t>
            </w: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Deferred tax liability</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(1,083)</w:t>
            </w: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Income taxes payable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(3,343)</w:t>
            </w: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Other long-term liabilities</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(281)</w:t>
            </w: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Contract liabilities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(6,745)</w:t>
            </w:r>
          </w:p>
        </w:tc>
      </w:tr>
      <w:tr>
        <w:trPr>
          <w:trHeight w:val="223"/>
        </w:trPr>
        <w:tc>
          <w:tcPr>
            <w:tcW w:w="75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Current liabilities</w:t>
            </w:r>
          </w:p>
        </w:tc>
        <w:tc>
          <w:tcPr>
            <w:tcW w:w="180" w:type="dxa"/>
            <w:vAlign w:val="bottom"/>
            <w:shd w:val="clear" w:color="auto" w:fill="E4E4E4"/>
          </w:tcPr>
          <w:p>
            <w:pPr>
              <w:spacing w:after="0"/>
              <w:rPr>
                <w:sz w:val="19"/>
                <w:szCs w:val="19"/>
                <w:color w:val="auto"/>
              </w:rPr>
            </w:pPr>
          </w:p>
        </w:tc>
        <w:tc>
          <w:tcPr>
            <w:tcW w:w="700" w:type="dxa"/>
            <w:vAlign w:val="bottom"/>
            <w:shd w:val="clear" w:color="auto" w:fill="E4E4E4"/>
          </w:tcPr>
          <w:p>
            <w:pPr>
              <w:spacing w:after="0"/>
              <w:rPr>
                <w:sz w:val="19"/>
                <w:szCs w:val="19"/>
                <w:color w:val="auto"/>
              </w:rPr>
            </w:pPr>
          </w:p>
        </w:tc>
        <w:tc>
          <w:tcPr>
            <w:tcW w:w="13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(30,580)</w:t>
            </w: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Noncontrolling interest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(1,036)</w:t>
            </w:r>
          </w:p>
        </w:tc>
      </w:tr>
      <w:tr>
        <w:trPr>
          <w:trHeight w:val="213"/>
        </w:trPr>
        <w:tc>
          <w:tcPr>
            <w:tcW w:w="7560" w:type="dxa"/>
            <w:vAlign w:val="bottom"/>
            <w:tcBorders>
              <w:top w:val="single" w:sz="8" w:color="E4E4E4"/>
            </w:tcBorders>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 identifiable net assets assumed</w:t>
            </w:r>
          </w:p>
        </w:tc>
        <w:tc>
          <w:tcPr>
            <w:tcW w:w="180" w:type="dxa"/>
            <w:vAlign w:val="bottom"/>
            <w:tcBorders>
              <w:top w:val="single" w:sz="8" w:color="E4E4E4"/>
            </w:tcBorders>
            <w:shd w:val="clear" w:color="auto" w:fill="E4E4E4"/>
          </w:tcPr>
          <w:p>
            <w:pPr>
              <w:spacing w:after="0"/>
              <w:rPr>
                <w:sz w:val="18"/>
                <w:szCs w:val="18"/>
                <w:color w:val="auto"/>
              </w:rPr>
            </w:pPr>
          </w:p>
        </w:tc>
        <w:tc>
          <w:tcPr>
            <w:tcW w:w="700" w:type="dxa"/>
            <w:vAlign w:val="bottom"/>
            <w:tcBorders>
              <w:top w:val="single" w:sz="8" w:color="1E1E1E"/>
            </w:tcBorders>
            <w:shd w:val="clear" w:color="auto" w:fill="E4E4E4"/>
          </w:tcPr>
          <w:p>
            <w:pPr>
              <w:spacing w:after="0"/>
              <w:rPr>
                <w:sz w:val="18"/>
                <w:szCs w:val="18"/>
                <w:color w:val="auto"/>
              </w:rPr>
            </w:pPr>
          </w:p>
        </w:tc>
        <w:tc>
          <w:tcPr>
            <w:tcW w:w="12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25,717</w:t>
            </w:r>
          </w:p>
        </w:tc>
        <w:tc>
          <w:tcPr>
            <w:tcW w:w="80" w:type="dxa"/>
            <w:vAlign w:val="bottom"/>
            <w:tcBorders>
              <w:top w:val="single" w:sz="8" w:color="E4E4E4"/>
            </w:tcBorders>
            <w:shd w:val="clear" w:color="auto" w:fill="E4E4E4"/>
          </w:tcPr>
          <w:p>
            <w:pPr>
              <w:spacing w:after="0"/>
              <w:rPr>
                <w:sz w:val="18"/>
                <w:szCs w:val="18"/>
                <w:color w:val="auto"/>
              </w:rPr>
            </w:pPr>
          </w:p>
        </w:tc>
      </w:tr>
      <w:tr>
        <w:trPr>
          <w:trHeight w:val="223"/>
        </w:trPr>
        <w:tc>
          <w:tcPr>
            <w:tcW w:w="7560" w:type="dxa"/>
            <w:vAlign w:val="bottom"/>
            <w:tcBorders>
              <w:bottom w:val="single" w:sz="8" w:color="E4E4E4"/>
            </w:tcBorders>
          </w:tcPr>
          <w:p>
            <w:pPr>
              <w:ind w:left="180"/>
              <w:spacing w:after="0"/>
              <w:rPr>
                <w:sz w:val="20"/>
                <w:szCs w:val="20"/>
                <w:color w:val="auto"/>
              </w:rPr>
            </w:pPr>
            <w:r>
              <w:rPr>
                <w:rFonts w:ascii="Times New Roman" w:cs="Times New Roman" w:eastAsia="Times New Roman" w:hAnsi="Times New Roman"/>
                <w:sz w:val="19"/>
                <w:szCs w:val="19"/>
                <w:color w:val="1E1E1E"/>
              </w:rPr>
              <w:t>Goodwill</w:t>
            </w:r>
          </w:p>
        </w:tc>
        <w:tc>
          <w:tcPr>
            <w:tcW w:w="180" w:type="dxa"/>
            <w:vAlign w:val="bottom"/>
            <w:tcBorders>
              <w:bottom w:val="single" w:sz="8" w:color="E4E4E4"/>
            </w:tcBorders>
          </w:tcPr>
          <w:p>
            <w:pPr>
              <w:spacing w:after="0"/>
              <w:rPr>
                <w:sz w:val="19"/>
                <w:szCs w:val="19"/>
                <w:color w:val="auto"/>
              </w:rPr>
            </w:pPr>
          </w:p>
        </w:tc>
        <w:tc>
          <w:tcPr>
            <w:tcW w:w="700" w:type="dxa"/>
            <w:vAlign w:val="bottom"/>
            <w:tcBorders>
              <w:bottom w:val="single" w:sz="8" w:color="1E1E1E"/>
            </w:tcBorders>
          </w:tcPr>
          <w:p>
            <w:pPr>
              <w:spacing w:after="0"/>
              <w:rPr>
                <w:sz w:val="19"/>
                <w:szCs w:val="19"/>
                <w:color w:val="auto"/>
              </w:rPr>
            </w:pPr>
          </w:p>
        </w:tc>
        <w:tc>
          <w:tcPr>
            <w:tcW w:w="12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250,102</w:t>
            </w:r>
          </w:p>
        </w:tc>
        <w:tc>
          <w:tcPr>
            <w:tcW w:w="80" w:type="dxa"/>
            <w:vAlign w:val="bottom"/>
            <w:tcBorders>
              <w:bottom w:val="single" w:sz="8" w:color="E4E4E4"/>
            </w:tcBorders>
          </w:tcPr>
          <w:p>
            <w:pPr>
              <w:spacing w:after="0"/>
              <w:rPr>
                <w:sz w:val="19"/>
                <w:szCs w:val="19"/>
                <w:color w:val="auto"/>
              </w:rPr>
            </w:pPr>
          </w:p>
        </w:tc>
      </w:tr>
      <w:tr>
        <w:trPr>
          <w:trHeight w:val="233"/>
        </w:trPr>
        <w:tc>
          <w:tcPr>
            <w:tcW w:w="7560" w:type="dxa"/>
            <w:vAlign w:val="bottom"/>
            <w:tcBorders>
              <w:bottom w:val="single" w:sz="8" w:color="E4E4E4"/>
            </w:tcBorders>
            <w:shd w:val="clear" w:color="auto" w:fill="E4E4E4"/>
          </w:tcPr>
          <w:p>
            <w:pPr>
              <w:ind w:left="380"/>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1E1E1E"/>
            </w:tcBorders>
            <w:shd w:val="clear" w:color="auto" w:fill="E4E4E4"/>
          </w:tcPr>
          <w:p>
            <w:pPr>
              <w:jc w:val="right"/>
              <w:ind w:right="5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24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275,819</w:t>
            </w:r>
          </w:p>
        </w:tc>
        <w:tc>
          <w:tcPr>
            <w:tcW w:w="80" w:type="dxa"/>
            <w:vAlign w:val="bottom"/>
            <w:tcBorders>
              <w:bottom w:val="single" w:sz="8" w:color="E4E4E4"/>
            </w:tcBorders>
            <w:shd w:val="clear" w:color="auto" w:fill="E4E4E4"/>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following table (in thousands) summarizes the fair value of the identifiable intangible 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rPr>
              <w:t>Estimated</w:t>
            </w:r>
          </w:p>
        </w:tc>
      </w:tr>
      <w:tr>
        <w:trPr>
          <w:trHeight w:val="247"/>
        </w:trPr>
        <w:tc>
          <w:tcPr>
            <w:tcW w:w="6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9"/>
                <w:szCs w:val="19"/>
                <w:b w:val="1"/>
                <w:bCs w:val="1"/>
                <w:color w:val="1E1E1E"/>
              </w:rPr>
              <w:t>Total</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1E1E1E"/>
              </w:rPr>
              <w:t>life</w:t>
            </w:r>
          </w:p>
        </w:tc>
      </w:tr>
      <w:tr>
        <w:trPr>
          <w:trHeight w:val="213"/>
        </w:trPr>
        <w:tc>
          <w:tcPr>
            <w:tcW w:w="6960" w:type="dxa"/>
            <w:vAlign w:val="bottom"/>
            <w:tcBorders>
              <w:top w:val="single" w:sz="8" w:color="E4E4E4"/>
            </w:tcBorders>
            <w:shd w:val="clear" w:color="auto" w:fill="E4E4E4"/>
          </w:tcPr>
          <w:p>
            <w:pPr>
              <w:ind w:left="180"/>
              <w:spacing w:after="0" w:line="213" w:lineRule="exact"/>
              <w:rPr>
                <w:sz w:val="20"/>
                <w:szCs w:val="20"/>
                <w:color w:val="auto"/>
              </w:rPr>
            </w:pPr>
            <w:r>
              <w:rPr>
                <w:rFonts w:ascii="Times New Roman" w:cs="Times New Roman" w:eastAsia="Times New Roman" w:hAnsi="Times New Roman"/>
                <w:sz w:val="19"/>
                <w:szCs w:val="19"/>
                <w:color w:val="1E1E1E"/>
              </w:rPr>
              <w:t>Customer relationships</w:t>
            </w:r>
          </w:p>
        </w:tc>
        <w:tc>
          <w:tcPr>
            <w:tcW w:w="16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280" w:type="dxa"/>
            <w:vAlign w:val="bottom"/>
            <w:tcBorders>
              <w:top w:val="single" w:sz="8" w:color="1E1E1E"/>
            </w:tcBorders>
            <w:shd w:val="clear" w:color="auto" w:fill="E4E4E4"/>
          </w:tcPr>
          <w:p>
            <w:pPr>
              <w:jc w:val="right"/>
              <w:ind w:right="114"/>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36,600</w:t>
            </w:r>
          </w:p>
        </w:tc>
        <w:tc>
          <w:tcPr>
            <w:tcW w:w="20" w:type="dxa"/>
            <w:vAlign w:val="bottom"/>
            <w:tcBorders>
              <w:top w:val="single" w:sz="8" w:color="E4E4E4"/>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1080" w:type="dxa"/>
            <w:vAlign w:val="bottom"/>
            <w:tcBorders>
              <w:top w:val="single" w:sz="8" w:color="1E1E1E"/>
            </w:tcBorders>
            <w:shd w:val="clear" w:color="auto" w:fill="E4E4E4"/>
          </w:tcPr>
          <w:p>
            <w:pPr>
              <w:jc w:val="center"/>
              <w:spacing w:after="0" w:line="213" w:lineRule="exact"/>
              <w:rPr>
                <w:sz w:val="20"/>
                <w:szCs w:val="20"/>
                <w:color w:val="auto"/>
              </w:rPr>
            </w:pPr>
            <w:r>
              <w:rPr>
                <w:rFonts w:ascii="Times New Roman" w:cs="Times New Roman" w:eastAsia="Times New Roman" w:hAnsi="Times New Roman"/>
                <w:sz w:val="19"/>
                <w:szCs w:val="19"/>
                <w:color w:val="1E1E1E"/>
              </w:rPr>
              <w:t>15</w:t>
            </w:r>
          </w:p>
        </w:tc>
      </w:tr>
      <w:tr>
        <w:trPr>
          <w:trHeight w:val="223"/>
        </w:trPr>
        <w:tc>
          <w:tcPr>
            <w:tcW w:w="69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Database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83"/>
              </w:rPr>
              <w:t>5</w:t>
            </w:r>
          </w:p>
        </w:tc>
      </w:tr>
      <w:tr>
        <w:trPr>
          <w:trHeight w:val="223"/>
        </w:trPr>
        <w:tc>
          <w:tcPr>
            <w:tcW w:w="69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Trade name</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800</w:t>
            </w:r>
          </w:p>
        </w:tc>
        <w:tc>
          <w:tcPr>
            <w:tcW w:w="80" w:type="dxa"/>
            <w:vAlign w:val="bottom"/>
            <w:shd w:val="clear" w:color="auto" w:fill="E4E4E4"/>
          </w:tcPr>
          <w:p>
            <w:pPr>
              <w:spacing w:after="0"/>
              <w:rPr>
                <w:sz w:val="19"/>
                <w:szCs w:val="19"/>
                <w:color w:val="auto"/>
              </w:rPr>
            </w:pP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9"/>
                <w:szCs w:val="19"/>
                <w:color w:val="1E1E1E"/>
              </w:rPr>
              <w:t>10</w:t>
            </w:r>
          </w:p>
        </w:tc>
      </w:tr>
      <w:tr>
        <w:trPr>
          <w:trHeight w:val="223"/>
        </w:trPr>
        <w:tc>
          <w:tcPr>
            <w:tcW w:w="696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Developed technology</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600</w:t>
            </w:r>
          </w:p>
        </w:tc>
        <w:tc>
          <w:tcPr>
            <w:tcW w:w="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1E1E1E"/>
                <w:w w:val="83"/>
              </w:rPr>
              <w:t>5</w:t>
            </w:r>
          </w:p>
        </w:tc>
      </w:tr>
      <w:tr>
        <w:trPr>
          <w:trHeight w:val="223"/>
        </w:trPr>
        <w:tc>
          <w:tcPr>
            <w:tcW w:w="696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Lease intangible assets</w:t>
            </w:r>
          </w:p>
        </w:tc>
        <w:tc>
          <w:tcPr>
            <w:tcW w:w="16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11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1,444</w:t>
            </w:r>
          </w:p>
        </w:tc>
        <w:tc>
          <w:tcPr>
            <w:tcW w:w="80" w:type="dxa"/>
            <w:vAlign w:val="bottom"/>
            <w:shd w:val="clear" w:color="auto" w:fill="E4E4E4"/>
          </w:tcPr>
          <w:p>
            <w:pPr>
              <w:spacing w:after="0"/>
              <w:rPr>
                <w:sz w:val="19"/>
                <w:szCs w:val="19"/>
                <w:color w:val="auto"/>
              </w:rPr>
            </w:pPr>
          </w:p>
        </w:tc>
        <w:tc>
          <w:tcPr>
            <w:tcW w:w="1080" w:type="dxa"/>
            <w:vAlign w:val="bottom"/>
            <w:shd w:val="clear" w:color="auto" w:fill="E4E4E4"/>
          </w:tcPr>
          <w:p>
            <w:pPr>
              <w:jc w:val="center"/>
              <w:spacing w:after="0"/>
              <w:rPr>
                <w:sz w:val="20"/>
                <w:szCs w:val="20"/>
                <w:color w:val="auto"/>
              </w:rPr>
            </w:pPr>
            <w:r>
              <w:rPr>
                <w:rFonts w:ascii="Times New Roman" w:cs="Times New Roman" w:eastAsia="Times New Roman" w:hAnsi="Times New Roman"/>
                <w:sz w:val="19"/>
                <w:szCs w:val="19"/>
                <w:color w:val="1E1E1E"/>
                <w:w w:val="83"/>
              </w:rPr>
              <w:t>4</w:t>
            </w:r>
          </w:p>
        </w:tc>
      </w:tr>
      <w:tr>
        <w:trPr>
          <w:trHeight w:val="213"/>
        </w:trPr>
        <w:tc>
          <w:tcPr>
            <w:tcW w:w="69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1E1E1E"/>
              </w:rPr>
              <w:t>Total intangible assets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1E1E1E"/>
              <w:bottom w:val="single" w:sz="8" w:color="1E1E1E"/>
            </w:tcBorders>
          </w:tcPr>
          <w:p>
            <w:pPr>
              <w:jc w:val="right"/>
              <w:ind w:right="114"/>
              <w:spacing w:after="0"/>
              <w:rPr>
                <w:sz w:val="20"/>
                <w:szCs w:val="20"/>
                <w:color w:val="auto"/>
              </w:rPr>
            </w:pPr>
            <w:r>
              <w:rPr>
                <w:rFonts w:ascii="Times New Roman" w:cs="Times New Roman" w:eastAsia="Times New Roman" w:hAnsi="Times New Roman"/>
                <w:sz w:val="17"/>
                <w:szCs w:val="17"/>
                <w:color w:val="1E1E1E"/>
                <w:w w:val="70"/>
              </w:rPr>
              <w:t>$</w:t>
            </w:r>
          </w:p>
        </w:tc>
        <w:tc>
          <w:tcPr>
            <w:tcW w:w="11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41,844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01"/>
        <w:spacing w:after="0" w:line="254" w:lineRule="auto"/>
        <w:rPr>
          <w:sz w:val="20"/>
          <w:szCs w:val="20"/>
          <w:color w:val="auto"/>
        </w:rPr>
      </w:pPr>
      <w:r>
        <w:rPr>
          <w:rFonts w:ascii="Times New Roman" w:cs="Times New Roman" w:eastAsia="Times New Roman" w:hAnsi="Times New Roman"/>
          <w:sz w:val="19"/>
          <w:szCs w:val="19"/>
          <w:color w:val="1E1E1E"/>
        </w:rPr>
        <w:t>The estimated fair value of the intangible assets acquired was determined by the Company. The Company engaged a third-party expert to assist with the valuation analysis. The Company used a relief from royalty method to estimate the fair values of the developed technology, database and tradename and a multi-period excess earnings method to estimate the fair value of the customer relationships. To estimate the fair value of the lease intangible assets the Company used a discounted cash flow analysis. To measure the fair value of the noncontrolling interest, the Company used a market approach which considered historical revenues of the investee and market multiples (Level 3 inputs).</w:t>
      </w:r>
    </w:p>
    <w:p>
      <w:pPr>
        <w:spacing w:after="0" w:line="175" w:lineRule="exact"/>
        <w:rPr>
          <w:sz w:val="20"/>
          <w:szCs w:val="20"/>
          <w:color w:val="auto"/>
        </w:rPr>
      </w:pPr>
    </w:p>
    <w:p>
      <w:pPr>
        <w:ind w:right="400" w:firstLine="601"/>
        <w:spacing w:after="0" w:line="290" w:lineRule="auto"/>
        <w:rPr>
          <w:sz w:val="20"/>
          <w:szCs w:val="20"/>
          <w:color w:val="auto"/>
        </w:rPr>
      </w:pPr>
      <w:r>
        <w:rPr>
          <w:rFonts w:ascii="Times New Roman" w:cs="Times New Roman" w:eastAsia="Times New Roman" w:hAnsi="Times New Roman"/>
          <w:sz w:val="19"/>
          <w:szCs w:val="19"/>
          <w:color w:val="1E1E1E"/>
        </w:rPr>
        <w:t>Thomas’ results of operations were included in the Company's consolidated financial statements from the date of acquisition, December 9, 2021.</w:t>
      </w:r>
    </w:p>
    <w:p>
      <w:pPr>
        <w:spacing w:after="0" w:line="141" w:lineRule="exact"/>
        <w:rPr>
          <w:sz w:val="20"/>
          <w:szCs w:val="20"/>
          <w:color w:val="auto"/>
        </w:rPr>
      </w:pPr>
    </w:p>
    <w:p>
      <w:pPr>
        <w:ind w:right="120" w:firstLine="601"/>
        <w:spacing w:after="0" w:line="267" w:lineRule="auto"/>
        <w:rPr>
          <w:sz w:val="20"/>
          <w:szCs w:val="20"/>
          <w:color w:val="auto"/>
        </w:rPr>
      </w:pPr>
      <w:r>
        <w:rPr>
          <w:rFonts w:ascii="Times New Roman" w:cs="Times New Roman" w:eastAsia="Times New Roman" w:hAnsi="Times New Roman"/>
          <w:sz w:val="19"/>
          <w:szCs w:val="19"/>
          <w:color w:val="1E1E1E"/>
        </w:rPr>
        <w:t>The following unaudited pro forma condensed combined financial information gives effect to the acquisition of Thomas as if it was consummated on January 1, 2020 (the beginning of the comparable prior reporting period), and includes pro forma adjustments related to the amortization of acquired intangible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1E1E1E"/>
        </w:rPr>
        <w:t>Specifically, the following adjustments were made:</w:t>
      </w:r>
    </w:p>
    <w:p>
      <w:pPr>
        <w:spacing w:after="0" w:line="135" w:lineRule="exact"/>
        <w:rPr>
          <w:sz w:val="20"/>
          <w:szCs w:val="20"/>
          <w:color w:val="auto"/>
        </w:rPr>
      </w:pPr>
    </w:p>
    <w:p>
      <w:pPr>
        <w:ind w:left="940" w:right="220" w:hanging="475"/>
        <w:spacing w:after="0" w:line="289" w:lineRule="auto"/>
        <w:tabs>
          <w:tab w:leader="none" w:pos="940" w:val="left"/>
        </w:tabs>
        <w:numPr>
          <w:ilvl w:val="0"/>
          <w:numId w:val="72"/>
        </w:numPr>
        <w:rPr>
          <w:rFonts w:ascii="Arial" w:cs="Arial" w:eastAsia="Arial" w:hAnsi="Arial"/>
          <w:sz w:val="19"/>
          <w:szCs w:val="19"/>
          <w:color w:val="1E1E1E"/>
        </w:rPr>
      </w:pPr>
      <w:r>
        <w:rPr>
          <w:rFonts w:ascii="Times New Roman" w:cs="Times New Roman" w:eastAsia="Times New Roman" w:hAnsi="Times New Roman"/>
          <w:sz w:val="19"/>
          <w:szCs w:val="19"/>
          <w:color w:val="1E1E1E"/>
        </w:rPr>
        <w:t>For the year ended December 31, 2021, the Company's direct and incremental transaction costs of $5.7 million are excluded from the pro forma condensed combined net loss.</w:t>
      </w:r>
    </w:p>
    <w:p>
      <w:pPr>
        <w:spacing w:after="0" w:line="142" w:lineRule="exact"/>
        <w:rPr>
          <w:sz w:val="20"/>
          <w:szCs w:val="20"/>
          <w:color w:val="auto"/>
        </w:rPr>
      </w:pPr>
    </w:p>
    <w:p>
      <w:pPr>
        <w:ind w:right="220" w:firstLine="601"/>
        <w:spacing w:after="0" w:line="290" w:lineRule="auto"/>
        <w:rPr>
          <w:sz w:val="20"/>
          <w:szCs w:val="20"/>
          <w:color w:val="auto"/>
        </w:rPr>
      </w:pPr>
      <w:r>
        <w:rPr>
          <w:rFonts w:ascii="Times New Roman" w:cs="Times New Roman" w:eastAsia="Times New Roman" w:hAnsi="Times New Roman"/>
          <w:sz w:val="19"/>
          <w:szCs w:val="19"/>
          <w:color w:val="1E1E1E"/>
        </w:rPr>
        <w:t>This unaudited data is presented for informational purposes only and is not intended to represent or be indicative of the results of operations that would have been reported had the acquisition occurred on January 1, 2020. It should not be</w:t>
      </w:r>
    </w:p>
    <w:p>
      <w:pPr>
        <w:sectPr>
          <w:pgSz w:w="11880" w:h="15480" w:orient="portrait"/>
          <w:cols w:equalWidth="0" w:num="1">
            <w:col w:w="9760"/>
          </w:cols>
          <w:pgMar w:left="1060" w:top="1083" w:right="1060" w:bottom="215" w:gutter="0" w:footer="0" w:header="0"/>
        </w:sect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98</w:t>
      </w:r>
    </w:p>
    <w:p>
      <w:pPr>
        <w:sectPr>
          <w:pgSz w:w="11880" w:h="15480" w:orient="portrait"/>
          <w:cols w:equalWidth="0" w:num="1">
            <w:col w:w="9760"/>
          </w:cols>
          <w:pgMar w:left="1060" w:top="1083" w:right="1060" w:bottom="215" w:gutter="0" w:footer="0" w:header="0"/>
          <w:type w:val="continuous"/>
        </w:sectPr>
      </w:pPr>
    </w:p>
    <w:bookmarkStart w:id="104" w:name="page105"/>
    <w:bookmarkEnd w:id="104"/>
    <w:p>
      <w:pPr>
        <w:ind w:left="10" w:right="180"/>
        <w:spacing w:after="0" w:line="290" w:lineRule="auto"/>
        <w:rPr>
          <w:sz w:val="20"/>
          <w:szCs w:val="20"/>
          <w:color w:val="auto"/>
        </w:rPr>
      </w:pPr>
      <w:r>
        <w:rPr>
          <w:rFonts w:ascii="Times New Roman" w:cs="Times New Roman" w:eastAsia="Times New Roman" w:hAnsi="Times New Roman"/>
          <w:sz w:val="19"/>
          <w:szCs w:val="19"/>
          <w:color w:val="1E1E1E"/>
        </w:rPr>
        <w:t>taken as representative of future results of operations of the combined company. The following table presents the unaudited pro forma condensed combined financial information:</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7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b w:val="1"/>
                <w:bCs w:val="1"/>
                <w:color w:val="1E1E1E"/>
              </w:rPr>
              <w:t>For the Year Ended</w:t>
            </w:r>
          </w:p>
        </w:tc>
      </w:tr>
      <w:tr>
        <w:trPr>
          <w:trHeight w:val="247"/>
        </w:trPr>
        <w:tc>
          <w:tcPr>
            <w:tcW w:w="7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20" w:type="dxa"/>
            <w:vAlign w:val="bottom"/>
            <w:gridSpan w:val="2"/>
          </w:tcPr>
          <w:p>
            <w:pPr>
              <w:jc w:val="center"/>
              <w:ind w:right="380"/>
              <w:spacing w:after="0"/>
              <w:rPr>
                <w:sz w:val="20"/>
                <w:szCs w:val="20"/>
                <w:color w:val="auto"/>
              </w:rPr>
            </w:pPr>
            <w:r>
              <w:rPr>
                <w:rFonts w:ascii="Times New Roman" w:cs="Times New Roman" w:eastAsia="Times New Roman" w:hAnsi="Times New Roman"/>
                <w:sz w:val="19"/>
                <w:szCs w:val="19"/>
                <w:b w:val="1"/>
                <w:bCs w:val="1"/>
                <w:color w:val="1E1E1E"/>
              </w:rPr>
              <w:t>December 31,</w:t>
            </w:r>
          </w:p>
        </w:tc>
      </w:tr>
      <w:tr>
        <w:trPr>
          <w:trHeight w:val="213"/>
        </w:trPr>
        <w:tc>
          <w:tcPr>
            <w:tcW w:w="7040" w:type="dxa"/>
            <w:vAlign w:val="bottom"/>
          </w:tcPr>
          <w:p>
            <w:pPr>
              <w:spacing w:after="0"/>
              <w:rPr>
                <w:sz w:val="18"/>
                <w:szCs w:val="18"/>
                <w:color w:val="auto"/>
              </w:rPr>
            </w:pPr>
          </w:p>
        </w:tc>
        <w:tc>
          <w:tcPr>
            <w:tcW w:w="300" w:type="dxa"/>
            <w:vAlign w:val="bottom"/>
            <w:tcBorders>
              <w:top w:val="single" w:sz="8" w:color="1E1E1E"/>
              <w:bottom w:val="single" w:sz="8" w:color="1E1E1E"/>
            </w:tcBorders>
          </w:tcPr>
          <w:p>
            <w:pPr>
              <w:spacing w:after="0"/>
              <w:rPr>
                <w:sz w:val="18"/>
                <w:szCs w:val="18"/>
                <w:color w:val="auto"/>
              </w:rPr>
            </w:pPr>
          </w:p>
        </w:tc>
        <w:tc>
          <w:tcPr>
            <w:tcW w:w="2340" w:type="dxa"/>
            <w:vAlign w:val="bottom"/>
            <w:tcBorders>
              <w:top w:val="single" w:sz="8" w:color="1E1E1E"/>
              <w:bottom w:val="single" w:sz="8" w:color="1E1E1E"/>
            </w:tcBorders>
          </w:tcPr>
          <w:p>
            <w:pPr>
              <w:jc w:val="center"/>
              <w:ind w:right="203"/>
              <w:spacing w:after="0" w:line="213" w:lineRule="exact"/>
              <w:rPr>
                <w:sz w:val="20"/>
                <w:szCs w:val="20"/>
                <w:color w:val="auto"/>
              </w:rPr>
            </w:pPr>
            <w:r>
              <w:rPr>
                <w:rFonts w:ascii="Times New Roman" w:cs="Times New Roman" w:eastAsia="Times New Roman" w:hAnsi="Times New Roman"/>
                <w:sz w:val="19"/>
                <w:szCs w:val="19"/>
                <w:b w:val="1"/>
                <w:bCs w:val="1"/>
                <w:color w:val="1E1E1E"/>
              </w:rPr>
              <w:t>2021</w:t>
            </w:r>
          </w:p>
        </w:tc>
        <w:tc>
          <w:tcPr>
            <w:tcW w:w="80" w:type="dxa"/>
            <w:vAlign w:val="bottom"/>
          </w:tcPr>
          <w:p>
            <w:pPr>
              <w:spacing w:after="0"/>
              <w:rPr>
                <w:sz w:val="18"/>
                <w:szCs w:val="18"/>
                <w:color w:val="auto"/>
              </w:rPr>
            </w:pPr>
          </w:p>
        </w:tc>
      </w:tr>
      <w:tr>
        <w:trPr>
          <w:trHeight w:val="213"/>
        </w:trPr>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tcPr>
          <w:p>
            <w:pPr>
              <w:jc w:val="center"/>
              <w:ind w:right="203"/>
              <w:spacing w:after="0" w:line="213" w:lineRule="exact"/>
              <w:rPr>
                <w:sz w:val="20"/>
                <w:szCs w:val="20"/>
                <w:color w:val="auto"/>
              </w:rPr>
            </w:pPr>
            <w:r>
              <w:rPr>
                <w:rFonts w:ascii="Times New Roman" w:cs="Times New Roman" w:eastAsia="Times New Roman" w:hAnsi="Times New Roman"/>
                <w:sz w:val="19"/>
                <w:szCs w:val="19"/>
                <w:b w:val="1"/>
                <w:bCs w:val="1"/>
                <w:color w:val="1E1E1E"/>
              </w:rPr>
              <w:t>(unaudited)</w:t>
            </w:r>
          </w:p>
        </w:tc>
        <w:tc>
          <w:tcPr>
            <w:tcW w:w="80" w:type="dxa"/>
            <w:vAlign w:val="bottom"/>
          </w:tcPr>
          <w:p>
            <w:pPr>
              <w:spacing w:after="0"/>
              <w:rPr>
                <w:sz w:val="18"/>
                <w:szCs w:val="18"/>
                <w:color w:val="auto"/>
              </w:rPr>
            </w:pPr>
          </w:p>
        </w:tc>
      </w:tr>
      <w:tr>
        <w:trPr>
          <w:trHeight w:val="223"/>
        </w:trPr>
        <w:tc>
          <w:tcPr>
            <w:tcW w:w="7040" w:type="dxa"/>
            <w:vAlign w:val="bottom"/>
            <w:shd w:val="clear" w:color="auto" w:fill="E4E4E4"/>
          </w:tcPr>
          <w:p>
            <w:pPr>
              <w:ind w:left="180"/>
              <w:spacing w:after="0"/>
              <w:rPr>
                <w:sz w:val="20"/>
                <w:szCs w:val="20"/>
                <w:color w:val="auto"/>
              </w:rPr>
            </w:pPr>
            <w:r>
              <w:rPr>
                <w:rFonts w:ascii="Times New Roman" w:cs="Times New Roman" w:eastAsia="Times New Roman" w:hAnsi="Times New Roman"/>
                <w:sz w:val="19"/>
                <w:szCs w:val="19"/>
                <w:color w:val="1E1E1E"/>
              </w:rPr>
              <w:t>Revenue</w:t>
            </w:r>
          </w:p>
        </w:tc>
        <w:tc>
          <w:tcPr>
            <w:tcW w:w="300" w:type="dxa"/>
            <w:vAlign w:val="bottom"/>
            <w:shd w:val="clear" w:color="auto" w:fill="E4E4E4"/>
          </w:tcPr>
          <w:p>
            <w:pPr>
              <w:jc w:val="right"/>
              <w:ind w:right="103"/>
              <w:spacing w:after="0"/>
              <w:rPr>
                <w:sz w:val="20"/>
                <w:szCs w:val="20"/>
                <w:color w:val="auto"/>
              </w:rPr>
            </w:pPr>
            <w:r>
              <w:rPr>
                <w:rFonts w:ascii="Times New Roman" w:cs="Times New Roman" w:eastAsia="Times New Roman" w:hAnsi="Times New Roman"/>
                <w:sz w:val="19"/>
                <w:szCs w:val="19"/>
                <w:color w:val="1E1E1E"/>
                <w:w w:val="83"/>
              </w:rPr>
              <w:t>$</w:t>
            </w:r>
          </w:p>
        </w:tc>
        <w:tc>
          <w:tcPr>
            <w:tcW w:w="2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280,790</w:t>
            </w:r>
          </w:p>
        </w:tc>
        <w:tc>
          <w:tcPr>
            <w:tcW w:w="80" w:type="dxa"/>
            <w:vAlign w:val="bottom"/>
            <w:shd w:val="clear" w:color="auto" w:fill="E4E4E4"/>
          </w:tcPr>
          <w:p>
            <w:pPr>
              <w:spacing w:after="0"/>
              <w:rPr>
                <w:sz w:val="19"/>
                <w:szCs w:val="19"/>
                <w:color w:val="auto"/>
              </w:rPr>
            </w:pPr>
          </w:p>
        </w:tc>
      </w:tr>
      <w:tr>
        <w:trPr>
          <w:trHeight w:val="260"/>
        </w:trPr>
        <w:tc>
          <w:tcPr>
            <w:tcW w:w="704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Net loss attributable to common stockholders</w:t>
            </w:r>
          </w:p>
        </w:tc>
        <w:tc>
          <w:tcPr>
            <w:tcW w:w="300" w:type="dxa"/>
            <w:vAlign w:val="bottom"/>
          </w:tcPr>
          <w:p>
            <w:pPr>
              <w:spacing w:after="0"/>
              <w:rPr>
                <w:sz w:val="22"/>
                <w:szCs w:val="22"/>
                <w:color w:val="auto"/>
              </w:rPr>
            </w:pP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(61,852)</w:t>
            </w:r>
          </w:p>
        </w:tc>
      </w:tr>
    </w:tbl>
    <w:p>
      <w:pPr>
        <w:spacing w:after="0" w:line="357" w:lineRule="exact"/>
        <w:rPr>
          <w:sz w:val="20"/>
          <w:szCs w:val="20"/>
          <w:color w:val="auto"/>
        </w:rPr>
      </w:pPr>
    </w:p>
    <w:p>
      <w:pPr>
        <w:ind w:left="610" w:hanging="610"/>
        <w:spacing w:after="0"/>
        <w:tabs>
          <w:tab w:leader="none" w:pos="610" w:val="left"/>
        </w:tabs>
        <w:numPr>
          <w:ilvl w:val="0"/>
          <w:numId w:val="73"/>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Segments</w:t>
      </w:r>
    </w:p>
    <w:p>
      <w:pPr>
        <w:spacing w:after="0" w:line="124" w:lineRule="exact"/>
        <w:rPr>
          <w:sz w:val="20"/>
          <w:szCs w:val="20"/>
          <w:color w:val="auto"/>
        </w:rPr>
      </w:pPr>
    </w:p>
    <w:p>
      <w:pPr>
        <w:ind w:left="10" w:firstLine="601"/>
        <w:spacing w:after="0" w:line="251" w:lineRule="auto"/>
        <w:rPr>
          <w:sz w:val="20"/>
          <w:szCs w:val="20"/>
          <w:color w:val="auto"/>
        </w:rPr>
      </w:pPr>
      <w:r>
        <w:rPr>
          <w:rFonts w:ascii="Times New Roman" w:cs="Times New Roman" w:eastAsia="Times New Roman" w:hAnsi="Times New Roman"/>
          <w:sz w:val="19"/>
          <w:szCs w:val="19"/>
          <w:color w:val="1E1E1E"/>
        </w:rPr>
        <w:t>Xometry is organized in two segments referred to as: (1) the U.S. and (2) International. Xometry’s operating segments are also the Company’s reportable segments. Xometry’s reportable segments, whose products and offerings are generally the same, are managed separately based on geography. Xometry’s two segments are defined based on the reporting and review process used by the chief operating decision maker (“CODM”), the Chief Executive Officer. The Company evaluates the performance of the operating segments primarily based on revenue and segment “profits/loss” which is largely the results of the segment before income taxes. The Company has not allocated certain general and administrative expenses to the International segment. The Company’s CODM monitors assets of the consolidated Company, but does not use assets, by operating segment when assessing performance or making operating segment resource decisions.</w:t>
      </w:r>
    </w:p>
    <w:p>
      <w:pPr>
        <w:spacing w:after="0" w:line="151" w:lineRule="exact"/>
        <w:rPr>
          <w:sz w:val="20"/>
          <w:szCs w:val="20"/>
          <w:color w:val="auto"/>
        </w:rPr>
      </w:pPr>
    </w:p>
    <w:p>
      <w:pPr>
        <w:ind w:left="10" w:right="160" w:firstLine="601"/>
        <w:spacing w:after="0" w:line="246" w:lineRule="auto"/>
        <w:rPr>
          <w:sz w:val="20"/>
          <w:szCs w:val="20"/>
          <w:color w:val="auto"/>
        </w:rPr>
      </w:pPr>
      <w:r>
        <w:rPr>
          <w:rFonts w:ascii="Times New Roman" w:cs="Times New Roman" w:eastAsia="Times New Roman" w:hAnsi="Times New Roman"/>
          <w:sz w:val="19"/>
          <w:szCs w:val="19"/>
          <w:color w:val="1E1E1E"/>
        </w:rPr>
        <w:t>The following tables reflect certain segment information for the years ended December 31, 2023, 2022 and 2021 (in thousands):</w:t>
      </w:r>
    </w:p>
    <w:tbl>
      <w:tblPr>
        <w:tblLayout w:type="fixed"/>
        <w:tblInd w:w="1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2560" w:type="dxa"/>
            <w:vAlign w:val="bottom"/>
            <w:tcBorders>
              <w:bottom w:val="single" w:sz="8" w:color="1E1E1E"/>
            </w:tcBorders>
            <w:gridSpan w:val="8"/>
          </w:tcPr>
          <w:p>
            <w:pPr>
              <w:jc w:val="right"/>
              <w:ind w:right="34"/>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ind w:right="28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4E4E4"/>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260" w:type="dxa"/>
            <w:vAlign w:val="bottom"/>
            <w:tcBorders>
              <w:bottom w:val="single" w:sz="8" w:color="1E1E1E"/>
            </w:tcBorders>
          </w:tcPr>
          <w:p>
            <w:pPr>
              <w:spacing w:after="0"/>
              <w:rPr>
                <w:sz w:val="21"/>
                <w:szCs w:val="21"/>
                <w:color w:val="auto"/>
              </w:rPr>
            </w:pPr>
          </w:p>
        </w:tc>
        <w:tc>
          <w:tcPr>
            <w:tcW w:w="840" w:type="dxa"/>
            <w:vAlign w:val="bottom"/>
            <w:tcBorders>
              <w:bottom w:val="single" w:sz="8" w:color="1E1E1E"/>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Segment Revenue</w:t>
            </w:r>
          </w:p>
        </w:tc>
        <w:tc>
          <w:tcPr>
            <w:tcW w:w="1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8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14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403,289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347,710</w:t>
            </w:r>
          </w:p>
        </w:tc>
        <w:tc>
          <w:tcPr>
            <w:tcW w:w="100" w:type="dxa"/>
            <w:vAlign w:val="bottom"/>
          </w:tcPr>
          <w:p>
            <w:pPr>
              <w:spacing w:after="0"/>
              <w:rPr>
                <w:sz w:val="19"/>
                <w:szCs w:val="19"/>
                <w:color w:val="auto"/>
              </w:rPr>
            </w:pP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202,034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60,117</w:t>
            </w: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33,211</w:t>
            </w:r>
          </w:p>
        </w:tc>
        <w:tc>
          <w:tcPr>
            <w:tcW w:w="100" w:type="dxa"/>
            <w:vAlign w:val="bottom"/>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26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16,302</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8"/>
                <w:szCs w:val="18"/>
                <w:color w:val="auto"/>
              </w:rPr>
            </w:pPr>
          </w:p>
        </w:tc>
        <w:tc>
          <w:tcPr>
            <w:tcW w:w="240" w:type="dxa"/>
            <w:vAlign w:val="bottom"/>
            <w:tcBorders>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463,406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380,921</w:t>
            </w:r>
          </w:p>
        </w:tc>
        <w:tc>
          <w:tcPr>
            <w:tcW w:w="100" w:type="dxa"/>
            <w:vAlign w:val="bottom"/>
          </w:tcPr>
          <w:p>
            <w:pPr>
              <w:spacing w:after="0"/>
              <w:rPr>
                <w:sz w:val="18"/>
                <w:szCs w:val="18"/>
                <w:color w:val="auto"/>
              </w:rPr>
            </w:pPr>
          </w:p>
        </w:tc>
        <w:tc>
          <w:tcPr>
            <w:tcW w:w="360" w:type="dxa"/>
            <w:vAlign w:val="bottom"/>
            <w:tcBorders>
              <w:bottom w:val="single" w:sz="8" w:color="1E1E1E"/>
            </w:tcBorders>
            <w:gridSpan w:val="2"/>
          </w:tcPr>
          <w:p>
            <w:pPr>
              <w:jc w:val="right"/>
              <w:ind w:right="94"/>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84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218,336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Segment Interest Expense</w:t>
            </w: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U.S.</w:t>
            </w:r>
          </w:p>
        </w:tc>
        <w:tc>
          <w:tcPr>
            <w:tcW w:w="38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gridSpan w:val="2"/>
            <w:shd w:val="clear" w:color="auto" w:fill="E4E4E4"/>
          </w:tcPr>
          <w:p>
            <w:pPr>
              <w:jc w:val="right"/>
              <w:ind w:right="60"/>
              <w:spacing w:after="0"/>
              <w:rPr>
                <w:sz w:val="20"/>
                <w:szCs w:val="20"/>
                <w:color w:val="auto"/>
              </w:rPr>
            </w:pPr>
            <w:r>
              <w:rPr>
                <w:rFonts w:ascii="Times New Roman" w:cs="Times New Roman" w:eastAsia="Times New Roman" w:hAnsi="Times New Roman"/>
                <w:sz w:val="19"/>
                <w:szCs w:val="19"/>
                <w:color w:val="1E1E1E"/>
              </w:rPr>
              <w:t>(4,763)</w:t>
            </w:r>
          </w:p>
        </w:tc>
        <w:tc>
          <w:tcPr>
            <w:tcW w:w="3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940" w:type="dxa"/>
            <w:vAlign w:val="bottom"/>
            <w:gridSpan w:val="2"/>
            <w:shd w:val="clear" w:color="auto" w:fill="E4E4E4"/>
          </w:tcPr>
          <w:p>
            <w:pPr>
              <w:jc w:val="right"/>
              <w:ind w:right="40"/>
              <w:spacing w:after="0"/>
              <w:rPr>
                <w:sz w:val="20"/>
                <w:szCs w:val="20"/>
                <w:color w:val="auto"/>
              </w:rPr>
            </w:pPr>
            <w:r>
              <w:rPr>
                <w:rFonts w:ascii="Times New Roman" w:cs="Times New Roman" w:eastAsia="Times New Roman" w:hAnsi="Times New Roman"/>
                <w:sz w:val="19"/>
                <w:szCs w:val="19"/>
                <w:color w:val="1E1E1E"/>
              </w:rPr>
              <w:t>(4,396)</w:t>
            </w:r>
          </w:p>
        </w:tc>
        <w:tc>
          <w:tcPr>
            <w:tcW w:w="360" w:type="dxa"/>
            <w:vAlign w:val="bottom"/>
            <w:gridSpan w:val="2"/>
            <w:shd w:val="clear" w:color="auto" w:fill="E4E4E4"/>
          </w:tcPr>
          <w:p>
            <w:pPr>
              <w:jc w:val="right"/>
              <w:ind w:right="94"/>
              <w:spacing w:after="0"/>
              <w:rPr>
                <w:sz w:val="20"/>
                <w:szCs w:val="20"/>
                <w:color w:val="auto"/>
              </w:rPr>
            </w:pPr>
            <w:r>
              <w:rPr>
                <w:rFonts w:ascii="Times New Roman" w:cs="Times New Roman" w:eastAsia="Times New Roman" w:hAnsi="Times New Roman"/>
                <w:sz w:val="19"/>
                <w:szCs w:val="19"/>
                <w:color w:val="1E1E1E"/>
              </w:rPr>
              <w:t>$</w:t>
            </w:r>
          </w:p>
        </w:tc>
        <w:tc>
          <w:tcPr>
            <w:tcW w:w="9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(716)</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1E1E1E"/>
              </w:rPr>
              <w:t>(21)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1E1E1E"/>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(136)</w:t>
            </w:r>
          </w:p>
        </w:tc>
        <w:tc>
          <w:tcPr>
            <w:tcW w:w="0" w:type="dxa"/>
            <w:vAlign w:val="bottom"/>
          </w:tcPr>
          <w:p>
            <w:pPr>
              <w:spacing w:after="0"/>
              <w:rPr>
                <w:sz w:val="1"/>
                <w:szCs w:val="1"/>
                <w:color w:val="auto"/>
              </w:rPr>
            </w:pPr>
          </w:p>
        </w:tc>
      </w:tr>
      <w:tr>
        <w:trPr>
          <w:trHeight w:val="213"/>
        </w:trPr>
        <w:tc>
          <w:tcPr>
            <w:tcW w:w="590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Borders>
              <w:top w:val="single" w:sz="8" w:color="E4E4E4"/>
            </w:tcBorders>
            <w:shd w:val="clear" w:color="auto" w:fill="E4E4E4"/>
          </w:tcPr>
          <w:p>
            <w:pPr>
              <w:spacing w:after="0"/>
              <w:rPr>
                <w:sz w:val="18"/>
                <w:szCs w:val="18"/>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(4,784)</w:t>
            </w:r>
          </w:p>
        </w:tc>
        <w:tc>
          <w:tcPr>
            <w:tcW w:w="120" w:type="dxa"/>
            <w:vAlign w:val="bottom"/>
            <w:tcBorders>
              <w:top w:val="single" w:sz="8" w:color="E4E4E4"/>
            </w:tcBorders>
            <w:shd w:val="clear" w:color="auto" w:fill="E4E4E4"/>
          </w:tcPr>
          <w:p>
            <w:pPr>
              <w:spacing w:after="0"/>
              <w:rPr>
                <w:sz w:val="18"/>
                <w:szCs w:val="18"/>
                <w:color w:val="auto"/>
              </w:rPr>
            </w:pPr>
          </w:p>
        </w:tc>
        <w:tc>
          <w:tcPr>
            <w:tcW w:w="60" w:type="dxa"/>
            <w:vAlign w:val="bottom"/>
            <w:tcBorders>
              <w:top w:val="single" w:sz="8" w:color="E4E4E4"/>
            </w:tcBorders>
            <w:shd w:val="clear" w:color="auto" w:fill="E4E4E4"/>
          </w:tcPr>
          <w:p>
            <w:pPr>
              <w:spacing w:after="0"/>
              <w:rPr>
                <w:sz w:val="18"/>
                <w:szCs w:val="18"/>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(4,418)</w:t>
            </w:r>
          </w:p>
        </w:tc>
        <w:tc>
          <w:tcPr>
            <w:tcW w:w="100" w:type="dxa"/>
            <w:vAlign w:val="bottom"/>
            <w:tcBorders>
              <w:top w:val="single" w:sz="8" w:color="E4E4E4"/>
            </w:tcBorders>
            <w:shd w:val="clear" w:color="auto" w:fill="E4E4E4"/>
          </w:tcPr>
          <w:p>
            <w:pPr>
              <w:spacing w:after="0"/>
              <w:rPr>
                <w:sz w:val="18"/>
                <w:szCs w:val="18"/>
                <w:color w:val="auto"/>
              </w:rPr>
            </w:pPr>
          </w:p>
        </w:tc>
        <w:tc>
          <w:tcPr>
            <w:tcW w:w="100" w:type="dxa"/>
            <w:vAlign w:val="bottom"/>
            <w:tcBorders>
              <w:top w:val="single" w:sz="8" w:color="E4E4E4"/>
            </w:tcBorders>
            <w:shd w:val="clear" w:color="auto" w:fill="E4E4E4"/>
          </w:tcPr>
          <w:p>
            <w:pPr>
              <w:spacing w:after="0"/>
              <w:rPr>
                <w:sz w:val="18"/>
                <w:szCs w:val="18"/>
                <w:color w:val="auto"/>
              </w:rPr>
            </w:pPr>
          </w:p>
        </w:tc>
        <w:tc>
          <w:tcPr>
            <w:tcW w:w="260" w:type="dxa"/>
            <w:vAlign w:val="bottom"/>
            <w:tcBorders>
              <w:top w:val="single" w:sz="8" w:color="1E1E1E"/>
              <w:bottom w:val="single" w:sz="8" w:color="1E1E1E"/>
            </w:tcBorders>
            <w:shd w:val="clear" w:color="auto" w:fill="E4E4E4"/>
          </w:tcPr>
          <w:p>
            <w:pPr>
              <w:jc w:val="right"/>
              <w:ind w:right="94"/>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(852)</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Segment Interest and Dividend Income</w:t>
            </w: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U.S.</w:t>
            </w:r>
          </w:p>
        </w:tc>
        <w:tc>
          <w:tcPr>
            <w:tcW w:w="38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11,586</w:t>
            </w:r>
          </w:p>
        </w:tc>
        <w:tc>
          <w:tcPr>
            <w:tcW w:w="120" w:type="dxa"/>
            <w:vAlign w:val="bottom"/>
            <w:shd w:val="clear" w:color="auto" w:fill="E4E4E4"/>
          </w:tcPr>
          <w:p>
            <w:pPr>
              <w:spacing w:after="0"/>
              <w:rPr>
                <w:sz w:val="19"/>
                <w:szCs w:val="19"/>
                <w:color w:val="auto"/>
              </w:rPr>
            </w:pPr>
          </w:p>
        </w:tc>
        <w:tc>
          <w:tcPr>
            <w:tcW w:w="3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4,096</w:t>
            </w:r>
          </w:p>
        </w:tc>
        <w:tc>
          <w:tcPr>
            <w:tcW w:w="100" w:type="dxa"/>
            <w:vAlign w:val="bottom"/>
            <w:shd w:val="clear" w:color="auto" w:fill="E4E4E4"/>
          </w:tcPr>
          <w:p>
            <w:pPr>
              <w:spacing w:after="0"/>
              <w:rPr>
                <w:sz w:val="19"/>
                <w:szCs w:val="19"/>
                <w:color w:val="auto"/>
              </w:rPr>
            </w:pPr>
          </w:p>
        </w:tc>
        <w:tc>
          <w:tcPr>
            <w:tcW w:w="360" w:type="dxa"/>
            <w:vAlign w:val="bottom"/>
            <w:gridSpan w:val="2"/>
            <w:shd w:val="clear" w:color="auto" w:fill="E4E4E4"/>
          </w:tcPr>
          <w:p>
            <w:pPr>
              <w:jc w:val="right"/>
              <w:ind w:right="94"/>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982</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33"/>
        </w:trPr>
        <w:tc>
          <w:tcPr>
            <w:tcW w:w="590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11,607</w:t>
            </w: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6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4,115</w:t>
            </w: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260" w:type="dxa"/>
            <w:vAlign w:val="bottom"/>
            <w:tcBorders>
              <w:top w:val="single" w:sz="8" w:color="1E1E1E"/>
              <w:bottom w:val="single" w:sz="8" w:color="1E1E1E"/>
            </w:tcBorders>
            <w:shd w:val="clear" w:color="auto" w:fill="E4E4E4"/>
          </w:tcPr>
          <w:p>
            <w:pPr>
              <w:jc w:val="right"/>
              <w:ind w:right="94"/>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982</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Segment Income from Unconsolidated Joint Venture</w:t>
            </w: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U.S.</w:t>
            </w:r>
          </w:p>
        </w:tc>
        <w:tc>
          <w:tcPr>
            <w:tcW w:w="38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446</w:t>
            </w:r>
          </w:p>
        </w:tc>
        <w:tc>
          <w:tcPr>
            <w:tcW w:w="120" w:type="dxa"/>
            <w:vAlign w:val="bottom"/>
            <w:shd w:val="clear" w:color="auto" w:fill="E4E4E4"/>
          </w:tcPr>
          <w:p>
            <w:pPr>
              <w:spacing w:after="0"/>
              <w:rPr>
                <w:sz w:val="19"/>
                <w:szCs w:val="19"/>
                <w:color w:val="auto"/>
              </w:rPr>
            </w:pPr>
          </w:p>
        </w:tc>
        <w:tc>
          <w:tcPr>
            <w:tcW w:w="300" w:type="dxa"/>
            <w:vAlign w:val="bottom"/>
            <w:gridSpan w:val="2"/>
            <w:shd w:val="clear" w:color="auto" w:fill="E4E4E4"/>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570</w:t>
            </w:r>
          </w:p>
        </w:tc>
        <w:tc>
          <w:tcPr>
            <w:tcW w:w="100" w:type="dxa"/>
            <w:vAlign w:val="bottom"/>
            <w:shd w:val="clear" w:color="auto" w:fill="E4E4E4"/>
          </w:tcPr>
          <w:p>
            <w:pPr>
              <w:spacing w:after="0"/>
              <w:rPr>
                <w:sz w:val="19"/>
                <w:szCs w:val="19"/>
                <w:color w:val="auto"/>
              </w:rPr>
            </w:pPr>
          </w:p>
        </w:tc>
        <w:tc>
          <w:tcPr>
            <w:tcW w:w="360" w:type="dxa"/>
            <w:vAlign w:val="bottom"/>
            <w:gridSpan w:val="2"/>
            <w:shd w:val="clear" w:color="auto" w:fill="E4E4E4"/>
          </w:tcPr>
          <w:p>
            <w:pPr>
              <w:jc w:val="right"/>
              <w:ind w:right="94"/>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41</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c>
          <w:tcPr>
            <w:tcW w:w="0" w:type="dxa"/>
            <w:vAlign w:val="bottom"/>
          </w:tcPr>
          <w:p>
            <w:pPr>
              <w:spacing w:after="0"/>
              <w:rPr>
                <w:sz w:val="1"/>
                <w:szCs w:val="1"/>
                <w:color w:val="auto"/>
              </w:rPr>
            </w:pPr>
          </w:p>
        </w:tc>
      </w:tr>
      <w:tr>
        <w:trPr>
          <w:trHeight w:val="233"/>
        </w:trPr>
        <w:tc>
          <w:tcPr>
            <w:tcW w:w="5900" w:type="dxa"/>
            <w:vAlign w:val="bottom"/>
            <w:tcBorders>
              <w:top w:val="single" w:sz="8" w:color="E4E4E4"/>
              <w:bottom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446</w:t>
            </w:r>
          </w:p>
        </w:tc>
        <w:tc>
          <w:tcPr>
            <w:tcW w:w="120" w:type="dxa"/>
            <w:vAlign w:val="bottom"/>
            <w:tcBorders>
              <w:top w:val="single" w:sz="8" w:color="E4E4E4"/>
              <w:bottom w:val="single" w:sz="8" w:color="E4E4E4"/>
            </w:tcBorders>
            <w:shd w:val="clear" w:color="auto" w:fill="E4E4E4"/>
          </w:tcPr>
          <w:p>
            <w:pPr>
              <w:spacing w:after="0"/>
              <w:rPr>
                <w:sz w:val="20"/>
                <w:szCs w:val="20"/>
                <w:color w:val="auto"/>
              </w:rPr>
            </w:pPr>
          </w:p>
        </w:tc>
        <w:tc>
          <w:tcPr>
            <w:tcW w:w="60" w:type="dxa"/>
            <w:vAlign w:val="bottom"/>
            <w:tcBorders>
              <w:top w:val="single" w:sz="8" w:color="E4E4E4"/>
              <w:bottom w:val="single" w:sz="8" w:color="E4E4E4"/>
            </w:tcBorders>
            <w:shd w:val="clear" w:color="auto" w:fill="E4E4E4"/>
          </w:tcPr>
          <w:p>
            <w:pPr>
              <w:spacing w:after="0"/>
              <w:rPr>
                <w:sz w:val="20"/>
                <w:szCs w:val="20"/>
                <w:color w:val="auto"/>
              </w:rPr>
            </w:pPr>
          </w:p>
        </w:tc>
        <w:tc>
          <w:tcPr>
            <w:tcW w:w="240" w:type="dxa"/>
            <w:vAlign w:val="bottom"/>
            <w:tcBorders>
              <w:top w:val="single" w:sz="8" w:color="1E1E1E"/>
              <w:bottom w:val="single" w:sz="8" w:color="1E1E1E"/>
            </w:tcBorders>
            <w:shd w:val="clear" w:color="auto" w:fill="E4E4E4"/>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570</w:t>
            </w: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100" w:type="dxa"/>
            <w:vAlign w:val="bottom"/>
            <w:tcBorders>
              <w:top w:val="single" w:sz="8" w:color="E4E4E4"/>
              <w:bottom w:val="single" w:sz="8" w:color="E4E4E4"/>
            </w:tcBorders>
            <w:shd w:val="clear" w:color="auto" w:fill="E4E4E4"/>
          </w:tcPr>
          <w:p>
            <w:pPr>
              <w:spacing w:after="0"/>
              <w:rPr>
                <w:sz w:val="20"/>
                <w:szCs w:val="20"/>
                <w:color w:val="auto"/>
              </w:rPr>
            </w:pPr>
          </w:p>
        </w:tc>
        <w:tc>
          <w:tcPr>
            <w:tcW w:w="260" w:type="dxa"/>
            <w:vAlign w:val="bottom"/>
            <w:tcBorders>
              <w:top w:val="single" w:sz="8" w:color="1E1E1E"/>
              <w:bottom w:val="single" w:sz="8" w:color="1E1E1E"/>
            </w:tcBorders>
            <w:shd w:val="clear" w:color="auto" w:fill="E4E4E4"/>
          </w:tcPr>
          <w:p>
            <w:pPr>
              <w:jc w:val="right"/>
              <w:ind w:right="94"/>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41</w:t>
            </w:r>
          </w:p>
        </w:tc>
        <w:tc>
          <w:tcPr>
            <w:tcW w:w="80" w:type="dxa"/>
            <w:vAlign w:val="bottom"/>
            <w:tcBorders>
              <w:top w:val="single" w:sz="8" w:color="E4E4E4"/>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70"/>
          </w:cols>
          <w:pgMar w:left="1050" w:top="1083" w:right="106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1E1E1E"/>
        </w:rPr>
        <w:t>99</w:t>
      </w:r>
    </w:p>
    <w:p>
      <w:pPr>
        <w:sectPr>
          <w:pgSz w:w="11880" w:h="15480" w:orient="portrait"/>
          <w:cols w:equalWidth="0" w:num="1">
            <w:col w:w="9770"/>
          </w:cols>
          <w:pgMar w:left="1050" w:top="1083" w:right="1060" w:bottom="215" w:gutter="0" w:footer="0" w:header="0"/>
          <w:type w:val="continuous"/>
        </w:sectPr>
      </w:pPr>
    </w:p>
    <w:bookmarkStart w:id="105" w:name="page106"/>
    <w:bookmarkEnd w:id="105"/>
    <w:tbl>
      <w:tblPr>
        <w:tblLayout w:type="fixed"/>
        <w:tblInd w:w="10" w:type="dxa"/>
        <w:tblCellMar>
          <w:top w:w="0" w:type="dxa"/>
          <w:left w:w="0" w:type="dxa"/>
          <w:bottom w:w="0" w:type="dxa"/>
          <w:right w:w="0" w:type="dxa"/>
        </w:tblCellMar>
      </w:tblPr>
      <w:tr>
        <w:trPr>
          <w:trHeight w:val="19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1E1E1E"/>
            </w:tcBorders>
          </w:tcPr>
          <w:p>
            <w:pPr>
              <w:spacing w:after="0"/>
              <w:rPr>
                <w:sz w:val="17"/>
                <w:szCs w:val="17"/>
                <w:color w:val="auto"/>
              </w:rPr>
            </w:pPr>
          </w:p>
        </w:tc>
        <w:tc>
          <w:tcPr>
            <w:tcW w:w="50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1860" w:type="dxa"/>
            <w:vAlign w:val="bottom"/>
            <w:tcBorders>
              <w:bottom w:val="single" w:sz="8" w:color="1E1E1E"/>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Year Ended December 31,</w:t>
            </w:r>
          </w:p>
        </w:tc>
        <w:tc>
          <w:tcPr>
            <w:tcW w:w="88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900" w:type="dxa"/>
            <w:vAlign w:val="bottom"/>
            <w:tcBorders>
              <w:bottom w:val="single" w:sz="8" w:color="E4E4E4"/>
            </w:tcBorders>
          </w:tcPr>
          <w:p>
            <w:pPr>
              <w:spacing w:after="0"/>
              <w:rPr>
                <w:sz w:val="18"/>
                <w:szCs w:val="18"/>
                <w:color w:val="auto"/>
              </w:rPr>
            </w:pPr>
          </w:p>
        </w:tc>
        <w:tc>
          <w:tcPr>
            <w:tcW w:w="140" w:type="dxa"/>
            <w:vAlign w:val="bottom"/>
            <w:tcBorders>
              <w:bottom w:val="single" w:sz="8" w:color="E4E4E4"/>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60" w:type="dxa"/>
            <w:vAlign w:val="bottom"/>
            <w:tcBorders>
              <w:bottom w:val="single" w:sz="8" w:color="1E1E1E"/>
            </w:tcBorders>
          </w:tcPr>
          <w:p>
            <w:pPr>
              <w:spacing w:after="0"/>
              <w:rPr>
                <w:sz w:val="18"/>
                <w:szCs w:val="18"/>
                <w:color w:val="auto"/>
              </w:rPr>
            </w:pPr>
          </w:p>
        </w:tc>
        <w:tc>
          <w:tcPr>
            <w:tcW w:w="180" w:type="dxa"/>
            <w:vAlign w:val="bottom"/>
            <w:tcBorders>
              <w:bottom w:val="single" w:sz="8" w:color="1E1E1E"/>
            </w:tcBorders>
          </w:tcPr>
          <w:p>
            <w:pPr>
              <w:spacing w:after="0"/>
              <w:rPr>
                <w:sz w:val="18"/>
                <w:szCs w:val="18"/>
                <w:color w:val="auto"/>
              </w:rPr>
            </w:pPr>
          </w:p>
        </w:tc>
        <w:tc>
          <w:tcPr>
            <w:tcW w:w="120" w:type="dxa"/>
            <w:vAlign w:val="bottom"/>
            <w:tcBorders>
              <w:bottom w:val="single" w:sz="8" w:color="E4E4E4"/>
            </w:tcBorders>
          </w:tcPr>
          <w:p>
            <w:pPr>
              <w:spacing w:after="0"/>
              <w:rPr>
                <w:sz w:val="18"/>
                <w:szCs w:val="18"/>
                <w:color w:val="auto"/>
              </w:rPr>
            </w:pPr>
          </w:p>
        </w:tc>
        <w:tc>
          <w:tcPr>
            <w:tcW w:w="60" w:type="dxa"/>
            <w:vAlign w:val="bottom"/>
            <w:tcBorders>
              <w:bottom w:val="single" w:sz="8" w:color="E4E4E4"/>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2022</w:t>
            </w:r>
          </w:p>
        </w:tc>
        <w:tc>
          <w:tcPr>
            <w:tcW w:w="180" w:type="dxa"/>
            <w:vAlign w:val="bottom"/>
            <w:tcBorders>
              <w:bottom w:val="single" w:sz="8" w:color="1E1E1E"/>
            </w:tcBorders>
          </w:tcPr>
          <w:p>
            <w:pPr>
              <w:spacing w:after="0"/>
              <w:rPr>
                <w:sz w:val="18"/>
                <w:szCs w:val="18"/>
                <w:color w:val="auto"/>
              </w:rPr>
            </w:pPr>
          </w:p>
        </w:tc>
        <w:tc>
          <w:tcPr>
            <w:tcW w:w="20" w:type="dxa"/>
            <w:vAlign w:val="bottom"/>
            <w:tcBorders>
              <w:bottom w:val="single" w:sz="8" w:color="E4E4E4"/>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880" w:type="dxa"/>
            <w:vAlign w:val="bottom"/>
            <w:tcBorders>
              <w:bottom w:val="single" w:sz="8" w:color="1E1E1E"/>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8"/>
                <w:szCs w:val="18"/>
                <w:color w:val="auto"/>
              </w:rPr>
            </w:pPr>
          </w:p>
        </w:tc>
      </w:tr>
      <w:tr>
        <w:trPr>
          <w:trHeight w:val="213"/>
        </w:trPr>
        <w:tc>
          <w:tcPr>
            <w:tcW w:w="590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Segment Depreciation and Amortization</w:t>
            </w:r>
          </w:p>
        </w:tc>
        <w:tc>
          <w:tcPr>
            <w:tcW w:w="1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14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1E1E1E"/>
              </w:rPr>
              <w:t>9,830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7,332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3,208</w:t>
            </w:r>
          </w:p>
        </w:tc>
        <w:tc>
          <w:tcPr>
            <w:tcW w:w="80" w:type="dxa"/>
            <w:vAlign w:val="bottom"/>
          </w:tcPr>
          <w:p>
            <w:pPr>
              <w:spacing w:after="0"/>
              <w:rPr>
                <w:sz w:val="19"/>
                <w:szCs w:val="19"/>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gridSpan w:val="3"/>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908</w:t>
            </w: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980" w:type="dxa"/>
            <w:vAlign w:val="bottom"/>
            <w:tcBorders>
              <w:bottom w:val="single" w:sz="8" w:color="1E1E1E"/>
            </w:tcBorders>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487</w:t>
            </w: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tcBorders>
              <w:bottom w:val="single" w:sz="8" w:color="1E1E1E"/>
            </w:tcBorders>
            <w:shd w:val="clear" w:color="auto" w:fill="E4E4E4"/>
          </w:tcPr>
          <w:p>
            <w:pPr>
              <w:spacing w:after="0"/>
              <w:rPr>
                <w:sz w:val="19"/>
                <w:szCs w:val="19"/>
                <w:color w:val="auto"/>
              </w:rPr>
            </w:pPr>
          </w:p>
        </w:tc>
        <w:tc>
          <w:tcPr>
            <w:tcW w:w="8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388</w:t>
            </w:r>
          </w:p>
        </w:tc>
        <w:tc>
          <w:tcPr>
            <w:tcW w:w="80" w:type="dxa"/>
            <w:vAlign w:val="bottom"/>
            <w:shd w:val="clear" w:color="auto" w:fill="E4E4E4"/>
          </w:tcPr>
          <w:p>
            <w:pPr>
              <w:spacing w:after="0"/>
              <w:rPr>
                <w:sz w:val="19"/>
                <w:szCs w:val="19"/>
                <w:color w:val="auto"/>
              </w:rPr>
            </w:pPr>
          </w:p>
        </w:tc>
      </w:tr>
      <w:tr>
        <w:trPr>
          <w:trHeight w:val="213"/>
        </w:trPr>
        <w:tc>
          <w:tcPr>
            <w:tcW w:w="59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8"/>
                <w:szCs w:val="18"/>
                <w:color w:val="auto"/>
              </w:rPr>
            </w:pPr>
          </w:p>
        </w:tc>
        <w:tc>
          <w:tcPr>
            <w:tcW w:w="240" w:type="dxa"/>
            <w:vAlign w:val="bottom"/>
            <w:tcBorders>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bottom w:val="single" w:sz="8" w:color="1E1E1E"/>
            </w:tcBorders>
            <w:gridSpan w:val="3"/>
          </w:tcPr>
          <w:p>
            <w:pPr>
              <w:jc w:val="right"/>
              <w:spacing w:after="0" w:line="213" w:lineRule="exact"/>
              <w:rPr>
                <w:sz w:val="20"/>
                <w:szCs w:val="20"/>
                <w:color w:val="auto"/>
              </w:rPr>
            </w:pPr>
            <w:r>
              <w:rPr>
                <w:rFonts w:ascii="Times New Roman" w:cs="Times New Roman" w:eastAsia="Times New Roman" w:hAnsi="Times New Roman"/>
                <w:sz w:val="19"/>
                <w:szCs w:val="19"/>
                <w:color w:val="1E1E1E"/>
              </w:rPr>
              <w:t>10,738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tcBorders>
              <w:bottom w:val="single" w:sz="8" w:color="1E1E1E"/>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7,819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1E1E1E"/>
            </w:tcBorders>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Borders>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3,596</w:t>
            </w: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Segment Impairments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1E1E1E"/>
              </w:rPr>
              <w:t>397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513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460" w:type="dxa"/>
            <w:vAlign w:val="bottom"/>
            <w:gridSpan w:val="3"/>
            <w:shd w:val="clear" w:color="auto" w:fill="E4E4E4"/>
          </w:tcPr>
          <w:p>
            <w:pPr>
              <w:jc w:val="right"/>
              <w:ind w:right="120"/>
              <w:spacing w:after="0"/>
              <w:rPr>
                <w:sz w:val="20"/>
                <w:szCs w:val="20"/>
                <w:color w:val="auto"/>
              </w:rPr>
            </w:pPr>
            <w:r>
              <w:rPr>
                <w:rFonts w:ascii="Times New Roman" w:cs="Times New Roman" w:eastAsia="Times New Roman" w:hAnsi="Times New Roman"/>
                <w:sz w:val="19"/>
                <w:szCs w:val="19"/>
                <w:color w:val="1E1E1E"/>
              </w:rPr>
              <w:t>—</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9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311</w:t>
            </w: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59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8"/>
                <w:szCs w:val="18"/>
                <w:color w:val="auto"/>
              </w:rPr>
            </w:pPr>
          </w:p>
        </w:tc>
        <w:tc>
          <w:tcPr>
            <w:tcW w:w="240" w:type="dxa"/>
            <w:vAlign w:val="bottom"/>
            <w:tcBorders>
              <w:top w:val="single" w:sz="8" w:color="1E1E1E"/>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gridSpan w:val="3"/>
          </w:tcPr>
          <w:p>
            <w:pPr>
              <w:jc w:val="right"/>
              <w:spacing w:after="0" w:line="213" w:lineRule="exact"/>
              <w:rPr>
                <w:sz w:val="20"/>
                <w:szCs w:val="20"/>
                <w:color w:val="auto"/>
              </w:rPr>
            </w:pPr>
            <w:r>
              <w:rPr>
                <w:rFonts w:ascii="Times New Roman" w:cs="Times New Roman" w:eastAsia="Times New Roman" w:hAnsi="Times New Roman"/>
                <w:sz w:val="19"/>
                <w:szCs w:val="19"/>
                <w:color w:val="1E1E1E"/>
              </w:rPr>
              <w:t>397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tcBorders>
              <w:top w:val="single" w:sz="8" w:color="1E1E1E"/>
              <w:bottom w:val="single" w:sz="8" w:color="1E1E1E"/>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824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1E1E1E"/>
              <w:bottom w:val="single" w:sz="8" w:color="1E1E1E"/>
            </w:tcBorders>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w:t>
            </w: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7"/>
        </w:trPr>
        <w:tc>
          <w:tcPr>
            <w:tcW w:w="5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Segment Losses</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50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38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1E1E1E"/>
              </w:rPr>
              <w:t>$</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1E1E1E"/>
              </w:rPr>
              <w:t>(49,689)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1E1E1E"/>
              </w:rPr>
              <w:t>(61,792)</w:t>
            </w:r>
          </w:p>
        </w:tc>
        <w:tc>
          <w:tcPr>
            <w:tcW w:w="10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(51,230)</w:t>
            </w: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960" w:type="dxa"/>
            <w:vAlign w:val="bottom"/>
            <w:gridSpan w:val="4"/>
            <w:shd w:val="clear" w:color="auto" w:fill="E4E4E4"/>
          </w:tcPr>
          <w:p>
            <w:pPr>
              <w:jc w:val="right"/>
              <w:ind w:right="60"/>
              <w:spacing w:after="0"/>
              <w:rPr>
                <w:sz w:val="20"/>
                <w:szCs w:val="20"/>
                <w:color w:val="auto"/>
              </w:rPr>
            </w:pPr>
            <w:r>
              <w:rPr>
                <w:rFonts w:ascii="Times New Roman" w:cs="Times New Roman" w:eastAsia="Times New Roman" w:hAnsi="Times New Roman"/>
                <w:sz w:val="19"/>
                <w:szCs w:val="19"/>
                <w:color w:val="1E1E1E"/>
              </w:rPr>
              <w:t>(17,783)</w:t>
            </w:r>
          </w:p>
        </w:tc>
        <w:tc>
          <w:tcPr>
            <w:tcW w:w="6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80" w:type="dxa"/>
            <w:vAlign w:val="bottom"/>
            <w:gridSpan w:val="4"/>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(17,267)</w:t>
            </w:r>
          </w:p>
        </w:tc>
        <w:tc>
          <w:tcPr>
            <w:tcW w:w="10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9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(10,149)</w:t>
            </w:r>
          </w:p>
        </w:tc>
      </w:tr>
      <w:tr>
        <w:trPr>
          <w:trHeight w:val="213"/>
        </w:trPr>
        <w:tc>
          <w:tcPr>
            <w:tcW w:w="590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8"/>
                <w:szCs w:val="18"/>
                <w:color w:val="auto"/>
              </w:rPr>
            </w:pPr>
          </w:p>
        </w:tc>
        <w:tc>
          <w:tcPr>
            <w:tcW w:w="240" w:type="dxa"/>
            <w:vAlign w:val="bottom"/>
            <w:tcBorders>
              <w:top w:val="single" w:sz="8" w:color="1E1E1E"/>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gridSpan w:val="3"/>
          </w:tcPr>
          <w:p>
            <w:pPr>
              <w:jc w:val="right"/>
              <w:spacing w:after="0" w:line="213" w:lineRule="exact"/>
              <w:rPr>
                <w:sz w:val="20"/>
                <w:szCs w:val="20"/>
                <w:color w:val="auto"/>
              </w:rPr>
            </w:pPr>
            <w:r>
              <w:rPr>
                <w:rFonts w:ascii="Times New Roman" w:cs="Times New Roman" w:eastAsia="Times New Roman" w:hAnsi="Times New Roman"/>
                <w:sz w:val="19"/>
                <w:szCs w:val="19"/>
                <w:color w:val="1E1E1E"/>
              </w:rPr>
              <w:t>(67,472)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tcBorders>
              <w:top w:val="single" w:sz="8" w:color="1E1E1E"/>
              <w:bottom w:val="single" w:sz="8" w:color="1E1E1E"/>
            </w:tcBorders>
            <w:gridSpan w:val="2"/>
          </w:tcPr>
          <w:p>
            <w:pPr>
              <w:jc w:val="right"/>
              <w:spacing w:after="0" w:line="213" w:lineRule="exact"/>
              <w:rPr>
                <w:sz w:val="20"/>
                <w:szCs w:val="20"/>
                <w:color w:val="auto"/>
              </w:rPr>
            </w:pPr>
            <w:r>
              <w:rPr>
                <w:rFonts w:ascii="Times New Roman" w:cs="Times New Roman" w:eastAsia="Times New Roman" w:hAnsi="Times New Roman"/>
                <w:sz w:val="19"/>
                <w:szCs w:val="19"/>
                <w:color w:val="1E1E1E"/>
              </w:rPr>
              <w:t>(79,059)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1E1E1E"/>
              <w:bottom w:val="single" w:sz="8" w:color="1E1E1E"/>
            </w:tcBorders>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(61,379)</w:t>
            </w:r>
          </w:p>
        </w:tc>
        <w:tc>
          <w:tcPr>
            <w:tcW w:w="8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0"/>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8"/>
          </w:tcPr>
          <w:p>
            <w:pPr>
              <w:jc w:val="right"/>
              <w:ind w:right="580"/>
              <w:spacing w:after="0"/>
              <w:rPr>
                <w:sz w:val="20"/>
                <w:szCs w:val="20"/>
                <w:color w:val="auto"/>
              </w:rPr>
            </w:pPr>
            <w:r>
              <w:rPr>
                <w:rFonts w:ascii="Times New Roman" w:cs="Times New Roman" w:eastAsia="Times New Roman" w:hAnsi="Times New Roman"/>
                <w:sz w:val="16"/>
                <w:szCs w:val="16"/>
                <w:b w:val="1"/>
                <w:bCs w:val="1"/>
                <w:color w:val="1E1E1E"/>
                <w:w w:val="98"/>
              </w:rPr>
              <w:t>Year Ended December 31,</w:t>
            </w:r>
          </w:p>
        </w:tc>
      </w:tr>
      <w:tr>
        <w:trPr>
          <w:trHeight w:val="250"/>
        </w:trPr>
        <w:tc>
          <w:tcPr>
            <w:tcW w:w="590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240" w:type="dxa"/>
            <w:vAlign w:val="bottom"/>
            <w:tcBorders>
              <w:bottom w:val="single" w:sz="8" w:color="E4E4E4"/>
            </w:tcBorders>
          </w:tcPr>
          <w:p>
            <w:pPr>
              <w:spacing w:after="0"/>
              <w:rPr>
                <w:sz w:val="21"/>
                <w:szCs w:val="21"/>
                <w:color w:val="auto"/>
              </w:rPr>
            </w:pPr>
          </w:p>
        </w:tc>
        <w:tc>
          <w:tcPr>
            <w:tcW w:w="500" w:type="dxa"/>
            <w:vAlign w:val="bottom"/>
            <w:tcBorders>
              <w:bottom w:val="single" w:sz="8" w:color="E4E4E4"/>
            </w:tcBorders>
          </w:tcPr>
          <w:p>
            <w:pPr>
              <w:spacing w:after="0"/>
              <w:rPr>
                <w:sz w:val="21"/>
                <w:szCs w:val="21"/>
                <w:color w:val="auto"/>
              </w:rPr>
            </w:pPr>
          </w:p>
        </w:tc>
        <w:tc>
          <w:tcPr>
            <w:tcW w:w="160" w:type="dxa"/>
            <w:vAlign w:val="bottom"/>
            <w:tcBorders>
              <w:bottom w:val="single" w:sz="8" w:color="E4E4E4"/>
            </w:tcBorders>
          </w:tcPr>
          <w:p>
            <w:pPr>
              <w:spacing w:after="0"/>
              <w:rPr>
                <w:sz w:val="21"/>
                <w:szCs w:val="21"/>
                <w:color w:val="auto"/>
              </w:rPr>
            </w:pPr>
          </w:p>
        </w:tc>
        <w:tc>
          <w:tcPr>
            <w:tcW w:w="180" w:type="dxa"/>
            <w:vAlign w:val="bottom"/>
            <w:tcBorders>
              <w:top w:val="single" w:sz="8" w:color="1E1E1E"/>
              <w:bottom w:val="single" w:sz="8" w:color="1E1E1E"/>
            </w:tcBorders>
          </w:tcPr>
          <w:p>
            <w:pPr>
              <w:spacing w:after="0"/>
              <w:rPr>
                <w:sz w:val="21"/>
                <w:szCs w:val="21"/>
                <w:color w:val="auto"/>
              </w:rPr>
            </w:pPr>
          </w:p>
        </w:tc>
        <w:tc>
          <w:tcPr>
            <w:tcW w:w="120" w:type="dxa"/>
            <w:vAlign w:val="bottom"/>
            <w:tcBorders>
              <w:top w:val="single" w:sz="8" w:color="1E1E1E"/>
              <w:bottom w:val="single" w:sz="8" w:color="1E1E1E"/>
            </w:tcBorders>
          </w:tcPr>
          <w:p>
            <w:pPr>
              <w:spacing w:after="0"/>
              <w:rPr>
                <w:sz w:val="21"/>
                <w:szCs w:val="21"/>
                <w:color w:val="auto"/>
              </w:rPr>
            </w:pPr>
          </w:p>
        </w:tc>
        <w:tc>
          <w:tcPr>
            <w:tcW w:w="60" w:type="dxa"/>
            <w:vAlign w:val="bottom"/>
            <w:tcBorders>
              <w:top w:val="single" w:sz="8" w:color="1E1E1E"/>
              <w:bottom w:val="single" w:sz="8" w:color="1E1E1E"/>
            </w:tcBorders>
          </w:tcPr>
          <w:p>
            <w:pPr>
              <w:spacing w:after="0"/>
              <w:rPr>
                <w:sz w:val="21"/>
                <w:szCs w:val="21"/>
                <w:color w:val="auto"/>
              </w:rPr>
            </w:pPr>
          </w:p>
        </w:tc>
        <w:tc>
          <w:tcPr>
            <w:tcW w:w="100" w:type="dxa"/>
            <w:vAlign w:val="bottom"/>
            <w:tcBorders>
              <w:top w:val="single" w:sz="8" w:color="1E1E1E"/>
              <w:bottom w:val="single" w:sz="8" w:color="1E1E1E"/>
            </w:tcBorders>
          </w:tcPr>
          <w:p>
            <w:pPr>
              <w:spacing w:after="0"/>
              <w:rPr>
                <w:sz w:val="21"/>
                <w:szCs w:val="21"/>
                <w:color w:val="auto"/>
              </w:rPr>
            </w:pPr>
          </w:p>
        </w:tc>
        <w:tc>
          <w:tcPr>
            <w:tcW w:w="800" w:type="dxa"/>
            <w:vAlign w:val="bottom"/>
            <w:tcBorders>
              <w:top w:val="single" w:sz="8" w:color="1E1E1E"/>
              <w:bottom w:val="single" w:sz="8" w:color="1E1E1E"/>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1E1E1E"/>
                <w:w w:val="93"/>
              </w:rPr>
              <w:t>2023</w:t>
            </w:r>
          </w:p>
        </w:tc>
        <w:tc>
          <w:tcPr>
            <w:tcW w:w="180" w:type="dxa"/>
            <w:vAlign w:val="bottom"/>
            <w:tcBorders>
              <w:top w:val="single" w:sz="8" w:color="1E1E1E"/>
              <w:bottom w:val="single" w:sz="8" w:color="E4E4E4"/>
            </w:tcBorders>
          </w:tcPr>
          <w:p>
            <w:pPr>
              <w:spacing w:after="0"/>
              <w:rPr>
                <w:sz w:val="21"/>
                <w:szCs w:val="21"/>
                <w:color w:val="auto"/>
              </w:rPr>
            </w:pPr>
          </w:p>
        </w:tc>
        <w:tc>
          <w:tcPr>
            <w:tcW w:w="20" w:type="dxa"/>
            <w:vAlign w:val="bottom"/>
            <w:tcBorders>
              <w:top w:val="single" w:sz="8" w:color="1E1E1E"/>
              <w:bottom w:val="single" w:sz="8" w:color="E4E4E4"/>
            </w:tcBorders>
          </w:tcPr>
          <w:p>
            <w:pPr>
              <w:spacing w:after="0"/>
              <w:rPr>
                <w:sz w:val="21"/>
                <w:szCs w:val="21"/>
                <w:color w:val="auto"/>
              </w:rPr>
            </w:pPr>
          </w:p>
        </w:tc>
        <w:tc>
          <w:tcPr>
            <w:tcW w:w="80" w:type="dxa"/>
            <w:vAlign w:val="bottom"/>
            <w:tcBorders>
              <w:top w:val="single" w:sz="8" w:color="1E1E1E"/>
              <w:bottom w:val="single" w:sz="8" w:color="1E1E1E"/>
            </w:tcBorders>
          </w:tcPr>
          <w:p>
            <w:pPr>
              <w:spacing w:after="0"/>
              <w:rPr>
                <w:sz w:val="21"/>
                <w:szCs w:val="21"/>
                <w:color w:val="auto"/>
              </w:rPr>
            </w:pPr>
          </w:p>
        </w:tc>
        <w:tc>
          <w:tcPr>
            <w:tcW w:w="100" w:type="dxa"/>
            <w:vAlign w:val="bottom"/>
            <w:tcBorders>
              <w:top w:val="single" w:sz="8" w:color="1E1E1E"/>
              <w:bottom w:val="single" w:sz="8" w:color="1E1E1E"/>
            </w:tcBorders>
          </w:tcPr>
          <w:p>
            <w:pPr>
              <w:spacing w:after="0"/>
              <w:rPr>
                <w:sz w:val="21"/>
                <w:szCs w:val="21"/>
                <w:color w:val="auto"/>
              </w:rPr>
            </w:pPr>
          </w:p>
        </w:tc>
        <w:tc>
          <w:tcPr>
            <w:tcW w:w="220" w:type="dxa"/>
            <w:vAlign w:val="bottom"/>
            <w:tcBorders>
              <w:top w:val="single" w:sz="8" w:color="1E1E1E"/>
              <w:bottom w:val="single" w:sz="8" w:color="1E1E1E"/>
            </w:tcBorders>
          </w:tcPr>
          <w:p>
            <w:pPr>
              <w:spacing w:after="0"/>
              <w:rPr>
                <w:sz w:val="21"/>
                <w:szCs w:val="21"/>
                <w:color w:val="auto"/>
              </w:rPr>
            </w:pPr>
          </w:p>
        </w:tc>
        <w:tc>
          <w:tcPr>
            <w:tcW w:w="880" w:type="dxa"/>
            <w:vAlign w:val="bottom"/>
            <w:tcBorders>
              <w:top w:val="single" w:sz="8" w:color="1E1E1E"/>
              <w:bottom w:val="single" w:sz="8" w:color="1E1E1E"/>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Borders>
              <w:bottom w:val="single" w:sz="8" w:color="E4E4E4"/>
            </w:tcBorders>
          </w:tcPr>
          <w:p>
            <w:pPr>
              <w:spacing w:after="0"/>
              <w:rPr>
                <w:sz w:val="21"/>
                <w:szCs w:val="21"/>
                <w:color w:val="auto"/>
              </w:rPr>
            </w:pPr>
          </w:p>
        </w:tc>
      </w:tr>
      <w:tr>
        <w:trPr>
          <w:trHeight w:val="213"/>
        </w:trPr>
        <w:tc>
          <w:tcPr>
            <w:tcW w:w="590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Segment Property and Equipment</w:t>
            </w:r>
          </w:p>
        </w:tc>
        <w:tc>
          <w:tcPr>
            <w:tcW w:w="1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30,085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w w:val="83"/>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16,451</w:t>
            </w:r>
          </w:p>
        </w:tc>
        <w:tc>
          <w:tcPr>
            <w:tcW w:w="80" w:type="dxa"/>
            <w:vAlign w:val="bottom"/>
          </w:tcPr>
          <w:p>
            <w:pPr>
              <w:spacing w:after="0"/>
              <w:rPr>
                <w:sz w:val="19"/>
                <w:szCs w:val="19"/>
                <w:color w:val="auto"/>
              </w:rPr>
            </w:pPr>
          </w:p>
        </w:tc>
      </w:tr>
      <w:tr>
        <w:trPr>
          <w:trHeight w:val="243"/>
        </w:trPr>
        <w:tc>
          <w:tcPr>
            <w:tcW w:w="590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1E1E1E"/>
            </w:tcBorders>
            <w:shd w:val="clear" w:color="auto" w:fill="E4E4E4"/>
          </w:tcPr>
          <w:p>
            <w:pPr>
              <w:spacing w:after="0"/>
              <w:rPr>
                <w:sz w:val="21"/>
                <w:szCs w:val="21"/>
                <w:color w:val="auto"/>
              </w:rPr>
            </w:pPr>
          </w:p>
        </w:tc>
        <w:tc>
          <w:tcPr>
            <w:tcW w:w="120" w:type="dxa"/>
            <w:vAlign w:val="bottom"/>
            <w:tcBorders>
              <w:bottom w:val="single" w:sz="8" w:color="1E1E1E"/>
            </w:tcBorders>
            <w:shd w:val="clear" w:color="auto" w:fill="E4E4E4"/>
          </w:tcPr>
          <w:p>
            <w:pPr>
              <w:spacing w:after="0"/>
              <w:rPr>
                <w:sz w:val="21"/>
                <w:szCs w:val="21"/>
                <w:color w:val="auto"/>
              </w:rPr>
            </w:pPr>
          </w:p>
        </w:tc>
        <w:tc>
          <w:tcPr>
            <w:tcW w:w="6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80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5,552</w:t>
            </w:r>
          </w:p>
        </w:tc>
        <w:tc>
          <w:tcPr>
            <w:tcW w:w="180" w:type="dxa"/>
            <w:vAlign w:val="bottom"/>
            <w:tcBorders>
              <w:bottom w:val="single" w:sz="8" w:color="E4E4E4"/>
            </w:tcBorders>
            <w:shd w:val="clear" w:color="auto" w:fill="E4E4E4"/>
          </w:tcPr>
          <w:p>
            <w:pPr>
              <w:spacing w:after="0"/>
              <w:rPr>
                <w:sz w:val="21"/>
                <w:szCs w:val="21"/>
                <w:color w:val="auto"/>
              </w:rPr>
            </w:pPr>
          </w:p>
        </w:tc>
        <w:tc>
          <w:tcPr>
            <w:tcW w:w="2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1E1E1E"/>
            </w:tcBorders>
            <w:shd w:val="clear" w:color="auto" w:fill="E4E4E4"/>
          </w:tcPr>
          <w:p>
            <w:pPr>
              <w:spacing w:after="0"/>
              <w:rPr>
                <w:sz w:val="21"/>
                <w:szCs w:val="21"/>
                <w:color w:val="auto"/>
              </w:rPr>
            </w:pPr>
          </w:p>
        </w:tc>
        <w:tc>
          <w:tcPr>
            <w:tcW w:w="100" w:type="dxa"/>
            <w:vAlign w:val="bottom"/>
            <w:tcBorders>
              <w:bottom w:val="single" w:sz="8" w:color="1E1E1E"/>
            </w:tcBorders>
            <w:shd w:val="clear" w:color="auto" w:fill="E4E4E4"/>
          </w:tcPr>
          <w:p>
            <w:pPr>
              <w:spacing w:after="0"/>
              <w:rPr>
                <w:sz w:val="21"/>
                <w:szCs w:val="21"/>
                <w:color w:val="auto"/>
              </w:rPr>
            </w:pPr>
          </w:p>
        </w:tc>
        <w:tc>
          <w:tcPr>
            <w:tcW w:w="220" w:type="dxa"/>
            <w:vAlign w:val="bottom"/>
            <w:tcBorders>
              <w:bottom w:val="single" w:sz="8" w:color="1E1E1E"/>
            </w:tcBorders>
            <w:shd w:val="clear" w:color="auto" w:fill="E4E4E4"/>
          </w:tcPr>
          <w:p>
            <w:pPr>
              <w:spacing w:after="0"/>
              <w:rPr>
                <w:sz w:val="21"/>
                <w:szCs w:val="21"/>
                <w:color w:val="auto"/>
              </w:rPr>
            </w:pPr>
          </w:p>
        </w:tc>
        <w:tc>
          <w:tcPr>
            <w:tcW w:w="8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2,628</w:t>
            </w:r>
          </w:p>
        </w:tc>
        <w:tc>
          <w:tcPr>
            <w:tcW w:w="80" w:type="dxa"/>
            <w:vAlign w:val="bottom"/>
            <w:tcBorders>
              <w:bottom w:val="single" w:sz="8" w:color="E4E4E4"/>
            </w:tcBorders>
            <w:shd w:val="clear" w:color="auto" w:fill="E4E4E4"/>
          </w:tcPr>
          <w:p>
            <w:pPr>
              <w:spacing w:after="0"/>
              <w:rPr>
                <w:sz w:val="21"/>
                <w:szCs w:val="21"/>
                <w:color w:val="auto"/>
              </w:rPr>
            </w:pPr>
          </w:p>
        </w:tc>
      </w:tr>
      <w:tr>
        <w:trPr>
          <w:trHeight w:val="193"/>
        </w:trPr>
        <w:tc>
          <w:tcPr>
            <w:tcW w:w="5900" w:type="dxa"/>
            <w:vAlign w:val="bottom"/>
          </w:tcPr>
          <w:p>
            <w:pPr>
              <w:spacing w:after="0" w:line="19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spacing w:after="0"/>
              <w:rPr>
                <w:sz w:val="16"/>
                <w:szCs w:val="16"/>
                <w:color w:val="auto"/>
              </w:rPr>
            </w:pPr>
          </w:p>
        </w:tc>
        <w:tc>
          <w:tcPr>
            <w:tcW w:w="18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120" w:type="dxa"/>
            <w:vAlign w:val="bottom"/>
            <w:tcBorders>
              <w:bottom w:val="single" w:sz="8" w:color="1E1E1E"/>
            </w:tcBorders>
          </w:tcPr>
          <w:p>
            <w:pPr>
              <w:spacing w:after="0"/>
              <w:rPr>
                <w:sz w:val="16"/>
                <w:szCs w:val="16"/>
                <w:color w:val="auto"/>
              </w:rPr>
            </w:pPr>
          </w:p>
        </w:tc>
        <w:tc>
          <w:tcPr>
            <w:tcW w:w="60" w:type="dxa"/>
            <w:vAlign w:val="bottom"/>
            <w:tcBorders>
              <w:bottom w:val="single" w:sz="8" w:color="1E1E1E"/>
            </w:tcBorders>
          </w:tcPr>
          <w:p>
            <w:pPr>
              <w:spacing w:after="0"/>
              <w:rPr>
                <w:sz w:val="16"/>
                <w:szCs w:val="16"/>
                <w:color w:val="auto"/>
              </w:rPr>
            </w:pPr>
          </w:p>
        </w:tc>
        <w:tc>
          <w:tcPr>
            <w:tcW w:w="100" w:type="dxa"/>
            <w:vAlign w:val="bottom"/>
            <w:tcBorders>
              <w:bottom w:val="single" w:sz="8" w:color="1E1E1E"/>
            </w:tcBorders>
          </w:tcPr>
          <w:p>
            <w:pPr>
              <w:spacing w:after="0"/>
              <w:rPr>
                <w:sz w:val="16"/>
                <w:szCs w:val="16"/>
                <w:color w:val="auto"/>
              </w:rPr>
            </w:pPr>
          </w:p>
        </w:tc>
        <w:tc>
          <w:tcPr>
            <w:tcW w:w="80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35,637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1E1E1E"/>
            </w:tcBorders>
            <w:gridSpan w:val="2"/>
          </w:tcPr>
          <w:p>
            <w:pPr>
              <w:jc w:val="right"/>
              <w:ind w:right="80"/>
              <w:spacing w:after="0" w:line="193" w:lineRule="exact"/>
              <w:rPr>
                <w:sz w:val="20"/>
                <w:szCs w:val="20"/>
                <w:color w:val="auto"/>
              </w:rPr>
            </w:pPr>
            <w:r>
              <w:rPr>
                <w:rFonts w:ascii="Times New Roman" w:cs="Times New Roman" w:eastAsia="Times New Roman" w:hAnsi="Times New Roman"/>
                <w:sz w:val="19"/>
                <w:szCs w:val="19"/>
                <w:color w:val="1E1E1E"/>
                <w:w w:val="83"/>
              </w:rPr>
              <w:t>$</w:t>
            </w:r>
          </w:p>
        </w:tc>
        <w:tc>
          <w:tcPr>
            <w:tcW w:w="220" w:type="dxa"/>
            <w:vAlign w:val="bottom"/>
            <w:tcBorders>
              <w:bottom w:val="single" w:sz="8" w:color="1E1E1E"/>
            </w:tcBorders>
          </w:tcPr>
          <w:p>
            <w:pPr>
              <w:spacing w:after="0"/>
              <w:rPr>
                <w:sz w:val="16"/>
                <w:szCs w:val="16"/>
                <w:color w:val="auto"/>
              </w:rPr>
            </w:pPr>
          </w:p>
        </w:tc>
        <w:tc>
          <w:tcPr>
            <w:tcW w:w="880" w:type="dxa"/>
            <w:vAlign w:val="bottom"/>
            <w:tcBorders>
              <w:bottom w:val="single" w:sz="8" w:color="1E1E1E"/>
            </w:tcBorders>
          </w:tcPr>
          <w:p>
            <w:pPr>
              <w:jc w:val="right"/>
              <w:spacing w:after="0" w:line="193" w:lineRule="exact"/>
              <w:rPr>
                <w:sz w:val="20"/>
                <w:szCs w:val="20"/>
                <w:color w:val="auto"/>
              </w:rPr>
            </w:pPr>
            <w:r>
              <w:rPr>
                <w:rFonts w:ascii="Times New Roman" w:cs="Times New Roman" w:eastAsia="Times New Roman" w:hAnsi="Times New Roman"/>
                <w:sz w:val="19"/>
                <w:szCs w:val="19"/>
                <w:color w:val="1E1E1E"/>
              </w:rPr>
              <w:t>19,079</w:t>
            </w:r>
          </w:p>
        </w:tc>
        <w:tc>
          <w:tcPr>
            <w:tcW w:w="8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80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5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50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1860" w:type="dxa"/>
            <w:vAlign w:val="bottom"/>
            <w:tcBorders>
              <w:bottom w:val="single" w:sz="8" w:color="1E1E1E"/>
            </w:tcBorders>
            <w:gridSpan w:val="10"/>
          </w:tcPr>
          <w:p>
            <w:pPr>
              <w:jc w:val="center"/>
              <w:spacing w:after="0"/>
              <w:rPr>
                <w:sz w:val="20"/>
                <w:szCs w:val="20"/>
                <w:color w:val="auto"/>
              </w:rPr>
            </w:pPr>
            <w:r>
              <w:rPr>
                <w:rFonts w:ascii="Times New Roman" w:cs="Times New Roman" w:eastAsia="Times New Roman" w:hAnsi="Times New Roman"/>
                <w:sz w:val="16"/>
                <w:szCs w:val="16"/>
                <w:b w:val="1"/>
                <w:bCs w:val="1"/>
                <w:color w:val="1E1E1E"/>
                <w:w w:val="96"/>
              </w:rPr>
              <w:t>Year Ended December 31,</w:t>
            </w:r>
          </w:p>
        </w:tc>
        <w:tc>
          <w:tcPr>
            <w:tcW w:w="880" w:type="dxa"/>
            <w:vAlign w:val="bottom"/>
            <w:tcBorders>
              <w:bottom w:val="single" w:sz="8" w:color="1E1E1E"/>
            </w:tcBorders>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900" w:type="dxa"/>
            <w:vAlign w:val="bottom"/>
            <w:tcBorders>
              <w:bottom w:val="single" w:sz="8" w:color="E4E4E4"/>
            </w:tcBorders>
          </w:tcPr>
          <w:p>
            <w:pPr>
              <w:spacing w:after="0"/>
              <w:rPr>
                <w:sz w:val="21"/>
                <w:szCs w:val="21"/>
                <w:color w:val="auto"/>
              </w:rPr>
            </w:pPr>
          </w:p>
        </w:tc>
        <w:tc>
          <w:tcPr>
            <w:tcW w:w="140" w:type="dxa"/>
            <w:vAlign w:val="bottom"/>
            <w:tcBorders>
              <w:bottom w:val="single" w:sz="8" w:color="E4E4E4"/>
            </w:tcBorders>
          </w:tcPr>
          <w:p>
            <w:pPr>
              <w:spacing w:after="0"/>
              <w:rPr>
                <w:sz w:val="21"/>
                <w:szCs w:val="21"/>
                <w:color w:val="auto"/>
              </w:rPr>
            </w:pPr>
          </w:p>
        </w:tc>
        <w:tc>
          <w:tcPr>
            <w:tcW w:w="240" w:type="dxa"/>
            <w:vAlign w:val="bottom"/>
            <w:tcBorders>
              <w:bottom w:val="single" w:sz="8" w:color="1E1E1E"/>
            </w:tcBorders>
          </w:tcPr>
          <w:p>
            <w:pPr>
              <w:spacing w:after="0"/>
              <w:rPr>
                <w:sz w:val="21"/>
                <w:szCs w:val="21"/>
                <w:color w:val="auto"/>
              </w:rPr>
            </w:pPr>
          </w:p>
        </w:tc>
        <w:tc>
          <w:tcPr>
            <w:tcW w:w="50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60" w:type="dxa"/>
            <w:vAlign w:val="bottom"/>
            <w:tcBorders>
              <w:bottom w:val="single" w:sz="8" w:color="1E1E1E"/>
            </w:tcBorders>
          </w:tcPr>
          <w:p>
            <w:pPr>
              <w:spacing w:after="0"/>
              <w:rPr>
                <w:sz w:val="21"/>
                <w:szCs w:val="21"/>
                <w:color w:val="auto"/>
              </w:rPr>
            </w:pPr>
          </w:p>
        </w:tc>
        <w:tc>
          <w:tcPr>
            <w:tcW w:w="180" w:type="dxa"/>
            <w:vAlign w:val="bottom"/>
            <w:tcBorders>
              <w:bottom w:val="single" w:sz="8" w:color="1E1E1E"/>
            </w:tcBorders>
          </w:tcPr>
          <w:p>
            <w:pPr>
              <w:spacing w:after="0"/>
              <w:rPr>
                <w:sz w:val="21"/>
                <w:szCs w:val="21"/>
                <w:color w:val="auto"/>
              </w:rPr>
            </w:pPr>
          </w:p>
        </w:tc>
        <w:tc>
          <w:tcPr>
            <w:tcW w:w="120" w:type="dxa"/>
            <w:vAlign w:val="bottom"/>
            <w:tcBorders>
              <w:bottom w:val="single" w:sz="8" w:color="E4E4E4"/>
            </w:tcBorders>
          </w:tcPr>
          <w:p>
            <w:pPr>
              <w:spacing w:after="0"/>
              <w:rPr>
                <w:sz w:val="21"/>
                <w:szCs w:val="21"/>
                <w:color w:val="auto"/>
              </w:rPr>
            </w:pPr>
          </w:p>
        </w:tc>
        <w:tc>
          <w:tcPr>
            <w:tcW w:w="60" w:type="dxa"/>
            <w:vAlign w:val="bottom"/>
            <w:tcBorders>
              <w:bottom w:val="single" w:sz="8" w:color="E4E4E4"/>
            </w:tcBorders>
          </w:tcPr>
          <w:p>
            <w:pPr>
              <w:spacing w:after="0"/>
              <w:rPr>
                <w:sz w:val="21"/>
                <w:szCs w:val="21"/>
                <w:color w:val="auto"/>
              </w:rPr>
            </w:pPr>
          </w:p>
        </w:tc>
        <w:tc>
          <w:tcPr>
            <w:tcW w:w="100" w:type="dxa"/>
            <w:vAlign w:val="bottom"/>
            <w:tcBorders>
              <w:bottom w:val="single" w:sz="8" w:color="1E1E1E"/>
            </w:tcBorders>
          </w:tcPr>
          <w:p>
            <w:pPr>
              <w:spacing w:after="0"/>
              <w:rPr>
                <w:sz w:val="21"/>
                <w:szCs w:val="21"/>
                <w:color w:val="auto"/>
              </w:rPr>
            </w:pPr>
          </w:p>
        </w:tc>
        <w:tc>
          <w:tcPr>
            <w:tcW w:w="80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2022</w:t>
            </w:r>
          </w:p>
        </w:tc>
        <w:tc>
          <w:tcPr>
            <w:tcW w:w="180" w:type="dxa"/>
            <w:vAlign w:val="bottom"/>
            <w:tcBorders>
              <w:bottom w:val="single" w:sz="8" w:color="1E1E1E"/>
            </w:tcBorders>
          </w:tcPr>
          <w:p>
            <w:pPr>
              <w:spacing w:after="0"/>
              <w:rPr>
                <w:sz w:val="21"/>
                <w:szCs w:val="21"/>
                <w:color w:val="auto"/>
              </w:rPr>
            </w:pPr>
          </w:p>
        </w:tc>
        <w:tc>
          <w:tcPr>
            <w:tcW w:w="20" w:type="dxa"/>
            <w:vAlign w:val="bottom"/>
            <w:tcBorders>
              <w:bottom w:val="single" w:sz="8" w:color="E4E4E4"/>
            </w:tcBorders>
          </w:tcPr>
          <w:p>
            <w:pPr>
              <w:spacing w:after="0"/>
              <w:rPr>
                <w:sz w:val="21"/>
                <w:szCs w:val="21"/>
                <w:color w:val="auto"/>
              </w:rPr>
            </w:pPr>
          </w:p>
        </w:tc>
        <w:tc>
          <w:tcPr>
            <w:tcW w:w="80" w:type="dxa"/>
            <w:vAlign w:val="bottom"/>
            <w:tcBorders>
              <w:bottom w:val="single" w:sz="8" w:color="E4E4E4"/>
            </w:tcBorders>
          </w:tcPr>
          <w:p>
            <w:pPr>
              <w:spacing w:after="0"/>
              <w:rPr>
                <w:sz w:val="21"/>
                <w:szCs w:val="21"/>
                <w:color w:val="auto"/>
              </w:rPr>
            </w:pPr>
          </w:p>
        </w:tc>
        <w:tc>
          <w:tcPr>
            <w:tcW w:w="100" w:type="dxa"/>
            <w:vAlign w:val="bottom"/>
            <w:tcBorders>
              <w:bottom w:val="single" w:sz="8" w:color="E4E4E4"/>
            </w:tcBorders>
          </w:tcPr>
          <w:p>
            <w:pPr>
              <w:spacing w:after="0"/>
              <w:rPr>
                <w:sz w:val="21"/>
                <w:szCs w:val="21"/>
                <w:color w:val="auto"/>
              </w:rPr>
            </w:pPr>
          </w:p>
        </w:tc>
        <w:tc>
          <w:tcPr>
            <w:tcW w:w="220" w:type="dxa"/>
            <w:vAlign w:val="bottom"/>
            <w:tcBorders>
              <w:bottom w:val="single" w:sz="8" w:color="1E1E1E"/>
            </w:tcBorders>
          </w:tcPr>
          <w:p>
            <w:pPr>
              <w:spacing w:after="0"/>
              <w:rPr>
                <w:sz w:val="21"/>
                <w:szCs w:val="21"/>
                <w:color w:val="auto"/>
              </w:rPr>
            </w:pPr>
          </w:p>
        </w:tc>
        <w:tc>
          <w:tcPr>
            <w:tcW w:w="880" w:type="dxa"/>
            <w:vAlign w:val="bottom"/>
            <w:tcBorders>
              <w:bottom w:val="single" w:sz="8" w:color="1E1E1E"/>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21"/>
                <w:szCs w:val="21"/>
                <w:color w:val="auto"/>
              </w:rPr>
            </w:pPr>
          </w:p>
        </w:tc>
      </w:tr>
      <w:tr>
        <w:trPr>
          <w:trHeight w:val="213"/>
        </w:trPr>
        <w:tc>
          <w:tcPr>
            <w:tcW w:w="590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 xml:space="preserve">Segment Expenditures for Property and Equipment </w:t>
            </w:r>
            <w:r>
              <w:rPr>
                <w:rFonts w:ascii="Times New Roman" w:cs="Times New Roman" w:eastAsia="Times New Roman" w:hAnsi="Times New Roman"/>
                <w:sz w:val="12"/>
                <w:szCs w:val="12"/>
                <w:color w:val="1E1E1E"/>
              </w:rPr>
              <w:t>(1)</w:t>
            </w:r>
          </w:p>
        </w:tc>
        <w:tc>
          <w:tcPr>
            <w:tcW w:w="14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80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88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U.S.</w:t>
            </w:r>
          </w:p>
        </w:tc>
        <w:tc>
          <w:tcPr>
            <w:tcW w:w="14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1E1E1E"/>
              </w:rPr>
              <w:t>14,815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11,789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5,636</w:t>
            </w:r>
          </w:p>
        </w:tc>
        <w:tc>
          <w:tcPr>
            <w:tcW w:w="80" w:type="dxa"/>
            <w:vAlign w:val="bottom"/>
          </w:tcPr>
          <w:p>
            <w:pPr>
              <w:spacing w:after="0"/>
              <w:rPr>
                <w:sz w:val="19"/>
                <w:szCs w:val="19"/>
                <w:color w:val="auto"/>
              </w:rPr>
            </w:pPr>
          </w:p>
        </w:tc>
      </w:tr>
      <w:tr>
        <w:trPr>
          <w:trHeight w:val="223"/>
        </w:trPr>
        <w:tc>
          <w:tcPr>
            <w:tcW w:w="5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International</w:t>
            </w:r>
          </w:p>
        </w:tc>
        <w:tc>
          <w:tcPr>
            <w:tcW w:w="140" w:type="dxa"/>
            <w:vAlign w:val="bottom"/>
            <w:shd w:val="clear" w:color="auto" w:fill="E4E4E4"/>
          </w:tcPr>
          <w:p>
            <w:pPr>
              <w:spacing w:after="0"/>
              <w:rPr>
                <w:sz w:val="19"/>
                <w:szCs w:val="19"/>
                <w:color w:val="auto"/>
              </w:rPr>
            </w:pPr>
          </w:p>
        </w:tc>
        <w:tc>
          <w:tcPr>
            <w:tcW w:w="240" w:type="dxa"/>
            <w:vAlign w:val="bottom"/>
            <w:tcBorders>
              <w:bottom w:val="single" w:sz="8" w:color="1E1E1E"/>
            </w:tcBorders>
            <w:shd w:val="clear" w:color="auto" w:fill="E4E4E4"/>
          </w:tcPr>
          <w:p>
            <w:pPr>
              <w:spacing w:after="0"/>
              <w:rPr>
                <w:sz w:val="19"/>
                <w:szCs w:val="19"/>
                <w:color w:val="auto"/>
              </w:rPr>
            </w:pPr>
          </w:p>
        </w:tc>
        <w:tc>
          <w:tcPr>
            <w:tcW w:w="840" w:type="dxa"/>
            <w:vAlign w:val="bottom"/>
            <w:tcBorders>
              <w:bottom w:val="single" w:sz="8" w:color="1E1E1E"/>
            </w:tcBorders>
            <w:gridSpan w:val="3"/>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3,671</w:t>
            </w:r>
          </w:p>
        </w:tc>
        <w:tc>
          <w:tcPr>
            <w:tcW w:w="120" w:type="dxa"/>
            <w:vAlign w:val="bottom"/>
            <w:shd w:val="clear" w:color="auto" w:fill="E4E4E4"/>
          </w:tcPr>
          <w:p>
            <w:pPr>
              <w:spacing w:after="0"/>
              <w:rPr>
                <w:sz w:val="19"/>
                <w:szCs w:val="19"/>
                <w:color w:val="auto"/>
              </w:rPr>
            </w:pPr>
          </w:p>
        </w:tc>
        <w:tc>
          <w:tcPr>
            <w:tcW w:w="60" w:type="dxa"/>
            <w:vAlign w:val="bottom"/>
            <w:shd w:val="clear" w:color="auto" w:fill="E4E4E4"/>
          </w:tcPr>
          <w:p>
            <w:pPr>
              <w:spacing w:after="0"/>
              <w:rPr>
                <w:sz w:val="19"/>
                <w:szCs w:val="19"/>
                <w:color w:val="auto"/>
              </w:rPr>
            </w:pPr>
          </w:p>
        </w:tc>
        <w:tc>
          <w:tcPr>
            <w:tcW w:w="100" w:type="dxa"/>
            <w:vAlign w:val="bottom"/>
            <w:tcBorders>
              <w:bottom w:val="single" w:sz="8" w:color="1E1E1E"/>
            </w:tcBorders>
            <w:shd w:val="clear" w:color="auto" w:fill="E4E4E4"/>
          </w:tcPr>
          <w:p>
            <w:pPr>
              <w:spacing w:after="0"/>
              <w:rPr>
                <w:sz w:val="19"/>
                <w:szCs w:val="19"/>
                <w:color w:val="auto"/>
              </w:rPr>
            </w:pPr>
          </w:p>
        </w:tc>
        <w:tc>
          <w:tcPr>
            <w:tcW w:w="980" w:type="dxa"/>
            <w:vAlign w:val="bottom"/>
            <w:tcBorders>
              <w:bottom w:val="single" w:sz="8" w:color="1E1E1E"/>
            </w:tcBorders>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1,861</w:t>
            </w: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20" w:type="dxa"/>
            <w:vAlign w:val="bottom"/>
            <w:tcBorders>
              <w:bottom w:val="single" w:sz="8" w:color="1E1E1E"/>
            </w:tcBorders>
            <w:shd w:val="clear" w:color="auto" w:fill="E4E4E4"/>
          </w:tcPr>
          <w:p>
            <w:pPr>
              <w:spacing w:after="0"/>
              <w:rPr>
                <w:sz w:val="19"/>
                <w:szCs w:val="19"/>
                <w:color w:val="auto"/>
              </w:rPr>
            </w:pPr>
          </w:p>
        </w:tc>
        <w:tc>
          <w:tcPr>
            <w:tcW w:w="88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626</w:t>
            </w:r>
          </w:p>
        </w:tc>
        <w:tc>
          <w:tcPr>
            <w:tcW w:w="80" w:type="dxa"/>
            <w:vAlign w:val="bottom"/>
            <w:shd w:val="clear" w:color="auto" w:fill="E4E4E4"/>
          </w:tcPr>
          <w:p>
            <w:pPr>
              <w:spacing w:after="0"/>
              <w:rPr>
                <w:sz w:val="19"/>
                <w:szCs w:val="19"/>
                <w:color w:val="auto"/>
              </w:rPr>
            </w:pPr>
          </w:p>
        </w:tc>
      </w:tr>
      <w:tr>
        <w:trPr>
          <w:trHeight w:val="236"/>
        </w:trPr>
        <w:tc>
          <w:tcPr>
            <w:tcW w:w="5900" w:type="dxa"/>
            <w:vAlign w:val="bottom"/>
          </w:tcPr>
          <w:p>
            <w:pPr>
              <w:spacing w:after="0"/>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20"/>
                <w:szCs w:val="20"/>
                <w:color w:val="auto"/>
              </w:rPr>
            </w:pP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1E1E1E"/>
              </w:rPr>
              <w:t>18,486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1E1E1E"/>
                <w:w w:val="83"/>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13,650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6,262</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-13970</wp:posOffset>
            </wp:positionV>
            <wp:extent cx="230568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05685" cy="9525"/>
                    </a:xfrm>
                    <a:prstGeom prst="rect">
                      <a:avLst/>
                    </a:prstGeom>
                    <a:noFill/>
                  </pic:spPr>
                </pic:pic>
              </a:graphicData>
            </a:graphic>
          </wp:anchor>
        </w:drawing>
      </w:r>
    </w:p>
    <w:p>
      <w:pPr>
        <w:ind w:left="10"/>
        <w:spacing w:after="0"/>
        <w:rPr>
          <w:sz w:val="20"/>
          <w:szCs w:val="20"/>
          <w:color w:val="auto"/>
        </w:rPr>
      </w:pPr>
      <w:r>
        <w:rPr>
          <w:rFonts w:ascii="Times New Roman" w:cs="Times New Roman" w:eastAsia="Times New Roman" w:hAnsi="Times New Roman"/>
          <w:sz w:val="19"/>
          <w:szCs w:val="19"/>
          <w:color w:val="1E1E1E"/>
        </w:rPr>
        <w:t>(1) Includes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-133985</wp:posOffset>
            </wp:positionV>
            <wp:extent cx="230568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05685" cy="952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10" w:hanging="610"/>
        <w:spacing w:after="0"/>
        <w:tabs>
          <w:tab w:leader="none" w:pos="610" w:val="left"/>
        </w:tabs>
        <w:numPr>
          <w:ilvl w:val="0"/>
          <w:numId w:val="74"/>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Disaggregated Revenue and Cost of Revenue Information</w:t>
      </w:r>
    </w:p>
    <w:p>
      <w:pPr>
        <w:spacing w:after="0" w:line="202" w:lineRule="exact"/>
        <w:rPr>
          <w:sz w:val="20"/>
          <w:szCs w:val="20"/>
          <w:color w:val="auto"/>
        </w:rPr>
      </w:pPr>
    </w:p>
    <w:p>
      <w:pPr>
        <w:ind w:left="10" w:right="80" w:firstLine="601"/>
        <w:spacing w:after="0" w:line="267" w:lineRule="auto"/>
        <w:rPr>
          <w:sz w:val="20"/>
          <w:szCs w:val="20"/>
          <w:color w:val="auto"/>
        </w:rPr>
      </w:pPr>
      <w:r>
        <w:rPr>
          <w:rFonts w:ascii="Times New Roman" w:cs="Times New Roman" w:eastAsia="Times New Roman" w:hAnsi="Times New Roman"/>
          <w:sz w:val="19"/>
          <w:szCs w:val="19"/>
          <w:color w:val="1E1E1E"/>
        </w:rPr>
        <w:t>The following table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supplies.</w:t>
      </w:r>
    </w:p>
    <w:p>
      <w:pPr>
        <w:spacing w:after="0" w:line="134" w:lineRule="exact"/>
        <w:rPr>
          <w:sz w:val="20"/>
          <w:szCs w:val="20"/>
          <w:color w:val="auto"/>
        </w:rPr>
      </w:pPr>
    </w:p>
    <w:p>
      <w:pPr>
        <w:ind w:left="10" w:right="60" w:firstLine="601"/>
        <w:spacing w:after="0" w:line="243" w:lineRule="auto"/>
        <w:rPr>
          <w:sz w:val="20"/>
          <w:szCs w:val="20"/>
          <w:color w:val="auto"/>
        </w:rPr>
      </w:pPr>
      <w:r>
        <w:rPr>
          <w:rFonts w:ascii="Times New Roman" w:cs="Times New Roman" w:eastAsia="Times New Roman" w:hAnsi="Times New Roman"/>
          <w:sz w:val="19"/>
          <w:szCs w:val="19"/>
          <w:color w:val="1E1E1E"/>
        </w:rPr>
        <w:t>Revenue is presented in the following tables for the years ended December 31, 2023 and 2022 (in thousands, supplier service revenue for the year ended December 31, 2021, was not considered material):</w:t>
      </w:r>
    </w:p>
    <w:p>
      <w:pPr>
        <w:spacing w:after="0" w:line="1" w:lineRule="exact"/>
        <w:rPr>
          <w:sz w:val="20"/>
          <w:szCs w:val="20"/>
          <w:color w:val="auto"/>
        </w:rPr>
      </w:pPr>
    </w:p>
    <w:p>
      <w:pPr>
        <w:ind w:left="5450"/>
        <w:spacing w:after="0"/>
        <w:rPr>
          <w:sz w:val="20"/>
          <w:szCs w:val="20"/>
          <w:color w:val="auto"/>
        </w:rPr>
      </w:pPr>
      <w:r>
        <w:rPr>
          <w:rFonts w:ascii="Times New Roman" w:cs="Times New Roman" w:eastAsia="Times New Roman" w:hAnsi="Times New Roman"/>
          <w:sz w:val="19"/>
          <w:szCs w:val="19"/>
          <w:b w:val="1"/>
          <w:bCs w:val="1"/>
          <w:color w:val="1E1E1E"/>
        </w:rPr>
        <w:t>Year Ended December 31,</w:t>
      </w:r>
    </w:p>
    <w:tbl>
      <w:tblPr>
        <w:tblLayout w:type="fixed"/>
        <w:tblInd w:w="10" w:type="dxa"/>
        <w:tblCellMar>
          <w:top w:w="0" w:type="dxa"/>
          <w:left w:w="0" w:type="dxa"/>
          <w:bottom w:w="0" w:type="dxa"/>
          <w:right w:w="0" w:type="dxa"/>
        </w:tblCellMar>
      </w:tblPr>
      <w:tr>
        <w:trPr>
          <w:trHeight w:val="241"/>
        </w:trPr>
        <w:tc>
          <w:tcPr>
            <w:tcW w:w="32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b w:val="1"/>
                <w:bCs w:val="1"/>
                <w:color w:val="1E1E1E"/>
              </w:rPr>
              <w:t>Marketplace</w:t>
            </w:r>
          </w:p>
        </w:tc>
        <w:tc>
          <w:tcPr>
            <w:tcW w:w="120" w:type="dxa"/>
            <w:vAlign w:val="bottom"/>
            <w:tcBorders>
              <w:bottom w:val="single" w:sz="8" w:color="E4E4E4"/>
            </w:tcBorders>
          </w:tcPr>
          <w:p>
            <w:pPr>
              <w:spacing w:after="0"/>
              <w:rPr>
                <w:sz w:val="20"/>
                <w:szCs w:val="20"/>
                <w:color w:val="auto"/>
              </w:rPr>
            </w:pPr>
          </w:p>
        </w:tc>
        <w:tc>
          <w:tcPr>
            <w:tcW w:w="720" w:type="dxa"/>
            <w:vAlign w:val="bottom"/>
            <w:tcBorders>
              <w:top w:val="single" w:sz="8" w:color="1E1E1E"/>
              <w:bottom w:val="single" w:sz="8" w:color="1E1E1E"/>
            </w:tcBorders>
          </w:tcPr>
          <w:p>
            <w:pPr>
              <w:spacing w:after="0"/>
              <w:rPr>
                <w:sz w:val="20"/>
                <w:szCs w:val="20"/>
                <w:color w:val="auto"/>
              </w:rPr>
            </w:pPr>
          </w:p>
        </w:tc>
        <w:tc>
          <w:tcPr>
            <w:tcW w:w="2320" w:type="dxa"/>
            <w:vAlign w:val="bottom"/>
            <w:tcBorders>
              <w:top w:val="single" w:sz="8" w:color="1E1E1E"/>
              <w:bottom w:val="single" w:sz="8" w:color="1E1E1E"/>
            </w:tcBorders>
          </w:tcPr>
          <w:p>
            <w:pPr>
              <w:jc w:val="right"/>
              <w:ind w:right="1223"/>
              <w:spacing w:after="0"/>
              <w:rPr>
                <w:sz w:val="20"/>
                <w:szCs w:val="20"/>
                <w:color w:val="auto"/>
              </w:rPr>
            </w:pPr>
            <w:r>
              <w:rPr>
                <w:rFonts w:ascii="Times New Roman" w:cs="Times New Roman" w:eastAsia="Times New Roman" w:hAnsi="Times New Roman"/>
                <w:sz w:val="19"/>
                <w:szCs w:val="19"/>
                <w:b w:val="1"/>
                <w:bCs w:val="1"/>
                <w:color w:val="1E1E1E"/>
              </w:rPr>
              <w:t>2023</w:t>
            </w:r>
          </w:p>
        </w:tc>
        <w:tc>
          <w:tcPr>
            <w:tcW w:w="100" w:type="dxa"/>
            <w:vAlign w:val="bottom"/>
            <w:tcBorders>
              <w:top w:val="single" w:sz="8" w:color="1E1E1E"/>
              <w:bottom w:val="single" w:sz="8" w:color="E4E4E4"/>
            </w:tcBorders>
          </w:tcPr>
          <w:p>
            <w:pPr>
              <w:spacing w:after="0"/>
              <w:rPr>
                <w:sz w:val="20"/>
                <w:szCs w:val="20"/>
                <w:color w:val="auto"/>
              </w:rPr>
            </w:pPr>
          </w:p>
        </w:tc>
        <w:tc>
          <w:tcPr>
            <w:tcW w:w="120" w:type="dxa"/>
            <w:vAlign w:val="bottom"/>
            <w:tcBorders>
              <w:top w:val="single" w:sz="8" w:color="1E1E1E"/>
              <w:bottom w:val="single" w:sz="8" w:color="E4E4E4"/>
            </w:tcBorders>
          </w:tcPr>
          <w:p>
            <w:pPr>
              <w:spacing w:after="0"/>
              <w:rPr>
                <w:sz w:val="20"/>
                <w:szCs w:val="20"/>
                <w:color w:val="auto"/>
              </w:rPr>
            </w:pPr>
          </w:p>
        </w:tc>
        <w:tc>
          <w:tcPr>
            <w:tcW w:w="700" w:type="dxa"/>
            <w:vAlign w:val="bottom"/>
            <w:tcBorders>
              <w:top w:val="single" w:sz="8" w:color="1E1E1E"/>
              <w:bottom w:val="single" w:sz="8" w:color="1E1E1E"/>
            </w:tcBorders>
          </w:tcPr>
          <w:p>
            <w:pPr>
              <w:spacing w:after="0"/>
              <w:rPr>
                <w:sz w:val="20"/>
                <w:szCs w:val="20"/>
                <w:color w:val="auto"/>
              </w:rPr>
            </w:pPr>
          </w:p>
        </w:tc>
        <w:tc>
          <w:tcPr>
            <w:tcW w:w="2340" w:type="dxa"/>
            <w:vAlign w:val="bottom"/>
            <w:tcBorders>
              <w:top w:val="single" w:sz="8" w:color="1E1E1E"/>
              <w:bottom w:val="single" w:sz="8" w:color="1E1E1E"/>
            </w:tcBorders>
          </w:tcPr>
          <w:p>
            <w:pPr>
              <w:jc w:val="right"/>
              <w:ind w:right="1243"/>
              <w:spacing w:after="0"/>
              <w:rPr>
                <w:sz w:val="20"/>
                <w:szCs w:val="20"/>
                <w:color w:val="auto"/>
              </w:rPr>
            </w:pPr>
            <w:r>
              <w:rPr>
                <w:rFonts w:ascii="Times New Roman" w:cs="Times New Roman" w:eastAsia="Times New Roman" w:hAnsi="Times New Roman"/>
                <w:sz w:val="19"/>
                <w:szCs w:val="19"/>
                <w:b w:val="1"/>
                <w:bCs w:val="1"/>
                <w:color w:val="1E1E1E"/>
              </w:rPr>
              <w:t>2022</w:t>
            </w:r>
          </w:p>
        </w:tc>
        <w:tc>
          <w:tcPr>
            <w:tcW w:w="8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Revenue</w:t>
            </w:r>
          </w:p>
        </w:tc>
        <w:tc>
          <w:tcPr>
            <w:tcW w:w="120" w:type="dxa"/>
            <w:vAlign w:val="bottom"/>
            <w:shd w:val="clear" w:color="auto" w:fill="E4E4E4"/>
          </w:tcPr>
          <w:p>
            <w:pPr>
              <w:spacing w:after="0"/>
              <w:rPr>
                <w:sz w:val="18"/>
                <w:szCs w:val="18"/>
                <w:color w:val="auto"/>
              </w:rPr>
            </w:pPr>
          </w:p>
        </w:tc>
        <w:tc>
          <w:tcPr>
            <w:tcW w:w="720" w:type="dxa"/>
            <w:vAlign w:val="bottom"/>
            <w:shd w:val="clear" w:color="auto" w:fill="E4E4E4"/>
          </w:tcPr>
          <w:p>
            <w:pPr>
              <w:jc w:val="right"/>
              <w:ind w:right="5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2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394,754</w:t>
            </w:r>
          </w:p>
        </w:tc>
        <w:tc>
          <w:tcPr>
            <w:tcW w:w="1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700" w:type="dxa"/>
            <w:vAlign w:val="bottom"/>
            <w:shd w:val="clear" w:color="auto" w:fill="E4E4E4"/>
          </w:tcPr>
          <w:p>
            <w:pPr>
              <w:jc w:val="right"/>
              <w:ind w:right="5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303,223</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6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20" w:type="dxa"/>
            <w:vAlign w:val="bottom"/>
            <w:tcBorders>
              <w:bottom w:val="single" w:sz="8" w:color="E4E4E4"/>
            </w:tcBorders>
          </w:tcPr>
          <w:p>
            <w:pPr>
              <w:spacing w:after="0"/>
              <w:rPr>
                <w:sz w:val="19"/>
                <w:szCs w:val="19"/>
                <w:color w:val="auto"/>
              </w:rPr>
            </w:pPr>
          </w:p>
        </w:tc>
        <w:tc>
          <w:tcPr>
            <w:tcW w:w="720" w:type="dxa"/>
            <w:vAlign w:val="bottom"/>
            <w:tcBorders>
              <w:bottom w:val="single" w:sz="8" w:color="1E1E1E"/>
            </w:tcBorders>
          </w:tcPr>
          <w:p>
            <w:pPr>
              <w:spacing w:after="0"/>
              <w:rPr>
                <w:sz w:val="19"/>
                <w:szCs w:val="19"/>
                <w:color w:val="auto"/>
              </w:rPr>
            </w:pPr>
          </w:p>
        </w:tc>
        <w:tc>
          <w:tcPr>
            <w:tcW w:w="232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273,264</w:t>
            </w:r>
          </w:p>
        </w:tc>
        <w:tc>
          <w:tcPr>
            <w:tcW w:w="100" w:type="dxa"/>
            <w:vAlign w:val="bottom"/>
            <w:tcBorders>
              <w:bottom w:val="single" w:sz="8" w:color="E4E4E4"/>
            </w:tcBorders>
          </w:tcPr>
          <w:p>
            <w:pPr>
              <w:spacing w:after="0"/>
              <w:rPr>
                <w:sz w:val="19"/>
                <w:szCs w:val="19"/>
                <w:color w:val="auto"/>
              </w:rPr>
            </w:pPr>
          </w:p>
        </w:tc>
        <w:tc>
          <w:tcPr>
            <w:tcW w:w="120" w:type="dxa"/>
            <w:vAlign w:val="bottom"/>
            <w:tcBorders>
              <w:bottom w:val="single" w:sz="8" w:color="E4E4E4"/>
            </w:tcBorders>
          </w:tcPr>
          <w:p>
            <w:pPr>
              <w:spacing w:after="0"/>
              <w:rPr>
                <w:sz w:val="19"/>
                <w:szCs w:val="19"/>
                <w:color w:val="auto"/>
              </w:rPr>
            </w:pPr>
          </w:p>
        </w:tc>
        <w:tc>
          <w:tcPr>
            <w:tcW w:w="700" w:type="dxa"/>
            <w:vAlign w:val="bottom"/>
            <w:tcBorders>
              <w:bottom w:val="single" w:sz="8" w:color="1E1E1E"/>
            </w:tcBorders>
          </w:tcPr>
          <w:p>
            <w:pPr>
              <w:spacing w:after="0"/>
              <w:rPr>
                <w:sz w:val="19"/>
                <w:szCs w:val="19"/>
                <w:color w:val="auto"/>
              </w:rPr>
            </w:pPr>
          </w:p>
        </w:tc>
        <w:tc>
          <w:tcPr>
            <w:tcW w:w="2340" w:type="dxa"/>
            <w:vAlign w:val="bottom"/>
            <w:tcBorders>
              <w:bottom w:val="single" w:sz="8" w:color="1E1E1E"/>
            </w:tcBorders>
          </w:tcPr>
          <w:p>
            <w:pPr>
              <w:jc w:val="right"/>
              <w:spacing w:after="0"/>
              <w:rPr>
                <w:sz w:val="20"/>
                <w:szCs w:val="20"/>
                <w:color w:val="auto"/>
              </w:rPr>
            </w:pPr>
            <w:r>
              <w:rPr>
                <w:rFonts w:ascii="Times New Roman" w:cs="Times New Roman" w:eastAsia="Times New Roman" w:hAnsi="Times New Roman"/>
                <w:sz w:val="19"/>
                <w:szCs w:val="19"/>
                <w:color w:val="1E1E1E"/>
              </w:rPr>
              <w:t>217,779</w:t>
            </w: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120" w:type="dxa"/>
            <w:vAlign w:val="bottom"/>
            <w:shd w:val="clear" w:color="auto" w:fill="E4E4E4"/>
          </w:tcPr>
          <w:p>
            <w:pPr>
              <w:spacing w:after="0"/>
              <w:rPr>
                <w:sz w:val="18"/>
                <w:szCs w:val="18"/>
                <w:color w:val="auto"/>
              </w:rPr>
            </w:pPr>
          </w:p>
        </w:tc>
        <w:tc>
          <w:tcPr>
            <w:tcW w:w="720" w:type="dxa"/>
            <w:vAlign w:val="bottom"/>
            <w:tcBorders>
              <w:bottom w:val="single" w:sz="8" w:color="1E1E1E"/>
            </w:tcBorders>
            <w:shd w:val="clear" w:color="auto" w:fill="E4E4E4"/>
          </w:tcPr>
          <w:p>
            <w:pPr>
              <w:jc w:val="right"/>
              <w:ind w:right="5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2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121,490</w:t>
            </w:r>
          </w:p>
        </w:tc>
        <w:tc>
          <w:tcPr>
            <w:tcW w:w="1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700" w:type="dxa"/>
            <w:vAlign w:val="bottom"/>
            <w:tcBorders>
              <w:bottom w:val="single" w:sz="8" w:color="1E1E1E"/>
            </w:tcBorders>
            <w:shd w:val="clear" w:color="auto" w:fill="E4E4E4"/>
          </w:tcPr>
          <w:p>
            <w:pPr>
              <w:jc w:val="right"/>
              <w:ind w:right="5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40" w:type="dxa"/>
            <w:vAlign w:val="bottom"/>
            <w:tcBorders>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85,444</w:t>
            </w:r>
          </w:p>
        </w:tc>
        <w:tc>
          <w:tcPr>
            <w:tcW w:w="8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1E1E1E"/>
              </w:rPr>
              <w:t>Supplier Services</w:t>
            </w:r>
          </w:p>
        </w:tc>
        <w:tc>
          <w:tcPr>
            <w:tcW w:w="120" w:type="dxa"/>
            <w:vAlign w:val="bottom"/>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3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23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Revenue</w:t>
            </w:r>
          </w:p>
        </w:tc>
        <w:tc>
          <w:tcPr>
            <w:tcW w:w="840" w:type="dxa"/>
            <w:vAlign w:val="bottom"/>
            <w:gridSpan w:val="2"/>
            <w:shd w:val="clear" w:color="auto" w:fill="E4E4E4"/>
          </w:tcPr>
          <w:p>
            <w:pPr>
              <w:jc w:val="right"/>
              <w:ind w:right="523"/>
              <w:spacing w:after="0"/>
              <w:rPr>
                <w:sz w:val="20"/>
                <w:szCs w:val="20"/>
                <w:color w:val="auto"/>
              </w:rPr>
            </w:pPr>
            <w:r>
              <w:rPr>
                <w:rFonts w:ascii="Times New Roman" w:cs="Times New Roman" w:eastAsia="Times New Roman" w:hAnsi="Times New Roman"/>
                <w:sz w:val="19"/>
                <w:szCs w:val="19"/>
                <w:color w:val="1E1E1E"/>
              </w:rPr>
              <w:t>$</w:t>
            </w:r>
          </w:p>
        </w:tc>
        <w:tc>
          <w:tcPr>
            <w:tcW w:w="242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19"/>
                <w:szCs w:val="19"/>
                <w:color w:val="1E1E1E"/>
              </w:rPr>
              <w:t>68,652</w:t>
            </w:r>
          </w:p>
        </w:tc>
        <w:tc>
          <w:tcPr>
            <w:tcW w:w="820" w:type="dxa"/>
            <w:vAlign w:val="bottom"/>
            <w:gridSpan w:val="2"/>
            <w:shd w:val="clear" w:color="auto" w:fill="E4E4E4"/>
          </w:tcPr>
          <w:p>
            <w:pPr>
              <w:jc w:val="right"/>
              <w:ind w:right="503"/>
              <w:spacing w:after="0"/>
              <w:rPr>
                <w:sz w:val="20"/>
                <w:szCs w:val="20"/>
                <w:color w:val="auto"/>
              </w:rPr>
            </w:pPr>
            <w:r>
              <w:rPr>
                <w:rFonts w:ascii="Times New Roman" w:cs="Times New Roman" w:eastAsia="Times New Roman" w:hAnsi="Times New Roman"/>
                <w:sz w:val="19"/>
                <w:szCs w:val="19"/>
                <w:color w:val="1E1E1E"/>
              </w:rPr>
              <w:t>$</w:t>
            </w:r>
          </w:p>
        </w:tc>
        <w:tc>
          <w:tcPr>
            <w:tcW w:w="23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77,698</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spacing w:after="0"/>
              <w:rPr>
                <w:sz w:val="20"/>
                <w:szCs w:val="20"/>
                <w:color w:val="auto"/>
              </w:rPr>
            </w:pPr>
            <w:r>
              <w:rPr>
                <w:rFonts w:ascii="Times New Roman" w:cs="Times New Roman" w:eastAsia="Times New Roman" w:hAnsi="Times New Roman"/>
                <w:sz w:val="19"/>
                <w:szCs w:val="19"/>
                <w:color w:val="1E1E1E"/>
              </w:rPr>
              <w:t>Cost of revenue</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1E1E1E"/>
              </w:rPr>
              <w:t>11,883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17,151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6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Gross Profit</w:t>
            </w:r>
          </w:p>
        </w:tc>
        <w:tc>
          <w:tcPr>
            <w:tcW w:w="120" w:type="dxa"/>
            <w:vAlign w:val="bottom"/>
            <w:tcBorders>
              <w:top w:val="single" w:sz="8" w:color="E4E4E4"/>
            </w:tcBorders>
            <w:shd w:val="clear" w:color="auto" w:fill="E4E4E4"/>
          </w:tcPr>
          <w:p>
            <w:pPr>
              <w:spacing w:after="0"/>
              <w:rPr>
                <w:sz w:val="18"/>
                <w:szCs w:val="18"/>
                <w:color w:val="auto"/>
              </w:rPr>
            </w:pPr>
          </w:p>
        </w:tc>
        <w:tc>
          <w:tcPr>
            <w:tcW w:w="720" w:type="dxa"/>
            <w:vAlign w:val="bottom"/>
            <w:tcBorders>
              <w:top w:val="single" w:sz="8" w:color="1E1E1E"/>
              <w:bottom w:val="single" w:sz="8" w:color="1E1E1E"/>
            </w:tcBorders>
            <w:shd w:val="clear" w:color="auto" w:fill="E4E4E4"/>
          </w:tcPr>
          <w:p>
            <w:pPr>
              <w:jc w:val="right"/>
              <w:ind w:right="52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2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56,769</w:t>
            </w:r>
          </w:p>
        </w:tc>
        <w:tc>
          <w:tcPr>
            <w:tcW w:w="10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E4E4E4"/>
            </w:tcBorders>
            <w:shd w:val="clear" w:color="auto" w:fill="E4E4E4"/>
          </w:tcPr>
          <w:p>
            <w:pPr>
              <w:spacing w:after="0"/>
              <w:rPr>
                <w:sz w:val="18"/>
                <w:szCs w:val="18"/>
                <w:color w:val="auto"/>
              </w:rPr>
            </w:pPr>
          </w:p>
        </w:tc>
        <w:tc>
          <w:tcPr>
            <w:tcW w:w="700" w:type="dxa"/>
            <w:vAlign w:val="bottom"/>
            <w:tcBorders>
              <w:top w:val="single" w:sz="8" w:color="1E1E1E"/>
              <w:bottom w:val="single" w:sz="8" w:color="1E1E1E"/>
            </w:tcBorders>
            <w:shd w:val="clear" w:color="auto" w:fill="E4E4E4"/>
          </w:tcPr>
          <w:p>
            <w:pPr>
              <w:jc w:val="right"/>
              <w:ind w:right="5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23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60,547</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3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1E1E1E"/>
            </w:tcBorders>
          </w:tcPr>
          <w:p>
            <w:pPr>
              <w:spacing w:after="0" w:line="20" w:lineRule="exact"/>
              <w:rPr>
                <w:sz w:val="1"/>
                <w:szCs w:val="1"/>
                <w:color w:val="auto"/>
              </w:rPr>
            </w:pPr>
          </w:p>
        </w:tc>
        <w:tc>
          <w:tcPr>
            <w:tcW w:w="23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770"/>
          </w:cols>
          <w:pgMar w:left="1050" w:top="1352" w:right="10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1E1E1E"/>
        </w:rPr>
        <w:t>100</w:t>
      </w:r>
    </w:p>
    <w:p>
      <w:pPr>
        <w:sectPr>
          <w:pgSz w:w="11880" w:h="15480" w:orient="portrait"/>
          <w:cols w:equalWidth="0" w:num="1">
            <w:col w:w="9770"/>
          </w:cols>
          <w:pgMar w:left="1050" w:top="1352" w:right="1060" w:bottom="227" w:gutter="0" w:footer="0" w:header="0"/>
          <w:type w:val="continuous"/>
        </w:sectPr>
      </w:pPr>
    </w:p>
    <w:bookmarkStart w:id="106" w:name="page107"/>
    <w:bookmarkEnd w:id="106"/>
    <w:p>
      <w:pPr>
        <w:ind w:left="610" w:hanging="610"/>
        <w:spacing w:after="0"/>
        <w:tabs>
          <w:tab w:leader="none" w:pos="610" w:val="left"/>
        </w:tabs>
        <w:numPr>
          <w:ilvl w:val="0"/>
          <w:numId w:val="75"/>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Goodwill and Intangible Assets</w:t>
      </w:r>
    </w:p>
    <w:p>
      <w:pPr>
        <w:spacing w:after="0" w:line="124" w:lineRule="exact"/>
        <w:rPr>
          <w:rFonts w:ascii="Times New Roman" w:cs="Times New Roman" w:eastAsia="Times New Roman" w:hAnsi="Times New Roman"/>
          <w:sz w:val="19"/>
          <w:szCs w:val="19"/>
          <w:b w:val="1"/>
          <w:bCs w:val="1"/>
          <w:color w:val="1E1E1E"/>
        </w:rPr>
      </w:pPr>
    </w:p>
    <w:p>
      <w:pPr>
        <w:ind w:left="610"/>
        <w:spacing w:after="0"/>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color w:val="1E1E1E"/>
        </w:rPr>
        <w:t>The following tables summarize the Company’s intangible assets (dollars in thousands):</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20" w:type="dxa"/>
            <w:vAlign w:val="bottom"/>
            <w:tcBorders>
              <w:bottom w:val="single" w:sz="8" w:color="1E1E1E"/>
            </w:tcBorders>
          </w:tcPr>
          <w:p>
            <w:pPr>
              <w:spacing w:after="0"/>
              <w:rPr>
                <w:sz w:val="17"/>
                <w:szCs w:val="17"/>
                <w:color w:val="auto"/>
              </w:rPr>
            </w:pPr>
          </w:p>
        </w:tc>
        <w:tc>
          <w:tcPr>
            <w:tcW w:w="120" w:type="dxa"/>
            <w:vAlign w:val="bottom"/>
            <w:tcBorders>
              <w:bottom w:val="single" w:sz="8" w:color="1E1E1E"/>
            </w:tcBorders>
          </w:tcPr>
          <w:p>
            <w:pPr>
              <w:spacing w:after="0"/>
              <w:rPr>
                <w:sz w:val="17"/>
                <w:szCs w:val="17"/>
                <w:color w:val="auto"/>
              </w:rPr>
            </w:pPr>
          </w:p>
        </w:tc>
        <w:tc>
          <w:tcPr>
            <w:tcW w:w="160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460" w:type="dxa"/>
            <w:vAlign w:val="bottom"/>
            <w:tcBorders>
              <w:bottom w:val="single" w:sz="8" w:color="1E1E1E"/>
            </w:tcBorders>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160" w:type="dxa"/>
            <w:vAlign w:val="bottom"/>
            <w:tcBorders>
              <w:bottom w:val="single" w:sz="8" w:color="1E1E1E"/>
            </w:tcBorders>
          </w:tcPr>
          <w:p>
            <w:pPr>
              <w:spacing w:after="0"/>
              <w:rPr>
                <w:sz w:val="17"/>
                <w:szCs w:val="17"/>
                <w:color w:val="auto"/>
              </w:rPr>
            </w:pPr>
          </w:p>
        </w:tc>
        <w:tc>
          <w:tcPr>
            <w:tcW w:w="84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1E1E1E"/>
                <w:w w:val="97"/>
              </w:rPr>
              <w:t>Weighted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average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60"/>
              <w:spacing w:after="0" w:line="178" w:lineRule="exact"/>
              <w:rPr>
                <w:sz w:val="20"/>
                <w:szCs w:val="20"/>
                <w:color w:val="auto"/>
              </w:rPr>
            </w:pPr>
            <w:r>
              <w:rPr>
                <w:rFonts w:ascii="Times New Roman" w:cs="Times New Roman" w:eastAsia="Times New Roman" w:hAnsi="Times New Roman"/>
                <w:sz w:val="16"/>
                <w:szCs w:val="16"/>
                <w:b w:val="1"/>
                <w:bCs w:val="1"/>
                <w:color w:val="1E1E1E"/>
                <w:w w:val="94"/>
              </w:rPr>
              <w:t>Gross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1E1E1E"/>
                <w:w w:val="99"/>
              </w:rPr>
              <w:t>Net</w:t>
            </w: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period 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60"/>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carrying</w:t>
            </w:r>
          </w:p>
        </w:tc>
        <w:tc>
          <w:tcPr>
            <w:tcW w:w="200" w:type="dxa"/>
            <w:vAlign w:val="bottom"/>
          </w:tcPr>
          <w:p>
            <w:pPr>
              <w:spacing w:after="0"/>
              <w:rPr>
                <w:sz w:val="15"/>
                <w:szCs w:val="15"/>
                <w:color w:val="auto"/>
              </w:rPr>
            </w:pPr>
          </w:p>
        </w:tc>
        <w:tc>
          <w:tcPr>
            <w:tcW w:w="100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1E1E1E"/>
              </w:rPr>
              <w:t>Accumulated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carrying</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3"/>
              </w:rPr>
              <w:t>years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1E1E1E"/>
                <w:w w:val="95"/>
              </w:rPr>
              <w:t>amount</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w w:val="95"/>
              </w:rPr>
              <w:t>amount</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top w:val="single" w:sz="8" w:color="1E1E1E"/>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top w:val="single" w:sz="8" w:color="1E1E1E"/>
            </w:tcBorders>
          </w:tcPr>
          <w:p>
            <w:pPr>
              <w:spacing w:after="0"/>
              <w:rPr>
                <w:sz w:val="14"/>
                <w:szCs w:val="14"/>
                <w:color w:val="auto"/>
              </w:rPr>
            </w:pPr>
          </w:p>
        </w:tc>
        <w:tc>
          <w:tcPr>
            <w:tcW w:w="460" w:type="dxa"/>
            <w:vAlign w:val="bottom"/>
            <w:tcBorders>
              <w:top w:val="single" w:sz="8" w:color="1E1E1E"/>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1E1E1E"/>
            </w:tcBorders>
          </w:tcPr>
          <w:p>
            <w:pPr>
              <w:spacing w:after="0"/>
              <w:rPr>
                <w:sz w:val="14"/>
                <w:szCs w:val="14"/>
                <w:color w:val="auto"/>
              </w:rPr>
            </w:pPr>
          </w:p>
        </w:tc>
        <w:tc>
          <w:tcPr>
            <w:tcW w:w="840" w:type="dxa"/>
            <w:vAlign w:val="bottom"/>
            <w:tcBorders>
              <w:top w:val="single" w:sz="8" w:color="1E1E1E"/>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Intangible Assets</w:t>
            </w:r>
          </w:p>
        </w:tc>
        <w:tc>
          <w:tcPr>
            <w:tcW w:w="1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Amortizing intangible 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Customer Relationships</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15</w:t>
            </w:r>
          </w:p>
        </w:tc>
        <w:tc>
          <w:tcPr>
            <w:tcW w:w="140" w:type="dxa"/>
            <w:vAlign w:val="bottom"/>
            <w:gridSpan w:val="2"/>
            <w:shd w:val="clear" w:color="auto" w:fill="E4E4E4"/>
          </w:tcPr>
          <w:p>
            <w:pPr>
              <w:jc w:val="right"/>
              <w:ind w:right="6"/>
              <w:spacing w:after="0"/>
              <w:rPr>
                <w:sz w:val="20"/>
                <w:szCs w:val="20"/>
                <w:color w:val="auto"/>
              </w:rPr>
            </w:pPr>
            <w:r>
              <w:rPr>
                <w:rFonts w:ascii="Times New Roman" w:cs="Times New Roman" w:eastAsia="Times New Roman" w:hAnsi="Times New Roman"/>
                <w:sz w:val="17"/>
                <w:szCs w:val="17"/>
                <w:color w:val="1E1E1E"/>
                <w:w w:val="70"/>
              </w:rPr>
              <w:t>$</w:t>
            </w: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36,600</w:t>
            </w:r>
          </w:p>
        </w:tc>
        <w:tc>
          <w:tcPr>
            <w:tcW w:w="740" w:type="dxa"/>
            <w:vAlign w:val="bottom"/>
            <w:gridSpan w:val="2"/>
            <w:shd w:val="clear" w:color="auto" w:fill="E4E4E4"/>
          </w:tcPr>
          <w:p>
            <w:pPr>
              <w:jc w:val="right"/>
              <w:ind w:right="359"/>
              <w:spacing w:after="0"/>
              <w:rPr>
                <w:sz w:val="20"/>
                <w:szCs w:val="20"/>
                <w:color w:val="auto"/>
              </w:rPr>
            </w:pPr>
            <w:r>
              <w:rPr>
                <w:rFonts w:ascii="Times New Roman" w:cs="Times New Roman" w:eastAsia="Times New Roman" w:hAnsi="Times New Roman"/>
                <w:sz w:val="19"/>
                <w:szCs w:val="19"/>
                <w:color w:val="1E1E1E"/>
              </w:rPr>
              <w:t>$</w:t>
            </w: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5,030</w:t>
            </w:r>
          </w:p>
        </w:tc>
        <w:tc>
          <w:tcPr>
            <w:tcW w:w="3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31,570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Trade Names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800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Developed Technology</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5</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739</w:t>
            </w: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349</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390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Vendor Relationships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1,273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Database</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5</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2,400</w:t>
            </w: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990</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1,410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Patents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157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Borders>
              <w:top w:val="single" w:sz="8" w:color="E4E4E4"/>
            </w:tcBorders>
            <w:shd w:val="clear" w:color="auto" w:fill="E4E4E4"/>
          </w:tcPr>
          <w:p>
            <w:pPr>
              <w:ind w:left="580"/>
              <w:spacing w:after="0" w:line="213" w:lineRule="exact"/>
              <w:rPr>
                <w:sz w:val="20"/>
                <w:szCs w:val="20"/>
                <w:color w:val="auto"/>
              </w:rPr>
            </w:pPr>
            <w:r>
              <w:rPr>
                <w:rFonts w:ascii="Times New Roman" w:cs="Times New Roman" w:eastAsia="Times New Roman" w:hAnsi="Times New Roman"/>
                <w:sz w:val="19"/>
                <w:szCs w:val="19"/>
                <w:color w:val="1E1E1E"/>
              </w:rPr>
              <w:t>Subtotal intangible assets</w:t>
            </w:r>
          </w:p>
        </w:tc>
        <w:tc>
          <w:tcPr>
            <w:tcW w:w="10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E4E4E4"/>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41,969</w:t>
            </w:r>
          </w:p>
        </w:tc>
        <w:tc>
          <w:tcPr>
            <w:tcW w:w="20" w:type="dxa"/>
            <w:vAlign w:val="bottom"/>
            <w:tcBorders>
              <w:top w:val="single" w:sz="8" w:color="E4E4E4"/>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540" w:type="dxa"/>
            <w:vAlign w:val="bottom"/>
            <w:tcBorders>
              <w:top w:val="single" w:sz="8" w:color="1E1E1E"/>
            </w:tcBorders>
            <w:shd w:val="clear" w:color="auto" w:fill="E4E4E4"/>
          </w:tcPr>
          <w:p>
            <w:pPr>
              <w:spacing w:after="0"/>
              <w:rPr>
                <w:sz w:val="18"/>
                <w:szCs w:val="18"/>
                <w:color w:val="auto"/>
              </w:rPr>
            </w:pPr>
          </w:p>
        </w:tc>
        <w:tc>
          <w:tcPr>
            <w:tcW w:w="4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6,921</w:t>
            </w:r>
          </w:p>
        </w:tc>
        <w:tc>
          <w:tcPr>
            <w:tcW w:w="22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35,048</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In-place Lease Intangible Asset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Above Market Lease Intangible Asset</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4</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896</w:t>
            </w: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457</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439</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580"/>
              <w:spacing w:after="0" w:line="213" w:lineRule="exact"/>
              <w:rPr>
                <w:sz w:val="20"/>
                <w:szCs w:val="20"/>
                <w:color w:val="auto"/>
              </w:rPr>
            </w:pPr>
            <w:r>
              <w:rPr>
                <w:rFonts w:ascii="Times New Roman" w:cs="Times New Roman" w:eastAsia="Times New Roman" w:hAnsi="Times New Roman"/>
                <w:sz w:val="19"/>
                <w:szCs w:val="19"/>
                <w:color w:val="1E1E1E"/>
              </w:rPr>
              <w:t>Total intangible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1E1E1E"/>
              <w:bottom w:val="single" w:sz="8" w:color="1E1E1E"/>
            </w:tcBorders>
          </w:tcPr>
          <w:p>
            <w:pPr>
              <w:jc w:val="right"/>
              <w:ind w:right="6"/>
              <w:spacing w:after="0"/>
              <w:rPr>
                <w:sz w:val="20"/>
                <w:szCs w:val="20"/>
                <w:color w:val="auto"/>
              </w:rPr>
            </w:pPr>
            <w:r>
              <w:rPr>
                <w:rFonts w:ascii="Times New Roman" w:cs="Times New Roman" w:eastAsia="Times New Roman" w:hAnsi="Times New Roman"/>
                <w:sz w:val="11"/>
                <w:szCs w:val="11"/>
                <w:color w:val="1E1E1E"/>
                <w:w w:val="71"/>
              </w:rPr>
              <w:t>$</w:t>
            </w:r>
          </w:p>
        </w:tc>
        <w:tc>
          <w:tcPr>
            <w:tcW w:w="8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43,433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1E1E1E"/>
              <w:bottom w:val="single" w:sz="8" w:color="1E1E1E"/>
            </w:tcBorders>
          </w:tcPr>
          <w:p>
            <w:pPr>
              <w:jc w:val="right"/>
              <w:ind w:right="359"/>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4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7,665</w:t>
            </w:r>
          </w:p>
        </w:tc>
        <w:tc>
          <w:tcPr>
            <w:tcW w:w="220" w:type="dxa"/>
            <w:vAlign w:val="bottom"/>
          </w:tcPr>
          <w:p>
            <w:pPr>
              <w:spacing w:after="0"/>
              <w:rPr>
                <w:sz w:val="18"/>
                <w:szCs w:val="18"/>
                <w:color w:val="auto"/>
              </w:rPr>
            </w:pPr>
          </w:p>
        </w:tc>
        <w:tc>
          <w:tcPr>
            <w:tcW w:w="1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35,768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120" w:type="dxa"/>
            <w:vAlign w:val="bottom"/>
            <w:tcBorders>
              <w:bottom w:val="single" w:sz="8" w:color="1E1E1E"/>
            </w:tcBorders>
          </w:tcPr>
          <w:p>
            <w:pPr>
              <w:spacing w:after="0"/>
              <w:rPr>
                <w:sz w:val="24"/>
                <w:szCs w:val="24"/>
                <w:color w:val="auto"/>
              </w:rPr>
            </w:pPr>
          </w:p>
        </w:tc>
        <w:tc>
          <w:tcPr>
            <w:tcW w:w="1600" w:type="dxa"/>
            <w:vAlign w:val="bottom"/>
            <w:tcBorders>
              <w:bottom w:val="single" w:sz="8" w:color="1E1E1E"/>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 2022</w:t>
            </w:r>
          </w:p>
        </w:tc>
        <w:tc>
          <w:tcPr>
            <w:tcW w:w="460" w:type="dxa"/>
            <w:vAlign w:val="bottom"/>
            <w:tcBorders>
              <w:bottom w:val="single" w:sz="8" w:color="1E1E1E"/>
            </w:tcBorders>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16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6"/>
                <w:szCs w:val="16"/>
                <w:b w:val="1"/>
                <w:bCs w:val="1"/>
                <w:color w:val="1E1E1E"/>
                <w:w w:val="97"/>
              </w:rPr>
              <w:t>Weighted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average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1E1E1E"/>
                <w:w w:val="94"/>
              </w:rPr>
              <w:t>Gross</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9"/>
              </w:rPr>
              <w:t>Net</w:t>
            </w: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4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period in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60"/>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carrying</w:t>
            </w:r>
          </w:p>
        </w:tc>
        <w:tc>
          <w:tcPr>
            <w:tcW w:w="200" w:type="dxa"/>
            <w:vAlign w:val="bottom"/>
          </w:tcPr>
          <w:p>
            <w:pPr>
              <w:spacing w:after="0"/>
              <w:rPr>
                <w:sz w:val="15"/>
                <w:szCs w:val="15"/>
                <w:color w:val="auto"/>
              </w:rPr>
            </w:pPr>
          </w:p>
        </w:tc>
        <w:tc>
          <w:tcPr>
            <w:tcW w:w="100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6"/>
                <w:szCs w:val="16"/>
                <w:b w:val="1"/>
                <w:bCs w:val="1"/>
                <w:color w:val="1E1E1E"/>
              </w:rPr>
              <w:t>Accumulated</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260"/>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carrying</w:t>
            </w:r>
          </w:p>
        </w:tc>
        <w:tc>
          <w:tcPr>
            <w:tcW w:w="0" w:type="dxa"/>
            <w:vAlign w:val="bottom"/>
          </w:tcPr>
          <w:p>
            <w:pPr>
              <w:spacing w:after="0"/>
              <w:rPr>
                <w:sz w:val="1"/>
                <w:szCs w:val="1"/>
                <w:color w:val="auto"/>
              </w:rPr>
            </w:pPr>
          </w:p>
        </w:tc>
      </w:tr>
      <w:tr>
        <w:trPr>
          <w:trHeight w:val="197"/>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3"/>
              </w:rPr>
              <w:t>years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1E1E1E"/>
                <w:w w:val="95"/>
              </w:rPr>
              <w:t>amount</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w w:val="95"/>
              </w:rPr>
              <w:t>amount</w:t>
            </w:r>
          </w:p>
        </w:tc>
        <w:tc>
          <w:tcPr>
            <w:tcW w:w="0" w:type="dxa"/>
            <w:vAlign w:val="bottom"/>
          </w:tcPr>
          <w:p>
            <w:pPr>
              <w:spacing w:after="0"/>
              <w:rPr>
                <w:sz w:val="1"/>
                <w:szCs w:val="1"/>
                <w:color w:val="auto"/>
              </w:rPr>
            </w:pPr>
          </w:p>
        </w:tc>
      </w:tr>
      <w:tr>
        <w:trPr>
          <w:trHeight w:val="213"/>
        </w:trPr>
        <w:tc>
          <w:tcPr>
            <w:tcW w:w="4900" w:type="dxa"/>
            <w:vAlign w:val="bottom"/>
            <w:tcBorders>
              <w:top w:val="single" w:sz="8" w:color="E4E4E4"/>
            </w:tcBorders>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Intangible Assets</w:t>
            </w:r>
          </w:p>
        </w:tc>
        <w:tc>
          <w:tcPr>
            <w:tcW w:w="10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1E1E1E"/>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540" w:type="dxa"/>
            <w:vAlign w:val="bottom"/>
            <w:tcBorders>
              <w:top w:val="single" w:sz="8" w:color="1E1E1E"/>
            </w:tcBorders>
            <w:shd w:val="clear" w:color="auto" w:fill="E4E4E4"/>
          </w:tcPr>
          <w:p>
            <w:pPr>
              <w:spacing w:after="0"/>
              <w:rPr>
                <w:sz w:val="18"/>
                <w:szCs w:val="18"/>
                <w:color w:val="auto"/>
              </w:rPr>
            </w:pPr>
          </w:p>
        </w:tc>
        <w:tc>
          <w:tcPr>
            <w:tcW w:w="460" w:type="dxa"/>
            <w:vAlign w:val="bottom"/>
            <w:tcBorders>
              <w:top w:val="single" w:sz="8" w:color="1E1E1E"/>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spacing w:after="0"/>
              <w:rPr>
                <w:sz w:val="18"/>
                <w:szCs w:val="18"/>
                <w:color w:val="auto"/>
              </w:rPr>
            </w:pP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Times New Roman" w:cs="Times New Roman" w:eastAsia="Times New Roman" w:hAnsi="Times New Roman"/>
                <w:sz w:val="19"/>
                <w:szCs w:val="19"/>
                <w:color w:val="1E1E1E"/>
              </w:rPr>
              <w:t>Amortizing intangible assets: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Customer Relationships</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15</w:t>
            </w:r>
          </w:p>
        </w:tc>
        <w:tc>
          <w:tcPr>
            <w:tcW w:w="140" w:type="dxa"/>
            <w:vAlign w:val="bottom"/>
            <w:gridSpan w:val="2"/>
            <w:shd w:val="clear" w:color="auto" w:fill="E4E4E4"/>
          </w:tcPr>
          <w:p>
            <w:pPr>
              <w:jc w:val="right"/>
              <w:ind w:right="6"/>
              <w:spacing w:after="0"/>
              <w:rPr>
                <w:sz w:val="20"/>
                <w:szCs w:val="20"/>
                <w:color w:val="auto"/>
              </w:rPr>
            </w:pPr>
            <w:r>
              <w:rPr>
                <w:rFonts w:ascii="Times New Roman" w:cs="Times New Roman" w:eastAsia="Times New Roman" w:hAnsi="Times New Roman"/>
                <w:sz w:val="17"/>
                <w:szCs w:val="17"/>
                <w:color w:val="1E1E1E"/>
                <w:w w:val="70"/>
              </w:rPr>
              <w:t>$</w:t>
            </w: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36,652</w:t>
            </w:r>
          </w:p>
        </w:tc>
        <w:tc>
          <w:tcPr>
            <w:tcW w:w="740" w:type="dxa"/>
            <w:vAlign w:val="bottom"/>
            <w:gridSpan w:val="2"/>
            <w:shd w:val="clear" w:color="auto" w:fill="E4E4E4"/>
          </w:tcPr>
          <w:p>
            <w:pPr>
              <w:jc w:val="right"/>
              <w:ind w:right="359"/>
              <w:spacing w:after="0"/>
              <w:rPr>
                <w:sz w:val="20"/>
                <w:szCs w:val="20"/>
                <w:color w:val="auto"/>
              </w:rPr>
            </w:pPr>
            <w:r>
              <w:rPr>
                <w:rFonts w:ascii="Times New Roman" w:cs="Times New Roman" w:eastAsia="Times New Roman" w:hAnsi="Times New Roman"/>
                <w:sz w:val="19"/>
                <w:szCs w:val="19"/>
                <w:color w:val="1E1E1E"/>
              </w:rPr>
              <w:t>$</w:t>
            </w: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2,638</w:t>
            </w:r>
          </w:p>
        </w:tc>
        <w:tc>
          <w:tcPr>
            <w:tcW w:w="38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34,014</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Trade Names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841</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744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Developed Technology</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5</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739</w:t>
            </w: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182</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557</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Vendor Relationships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1,267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968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Database</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5</w:t>
            </w:r>
          </w:p>
        </w:tc>
        <w:tc>
          <w:tcPr>
            <w:tcW w:w="2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2,400</w:t>
            </w:r>
          </w:p>
        </w:tc>
        <w:tc>
          <w:tcPr>
            <w:tcW w:w="2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510</w:t>
            </w:r>
          </w:p>
        </w:tc>
        <w:tc>
          <w:tcPr>
            <w:tcW w:w="22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1,890</w:t>
            </w: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Patents</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157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Borders>
              <w:top w:val="single" w:sz="8" w:color="E4E4E4"/>
            </w:tcBorders>
            <w:shd w:val="clear" w:color="auto" w:fill="E4E4E4"/>
          </w:tcPr>
          <w:p>
            <w:pPr>
              <w:ind w:left="580"/>
              <w:spacing w:after="0" w:line="213" w:lineRule="exact"/>
              <w:rPr>
                <w:sz w:val="20"/>
                <w:szCs w:val="20"/>
                <w:color w:val="auto"/>
              </w:rPr>
            </w:pPr>
            <w:r>
              <w:rPr>
                <w:rFonts w:ascii="Times New Roman" w:cs="Times New Roman" w:eastAsia="Times New Roman" w:hAnsi="Times New Roman"/>
                <w:sz w:val="19"/>
                <w:szCs w:val="19"/>
                <w:color w:val="1E1E1E"/>
              </w:rPr>
              <w:t>Subtotal intangible assets</w:t>
            </w:r>
          </w:p>
        </w:tc>
        <w:tc>
          <w:tcPr>
            <w:tcW w:w="100" w:type="dxa"/>
            <w:vAlign w:val="bottom"/>
            <w:tcBorders>
              <w:top w:val="single" w:sz="8" w:color="E4E4E4"/>
            </w:tcBorders>
            <w:shd w:val="clear" w:color="auto" w:fill="E4E4E4"/>
          </w:tcPr>
          <w:p>
            <w:pPr>
              <w:spacing w:after="0"/>
              <w:rPr>
                <w:sz w:val="18"/>
                <w:szCs w:val="18"/>
                <w:color w:val="auto"/>
              </w:rPr>
            </w:pPr>
          </w:p>
        </w:tc>
        <w:tc>
          <w:tcPr>
            <w:tcW w:w="1040" w:type="dxa"/>
            <w:vAlign w:val="bottom"/>
            <w:tcBorders>
              <w:top w:val="single" w:sz="8" w:color="E4E4E4"/>
            </w:tcBorders>
            <w:shd w:val="clear" w:color="auto" w:fill="E4E4E4"/>
          </w:tcPr>
          <w:p>
            <w:pPr>
              <w:spacing w:after="0"/>
              <w:rPr>
                <w:sz w:val="18"/>
                <w:szCs w:val="18"/>
                <w:color w:val="auto"/>
              </w:rPr>
            </w:pPr>
          </w:p>
        </w:tc>
        <w:tc>
          <w:tcPr>
            <w:tcW w:w="220" w:type="dxa"/>
            <w:vAlign w:val="bottom"/>
            <w:tcBorders>
              <w:top w:val="single" w:sz="8" w:color="E4E4E4"/>
            </w:tcBorders>
            <w:shd w:val="clear" w:color="auto" w:fill="E4E4E4"/>
          </w:tcPr>
          <w:p>
            <w:pPr>
              <w:spacing w:after="0"/>
              <w:rPr>
                <w:sz w:val="18"/>
                <w:szCs w:val="18"/>
                <w:color w:val="auto"/>
              </w:rPr>
            </w:pPr>
          </w:p>
        </w:tc>
        <w:tc>
          <w:tcPr>
            <w:tcW w:w="20" w:type="dxa"/>
            <w:vAlign w:val="bottom"/>
            <w:tcBorders>
              <w:top w:val="single" w:sz="8" w:color="E4E4E4"/>
            </w:tcBorders>
            <w:shd w:val="clear" w:color="auto" w:fill="E4E4E4"/>
          </w:tcPr>
          <w:p>
            <w:pPr>
              <w:spacing w:after="0"/>
              <w:rPr>
                <w:sz w:val="18"/>
                <w:szCs w:val="18"/>
                <w:color w:val="auto"/>
              </w:rPr>
            </w:pPr>
          </w:p>
        </w:tc>
        <w:tc>
          <w:tcPr>
            <w:tcW w:w="12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42,056</w:t>
            </w:r>
          </w:p>
        </w:tc>
        <w:tc>
          <w:tcPr>
            <w:tcW w:w="20" w:type="dxa"/>
            <w:vAlign w:val="bottom"/>
            <w:tcBorders>
              <w:top w:val="single" w:sz="8" w:color="E4E4E4"/>
            </w:tcBorders>
            <w:shd w:val="clear" w:color="auto" w:fill="E4E4E4"/>
          </w:tcPr>
          <w:p>
            <w:pPr>
              <w:spacing w:after="0"/>
              <w:rPr>
                <w:sz w:val="18"/>
                <w:szCs w:val="18"/>
                <w:color w:val="auto"/>
              </w:rPr>
            </w:pPr>
          </w:p>
        </w:tc>
        <w:tc>
          <w:tcPr>
            <w:tcW w:w="200" w:type="dxa"/>
            <w:vAlign w:val="bottom"/>
            <w:tcBorders>
              <w:top w:val="single" w:sz="8" w:color="E4E4E4"/>
            </w:tcBorders>
            <w:shd w:val="clear" w:color="auto" w:fill="E4E4E4"/>
          </w:tcPr>
          <w:p>
            <w:pPr>
              <w:spacing w:after="0"/>
              <w:rPr>
                <w:sz w:val="18"/>
                <w:szCs w:val="18"/>
                <w:color w:val="auto"/>
              </w:rPr>
            </w:pPr>
          </w:p>
        </w:tc>
        <w:tc>
          <w:tcPr>
            <w:tcW w:w="540" w:type="dxa"/>
            <w:vAlign w:val="bottom"/>
            <w:tcBorders>
              <w:top w:val="single" w:sz="8" w:color="1E1E1E"/>
            </w:tcBorders>
            <w:shd w:val="clear" w:color="auto" w:fill="E4E4E4"/>
          </w:tcPr>
          <w:p>
            <w:pPr>
              <w:spacing w:after="0"/>
              <w:rPr>
                <w:sz w:val="18"/>
                <w:szCs w:val="18"/>
                <w:color w:val="auto"/>
              </w:rPr>
            </w:pPr>
          </w:p>
        </w:tc>
        <w:tc>
          <w:tcPr>
            <w:tcW w:w="46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3,768</w:t>
            </w:r>
          </w:p>
        </w:tc>
        <w:tc>
          <w:tcPr>
            <w:tcW w:w="220" w:type="dxa"/>
            <w:vAlign w:val="bottom"/>
            <w:tcBorders>
              <w:top w:val="single" w:sz="8" w:color="E4E4E4"/>
            </w:tcBorders>
            <w:shd w:val="clear" w:color="auto" w:fill="E4E4E4"/>
          </w:tcPr>
          <w:p>
            <w:pPr>
              <w:spacing w:after="0"/>
              <w:rPr>
                <w:sz w:val="18"/>
                <w:szCs w:val="18"/>
                <w:color w:val="auto"/>
              </w:rPr>
            </w:pPr>
          </w:p>
        </w:tc>
        <w:tc>
          <w:tcPr>
            <w:tcW w:w="160" w:type="dxa"/>
            <w:vAlign w:val="bottom"/>
            <w:tcBorders>
              <w:top w:val="single" w:sz="8" w:color="1E1E1E"/>
            </w:tcBorders>
            <w:shd w:val="clear" w:color="auto" w:fill="E4E4E4"/>
          </w:tcPr>
          <w:p>
            <w:pPr>
              <w:spacing w:after="0"/>
              <w:rPr>
                <w:sz w:val="18"/>
                <w:szCs w:val="18"/>
                <w:color w:val="auto"/>
              </w:rPr>
            </w:pPr>
          </w:p>
        </w:tc>
        <w:tc>
          <w:tcPr>
            <w:tcW w:w="840" w:type="dxa"/>
            <w:vAlign w:val="bottom"/>
            <w:tcBorders>
              <w:top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38,288</w:t>
            </w:r>
          </w:p>
        </w:tc>
        <w:tc>
          <w:tcPr>
            <w:tcW w:w="80" w:type="dxa"/>
            <w:vAlign w:val="bottom"/>
            <w:tcBorders>
              <w:top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380"/>
              <w:spacing w:after="0"/>
              <w:rPr>
                <w:sz w:val="20"/>
                <w:szCs w:val="20"/>
                <w:color w:val="auto"/>
              </w:rPr>
            </w:pPr>
            <w:r>
              <w:rPr>
                <w:rFonts w:ascii="Times New Roman" w:cs="Times New Roman" w:eastAsia="Times New Roman" w:hAnsi="Times New Roman"/>
                <w:sz w:val="19"/>
                <w:szCs w:val="19"/>
                <w:color w:val="1E1E1E"/>
              </w:rPr>
              <w:t>In-place Lease Intangible Asset</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1E1E1E"/>
              </w:rPr>
              <w:t>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548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900" w:type="dxa"/>
            <w:vAlign w:val="bottom"/>
            <w:shd w:val="clear" w:color="auto" w:fill="E4E4E4"/>
          </w:tcPr>
          <w:p>
            <w:pPr>
              <w:ind w:left="380"/>
              <w:spacing w:after="0"/>
              <w:rPr>
                <w:sz w:val="20"/>
                <w:szCs w:val="20"/>
                <w:color w:val="auto"/>
              </w:rPr>
            </w:pPr>
            <w:r>
              <w:rPr>
                <w:rFonts w:ascii="Times New Roman" w:cs="Times New Roman" w:eastAsia="Times New Roman" w:hAnsi="Times New Roman"/>
                <w:sz w:val="19"/>
                <w:szCs w:val="19"/>
                <w:color w:val="1E1E1E"/>
              </w:rPr>
              <w:t>Above Market Lease Intangible Asset</w:t>
            </w:r>
          </w:p>
        </w:tc>
        <w:tc>
          <w:tcPr>
            <w:tcW w:w="1360" w:type="dxa"/>
            <w:vAlign w:val="bottom"/>
            <w:gridSpan w:val="3"/>
            <w:shd w:val="clear" w:color="auto" w:fill="E4E4E4"/>
          </w:tcPr>
          <w:p>
            <w:pPr>
              <w:jc w:val="right"/>
              <w:ind w:right="220"/>
              <w:spacing w:after="0"/>
              <w:rPr>
                <w:sz w:val="20"/>
                <w:szCs w:val="20"/>
                <w:color w:val="auto"/>
              </w:rPr>
            </w:pPr>
            <w:r>
              <w:rPr>
                <w:rFonts w:ascii="Times New Roman" w:cs="Times New Roman" w:eastAsia="Times New Roman" w:hAnsi="Times New Roman"/>
                <w:sz w:val="19"/>
                <w:szCs w:val="19"/>
                <w:color w:val="1E1E1E"/>
              </w:rPr>
              <w:t>4</w:t>
            </w:r>
          </w:p>
        </w:tc>
        <w:tc>
          <w:tcPr>
            <w:tcW w:w="20" w:type="dxa"/>
            <w:vAlign w:val="bottom"/>
            <w:shd w:val="clear" w:color="auto" w:fill="E4E4E4"/>
          </w:tcPr>
          <w:p>
            <w:pPr>
              <w:spacing w:after="0"/>
              <w:rPr>
                <w:sz w:val="22"/>
                <w:szCs w:val="22"/>
                <w:color w:val="auto"/>
              </w:rPr>
            </w:pPr>
          </w:p>
        </w:tc>
        <w:tc>
          <w:tcPr>
            <w:tcW w:w="120" w:type="dxa"/>
            <w:vAlign w:val="bottom"/>
            <w:tcBorders>
              <w:bottom w:val="single" w:sz="8" w:color="1E1E1E"/>
            </w:tcBorders>
            <w:shd w:val="clear" w:color="auto" w:fill="E4E4E4"/>
          </w:tcPr>
          <w:p>
            <w:pPr>
              <w:spacing w:after="0"/>
              <w:rPr>
                <w:sz w:val="22"/>
                <w:szCs w:val="22"/>
                <w:color w:val="auto"/>
              </w:rPr>
            </w:pP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896</w:t>
            </w:r>
          </w:p>
        </w:tc>
        <w:tc>
          <w:tcPr>
            <w:tcW w:w="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540" w:type="dxa"/>
            <w:vAlign w:val="bottom"/>
            <w:tcBorders>
              <w:bottom w:val="single" w:sz="8" w:color="1E1E1E"/>
            </w:tcBorders>
            <w:shd w:val="clear" w:color="auto" w:fill="E4E4E4"/>
          </w:tcPr>
          <w:p>
            <w:pPr>
              <w:spacing w:after="0"/>
              <w:rPr>
                <w:sz w:val="22"/>
                <w:szCs w:val="22"/>
                <w:color w:val="auto"/>
              </w:rPr>
            </w:pPr>
          </w:p>
        </w:tc>
        <w:tc>
          <w:tcPr>
            <w:tcW w:w="46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238</w:t>
            </w:r>
          </w:p>
        </w:tc>
        <w:tc>
          <w:tcPr>
            <w:tcW w:w="220" w:type="dxa"/>
            <w:vAlign w:val="bottom"/>
            <w:shd w:val="clear" w:color="auto" w:fill="E4E4E4"/>
          </w:tcPr>
          <w:p>
            <w:pPr>
              <w:spacing w:after="0"/>
              <w:rPr>
                <w:sz w:val="22"/>
                <w:szCs w:val="22"/>
                <w:color w:val="auto"/>
              </w:rPr>
            </w:pPr>
          </w:p>
        </w:tc>
        <w:tc>
          <w:tcPr>
            <w:tcW w:w="160" w:type="dxa"/>
            <w:vAlign w:val="bottom"/>
            <w:tcBorders>
              <w:bottom w:val="single" w:sz="8" w:color="1E1E1E"/>
            </w:tcBorders>
            <w:shd w:val="clear" w:color="auto" w:fill="E4E4E4"/>
          </w:tcPr>
          <w:p>
            <w:pPr>
              <w:spacing w:after="0"/>
              <w:rPr>
                <w:sz w:val="22"/>
                <w:szCs w:val="22"/>
                <w:color w:val="auto"/>
              </w:rPr>
            </w:pPr>
          </w:p>
        </w:tc>
        <w:tc>
          <w:tcPr>
            <w:tcW w:w="840" w:type="dxa"/>
            <w:vAlign w:val="bottom"/>
            <w:tcBorders>
              <w:bottom w:val="single" w:sz="8" w:color="1E1E1E"/>
            </w:tcBorders>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658</w:t>
            </w:r>
          </w:p>
        </w:tc>
        <w:tc>
          <w:tcPr>
            <w:tcW w:w="8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580"/>
              <w:spacing w:after="0"/>
              <w:rPr>
                <w:sz w:val="20"/>
                <w:szCs w:val="20"/>
                <w:color w:val="auto"/>
              </w:rPr>
            </w:pPr>
            <w:r>
              <w:rPr>
                <w:rFonts w:ascii="Times New Roman" w:cs="Times New Roman" w:eastAsia="Times New Roman" w:hAnsi="Times New Roman"/>
                <w:sz w:val="19"/>
                <w:szCs w:val="19"/>
                <w:color w:val="1E1E1E"/>
              </w:rPr>
              <w:t>Total intangible assets</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7"/>
                <w:szCs w:val="17"/>
                <w:color w:val="1E1E1E"/>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1E1E1E"/>
              </w:rPr>
              <w:t>43,500</w:t>
            </w:r>
          </w:p>
        </w:tc>
        <w:tc>
          <w:tcPr>
            <w:tcW w:w="740" w:type="dxa"/>
            <w:vAlign w:val="bottom"/>
            <w:gridSpan w:val="2"/>
          </w:tcPr>
          <w:p>
            <w:pPr>
              <w:jc w:val="right"/>
              <w:ind w:right="359"/>
              <w:spacing w:after="0"/>
              <w:rPr>
                <w:sz w:val="20"/>
                <w:szCs w:val="20"/>
                <w:color w:val="auto"/>
              </w:rPr>
            </w:pPr>
            <w:r>
              <w:rPr>
                <w:rFonts w:ascii="Times New Roman" w:cs="Times New Roman" w:eastAsia="Times New Roman" w:hAnsi="Times New Roman"/>
                <w:sz w:val="19"/>
                <w:szCs w:val="19"/>
                <w:color w:val="1E1E1E"/>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4,149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1E1E1E"/>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39,351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2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1E1E1E"/>
              <w:bottom w:val="single" w:sz="8" w:color="1E1E1E"/>
            </w:tcBorders>
          </w:tcPr>
          <w:p>
            <w:pPr>
              <w:spacing w:after="0" w:line="20" w:lineRule="exact"/>
              <w:rPr>
                <w:sz w:val="1"/>
                <w:szCs w:val="1"/>
                <w:color w:val="auto"/>
              </w:rPr>
            </w:pPr>
          </w:p>
        </w:tc>
        <w:tc>
          <w:tcPr>
            <w:tcW w:w="460" w:type="dxa"/>
            <w:vAlign w:val="bottom"/>
            <w:tcBorders>
              <w:top w:val="single" w:sz="8" w:color="1E1E1E"/>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 w:right="820" w:firstLine="601"/>
        <w:spacing w:after="0" w:line="290" w:lineRule="auto"/>
        <w:rPr>
          <w:sz w:val="20"/>
          <w:szCs w:val="20"/>
          <w:color w:val="auto"/>
        </w:rPr>
      </w:pPr>
      <w:r>
        <w:rPr>
          <w:rFonts w:ascii="Times New Roman" w:cs="Times New Roman" w:eastAsia="Times New Roman" w:hAnsi="Times New Roman"/>
          <w:sz w:val="19"/>
          <w:szCs w:val="19"/>
          <w:color w:val="1E1E1E"/>
        </w:rPr>
        <w:t>At least annually, we evaluate intangible long-lived assets for impairment. During 2023, 2022 and 2021, no impairments were recorded on our intangible long-lived assets.</w:t>
      </w:r>
    </w:p>
    <w:p>
      <w:pPr>
        <w:spacing w:after="0" w:line="112"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The following tables provides a roll forward of the carrying amount of goodwill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1E1E1E"/>
              <w:bottom w:val="single" w:sz="8" w:color="1E1E1E"/>
            </w:tcBorders>
          </w:tcPr>
          <w:p>
            <w:pPr>
              <w:spacing w:after="0"/>
              <w:rPr>
                <w:sz w:val="17"/>
                <w:szCs w:val="17"/>
                <w:color w:val="auto"/>
              </w:rPr>
            </w:pPr>
          </w:p>
        </w:tc>
        <w:tc>
          <w:tcPr>
            <w:tcW w:w="1040" w:type="dxa"/>
            <w:vAlign w:val="bottom"/>
            <w:tcBorders>
              <w:top w:val="single" w:sz="8" w:color="1E1E1E"/>
              <w:bottom w:val="single" w:sz="8" w:color="1E1E1E"/>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380" w:type="dxa"/>
            <w:vAlign w:val="bottom"/>
          </w:tcPr>
          <w:p>
            <w:pPr>
              <w:spacing w:after="0"/>
              <w:rPr>
                <w:sz w:val="17"/>
                <w:szCs w:val="17"/>
                <w:color w:val="auto"/>
              </w:rPr>
            </w:pPr>
          </w:p>
        </w:tc>
        <w:tc>
          <w:tcPr>
            <w:tcW w:w="300" w:type="dxa"/>
            <w:vAlign w:val="bottom"/>
            <w:tcBorders>
              <w:top w:val="single" w:sz="8" w:color="1E1E1E"/>
              <w:bottom w:val="single" w:sz="8" w:color="1E1E1E"/>
            </w:tcBorders>
          </w:tcPr>
          <w:p>
            <w:pPr>
              <w:spacing w:after="0"/>
              <w:rPr>
                <w:sz w:val="17"/>
                <w:szCs w:val="17"/>
                <w:color w:val="auto"/>
              </w:rPr>
            </w:pPr>
          </w:p>
        </w:tc>
        <w:tc>
          <w:tcPr>
            <w:tcW w:w="1040" w:type="dxa"/>
            <w:vAlign w:val="bottom"/>
            <w:tcBorders>
              <w:top w:val="single" w:sz="8" w:color="1E1E1E"/>
              <w:bottom w:val="single" w:sz="8" w:color="1E1E1E"/>
            </w:tcBorders>
          </w:tcPr>
          <w:p>
            <w:pPr>
              <w:jc w:val="right"/>
              <w:ind w:right="426"/>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80" w:type="dxa"/>
            <w:vAlign w:val="bottom"/>
          </w:tcPr>
          <w:p>
            <w:pPr>
              <w:spacing w:after="0"/>
              <w:rPr>
                <w:sz w:val="17"/>
                <w:szCs w:val="17"/>
                <w:color w:val="auto"/>
              </w:rPr>
            </w:pPr>
          </w:p>
        </w:tc>
      </w:tr>
      <w:tr>
        <w:trPr>
          <w:trHeight w:val="168"/>
        </w:trPr>
        <w:tc>
          <w:tcPr>
            <w:tcW w:w="6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64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Balance as of January 1:</w:t>
            </w:r>
          </w:p>
        </w:tc>
        <w:tc>
          <w:tcPr>
            <w:tcW w:w="1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1E1E1E"/>
              </w:rPr>
              <w:t>Gross goodwill</w:t>
            </w:r>
          </w:p>
        </w:tc>
        <w:tc>
          <w:tcPr>
            <w:tcW w:w="460" w:type="dxa"/>
            <w:vAlign w:val="bottom"/>
            <w:gridSpan w:val="2"/>
          </w:tcPr>
          <w:p>
            <w:pPr>
              <w:jc w:val="right"/>
              <w:ind w:right="103"/>
              <w:spacing w:after="0"/>
              <w:rPr>
                <w:sz w:val="20"/>
                <w:szCs w:val="20"/>
                <w:color w:val="auto"/>
              </w:rPr>
            </w:pPr>
            <w:r>
              <w:rPr>
                <w:rFonts w:ascii="Times New Roman" w:cs="Times New Roman" w:eastAsia="Times New Roman" w:hAnsi="Times New Roman"/>
                <w:sz w:val="19"/>
                <w:szCs w:val="19"/>
                <w:color w:val="1E1E1E"/>
              </w:rPr>
              <w:t>$</w:t>
            </w: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9"/>
                <w:szCs w:val="19"/>
                <w:color w:val="1E1E1E"/>
              </w:rPr>
              <w:t>261,110</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1E1E1E"/>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257,746</w:t>
            </w:r>
          </w:p>
        </w:tc>
        <w:tc>
          <w:tcPr>
            <w:tcW w:w="80" w:type="dxa"/>
            <w:vAlign w:val="bottom"/>
          </w:tcPr>
          <w:p>
            <w:pPr>
              <w:spacing w:after="0"/>
              <w:rPr>
                <w:sz w:val="19"/>
                <w:szCs w:val="19"/>
                <w:color w:val="auto"/>
              </w:rPr>
            </w:pPr>
          </w:p>
        </w:tc>
      </w:tr>
      <w:tr>
        <w:trPr>
          <w:trHeight w:val="223"/>
        </w:trPr>
        <w:tc>
          <w:tcPr>
            <w:tcW w:w="64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Accumulated impairments</w:t>
            </w:r>
          </w:p>
        </w:tc>
        <w:tc>
          <w:tcPr>
            <w:tcW w:w="1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20" w:type="dxa"/>
            <w:vAlign w:val="bottom"/>
            <w:gridSpan w:val="2"/>
            <w:shd w:val="clear" w:color="auto" w:fill="E4E4E4"/>
          </w:tcPr>
          <w:p>
            <w:pPr>
              <w:jc w:val="right"/>
              <w:ind w:right="320"/>
              <w:spacing w:after="0"/>
              <w:rPr>
                <w:sz w:val="20"/>
                <w:szCs w:val="20"/>
                <w:color w:val="auto"/>
              </w:rPr>
            </w:pPr>
            <w:r>
              <w:rPr>
                <w:rFonts w:ascii="Times New Roman" w:cs="Times New Roman" w:eastAsia="Times New Roman" w:hAnsi="Times New Roman"/>
                <w:sz w:val="19"/>
                <w:szCs w:val="19"/>
                <w:color w:val="1E1E1E"/>
              </w:rPr>
              <w:t>(3,074)</w:t>
            </w:r>
          </w:p>
        </w:tc>
        <w:tc>
          <w:tcPr>
            <w:tcW w:w="300" w:type="dxa"/>
            <w:vAlign w:val="bottom"/>
            <w:shd w:val="clear" w:color="auto" w:fill="E4E4E4"/>
          </w:tcPr>
          <w:p>
            <w:pPr>
              <w:spacing w:after="0"/>
              <w:rPr>
                <w:sz w:val="19"/>
                <w:szCs w:val="19"/>
                <w:color w:val="auto"/>
              </w:rPr>
            </w:pPr>
          </w:p>
        </w:tc>
        <w:tc>
          <w:tcPr>
            <w:tcW w:w="112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(3,074)</w:t>
            </w:r>
          </w:p>
        </w:tc>
      </w:tr>
      <w:tr>
        <w:trPr>
          <w:trHeight w:val="213"/>
        </w:trPr>
        <w:tc>
          <w:tcPr>
            <w:tcW w:w="6460" w:type="dxa"/>
            <w:vAlign w:val="bottom"/>
          </w:tcPr>
          <w:p>
            <w:pPr>
              <w:ind w:left="180"/>
              <w:spacing w:after="0" w:line="213" w:lineRule="exact"/>
              <w:rPr>
                <w:sz w:val="20"/>
                <w:szCs w:val="20"/>
                <w:color w:val="auto"/>
              </w:rPr>
            </w:pPr>
            <w:r>
              <w:rPr>
                <w:rFonts w:ascii="Times New Roman" w:cs="Times New Roman" w:eastAsia="Times New Roman" w:hAnsi="Times New Roman"/>
                <w:sz w:val="19"/>
                <w:szCs w:val="19"/>
                <w:color w:val="1E1E1E"/>
              </w:rPr>
              <w:t>Net goodwill as of January 1</w:t>
            </w:r>
          </w:p>
        </w:tc>
        <w:tc>
          <w:tcPr>
            <w:tcW w:w="160" w:type="dxa"/>
            <w:vAlign w:val="bottom"/>
          </w:tcPr>
          <w:p>
            <w:pPr>
              <w:spacing w:after="0"/>
              <w:rPr>
                <w:sz w:val="18"/>
                <w:szCs w:val="18"/>
                <w:color w:val="auto"/>
              </w:rPr>
            </w:pPr>
          </w:p>
        </w:tc>
        <w:tc>
          <w:tcPr>
            <w:tcW w:w="300" w:type="dxa"/>
            <w:vAlign w:val="bottom"/>
            <w:tcBorders>
              <w:top w:val="single" w:sz="8" w:color="1E1E1E"/>
            </w:tcBorders>
          </w:tcPr>
          <w:p>
            <w:pPr>
              <w:spacing w:after="0"/>
              <w:rPr>
                <w:sz w:val="18"/>
                <w:szCs w:val="18"/>
                <w:color w:val="auto"/>
              </w:rPr>
            </w:pPr>
          </w:p>
        </w:tc>
        <w:tc>
          <w:tcPr>
            <w:tcW w:w="104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258,036</w:t>
            </w:r>
          </w:p>
        </w:tc>
        <w:tc>
          <w:tcPr>
            <w:tcW w:w="380" w:type="dxa"/>
            <w:vAlign w:val="bottom"/>
          </w:tcPr>
          <w:p>
            <w:pPr>
              <w:spacing w:after="0"/>
              <w:rPr>
                <w:sz w:val="18"/>
                <w:szCs w:val="18"/>
                <w:color w:val="auto"/>
              </w:rPr>
            </w:pPr>
          </w:p>
        </w:tc>
        <w:tc>
          <w:tcPr>
            <w:tcW w:w="300" w:type="dxa"/>
            <w:vAlign w:val="bottom"/>
            <w:tcBorders>
              <w:top w:val="single" w:sz="8" w:color="1E1E1E"/>
            </w:tcBorders>
          </w:tcPr>
          <w:p>
            <w:pPr>
              <w:spacing w:after="0"/>
              <w:rPr>
                <w:sz w:val="18"/>
                <w:szCs w:val="18"/>
                <w:color w:val="auto"/>
              </w:rPr>
            </w:pPr>
          </w:p>
        </w:tc>
        <w:tc>
          <w:tcPr>
            <w:tcW w:w="1040" w:type="dxa"/>
            <w:vAlign w:val="bottom"/>
            <w:tcBorders>
              <w:top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254,672</w:t>
            </w:r>
          </w:p>
        </w:tc>
        <w:tc>
          <w:tcPr>
            <w:tcW w:w="80" w:type="dxa"/>
            <w:vAlign w:val="bottom"/>
          </w:tcPr>
          <w:p>
            <w:pPr>
              <w:spacing w:after="0"/>
              <w:rPr>
                <w:sz w:val="18"/>
                <w:szCs w:val="18"/>
                <w:color w:val="auto"/>
              </w:rPr>
            </w:pPr>
          </w:p>
        </w:tc>
      </w:tr>
      <w:tr>
        <w:trPr>
          <w:trHeight w:val="223"/>
        </w:trPr>
        <w:tc>
          <w:tcPr>
            <w:tcW w:w="646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Goodwill acquired during the year</w:t>
            </w:r>
            <w:r>
              <w:rPr>
                <w:rFonts w:ascii="Times New Roman" w:cs="Times New Roman" w:eastAsia="Times New Roman" w:hAnsi="Times New Roman"/>
                <w:sz w:val="12"/>
                <w:szCs w:val="12"/>
                <w:color w:val="1E1E1E"/>
              </w:rPr>
              <w:t>(1)</w:t>
            </w:r>
          </w:p>
        </w:tc>
        <w:tc>
          <w:tcPr>
            <w:tcW w:w="16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420" w:type="dxa"/>
            <w:vAlign w:val="bottom"/>
            <w:gridSpan w:val="2"/>
            <w:shd w:val="clear" w:color="auto" w:fill="E4E4E4"/>
          </w:tcPr>
          <w:p>
            <w:pPr>
              <w:jc w:val="right"/>
              <w:ind w:right="380"/>
              <w:spacing w:after="0"/>
              <w:rPr>
                <w:sz w:val="20"/>
                <w:szCs w:val="20"/>
                <w:color w:val="auto"/>
              </w:rPr>
            </w:pPr>
            <w:r>
              <w:rPr>
                <w:rFonts w:ascii="Times New Roman" w:cs="Times New Roman" w:eastAsia="Times New Roman" w:hAnsi="Times New Roman"/>
                <w:sz w:val="19"/>
                <w:szCs w:val="19"/>
                <w:color w:val="1E1E1E"/>
              </w:rPr>
              <w:t>4,836</w:t>
            </w:r>
          </w:p>
        </w:tc>
        <w:tc>
          <w:tcPr>
            <w:tcW w:w="30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3,364</w:t>
            </w:r>
          </w:p>
        </w:tc>
        <w:tc>
          <w:tcPr>
            <w:tcW w:w="80" w:type="dxa"/>
            <w:vAlign w:val="bottom"/>
            <w:shd w:val="clear" w:color="auto" w:fill="E4E4E4"/>
          </w:tcPr>
          <w:p>
            <w:pPr>
              <w:spacing w:after="0"/>
              <w:rPr>
                <w:sz w:val="19"/>
                <w:szCs w:val="19"/>
                <w:color w:val="auto"/>
              </w:rPr>
            </w:pP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9"/>
                <w:szCs w:val="19"/>
                <w:color w:val="1E1E1E"/>
              </w:rPr>
              <w:t>Impact of foreign exchange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9"/>
                <w:szCs w:val="19"/>
                <w:color w:val="1E1E1E"/>
              </w:rPr>
              <w:t>43</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1E1E1E"/>
              </w:rPr>
              <w:t>—</w:t>
            </w:r>
          </w:p>
        </w:tc>
      </w:tr>
      <w:tr>
        <w:trPr>
          <w:trHeight w:val="213"/>
        </w:trPr>
        <w:tc>
          <w:tcPr>
            <w:tcW w:w="6460" w:type="dxa"/>
            <w:vAlign w:val="bottom"/>
            <w:tcBorders>
              <w:top w:val="single" w:sz="8" w:color="E4E4E4"/>
            </w:tcBorders>
            <w:shd w:val="clear" w:color="auto" w:fill="E4E4E4"/>
          </w:tcPr>
          <w:p>
            <w:pPr>
              <w:ind w:left="180"/>
              <w:spacing w:after="0" w:line="213" w:lineRule="exact"/>
              <w:rPr>
                <w:sz w:val="20"/>
                <w:szCs w:val="20"/>
                <w:color w:val="auto"/>
              </w:rPr>
            </w:pPr>
            <w:r>
              <w:rPr>
                <w:rFonts w:ascii="Times New Roman" w:cs="Times New Roman" w:eastAsia="Times New Roman" w:hAnsi="Times New Roman"/>
                <w:sz w:val="19"/>
                <w:szCs w:val="19"/>
                <w:color w:val="1E1E1E"/>
              </w:rPr>
              <w:t>Net goodwill as of December 31:</w:t>
            </w:r>
          </w:p>
        </w:tc>
        <w:tc>
          <w:tcPr>
            <w:tcW w:w="160" w:type="dxa"/>
            <w:vAlign w:val="bottom"/>
            <w:tcBorders>
              <w:top w:val="single" w:sz="8" w:color="E4E4E4"/>
            </w:tcBorders>
            <w:shd w:val="clear" w:color="auto" w:fill="E4E4E4"/>
          </w:tcPr>
          <w:p>
            <w:pPr>
              <w:spacing w:after="0"/>
              <w:rPr>
                <w:sz w:val="18"/>
                <w:szCs w:val="18"/>
                <w:color w:val="auto"/>
              </w:rPr>
            </w:pPr>
          </w:p>
        </w:tc>
        <w:tc>
          <w:tcPr>
            <w:tcW w:w="300" w:type="dxa"/>
            <w:vAlign w:val="bottom"/>
            <w:tcBorders>
              <w:top w:val="single" w:sz="8" w:color="1E1E1E"/>
              <w:bottom w:val="single" w:sz="8" w:color="1E1E1E"/>
            </w:tcBorders>
            <w:shd w:val="clear" w:color="auto" w:fill="E4E4E4"/>
          </w:tcPr>
          <w:p>
            <w:pPr>
              <w:jc w:val="right"/>
              <w:ind w:right="10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1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262,915</w:t>
            </w:r>
          </w:p>
        </w:tc>
        <w:tc>
          <w:tcPr>
            <w:tcW w:w="380" w:type="dxa"/>
            <w:vAlign w:val="bottom"/>
            <w:tcBorders>
              <w:top w:val="single" w:sz="8" w:color="E4E4E4"/>
            </w:tcBorders>
            <w:shd w:val="clear" w:color="auto" w:fill="E4E4E4"/>
          </w:tcPr>
          <w:p>
            <w:pPr>
              <w:spacing w:after="0"/>
              <w:rPr>
                <w:sz w:val="18"/>
                <w:szCs w:val="18"/>
                <w:color w:val="auto"/>
              </w:rPr>
            </w:pPr>
          </w:p>
        </w:tc>
        <w:tc>
          <w:tcPr>
            <w:tcW w:w="300" w:type="dxa"/>
            <w:vAlign w:val="bottom"/>
            <w:tcBorders>
              <w:top w:val="single" w:sz="8" w:color="1E1E1E"/>
              <w:bottom w:val="single" w:sz="8" w:color="1E1E1E"/>
            </w:tcBorders>
            <w:shd w:val="clear" w:color="auto" w:fill="E4E4E4"/>
          </w:tcPr>
          <w:p>
            <w:pPr>
              <w:jc w:val="right"/>
              <w:ind w:right="134"/>
              <w:spacing w:after="0"/>
              <w:rPr>
                <w:sz w:val="20"/>
                <w:szCs w:val="20"/>
                <w:color w:val="auto"/>
              </w:rPr>
            </w:pPr>
            <w:r>
              <w:rPr>
                <w:rFonts w:ascii="Times New Roman" w:cs="Times New Roman" w:eastAsia="Times New Roman" w:hAnsi="Times New Roman"/>
                <w:sz w:val="17"/>
                <w:szCs w:val="17"/>
                <w:color w:val="1E1E1E"/>
                <w:w w:val="70"/>
              </w:rPr>
              <w:t>$</w:t>
            </w:r>
          </w:p>
        </w:tc>
        <w:tc>
          <w:tcPr>
            <w:tcW w:w="1040" w:type="dxa"/>
            <w:vAlign w:val="bottom"/>
            <w:tcBorders>
              <w:top w:val="single" w:sz="8" w:color="1E1E1E"/>
              <w:bottom w:val="single" w:sz="8" w:color="1E1E1E"/>
            </w:tcBorders>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258,036</w:t>
            </w:r>
          </w:p>
        </w:tc>
        <w:tc>
          <w:tcPr>
            <w:tcW w:w="80" w:type="dxa"/>
            <w:vAlign w:val="bottom"/>
            <w:tcBorders>
              <w:top w:val="single" w:sz="8" w:color="E4E4E4"/>
            </w:tcBorders>
            <w:shd w:val="clear" w:color="auto" w:fill="E4E4E4"/>
          </w:tcPr>
          <w:p>
            <w:pPr>
              <w:spacing w:after="0"/>
              <w:rPr>
                <w:sz w:val="18"/>
                <w:szCs w:val="18"/>
                <w:color w:val="auto"/>
              </w:rPr>
            </w:pPr>
          </w:p>
        </w:tc>
      </w:tr>
    </w:tbl>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(1) See Note 13 -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4210050</wp:posOffset>
            </wp:positionH>
            <wp:positionV relativeFrom="paragraph">
              <wp:posOffset>-133985</wp:posOffset>
            </wp:positionV>
            <wp:extent cx="193738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7385" cy="9525"/>
                    </a:xfrm>
                    <a:prstGeom prst="rect">
                      <a:avLst/>
                    </a:prstGeom>
                    <a:noFill/>
                  </pic:spPr>
                </pic:pic>
              </a:graphicData>
            </a:graphic>
          </wp:anchor>
        </w:drawing>
      </w:r>
    </w:p>
    <w:p>
      <w:pPr>
        <w:sectPr>
          <w:pgSz w:w="11880" w:h="15480" w:orient="portrait"/>
          <w:cols w:equalWidth="0" w:num="1">
            <w:col w:w="9770"/>
          </w:cols>
          <w:pgMar w:left="1050" w:top="1080" w:right="10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1E1E1E"/>
        </w:rPr>
        <w:t>101</w:t>
      </w:r>
    </w:p>
    <w:p>
      <w:pPr>
        <w:sectPr>
          <w:pgSz w:w="11880" w:h="15480" w:orient="portrait"/>
          <w:cols w:equalWidth="0" w:num="1">
            <w:col w:w="9770"/>
          </w:cols>
          <w:pgMar w:left="1050" w:top="1080" w:right="1060" w:bottom="227" w:gutter="0" w:footer="0" w:header="0"/>
          <w:type w:val="continuous"/>
        </w:sectPr>
      </w:pPr>
    </w:p>
    <w:bookmarkStart w:id="107" w:name="page108"/>
    <w:bookmarkEnd w:id="107"/>
    <w:p>
      <w:pPr>
        <w:ind w:left="10" w:right="20" w:firstLine="601"/>
        <w:spacing w:after="0" w:line="267" w:lineRule="auto"/>
        <w:rPr>
          <w:sz w:val="20"/>
          <w:szCs w:val="20"/>
          <w:color w:val="auto"/>
        </w:rPr>
      </w:pPr>
      <w:r>
        <w:rPr>
          <w:rFonts w:ascii="Times New Roman" w:cs="Times New Roman" w:eastAsia="Times New Roman" w:hAnsi="Times New Roman"/>
          <w:sz w:val="19"/>
          <w:szCs w:val="19"/>
          <w:color w:val="1E1E1E"/>
        </w:rPr>
        <w:t>As of December 31, 2023 and 2022, Xometry had $262.9 million and $258.0 million, respectively of goodwill. As of December 31, 2023, $258.0 million is part of Xometry’s U.S. operating segment and $4.9 million is part of Xometry’s International operating segment. As of December 31, 2022, $258.0 million is part of Xometry's U.S. operating segment.</w:t>
      </w:r>
    </w:p>
    <w:p>
      <w:pPr>
        <w:spacing w:after="0" w:line="134" w:lineRule="exact"/>
        <w:rPr>
          <w:sz w:val="20"/>
          <w:szCs w:val="20"/>
          <w:color w:val="auto"/>
        </w:rPr>
      </w:pPr>
    </w:p>
    <w:p>
      <w:pPr>
        <w:ind w:left="10" w:right="60" w:firstLine="601"/>
        <w:spacing w:after="0" w:line="260" w:lineRule="auto"/>
        <w:rPr>
          <w:sz w:val="20"/>
          <w:szCs w:val="20"/>
          <w:color w:val="auto"/>
        </w:rPr>
      </w:pPr>
      <w:r>
        <w:rPr>
          <w:rFonts w:ascii="Times New Roman" w:cs="Times New Roman" w:eastAsia="Times New Roman" w:hAnsi="Times New Roman"/>
          <w:sz w:val="19"/>
          <w:szCs w:val="19"/>
          <w:color w:val="1E1E1E"/>
        </w:rPr>
        <w:t>Aggregate amortization expense for amortizing intangibles assets was $3.3 million, $3.4 million and $</w:t>
      </w:r>
      <w:r>
        <w:rPr>
          <w:rFonts w:ascii="Times New Roman" w:cs="Times New Roman" w:eastAsia="Times New Roman" w:hAnsi="Times New Roman"/>
          <w:sz w:val="19"/>
          <w:szCs w:val="19"/>
          <w:color w:val="383838"/>
        </w:rPr>
        <w:t>0.5</w:t>
      </w:r>
      <w:r>
        <w:rPr>
          <w:rFonts w:ascii="Times New Roman" w:cs="Times New Roman" w:eastAsia="Times New Roman" w:hAnsi="Times New Roman"/>
          <w:sz w:val="19"/>
          <w:szCs w:val="19"/>
          <w:color w:val="1E1E1E"/>
        </w:rPr>
        <w:t xml:space="preserve"> million for the years ended December 31, 2023, 2022 and 2021, respectively. As of December 31, 2023, estimated amortization expense for intangible assets and lease intangible assets for the next five years is: $3.6 million in 2024, $3.6 million in 2025, $3.2 million in 2026, $2.6 million in 2027, and $2.6 million in 2028 and $20.2 million thereafter.</w:t>
      </w:r>
    </w:p>
    <w:p>
      <w:pPr>
        <w:spacing w:after="0" w:line="140"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Amortization expense for the year ended December 31, 2023, 2022 and 2021 was as follows (in thousands):</w:t>
      </w: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5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1E1E1E"/>
            </w:tcBorders>
          </w:tcPr>
          <w:p>
            <w:pPr>
              <w:spacing w:after="0"/>
              <w:rPr>
                <w:sz w:val="17"/>
                <w:szCs w:val="17"/>
                <w:color w:val="auto"/>
              </w:rPr>
            </w:pPr>
          </w:p>
        </w:tc>
        <w:tc>
          <w:tcPr>
            <w:tcW w:w="2600" w:type="dxa"/>
            <w:vAlign w:val="bottom"/>
            <w:tcBorders>
              <w:bottom w:val="single" w:sz="8" w:color="1E1E1E"/>
            </w:tcBorders>
            <w:gridSpan w:val="7"/>
          </w:tcPr>
          <w:p>
            <w:pPr>
              <w:jc w:val="right"/>
              <w:ind w:right="2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60" w:type="dxa"/>
            <w:vAlign w:val="bottom"/>
            <w:tcBorders>
              <w:bottom w:val="single" w:sz="8" w:color="1E1E1E"/>
            </w:tcBorders>
          </w:tcPr>
          <w:p>
            <w:pPr>
              <w:spacing w:after="0"/>
              <w:rPr>
                <w:sz w:val="17"/>
                <w:szCs w:val="17"/>
                <w:color w:val="auto"/>
              </w:rPr>
            </w:pPr>
          </w:p>
        </w:tc>
        <w:tc>
          <w:tcPr>
            <w:tcW w:w="80" w:type="dxa"/>
            <w:vAlign w:val="bottom"/>
          </w:tcPr>
          <w:p>
            <w:pPr>
              <w:spacing w:after="0"/>
              <w:rPr>
                <w:sz w:val="17"/>
                <w:szCs w:val="17"/>
                <w:color w:val="auto"/>
              </w:rPr>
            </w:pPr>
          </w:p>
        </w:tc>
      </w:tr>
      <w:tr>
        <w:trPr>
          <w:trHeight w:val="168"/>
        </w:trPr>
        <w:tc>
          <w:tcPr>
            <w:tcW w:w="5840" w:type="dxa"/>
            <w:vAlign w:val="bottom"/>
            <w:tcBorders>
              <w:bottom w:val="single" w:sz="8" w:color="E4E4E4"/>
            </w:tcBorders>
          </w:tcPr>
          <w:p>
            <w:pPr>
              <w:spacing w:after="0"/>
              <w:rPr>
                <w:sz w:val="14"/>
                <w:szCs w:val="14"/>
                <w:color w:val="auto"/>
              </w:rPr>
            </w:pPr>
          </w:p>
        </w:tc>
        <w:tc>
          <w:tcPr>
            <w:tcW w:w="140" w:type="dxa"/>
            <w:vAlign w:val="bottom"/>
            <w:tcBorders>
              <w:bottom w:val="single" w:sz="8" w:color="E4E4E4"/>
            </w:tcBorders>
          </w:tcPr>
          <w:p>
            <w:pPr>
              <w:spacing w:after="0"/>
              <w:rPr>
                <w:sz w:val="14"/>
                <w:szCs w:val="14"/>
                <w:color w:val="auto"/>
              </w:rPr>
            </w:pPr>
          </w:p>
        </w:tc>
        <w:tc>
          <w:tcPr>
            <w:tcW w:w="20" w:type="dxa"/>
            <w:vAlign w:val="bottom"/>
            <w:tcBorders>
              <w:bottom w:val="single" w:sz="8" w:color="E4E4E4"/>
            </w:tcBorders>
          </w:tcPr>
          <w:p>
            <w:pPr>
              <w:spacing w:after="0"/>
              <w:rPr>
                <w:sz w:val="14"/>
                <w:szCs w:val="14"/>
                <w:color w:val="auto"/>
              </w:rPr>
            </w:pPr>
          </w:p>
        </w:tc>
        <w:tc>
          <w:tcPr>
            <w:tcW w:w="220" w:type="dxa"/>
            <w:vAlign w:val="bottom"/>
            <w:tcBorders>
              <w:bottom w:val="single" w:sz="8" w:color="1E1E1E"/>
            </w:tcBorders>
          </w:tcPr>
          <w:p>
            <w:pPr>
              <w:spacing w:after="0"/>
              <w:rPr>
                <w:sz w:val="14"/>
                <w:szCs w:val="14"/>
                <w:color w:val="auto"/>
              </w:rPr>
            </w:pPr>
          </w:p>
        </w:tc>
        <w:tc>
          <w:tcPr>
            <w:tcW w:w="840" w:type="dxa"/>
            <w:vAlign w:val="bottom"/>
            <w:tcBorders>
              <w:bottom w:val="single" w:sz="8" w:color="1E1E1E"/>
            </w:tcBorders>
          </w:tcPr>
          <w:p>
            <w:pPr>
              <w:jc w:val="right"/>
              <w:ind w:right="289"/>
              <w:spacing w:after="0" w:line="168"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 w:type="dxa"/>
            <w:vAlign w:val="bottom"/>
            <w:tcBorders>
              <w:bottom w:val="single" w:sz="8" w:color="E4E4E4"/>
            </w:tcBorders>
          </w:tcPr>
          <w:p>
            <w:pPr>
              <w:spacing w:after="0"/>
              <w:rPr>
                <w:sz w:val="14"/>
                <w:szCs w:val="14"/>
                <w:color w:val="auto"/>
              </w:rPr>
            </w:pPr>
          </w:p>
        </w:tc>
        <w:tc>
          <w:tcPr>
            <w:tcW w:w="180" w:type="dxa"/>
            <w:vAlign w:val="bottom"/>
            <w:tcBorders>
              <w:bottom w:val="single" w:sz="8" w:color="E4E4E4"/>
            </w:tcBorders>
          </w:tcPr>
          <w:p>
            <w:pPr>
              <w:spacing w:after="0"/>
              <w:rPr>
                <w:sz w:val="14"/>
                <w:szCs w:val="14"/>
                <w:color w:val="auto"/>
              </w:rPr>
            </w:pPr>
          </w:p>
        </w:tc>
        <w:tc>
          <w:tcPr>
            <w:tcW w:w="240" w:type="dxa"/>
            <w:vAlign w:val="bottom"/>
            <w:tcBorders>
              <w:bottom w:val="single" w:sz="8" w:color="1E1E1E"/>
            </w:tcBorders>
          </w:tcPr>
          <w:p>
            <w:pPr>
              <w:spacing w:after="0"/>
              <w:rPr>
                <w:sz w:val="14"/>
                <w:szCs w:val="14"/>
                <w:color w:val="auto"/>
              </w:rPr>
            </w:pPr>
          </w:p>
        </w:tc>
        <w:tc>
          <w:tcPr>
            <w:tcW w:w="860" w:type="dxa"/>
            <w:vAlign w:val="bottom"/>
            <w:tcBorders>
              <w:bottom w:val="single" w:sz="8" w:color="1E1E1E"/>
            </w:tcBorders>
          </w:tcPr>
          <w:p>
            <w:pPr>
              <w:jc w:val="right"/>
              <w:ind w:right="307"/>
              <w:spacing w:after="0" w:line="168" w:lineRule="exact"/>
              <w:rPr>
                <w:sz w:val="20"/>
                <w:szCs w:val="20"/>
                <w:color w:val="auto"/>
              </w:rPr>
            </w:pPr>
            <w:r>
              <w:rPr>
                <w:rFonts w:ascii="Times New Roman" w:cs="Times New Roman" w:eastAsia="Times New Roman" w:hAnsi="Times New Roman"/>
                <w:sz w:val="16"/>
                <w:szCs w:val="16"/>
                <w:b w:val="1"/>
                <w:bCs w:val="1"/>
                <w:color w:val="1E1E1E"/>
              </w:rPr>
              <w:t>2022</w:t>
            </w:r>
          </w:p>
        </w:tc>
        <w:tc>
          <w:tcPr>
            <w:tcW w:w="200" w:type="dxa"/>
            <w:vAlign w:val="bottom"/>
            <w:tcBorders>
              <w:bottom w:val="single" w:sz="8" w:color="E4E4E4"/>
            </w:tcBorders>
          </w:tcPr>
          <w:p>
            <w:pPr>
              <w:spacing w:after="0"/>
              <w:rPr>
                <w:sz w:val="14"/>
                <w:szCs w:val="14"/>
                <w:color w:val="auto"/>
              </w:rPr>
            </w:pPr>
          </w:p>
        </w:tc>
        <w:tc>
          <w:tcPr>
            <w:tcW w:w="260" w:type="dxa"/>
            <w:vAlign w:val="bottom"/>
            <w:tcBorders>
              <w:bottom w:val="single" w:sz="8" w:color="1E1E1E"/>
            </w:tcBorders>
          </w:tcPr>
          <w:p>
            <w:pPr>
              <w:spacing w:after="0"/>
              <w:rPr>
                <w:sz w:val="14"/>
                <w:szCs w:val="14"/>
                <w:color w:val="auto"/>
              </w:rPr>
            </w:pPr>
          </w:p>
        </w:tc>
        <w:tc>
          <w:tcPr>
            <w:tcW w:w="860" w:type="dxa"/>
            <w:vAlign w:val="bottom"/>
            <w:tcBorders>
              <w:bottom w:val="single" w:sz="8" w:color="1E1E1E"/>
            </w:tcBorders>
          </w:tcPr>
          <w:p>
            <w:pPr>
              <w:jc w:val="right"/>
              <w:ind w:right="327"/>
              <w:spacing w:after="0" w:line="168" w:lineRule="exact"/>
              <w:rPr>
                <w:sz w:val="20"/>
                <w:szCs w:val="20"/>
                <w:color w:val="auto"/>
              </w:rPr>
            </w:pPr>
            <w:r>
              <w:rPr>
                <w:rFonts w:ascii="Times New Roman" w:cs="Times New Roman" w:eastAsia="Times New Roman" w:hAnsi="Times New Roman"/>
                <w:sz w:val="16"/>
                <w:szCs w:val="16"/>
                <w:b w:val="1"/>
                <w:bCs w:val="1"/>
                <w:color w:val="1E1E1E"/>
              </w:rPr>
              <w:t>2021</w:t>
            </w:r>
          </w:p>
        </w:tc>
        <w:tc>
          <w:tcPr>
            <w:tcW w:w="80" w:type="dxa"/>
            <w:vAlign w:val="bottom"/>
            <w:tcBorders>
              <w:bottom w:val="single" w:sz="8" w:color="E4E4E4"/>
            </w:tcBorders>
          </w:tcPr>
          <w:p>
            <w:pPr>
              <w:spacing w:after="0"/>
              <w:rPr>
                <w:sz w:val="14"/>
                <w:szCs w:val="14"/>
                <w:color w:val="auto"/>
              </w:rPr>
            </w:pPr>
          </w:p>
        </w:tc>
      </w:tr>
      <w:tr>
        <w:trPr>
          <w:trHeight w:val="213"/>
        </w:trPr>
        <w:tc>
          <w:tcPr>
            <w:tcW w:w="5840" w:type="dxa"/>
            <w:vAlign w:val="bottom"/>
            <w:shd w:val="clear" w:color="auto" w:fill="E4E4E4"/>
          </w:tcPr>
          <w:p>
            <w:pPr>
              <w:spacing w:after="0" w:line="213" w:lineRule="exact"/>
              <w:rPr>
                <w:sz w:val="20"/>
                <w:szCs w:val="20"/>
                <w:color w:val="auto"/>
              </w:rPr>
            </w:pPr>
            <w:r>
              <w:rPr>
                <w:rFonts w:ascii="Times New Roman" w:cs="Times New Roman" w:eastAsia="Times New Roman" w:hAnsi="Times New Roman"/>
                <w:sz w:val="19"/>
                <w:szCs w:val="19"/>
                <w:color w:val="1E1E1E"/>
              </w:rPr>
              <w:t>Sales and marketing</w:t>
            </w:r>
          </w:p>
        </w:tc>
        <w:tc>
          <w:tcPr>
            <w:tcW w:w="14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220" w:type="dxa"/>
            <w:vAlign w:val="bottom"/>
            <w:shd w:val="clear" w:color="auto" w:fill="E4E4E4"/>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3,119</w:t>
            </w:r>
          </w:p>
        </w:tc>
        <w:tc>
          <w:tcPr>
            <w:tcW w:w="2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8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3,102</w:t>
            </w:r>
          </w:p>
        </w:tc>
        <w:tc>
          <w:tcPr>
            <w:tcW w:w="20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860" w:type="dxa"/>
            <w:vAlign w:val="bottom"/>
            <w:shd w:val="clear" w:color="auto" w:fill="E4E4E4"/>
          </w:tcPr>
          <w:p>
            <w:pPr>
              <w:jc w:val="right"/>
              <w:spacing w:after="0" w:line="213" w:lineRule="exact"/>
              <w:rPr>
                <w:sz w:val="20"/>
                <w:szCs w:val="20"/>
                <w:color w:val="auto"/>
              </w:rPr>
            </w:pPr>
            <w:r>
              <w:rPr>
                <w:rFonts w:ascii="Times New Roman" w:cs="Times New Roman" w:eastAsia="Times New Roman" w:hAnsi="Times New Roman"/>
                <w:sz w:val="19"/>
                <w:szCs w:val="19"/>
                <w:color w:val="1E1E1E"/>
              </w:rPr>
              <w:t>289</w:t>
            </w:r>
          </w:p>
        </w:tc>
        <w:tc>
          <w:tcPr>
            <w:tcW w:w="80" w:type="dxa"/>
            <w:vAlign w:val="bottom"/>
            <w:shd w:val="clear" w:color="auto" w:fill="E4E4E4"/>
          </w:tcPr>
          <w:p>
            <w:pPr>
              <w:spacing w:after="0"/>
              <w:rPr>
                <w:sz w:val="18"/>
                <w:szCs w:val="18"/>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9"/>
                <w:szCs w:val="19"/>
                <w:color w:val="1E1E1E"/>
              </w:rPr>
              <w:t>Product development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211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325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1E1E1E"/>
              </w:rPr>
              <w:t>166</w:t>
            </w:r>
          </w:p>
        </w:tc>
        <w:tc>
          <w:tcPr>
            <w:tcW w:w="80" w:type="dxa"/>
            <w:vAlign w:val="bottom"/>
          </w:tcPr>
          <w:p>
            <w:pPr>
              <w:spacing w:after="0"/>
              <w:rPr>
                <w:sz w:val="19"/>
                <w:szCs w:val="19"/>
                <w:color w:val="auto"/>
              </w:rPr>
            </w:pPr>
          </w:p>
        </w:tc>
      </w:tr>
      <w:tr>
        <w:trPr>
          <w:trHeight w:val="223"/>
        </w:trPr>
        <w:tc>
          <w:tcPr>
            <w:tcW w:w="5840" w:type="dxa"/>
            <w:vAlign w:val="bottom"/>
            <w:shd w:val="clear" w:color="auto" w:fill="E4E4E4"/>
          </w:tcPr>
          <w:p>
            <w:pPr>
              <w:spacing w:after="0"/>
              <w:rPr>
                <w:sz w:val="20"/>
                <w:szCs w:val="20"/>
                <w:color w:val="auto"/>
              </w:rPr>
            </w:pPr>
            <w:r>
              <w:rPr>
                <w:rFonts w:ascii="Times New Roman" w:cs="Times New Roman" w:eastAsia="Times New Roman" w:hAnsi="Times New Roman"/>
                <w:sz w:val="19"/>
                <w:szCs w:val="19"/>
                <w:color w:val="1E1E1E"/>
              </w:rPr>
              <w:t xml:space="preserve">General and administrative </w:t>
            </w:r>
            <w:r>
              <w:rPr>
                <w:rFonts w:ascii="Times New Roman" w:cs="Times New Roman" w:eastAsia="Times New Roman" w:hAnsi="Times New Roman"/>
                <w:sz w:val="12"/>
                <w:szCs w:val="12"/>
                <w:color w:val="1E1E1E"/>
              </w:rPr>
              <w:t>(1)</w:t>
            </w:r>
          </w:p>
        </w:tc>
        <w:tc>
          <w:tcPr>
            <w:tcW w:w="1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86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19"/>
                <w:szCs w:val="19"/>
                <w:color w:val="1E1E1E"/>
              </w:rPr>
              <w:t>14</w:t>
            </w:r>
          </w:p>
        </w:tc>
        <w:tc>
          <w:tcPr>
            <w:tcW w:w="18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60" w:type="dxa"/>
            <w:vAlign w:val="bottom"/>
            <w:gridSpan w:val="2"/>
            <w:shd w:val="clear" w:color="auto" w:fill="E4E4E4"/>
          </w:tcPr>
          <w:p>
            <w:pPr>
              <w:jc w:val="right"/>
              <w:ind w:right="200"/>
              <w:spacing w:after="0"/>
              <w:rPr>
                <w:sz w:val="20"/>
                <w:szCs w:val="20"/>
                <w:color w:val="auto"/>
              </w:rPr>
            </w:pPr>
            <w:r>
              <w:rPr>
                <w:rFonts w:ascii="Times New Roman" w:cs="Times New Roman" w:eastAsia="Times New Roman" w:hAnsi="Times New Roman"/>
                <w:sz w:val="19"/>
                <w:szCs w:val="19"/>
                <w:color w:val="1E1E1E"/>
              </w:rPr>
              <w:t>9</w:t>
            </w:r>
          </w:p>
        </w:tc>
        <w:tc>
          <w:tcPr>
            <w:tcW w:w="26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19"/>
                <w:szCs w:val="19"/>
                <w:color w:val="1E1E1E"/>
              </w:rPr>
              <w:t>9</w:t>
            </w:r>
          </w:p>
        </w:tc>
        <w:tc>
          <w:tcPr>
            <w:tcW w:w="80" w:type="dxa"/>
            <w:vAlign w:val="bottom"/>
            <w:shd w:val="clear" w:color="auto" w:fill="E4E4E4"/>
          </w:tcPr>
          <w:p>
            <w:pPr>
              <w:spacing w:after="0"/>
              <w:rPr>
                <w:sz w:val="19"/>
                <w:szCs w:val="19"/>
                <w:color w:val="auto"/>
              </w:rPr>
            </w:pPr>
          </w:p>
        </w:tc>
      </w:tr>
      <w:tr>
        <w:trPr>
          <w:trHeight w:val="213"/>
        </w:trPr>
        <w:tc>
          <w:tcPr>
            <w:tcW w:w="5840" w:type="dxa"/>
            <w:vAlign w:val="bottom"/>
          </w:tcPr>
          <w:p>
            <w:pPr>
              <w:spacing w:after="0" w:line="213" w:lineRule="exact"/>
              <w:rPr>
                <w:sz w:val="20"/>
                <w:szCs w:val="20"/>
                <w:color w:val="auto"/>
              </w:rPr>
            </w:pPr>
            <w:r>
              <w:rPr>
                <w:rFonts w:ascii="Times New Roman" w:cs="Times New Roman" w:eastAsia="Times New Roman" w:hAnsi="Times New Roman"/>
                <w:sz w:val="19"/>
                <w:szCs w:val="19"/>
                <w:color w:val="1E1E1E"/>
              </w:rPr>
              <w:t>Total</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1E1E1E"/>
              <w:bottom w:val="single" w:sz="8" w:color="1E1E1E"/>
            </w:tcBorders>
          </w:tcPr>
          <w:p>
            <w:pPr>
              <w:jc w:val="right"/>
              <w:ind w:right="54"/>
              <w:spacing w:after="0"/>
              <w:rPr>
                <w:sz w:val="20"/>
                <w:szCs w:val="20"/>
                <w:color w:val="auto"/>
              </w:rPr>
            </w:pPr>
            <w:r>
              <w:rPr>
                <w:rFonts w:ascii="Times New Roman" w:cs="Times New Roman" w:eastAsia="Times New Roman" w:hAnsi="Times New Roman"/>
                <w:sz w:val="17"/>
                <w:szCs w:val="17"/>
                <w:color w:val="1E1E1E"/>
                <w:w w:val="70"/>
              </w:rPr>
              <w:t>$</w:t>
            </w:r>
          </w:p>
        </w:tc>
        <w:tc>
          <w:tcPr>
            <w:tcW w:w="84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3,344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1E1E1E"/>
              <w:bottom w:val="single" w:sz="8" w:color="1E1E1E"/>
            </w:tcBorders>
          </w:tcPr>
          <w:p>
            <w:pPr>
              <w:jc w:val="right"/>
              <w:ind w:right="4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3,436</w:t>
            </w:r>
          </w:p>
        </w:tc>
        <w:tc>
          <w:tcPr>
            <w:tcW w:w="200" w:type="dxa"/>
            <w:vAlign w:val="bottom"/>
          </w:tcPr>
          <w:p>
            <w:pPr>
              <w:spacing w:after="0"/>
              <w:rPr>
                <w:sz w:val="18"/>
                <w:szCs w:val="18"/>
                <w:color w:val="auto"/>
              </w:rPr>
            </w:pPr>
          </w:p>
        </w:tc>
        <w:tc>
          <w:tcPr>
            <w:tcW w:w="260" w:type="dxa"/>
            <w:vAlign w:val="bottom"/>
            <w:tcBorders>
              <w:top w:val="single" w:sz="8" w:color="1E1E1E"/>
              <w:bottom w:val="single" w:sz="8" w:color="1E1E1E"/>
            </w:tcBorders>
          </w:tcPr>
          <w:p>
            <w:pPr>
              <w:jc w:val="right"/>
              <w:ind w:right="63"/>
              <w:spacing w:after="0" w:line="213" w:lineRule="exact"/>
              <w:rPr>
                <w:sz w:val="20"/>
                <w:szCs w:val="20"/>
                <w:color w:val="auto"/>
              </w:rPr>
            </w:pPr>
            <w:r>
              <w:rPr>
                <w:rFonts w:ascii="Times New Roman" w:cs="Times New Roman" w:eastAsia="Times New Roman" w:hAnsi="Times New Roman"/>
                <w:sz w:val="19"/>
                <w:szCs w:val="19"/>
                <w:color w:val="1E1E1E"/>
                <w:w w:val="83"/>
              </w:rPr>
              <w:t>$</w:t>
            </w:r>
          </w:p>
        </w:tc>
        <w:tc>
          <w:tcPr>
            <w:tcW w:w="860" w:type="dxa"/>
            <w:vAlign w:val="bottom"/>
            <w:tcBorders>
              <w:top w:val="single" w:sz="8" w:color="1E1E1E"/>
              <w:bottom w:val="single" w:sz="8" w:color="1E1E1E"/>
            </w:tcBorders>
          </w:tcPr>
          <w:p>
            <w:pPr>
              <w:jc w:val="right"/>
              <w:spacing w:after="0" w:line="213" w:lineRule="exact"/>
              <w:rPr>
                <w:sz w:val="20"/>
                <w:szCs w:val="20"/>
                <w:color w:val="auto"/>
              </w:rPr>
            </w:pPr>
            <w:r>
              <w:rPr>
                <w:rFonts w:ascii="Times New Roman" w:cs="Times New Roman" w:eastAsia="Times New Roman" w:hAnsi="Times New Roman"/>
                <w:sz w:val="19"/>
                <w:szCs w:val="19"/>
                <w:color w:val="1E1E1E"/>
              </w:rPr>
              <w:t>464</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220" w:type="dxa"/>
            <w:vAlign w:val="bottom"/>
            <w:tcBorders>
              <w:bottom w:val="single" w:sz="8" w:color="1E1E1E"/>
            </w:tcBorders>
          </w:tcPr>
          <w:p>
            <w:pPr>
              <w:spacing w:after="0" w:line="20" w:lineRule="exact"/>
              <w:rPr>
                <w:sz w:val="1"/>
                <w:szCs w:val="1"/>
                <w:color w:val="auto"/>
              </w:rPr>
            </w:pPr>
          </w:p>
        </w:tc>
        <w:tc>
          <w:tcPr>
            <w:tcW w:w="84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(1) Amortization of the lease related intangible assets is recorded as operating lease expense in general and administrative.</w:t>
      </w:r>
    </w:p>
    <w:p>
      <w:pPr>
        <w:spacing w:after="0" w:line="200" w:lineRule="exact"/>
        <w:rPr>
          <w:sz w:val="20"/>
          <w:szCs w:val="20"/>
          <w:color w:val="auto"/>
        </w:rPr>
      </w:pPr>
    </w:p>
    <w:p>
      <w:pPr>
        <w:spacing w:after="0" w:line="248" w:lineRule="exact"/>
        <w:rPr>
          <w:sz w:val="20"/>
          <w:szCs w:val="20"/>
          <w:color w:val="auto"/>
        </w:rPr>
      </w:pPr>
    </w:p>
    <w:p>
      <w:pPr>
        <w:ind w:left="610" w:hanging="610"/>
        <w:spacing w:after="0"/>
        <w:tabs>
          <w:tab w:leader="none" w:pos="610" w:val="left"/>
        </w:tabs>
        <w:numPr>
          <w:ilvl w:val="0"/>
          <w:numId w:val="76"/>
        </w:numPr>
        <w:rPr>
          <w:rFonts w:ascii="Times New Roman" w:cs="Times New Roman" w:eastAsia="Times New Roman" w:hAnsi="Times New Roman"/>
          <w:sz w:val="19"/>
          <w:szCs w:val="19"/>
          <w:b w:val="1"/>
          <w:bCs w:val="1"/>
          <w:color w:val="1E1E1E"/>
        </w:rPr>
      </w:pPr>
      <w:r>
        <w:rPr>
          <w:rFonts w:ascii="Times New Roman" w:cs="Times New Roman" w:eastAsia="Times New Roman" w:hAnsi="Times New Roman"/>
          <w:sz w:val="19"/>
          <w:szCs w:val="19"/>
          <w:b w:val="1"/>
          <w:bCs w:val="1"/>
          <w:color w:val="1E1E1E"/>
        </w:rPr>
        <w:t>Investment in Unconsolidated Joint Venture</w:t>
      </w:r>
    </w:p>
    <w:p>
      <w:pPr>
        <w:spacing w:after="0" w:line="231" w:lineRule="exact"/>
        <w:rPr>
          <w:sz w:val="20"/>
          <w:szCs w:val="20"/>
          <w:color w:val="auto"/>
        </w:rPr>
      </w:pPr>
    </w:p>
    <w:p>
      <w:pPr>
        <w:ind w:left="10" w:right="100" w:firstLine="601"/>
        <w:spacing w:after="0" w:line="252" w:lineRule="auto"/>
        <w:rPr>
          <w:sz w:val="20"/>
          <w:szCs w:val="20"/>
          <w:color w:val="auto"/>
        </w:rPr>
      </w:pPr>
      <w:r>
        <w:rPr>
          <w:rFonts w:ascii="Times New Roman" w:cs="Times New Roman" w:eastAsia="Times New Roman" w:hAnsi="Times New Roman"/>
          <w:sz w:val="19"/>
          <w:szCs w:val="19"/>
          <w:color w:val="1E1E1E"/>
        </w:rPr>
        <w:t>The Company has a 50% interest in Industrial Media, LLC ("IM, LLC") with the other 50% owned by Rich Media Group, LLC. IM, LLC primarily manages content creation, advertising sales, and marketing initiatives for the Industrial Engineering News brand, certain magazines, videos, website and associated electronic media products for industrial engineers. The Company’s initial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179" w:lineRule="exact"/>
        <w:rPr>
          <w:sz w:val="20"/>
          <w:szCs w:val="20"/>
          <w:color w:val="auto"/>
        </w:rPr>
      </w:pPr>
    </w:p>
    <w:p>
      <w:pPr>
        <w:ind w:left="10" w:firstLine="601"/>
        <w:spacing w:after="0" w:line="260" w:lineRule="auto"/>
        <w:rPr>
          <w:sz w:val="20"/>
          <w:szCs w:val="20"/>
          <w:color w:val="auto"/>
        </w:rPr>
      </w:pPr>
      <w:r>
        <w:rPr>
          <w:rFonts w:ascii="Times New Roman" w:cs="Times New Roman" w:eastAsia="Times New Roman" w:hAnsi="Times New Roman"/>
          <w:sz w:val="19"/>
          <w:szCs w:val="19"/>
          <w:color w:val="1E1E1E"/>
        </w:rPr>
        <w:t>During the years ended December 31, 2023 and 2022, the Company received dividends from IM, LLC of $0.4 million and $0.7 million, respectively, which were recorded as a reduction to our investment in unconsolidated joint venture on our Consolidated Balance Sheets. During the years ended December 31, 2023 and 2022, the Company paid IM, LLC $0.2 million. During the year ended December 31, 2021, the Company did not pay material amounts to IM, LLC.</w:t>
      </w:r>
    </w:p>
    <w:p>
      <w:pPr>
        <w:sectPr>
          <w:pgSz w:w="11880" w:h="15480" w:orient="portrait"/>
          <w:cols w:equalWidth="0" w:num="1">
            <w:col w:w="9770"/>
          </w:cols>
          <w:pgMar w:left="1050" w:top="1083" w:right="10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1E1E1E"/>
        </w:rPr>
        <w:t>102</w:t>
      </w:r>
    </w:p>
    <w:p>
      <w:pPr>
        <w:sectPr>
          <w:pgSz w:w="11880" w:h="15480" w:orient="portrait"/>
          <w:cols w:equalWidth="0" w:num="1">
            <w:col w:w="9770"/>
          </w:cols>
          <w:pgMar w:left="1050" w:top="1083" w:right="1060" w:bottom="227"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9"/>
          <w:szCs w:val="19"/>
          <w:b w:val="1"/>
          <w:bCs w:val="1"/>
          <w:color w:val="1E1E1E"/>
        </w:rPr>
        <w:t>Item 9. Changes in and Disagreements With Accountants on Accounting and Financial Disclosure.</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None.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9A. Controls and Procedures.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Evaluation of Disclosure Controls and Procedures</w:t>
      </w:r>
    </w:p>
    <w:p>
      <w:pPr>
        <w:spacing w:after="0" w:line="137" w:lineRule="exact"/>
        <w:rPr>
          <w:sz w:val="20"/>
          <w:szCs w:val="20"/>
          <w:color w:val="auto"/>
        </w:rPr>
      </w:pPr>
    </w:p>
    <w:p>
      <w:pPr>
        <w:ind w:right="100" w:firstLine="601"/>
        <w:spacing w:after="0" w:line="251" w:lineRule="auto"/>
        <w:rPr>
          <w:sz w:val="20"/>
          <w:szCs w:val="20"/>
          <w:color w:val="auto"/>
        </w:rPr>
      </w:pPr>
      <w:r>
        <w:rPr>
          <w:rFonts w:ascii="Times New Roman" w:cs="Times New Roman" w:eastAsia="Times New Roman" w:hAnsi="Times New Roman"/>
          <w:sz w:val="19"/>
          <w:szCs w:val="19"/>
          <w:color w:val="1C1C1C"/>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0" w:lineRule="exact"/>
        <w:rPr>
          <w:sz w:val="20"/>
          <w:szCs w:val="20"/>
          <w:color w:val="auto"/>
        </w:rPr>
      </w:pPr>
    </w:p>
    <w:p>
      <w:pPr>
        <w:ind w:right="20" w:firstLine="601"/>
        <w:spacing w:after="0" w:line="260" w:lineRule="auto"/>
        <w:rPr>
          <w:sz w:val="20"/>
          <w:szCs w:val="20"/>
          <w:color w:val="auto"/>
        </w:rPr>
      </w:pPr>
      <w:r>
        <w:rPr>
          <w:rFonts w:ascii="Times New Roman" w:cs="Times New Roman" w:eastAsia="Times New Roman" w:hAnsi="Times New Roman"/>
          <w:sz w:val="19"/>
          <w:szCs w:val="19"/>
          <w:color w:val="1C1C1C"/>
        </w:rPr>
        <w:t>Pursuant to Rules 13a-15(e) and 15d-15(e) under the Exchange Act, our management, with the participation of our Chief Executive Officer and Chief Financial Officer, performed an evaluation of the effectiveness of our disclosure controls and procedures as of December 31, 2023. Based on such evaluation, our Chief Executive Officer and Chief Financial Officer concluded that our disclosure controls and procedures were effective at a reasonable assurance level.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Management's Report on Internal Control over Financial Reporting</w:t>
      </w:r>
    </w:p>
    <w:p>
      <w:pPr>
        <w:spacing w:after="0" w:line="137" w:lineRule="exact"/>
        <w:rPr>
          <w:sz w:val="20"/>
          <w:szCs w:val="20"/>
          <w:color w:val="auto"/>
        </w:rPr>
      </w:pPr>
    </w:p>
    <w:p>
      <w:pPr>
        <w:ind w:firstLine="601"/>
        <w:spacing w:after="0" w:line="250" w:lineRule="auto"/>
        <w:rPr>
          <w:sz w:val="20"/>
          <w:szCs w:val="20"/>
          <w:color w:val="auto"/>
        </w:rPr>
      </w:pPr>
      <w:r>
        <w:rPr>
          <w:rFonts w:ascii="Times New Roman" w:cs="Times New Roman" w:eastAsia="Times New Roman" w:hAnsi="Times New Roman"/>
          <w:sz w:val="19"/>
          <w:szCs w:val="19"/>
          <w:color w:val="1C1C1C"/>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2023 based on the criteria established in Internal Control - Integrated Framework (2013) issued by the Committee of Sponsoring Organizations of the Treadway Commission, and has concluded that our internal control over financial reporting was effective as of December 31, 2023.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Remediation of Material Weakness in Internal Control Over Financial Reporting</w:t>
      </w:r>
    </w:p>
    <w:p>
      <w:pPr>
        <w:spacing w:after="0" w:line="226" w:lineRule="exact"/>
        <w:rPr>
          <w:sz w:val="20"/>
          <w:szCs w:val="20"/>
          <w:color w:val="auto"/>
        </w:rPr>
      </w:pPr>
    </w:p>
    <w:p>
      <w:pPr>
        <w:ind w:right="40" w:firstLine="601"/>
        <w:spacing w:after="0" w:line="256" w:lineRule="auto"/>
        <w:rPr>
          <w:sz w:val="20"/>
          <w:szCs w:val="20"/>
          <w:color w:val="auto"/>
        </w:rPr>
      </w:pPr>
      <w:r>
        <w:rPr>
          <w:rFonts w:ascii="Times New Roman" w:cs="Times New Roman" w:eastAsia="Times New Roman" w:hAnsi="Times New Roman"/>
          <w:sz w:val="19"/>
          <w:szCs w:val="19"/>
          <w:color w:val="1C1C1C"/>
        </w:rPr>
        <w:t>As previously disclosed in Part II, “Item 9A— Controls and Procedures” of our Annual Report on Form 10-K for the year ended December 31, 2022, we identified a material weakness in our internal control over financial reporting related to the Company’s inability to timely perform an effective risk assessment related to the achievement of its control objectives in certain processes, primarily revenue and costs of revenue. As a result, we were unable to design and operate effective process-level controls as of December 31, 2022.</w:t>
      </w:r>
    </w:p>
    <w:p>
      <w:pPr>
        <w:spacing w:after="0" w:line="174" w:lineRule="exact"/>
        <w:rPr>
          <w:sz w:val="20"/>
          <w:szCs w:val="20"/>
          <w:color w:val="auto"/>
        </w:rPr>
      </w:pPr>
    </w:p>
    <w:p>
      <w:pPr>
        <w:ind w:right="160" w:firstLine="601"/>
        <w:spacing w:after="0" w:line="290" w:lineRule="auto"/>
        <w:rPr>
          <w:sz w:val="20"/>
          <w:szCs w:val="20"/>
          <w:color w:val="auto"/>
        </w:rPr>
      </w:pPr>
      <w:r>
        <w:rPr>
          <w:rFonts w:ascii="Times New Roman" w:cs="Times New Roman" w:eastAsia="Times New Roman" w:hAnsi="Times New Roman"/>
          <w:sz w:val="19"/>
          <w:szCs w:val="19"/>
          <w:color w:val="1C1C1C"/>
        </w:rPr>
        <w:t>In light of the material weakness, we performed the following remediation actions during the year ended December 31, 2023:</w:t>
      </w:r>
    </w:p>
    <w:p>
      <w:pPr>
        <w:spacing w:after="0" w:line="49" w:lineRule="exact"/>
        <w:rPr>
          <w:sz w:val="20"/>
          <w:szCs w:val="20"/>
          <w:color w:val="auto"/>
        </w:rPr>
      </w:pPr>
    </w:p>
    <w:p>
      <w:pPr>
        <w:ind w:left="940" w:hanging="475"/>
        <w:spacing w:after="0"/>
        <w:tabs>
          <w:tab w:leader="none" w:pos="940" w:val="left"/>
        </w:tabs>
        <w:numPr>
          <w:ilvl w:val="0"/>
          <w:numId w:val="77"/>
        </w:numPr>
        <w:rPr>
          <w:rFonts w:ascii="Arial" w:cs="Arial" w:eastAsia="Arial" w:hAnsi="Arial"/>
          <w:sz w:val="19"/>
          <w:szCs w:val="19"/>
          <w:color w:val="1E1E1E"/>
        </w:rPr>
      </w:pPr>
      <w:r>
        <w:rPr>
          <w:rFonts w:ascii="Times New Roman" w:cs="Times New Roman" w:eastAsia="Times New Roman" w:hAnsi="Times New Roman"/>
          <w:sz w:val="19"/>
          <w:szCs w:val="19"/>
          <w:color w:val="1E1E1E"/>
        </w:rPr>
        <w:t>improved our risk assessment process;</w:t>
      </w:r>
    </w:p>
    <w:p>
      <w:pPr>
        <w:spacing w:after="0" w:line="134" w:lineRule="exact"/>
        <w:rPr>
          <w:rFonts w:ascii="Arial" w:cs="Arial" w:eastAsia="Arial" w:hAnsi="Arial"/>
          <w:sz w:val="19"/>
          <w:szCs w:val="19"/>
          <w:color w:val="1E1E1E"/>
        </w:rPr>
      </w:pPr>
    </w:p>
    <w:p>
      <w:pPr>
        <w:ind w:left="940" w:hanging="475"/>
        <w:spacing w:after="0"/>
        <w:tabs>
          <w:tab w:leader="none" w:pos="940" w:val="left"/>
        </w:tabs>
        <w:numPr>
          <w:ilvl w:val="0"/>
          <w:numId w:val="77"/>
        </w:numPr>
        <w:rPr>
          <w:rFonts w:ascii="Arial" w:cs="Arial" w:eastAsia="Arial" w:hAnsi="Arial"/>
          <w:sz w:val="19"/>
          <w:szCs w:val="19"/>
          <w:color w:val="1E1E1E"/>
        </w:rPr>
      </w:pPr>
      <w:r>
        <w:rPr>
          <w:rFonts w:ascii="Times New Roman" w:cs="Times New Roman" w:eastAsia="Times New Roman" w:hAnsi="Times New Roman"/>
          <w:sz w:val="19"/>
          <w:szCs w:val="19"/>
          <w:color w:val="1E1E1E"/>
        </w:rPr>
        <w:t>implemented revised control activities and control documentation; and</w:t>
      </w:r>
    </w:p>
    <w:p>
      <w:pPr>
        <w:spacing w:after="0" w:line="134" w:lineRule="exact"/>
        <w:rPr>
          <w:rFonts w:ascii="Arial" w:cs="Arial" w:eastAsia="Arial" w:hAnsi="Arial"/>
          <w:sz w:val="19"/>
          <w:szCs w:val="19"/>
          <w:color w:val="1E1E1E"/>
        </w:rPr>
      </w:pPr>
    </w:p>
    <w:p>
      <w:pPr>
        <w:ind w:left="940" w:hanging="475"/>
        <w:spacing w:after="0"/>
        <w:tabs>
          <w:tab w:leader="none" w:pos="940" w:val="left"/>
        </w:tabs>
        <w:numPr>
          <w:ilvl w:val="0"/>
          <w:numId w:val="77"/>
        </w:numPr>
        <w:rPr>
          <w:rFonts w:ascii="Arial" w:cs="Arial" w:eastAsia="Arial" w:hAnsi="Arial"/>
          <w:sz w:val="19"/>
          <w:szCs w:val="19"/>
          <w:color w:val="1E1E1E"/>
        </w:rPr>
      </w:pPr>
      <w:r>
        <w:rPr>
          <w:rFonts w:ascii="Times New Roman" w:cs="Times New Roman" w:eastAsia="Times New Roman" w:hAnsi="Times New Roman"/>
          <w:sz w:val="19"/>
          <w:szCs w:val="19"/>
          <w:color w:val="1E1E1E"/>
        </w:rPr>
        <w:t>strengthened process-level controls related to internal controls over financial reporting.</w:t>
      </w:r>
    </w:p>
    <w:p>
      <w:pPr>
        <w:spacing w:after="0" w:line="227" w:lineRule="exact"/>
        <w:rPr>
          <w:sz w:val="20"/>
          <w:szCs w:val="20"/>
          <w:color w:val="auto"/>
        </w:rPr>
      </w:pPr>
    </w:p>
    <w:p>
      <w:pPr>
        <w:ind w:right="80" w:firstLine="601"/>
        <w:spacing w:after="0" w:line="290" w:lineRule="auto"/>
        <w:rPr>
          <w:sz w:val="20"/>
          <w:szCs w:val="20"/>
          <w:color w:val="auto"/>
        </w:rPr>
      </w:pPr>
      <w:r>
        <w:rPr>
          <w:rFonts w:ascii="Times New Roman" w:cs="Times New Roman" w:eastAsia="Times New Roman" w:hAnsi="Times New Roman"/>
          <w:sz w:val="19"/>
          <w:szCs w:val="19"/>
          <w:color w:val="1C1C1C"/>
        </w:rPr>
        <w:t>We have completed our testing of both the design and operating effectiveness of process-level controls, and we have concluded that the material weakness has been remediated as of December 31,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Attestation Report of the Registered Public Accounting Firm</w:t>
      </w:r>
    </w:p>
    <w:p>
      <w:pPr>
        <w:spacing w:after="0" w:line="226" w:lineRule="exact"/>
        <w:rPr>
          <w:sz w:val="20"/>
          <w:szCs w:val="20"/>
          <w:color w:val="auto"/>
        </w:rPr>
      </w:pPr>
    </w:p>
    <w:p>
      <w:pPr>
        <w:ind w:right="580" w:firstLine="601"/>
        <w:spacing w:after="0" w:line="290" w:lineRule="auto"/>
        <w:rPr>
          <w:sz w:val="20"/>
          <w:szCs w:val="20"/>
          <w:color w:val="auto"/>
        </w:rPr>
      </w:pPr>
      <w:r>
        <w:rPr>
          <w:rFonts w:ascii="Times New Roman" w:cs="Times New Roman" w:eastAsia="Times New Roman" w:hAnsi="Times New Roman"/>
          <w:sz w:val="19"/>
          <w:szCs w:val="19"/>
          <w:color w:val="1E1E1E"/>
        </w:rPr>
        <w:t>Our independent registered public accounting firm, KPMG LLP, has issued an audit report with respect to our internal control over financial reporting, which appears in Part II, Item 8 of this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Changes in Internal Control over Financial Reporting</w:t>
      </w:r>
    </w:p>
    <w:p>
      <w:pPr>
        <w:spacing w:after="0" w:line="137" w:lineRule="exact"/>
        <w:rPr>
          <w:sz w:val="20"/>
          <w:szCs w:val="20"/>
          <w:color w:val="auto"/>
        </w:rPr>
      </w:pPr>
    </w:p>
    <w:p>
      <w:pPr>
        <w:ind w:firstLine="601"/>
        <w:spacing w:after="0" w:line="290" w:lineRule="auto"/>
        <w:rPr>
          <w:sz w:val="20"/>
          <w:szCs w:val="20"/>
          <w:color w:val="auto"/>
        </w:rPr>
      </w:pPr>
      <w:r>
        <w:rPr>
          <w:rFonts w:ascii="Times New Roman" w:cs="Times New Roman" w:eastAsia="Times New Roman" w:hAnsi="Times New Roman"/>
          <w:sz w:val="19"/>
          <w:szCs w:val="19"/>
          <w:color w:val="1E1E1E"/>
        </w:rPr>
        <w:t>Other than as discussed above under “—Remediation of Material Weakness in Internal Control Over Financial Reporting”, there was no change in our internal control over financial reporting (as defined in Rules 13a-15(d) and 15d-15(d)</w:t>
      </w:r>
    </w:p>
    <w:p>
      <w:pPr>
        <w:sectPr>
          <w:pgSz w:w="11880" w:h="15480" w:orient="portrait"/>
          <w:cols w:equalWidth="0" w:num="1">
            <w:col w:w="9720"/>
          </w:cols>
          <w:pgMar w:left="1060" w:top="1080" w:right="1100" w:bottom="227" w:gutter="0" w:footer="0" w:header="0"/>
        </w:sectPr>
      </w:pP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1E1E1E"/>
        </w:rPr>
        <w:t>103</w:t>
      </w:r>
    </w:p>
    <w:p>
      <w:pPr>
        <w:sectPr>
          <w:pgSz w:w="11880" w:h="15480" w:orient="portrait"/>
          <w:cols w:equalWidth="0" w:num="1">
            <w:col w:w="9720"/>
          </w:cols>
          <w:pgMar w:left="1060" w:top="1080" w:right="1100" w:bottom="227" w:gutter="0" w:footer="0" w:header="0"/>
          <w:type w:val="continuous"/>
        </w:sectPr>
      </w:pPr>
    </w:p>
    <w:bookmarkStart w:id="109" w:name="page110"/>
    <w:bookmarkEnd w:id="109"/>
    <w:p>
      <w:pPr>
        <w:ind w:left="10" w:right="200"/>
        <w:spacing w:after="0" w:line="290" w:lineRule="auto"/>
        <w:rPr>
          <w:sz w:val="20"/>
          <w:szCs w:val="20"/>
          <w:color w:val="auto"/>
        </w:rPr>
      </w:pPr>
      <w:r>
        <w:rPr>
          <w:rFonts w:ascii="Times New Roman" w:cs="Times New Roman" w:eastAsia="Times New Roman" w:hAnsi="Times New Roman"/>
          <w:sz w:val="19"/>
          <w:szCs w:val="19"/>
          <w:color w:val="1E1E1E"/>
        </w:rPr>
        <w:t>under the Exchange Act) that occurred during the three months ended December 31, 2023 that has materially affected, or is reasonably likely to materially affect, our internal control over financial reporting.</w:t>
      </w:r>
    </w:p>
    <w:p>
      <w:pPr>
        <w:spacing w:after="0" w:line="1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i w:val="1"/>
          <w:iCs w:val="1"/>
          <w:color w:val="1E1E1E"/>
        </w:rPr>
        <w:t>Inherent Limitations on Effectiveness of Controls</w:t>
      </w:r>
    </w:p>
    <w:p>
      <w:pPr>
        <w:spacing w:after="0" w:line="137" w:lineRule="exact"/>
        <w:rPr>
          <w:sz w:val="20"/>
          <w:szCs w:val="20"/>
          <w:color w:val="auto"/>
        </w:rPr>
      </w:pPr>
    </w:p>
    <w:p>
      <w:pPr>
        <w:ind w:left="10" w:firstLine="601"/>
        <w:spacing w:after="0" w:line="248" w:lineRule="auto"/>
        <w:rPr>
          <w:sz w:val="20"/>
          <w:szCs w:val="20"/>
          <w:color w:val="auto"/>
        </w:rPr>
      </w:pPr>
      <w:r>
        <w:rPr>
          <w:rFonts w:ascii="Times New Roman" w:cs="Times New Roman" w:eastAsia="Times New Roman" w:hAnsi="Times New Roman"/>
          <w:sz w:val="19"/>
          <w:szCs w:val="19"/>
          <w:color w:val="1E1E1E"/>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7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1E1E1E"/>
        </w:rPr>
        <w:t>Item 9B. Other Information.</w:t>
      </w:r>
    </w:p>
    <w:p>
      <w:pPr>
        <w:spacing w:after="0" w:line="200" w:lineRule="exact"/>
        <w:rPr>
          <w:sz w:val="20"/>
          <w:szCs w:val="20"/>
          <w:color w:val="auto"/>
        </w:rPr>
      </w:pPr>
    </w:p>
    <w:p>
      <w:pPr>
        <w:spacing w:after="0" w:line="225" w:lineRule="exact"/>
        <w:rPr>
          <w:sz w:val="20"/>
          <w:szCs w:val="20"/>
          <w:color w:val="auto"/>
        </w:rPr>
      </w:pPr>
    </w:p>
    <w:p>
      <w:pPr>
        <w:ind w:left="10" w:right="40" w:firstLine="601"/>
        <w:spacing w:after="0" w:line="245" w:lineRule="auto"/>
        <w:rPr>
          <w:sz w:val="20"/>
          <w:szCs w:val="20"/>
          <w:color w:val="auto"/>
        </w:rPr>
      </w:pPr>
      <w:r>
        <w:rPr>
          <w:rFonts w:ascii="Times New Roman" w:cs="Times New Roman" w:eastAsia="Times New Roman" w:hAnsi="Times New Roman"/>
          <w:sz w:val="19"/>
          <w:szCs w:val="19"/>
          <w:color w:val="1E1E1E"/>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p>
    <w:p>
      <w:pPr>
        <w:spacing w:after="0" w:line="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1E1E1E"/>
        </w:rPr>
        <w:t>Type of Trading Arrangement</w:t>
      </w:r>
    </w:p>
    <w:tbl>
      <w:tblPr>
        <w:tblLayout w:type="fixed"/>
        <w:tblInd w:w="10" w:type="dxa"/>
        <w:tblCellMar>
          <w:top w:w="0" w:type="dxa"/>
          <w:left w:w="0" w:type="dxa"/>
          <w:bottom w:w="0" w:type="dxa"/>
          <w:right w:w="0" w:type="dxa"/>
        </w:tblCellMar>
      </w:tblPr>
      <w:tr>
        <w:trPr>
          <w:trHeight w:val="185"/>
        </w:trPr>
        <w:tc>
          <w:tcPr>
            <w:tcW w:w="1480" w:type="dxa"/>
            <w:vAlign w:val="bottom"/>
            <w:tcBorders>
              <w:top w:val="single" w:sz="8" w:color="1E1E1E"/>
            </w:tcBorders>
          </w:tcPr>
          <w:p>
            <w:pPr>
              <w:spacing w:after="0"/>
              <w:rPr>
                <w:sz w:val="16"/>
                <w:szCs w:val="16"/>
                <w:color w:val="auto"/>
              </w:rPr>
            </w:pPr>
          </w:p>
        </w:tc>
        <w:tc>
          <w:tcPr>
            <w:tcW w:w="720" w:type="dxa"/>
            <w:vAlign w:val="bottom"/>
            <w:tcBorders>
              <w:top w:val="single" w:sz="8" w:color="1E1E1E"/>
            </w:tcBorders>
          </w:tcPr>
          <w:p>
            <w:pPr>
              <w:spacing w:after="0"/>
              <w:rPr>
                <w:sz w:val="16"/>
                <w:szCs w:val="16"/>
                <w:color w:val="auto"/>
              </w:rPr>
            </w:pPr>
          </w:p>
        </w:tc>
        <w:tc>
          <w:tcPr>
            <w:tcW w:w="2120" w:type="dxa"/>
            <w:vAlign w:val="bottom"/>
            <w:tcBorders>
              <w:top w:val="single" w:sz="8" w:color="1E1E1E"/>
            </w:tcBorders>
          </w:tcPr>
          <w:p>
            <w:pPr>
              <w:spacing w:after="0"/>
              <w:rPr>
                <w:sz w:val="16"/>
                <w:szCs w:val="16"/>
                <w:color w:val="auto"/>
              </w:rPr>
            </w:pPr>
          </w:p>
        </w:tc>
        <w:tc>
          <w:tcPr>
            <w:tcW w:w="640" w:type="dxa"/>
            <w:vAlign w:val="bottom"/>
            <w:tcBorders>
              <w:top w:val="single" w:sz="8" w:color="1E1E1E"/>
            </w:tcBorders>
          </w:tcPr>
          <w:p>
            <w:pPr>
              <w:spacing w:after="0"/>
              <w:rPr>
                <w:sz w:val="16"/>
                <w:szCs w:val="16"/>
                <w:color w:val="auto"/>
              </w:rPr>
            </w:pPr>
          </w:p>
        </w:tc>
        <w:tc>
          <w:tcPr>
            <w:tcW w:w="64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260" w:type="dxa"/>
            <w:vAlign w:val="bottom"/>
            <w:tcBorders>
              <w:top w:val="single" w:sz="8" w:color="1E1E1E"/>
            </w:tcBorders>
          </w:tcPr>
          <w:p>
            <w:pPr>
              <w:spacing w:after="0"/>
              <w:rPr>
                <w:sz w:val="16"/>
                <w:szCs w:val="16"/>
                <w:color w:val="auto"/>
              </w:rPr>
            </w:pPr>
          </w:p>
        </w:tc>
        <w:tc>
          <w:tcPr>
            <w:tcW w:w="100" w:type="dxa"/>
            <w:vAlign w:val="bottom"/>
            <w:tcBorders>
              <w:top w:val="single" w:sz="8" w:color="1E1E1E"/>
            </w:tcBorders>
          </w:tcPr>
          <w:p>
            <w:pPr>
              <w:spacing w:after="0"/>
              <w:rPr>
                <w:sz w:val="16"/>
                <w:szCs w:val="16"/>
                <w:color w:val="auto"/>
              </w:rPr>
            </w:pPr>
          </w:p>
        </w:tc>
        <w:tc>
          <w:tcPr>
            <w:tcW w:w="160" w:type="dxa"/>
            <w:vAlign w:val="bottom"/>
            <w:tcBorders>
              <w:top w:val="single" w:sz="8" w:color="1E1E1E"/>
            </w:tcBorders>
          </w:tcPr>
          <w:p>
            <w:pPr>
              <w:spacing w:after="0"/>
              <w:rPr>
                <w:sz w:val="16"/>
                <w:szCs w:val="16"/>
                <w:color w:val="auto"/>
              </w:rPr>
            </w:pPr>
          </w:p>
        </w:tc>
        <w:tc>
          <w:tcPr>
            <w:tcW w:w="1240" w:type="dxa"/>
            <w:vAlign w:val="bottom"/>
            <w:tcBorders>
              <w:top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Total Shares of</w:t>
            </w:r>
          </w:p>
        </w:tc>
        <w:tc>
          <w:tcPr>
            <w:tcW w:w="100" w:type="dxa"/>
            <w:vAlign w:val="bottom"/>
            <w:tcBorders>
              <w:top w:val="single" w:sz="8" w:color="1E1E1E"/>
            </w:tcBorders>
          </w:tcPr>
          <w:p>
            <w:pPr>
              <w:spacing w:after="0"/>
              <w:rPr>
                <w:sz w:val="16"/>
                <w:szCs w:val="16"/>
                <w:color w:val="auto"/>
              </w:rPr>
            </w:pPr>
          </w:p>
        </w:tc>
        <w:tc>
          <w:tcPr>
            <w:tcW w:w="1200" w:type="dxa"/>
            <w:vAlign w:val="bottom"/>
            <w:tcBorders>
              <w:top w:val="single" w:sz="8" w:color="1E1E1E"/>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1E1E1E"/>
              </w:rPr>
              <w:t>Non-</w:t>
            </w:r>
          </w:p>
        </w:tc>
        <w:tc>
          <w:tcPr>
            <w:tcW w:w="10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rPr>
              <w:t>Total Shares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Class A Common</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Rule</w:t>
            </w:r>
          </w:p>
        </w:tc>
        <w:tc>
          <w:tcPr>
            <w:tcW w:w="6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1E1E1E"/>
              </w:rPr>
              <w:t>Rule</w:t>
            </w:r>
          </w:p>
        </w:tc>
        <w:tc>
          <w:tcPr>
            <w:tcW w:w="10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rPr>
              <w:t>Class A Common</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Stock to be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4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1E1E1E"/>
              </w:rPr>
              <w:t>Name and Position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Action</w:t>
            </w: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Adoption/Termination Date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1E1E1E"/>
              </w:rPr>
              <w:t>10b5-1* 10b5-1**</w:t>
            </w:r>
          </w:p>
        </w:tc>
        <w:tc>
          <w:tcPr>
            <w:tcW w:w="10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rPr>
              <w:t>Stock to be Sold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Purchased</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rPr>
              <w:t>Expiration Date</w:t>
            </w:r>
          </w:p>
        </w:tc>
        <w:tc>
          <w:tcPr>
            <w:tcW w:w="0" w:type="dxa"/>
            <w:vAlign w:val="bottom"/>
          </w:tcPr>
          <w:p>
            <w:pPr>
              <w:spacing w:after="0"/>
              <w:rPr>
                <w:sz w:val="1"/>
                <w:szCs w:val="1"/>
                <w:color w:val="auto"/>
              </w:rPr>
            </w:pPr>
          </w:p>
        </w:tc>
      </w:tr>
      <w:tr>
        <w:trPr>
          <w:trHeight w:val="165"/>
        </w:trPr>
        <w:tc>
          <w:tcPr>
            <w:tcW w:w="1480" w:type="dxa"/>
            <w:vAlign w:val="bottom"/>
            <w:tcBorders>
              <w:top w:val="single" w:sz="8" w:color="1E1E1E"/>
            </w:tcBorders>
            <w:shd w:val="clear" w:color="auto" w:fill="E4E4E4"/>
          </w:tcPr>
          <w:p>
            <w:pPr>
              <w:spacing w:after="0" w:line="165" w:lineRule="exact"/>
              <w:rPr>
                <w:sz w:val="20"/>
                <w:szCs w:val="20"/>
                <w:color w:val="auto"/>
              </w:rPr>
            </w:pPr>
            <w:r>
              <w:rPr>
                <w:rFonts w:ascii="Times New Roman" w:cs="Times New Roman" w:eastAsia="Times New Roman" w:hAnsi="Times New Roman"/>
                <w:sz w:val="16"/>
                <w:szCs w:val="16"/>
                <w:color w:val="1E1E1E"/>
              </w:rPr>
              <w:t>Peter Goguen</w:t>
            </w:r>
          </w:p>
        </w:tc>
        <w:tc>
          <w:tcPr>
            <w:tcW w:w="720" w:type="dxa"/>
            <w:vAlign w:val="bottom"/>
            <w:tcBorders>
              <w:top w:val="single" w:sz="8" w:color="1E1E1E"/>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Adopted</w:t>
            </w:r>
          </w:p>
        </w:tc>
        <w:tc>
          <w:tcPr>
            <w:tcW w:w="2120" w:type="dxa"/>
            <w:vAlign w:val="bottom"/>
            <w:tcBorders>
              <w:top w:val="single" w:sz="8" w:color="1E1E1E"/>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12/15/2023</w:t>
            </w:r>
          </w:p>
        </w:tc>
        <w:tc>
          <w:tcPr>
            <w:tcW w:w="640" w:type="dxa"/>
            <w:vAlign w:val="bottom"/>
            <w:tcBorders>
              <w:top w:val="single" w:sz="8" w:color="1E1E1E"/>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X</w:t>
            </w:r>
          </w:p>
        </w:tc>
        <w:tc>
          <w:tcPr>
            <w:tcW w:w="640" w:type="dxa"/>
            <w:vAlign w:val="bottom"/>
            <w:tcBorders>
              <w:top w:val="single" w:sz="8" w:color="1E1E1E"/>
            </w:tcBorders>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4E4E4"/>
            </w:tcBorders>
            <w:shd w:val="clear" w:color="auto" w:fill="E4E4E4"/>
          </w:tcPr>
          <w:p>
            <w:pPr>
              <w:spacing w:after="0"/>
              <w:rPr>
                <w:sz w:val="14"/>
                <w:szCs w:val="14"/>
                <w:color w:val="auto"/>
              </w:rPr>
            </w:pPr>
          </w:p>
        </w:tc>
        <w:tc>
          <w:tcPr>
            <w:tcW w:w="1260" w:type="dxa"/>
            <w:vAlign w:val="bottom"/>
            <w:tcBorders>
              <w:top w:val="single" w:sz="8" w:color="1E1E1E"/>
            </w:tcBorders>
            <w:vMerge w:val="restart"/>
            <w:shd w:val="clear" w:color="auto" w:fill="E4E4E4"/>
          </w:tcPr>
          <w:p>
            <w:pPr>
              <w:ind w:left="800"/>
              <w:spacing w:after="0"/>
              <w:rPr>
                <w:sz w:val="20"/>
                <w:szCs w:val="20"/>
                <w:color w:val="auto"/>
              </w:rPr>
            </w:pPr>
            <w:r>
              <w:rPr>
                <w:rFonts w:ascii="Times New Roman" w:cs="Times New Roman" w:eastAsia="Times New Roman" w:hAnsi="Times New Roman"/>
                <w:sz w:val="16"/>
                <w:szCs w:val="16"/>
                <w:color w:val="1E1E1E"/>
                <w:w w:val="99"/>
              </w:rPr>
              <w:t>65,499</w:t>
            </w:r>
          </w:p>
        </w:tc>
        <w:tc>
          <w:tcPr>
            <w:tcW w:w="100" w:type="dxa"/>
            <w:vAlign w:val="bottom"/>
            <w:tcBorders>
              <w:top w:val="single" w:sz="8" w:color="E4E4E4"/>
            </w:tcBorders>
            <w:shd w:val="clear" w:color="auto" w:fill="E4E4E4"/>
          </w:tcPr>
          <w:p>
            <w:pPr>
              <w:spacing w:after="0"/>
              <w:rPr>
                <w:sz w:val="14"/>
                <w:szCs w:val="14"/>
                <w:color w:val="auto"/>
              </w:rPr>
            </w:pPr>
          </w:p>
        </w:tc>
        <w:tc>
          <w:tcPr>
            <w:tcW w:w="160" w:type="dxa"/>
            <w:vAlign w:val="bottom"/>
            <w:tcBorders>
              <w:top w:val="single" w:sz="8" w:color="1E1E1E"/>
            </w:tcBorders>
            <w:shd w:val="clear" w:color="auto" w:fill="E4E4E4"/>
          </w:tcPr>
          <w:p>
            <w:pPr>
              <w:spacing w:after="0"/>
              <w:rPr>
                <w:sz w:val="14"/>
                <w:szCs w:val="14"/>
                <w:color w:val="auto"/>
              </w:rPr>
            </w:pPr>
          </w:p>
        </w:tc>
        <w:tc>
          <w:tcPr>
            <w:tcW w:w="1240" w:type="dxa"/>
            <w:vAlign w:val="bottom"/>
            <w:tcBorders>
              <w:top w:val="single" w:sz="8" w:color="1E1E1E"/>
            </w:tcBorders>
            <w:vMerge w:val="restart"/>
            <w:shd w:val="clear" w:color="auto" w:fill="E4E4E4"/>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0" w:type="dxa"/>
            <w:vAlign w:val="bottom"/>
            <w:tcBorders>
              <w:top w:val="single" w:sz="8" w:color="E4E4E4"/>
            </w:tcBorders>
            <w:shd w:val="clear" w:color="auto" w:fill="E4E4E4"/>
          </w:tcPr>
          <w:p>
            <w:pPr>
              <w:spacing w:after="0"/>
              <w:rPr>
                <w:sz w:val="14"/>
                <w:szCs w:val="14"/>
                <w:color w:val="auto"/>
              </w:rPr>
            </w:pPr>
          </w:p>
        </w:tc>
        <w:tc>
          <w:tcPr>
            <w:tcW w:w="1200" w:type="dxa"/>
            <w:vAlign w:val="bottom"/>
            <w:tcBorders>
              <w:top w:val="single" w:sz="8" w:color="1E1E1E"/>
            </w:tcBorders>
            <w:vMerge w:val="restart"/>
            <w:shd w:val="clear" w:color="auto" w:fill="E4E4E4"/>
          </w:tcPr>
          <w:p>
            <w:pPr>
              <w:jc w:val="center"/>
              <w:spacing w:after="0"/>
              <w:rPr>
                <w:sz w:val="20"/>
                <w:szCs w:val="20"/>
                <w:color w:val="auto"/>
              </w:rPr>
            </w:pPr>
            <w:r>
              <w:rPr>
                <w:rFonts w:ascii="Times New Roman" w:cs="Times New Roman" w:eastAsia="Times New Roman" w:hAnsi="Times New Roman"/>
                <w:sz w:val="16"/>
                <w:szCs w:val="16"/>
                <w:color w:val="1E1E1E"/>
              </w:rPr>
              <w:t>3/16/2026</w:t>
            </w:r>
          </w:p>
        </w:tc>
        <w:tc>
          <w:tcPr>
            <w:tcW w:w="0" w:type="dxa"/>
            <w:vAlign w:val="bottom"/>
          </w:tcPr>
          <w:p>
            <w:pPr>
              <w:spacing w:after="0"/>
              <w:rPr>
                <w:sz w:val="1"/>
                <w:szCs w:val="1"/>
                <w:color w:val="auto"/>
              </w:rPr>
            </w:pPr>
          </w:p>
        </w:tc>
      </w:tr>
      <w:tr>
        <w:trPr>
          <w:trHeight w:val="190"/>
        </w:trPr>
        <w:tc>
          <w:tcPr>
            <w:tcW w:w="14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i w:val="1"/>
                <w:iCs w:val="1"/>
                <w:color w:val="1E1E1E"/>
              </w:rPr>
              <w:t>Chief Operating</w:t>
            </w:r>
          </w:p>
        </w:tc>
        <w:tc>
          <w:tcPr>
            <w:tcW w:w="720" w:type="dxa"/>
            <w:vAlign w:val="bottom"/>
            <w:vMerge w:val="continue"/>
            <w:shd w:val="clear" w:color="auto" w:fill="E4E4E4"/>
          </w:tcPr>
          <w:p>
            <w:pPr>
              <w:spacing w:after="0"/>
              <w:rPr>
                <w:sz w:val="16"/>
                <w:szCs w:val="16"/>
                <w:color w:val="auto"/>
              </w:rPr>
            </w:pPr>
          </w:p>
        </w:tc>
        <w:tc>
          <w:tcPr>
            <w:tcW w:w="2120" w:type="dxa"/>
            <w:vAlign w:val="bottom"/>
            <w:vMerge w:val="continue"/>
            <w:shd w:val="clear" w:color="auto" w:fill="E4E4E4"/>
          </w:tcPr>
          <w:p>
            <w:pPr>
              <w:spacing w:after="0"/>
              <w:rPr>
                <w:sz w:val="16"/>
                <w:szCs w:val="16"/>
                <w:color w:val="auto"/>
              </w:rPr>
            </w:pPr>
          </w:p>
        </w:tc>
        <w:tc>
          <w:tcPr>
            <w:tcW w:w="640" w:type="dxa"/>
            <w:vAlign w:val="bottom"/>
            <w:vMerge w:val="continue"/>
            <w:shd w:val="clear" w:color="auto" w:fill="E4E4E4"/>
          </w:tcPr>
          <w:p>
            <w:pPr>
              <w:spacing w:after="0"/>
              <w:rPr>
                <w:sz w:val="16"/>
                <w:szCs w:val="16"/>
                <w:color w:val="auto"/>
              </w:rPr>
            </w:pPr>
          </w:p>
        </w:tc>
        <w:tc>
          <w:tcPr>
            <w:tcW w:w="640" w:type="dxa"/>
            <w:vAlign w:val="bottom"/>
            <w:vMerge w:val="continue"/>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260" w:type="dxa"/>
            <w:vAlign w:val="bottom"/>
            <w:vMerge w:val="continue"/>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60" w:type="dxa"/>
            <w:vAlign w:val="bottom"/>
            <w:shd w:val="clear" w:color="auto" w:fill="E4E4E4"/>
          </w:tcPr>
          <w:p>
            <w:pPr>
              <w:spacing w:after="0"/>
              <w:rPr>
                <w:sz w:val="16"/>
                <w:szCs w:val="16"/>
                <w:color w:val="auto"/>
              </w:rPr>
            </w:pPr>
          </w:p>
        </w:tc>
        <w:tc>
          <w:tcPr>
            <w:tcW w:w="1240" w:type="dxa"/>
            <w:vAlign w:val="bottom"/>
            <w:vMerge w:val="continue"/>
            <w:shd w:val="clear" w:color="auto" w:fill="E4E4E4"/>
          </w:tcPr>
          <w:p>
            <w:pPr>
              <w:spacing w:after="0"/>
              <w:rPr>
                <w:sz w:val="16"/>
                <w:szCs w:val="16"/>
                <w:color w:val="auto"/>
              </w:rPr>
            </w:pPr>
          </w:p>
        </w:tc>
        <w:tc>
          <w:tcPr>
            <w:tcW w:w="100" w:type="dxa"/>
            <w:vAlign w:val="bottom"/>
            <w:shd w:val="clear" w:color="auto" w:fill="E4E4E4"/>
          </w:tcPr>
          <w:p>
            <w:pPr>
              <w:spacing w:after="0"/>
              <w:rPr>
                <w:sz w:val="16"/>
                <w:szCs w:val="16"/>
                <w:color w:val="auto"/>
              </w:rPr>
            </w:pPr>
          </w:p>
        </w:tc>
        <w:tc>
          <w:tcPr>
            <w:tcW w:w="1200" w:type="dxa"/>
            <w:vAlign w:val="bottom"/>
            <w:vMerge w:val="continue"/>
            <w:shd w:val="clear" w:color="auto" w:fill="E4E4E4"/>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480" w:type="dxa"/>
            <w:vAlign w:val="bottom"/>
            <w:shd w:val="clear" w:color="auto" w:fill="E4E4E4"/>
          </w:tcPr>
          <w:p>
            <w:pPr>
              <w:spacing w:after="0"/>
              <w:rPr>
                <w:sz w:val="20"/>
                <w:szCs w:val="20"/>
                <w:color w:val="auto"/>
              </w:rPr>
            </w:pPr>
            <w:r>
              <w:rPr>
                <w:rFonts w:ascii="Times New Roman" w:cs="Times New Roman" w:eastAsia="Times New Roman" w:hAnsi="Times New Roman"/>
                <w:sz w:val="16"/>
                <w:szCs w:val="16"/>
                <w:i w:val="1"/>
                <w:iCs w:val="1"/>
                <w:color w:val="1E1E1E"/>
              </w:rPr>
              <w:t>Officer</w:t>
            </w:r>
          </w:p>
        </w:tc>
        <w:tc>
          <w:tcPr>
            <w:tcW w:w="720" w:type="dxa"/>
            <w:vAlign w:val="bottom"/>
            <w:shd w:val="clear" w:color="auto" w:fill="E4E4E4"/>
          </w:tcPr>
          <w:p>
            <w:pPr>
              <w:spacing w:after="0"/>
              <w:rPr>
                <w:sz w:val="17"/>
                <w:szCs w:val="17"/>
                <w:color w:val="auto"/>
              </w:rPr>
            </w:pPr>
          </w:p>
        </w:tc>
        <w:tc>
          <w:tcPr>
            <w:tcW w:w="2120" w:type="dxa"/>
            <w:vAlign w:val="bottom"/>
            <w:shd w:val="clear" w:color="auto" w:fill="E4E4E4"/>
          </w:tcPr>
          <w:p>
            <w:pPr>
              <w:spacing w:after="0"/>
              <w:rPr>
                <w:sz w:val="17"/>
                <w:szCs w:val="17"/>
                <w:color w:val="auto"/>
              </w:rPr>
            </w:pPr>
          </w:p>
        </w:tc>
        <w:tc>
          <w:tcPr>
            <w:tcW w:w="640" w:type="dxa"/>
            <w:vAlign w:val="bottom"/>
            <w:shd w:val="clear" w:color="auto" w:fill="E4E4E4"/>
          </w:tcPr>
          <w:p>
            <w:pPr>
              <w:spacing w:after="0"/>
              <w:rPr>
                <w:sz w:val="17"/>
                <w:szCs w:val="17"/>
                <w:color w:val="auto"/>
              </w:rPr>
            </w:pPr>
          </w:p>
        </w:tc>
        <w:tc>
          <w:tcPr>
            <w:tcW w:w="6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26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124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20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1E1E1E"/>
              </w:rPr>
              <w:t>Peter Goguen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1E1E1E"/>
              </w:rPr>
              <w:t>Adopted</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1E1E1E"/>
              </w:rPr>
              <w:t>12/15/2023</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1E1E1E"/>
              </w:rPr>
              <w:t>X</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620" w:type="dxa"/>
            <w:vAlign w:val="bottom"/>
            <w:gridSpan w:val="4"/>
            <w:vMerge w:val="restart"/>
          </w:tcPr>
          <w:p>
            <w:pPr>
              <w:ind w:left="900"/>
              <w:spacing w:after="0"/>
              <w:rPr>
                <w:sz w:val="20"/>
                <w:szCs w:val="20"/>
                <w:color w:val="auto"/>
              </w:rPr>
            </w:pPr>
            <w:r>
              <w:rPr>
                <w:rFonts w:ascii="Times New Roman" w:cs="Times New Roman" w:eastAsia="Times New Roman" w:hAnsi="Times New Roman"/>
                <w:sz w:val="16"/>
                <w:szCs w:val="16"/>
                <w:color w:val="1E1E1E"/>
              </w:rPr>
              <w:t xml:space="preserve">17,423  </w:t>
            </w:r>
            <w:r>
              <w:rPr>
                <w:rFonts w:ascii="Times New Roman" w:cs="Times New Roman" w:eastAsia="Times New Roman" w:hAnsi="Times New Roman"/>
                <w:sz w:val="10"/>
                <w:szCs w:val="10"/>
                <w:color w:val="1E1E1E"/>
              </w:rPr>
              <w:t>(1)</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300" w:type="dxa"/>
            <w:vAlign w:val="bottom"/>
            <w:gridSpan w:val="2"/>
            <w:vMerge w:val="restart"/>
          </w:tcPr>
          <w:p>
            <w:pPr>
              <w:jc w:val="center"/>
              <w:ind w:left="38"/>
              <w:spacing w:after="0"/>
              <w:rPr>
                <w:sz w:val="20"/>
                <w:szCs w:val="20"/>
                <w:color w:val="auto"/>
              </w:rPr>
            </w:pPr>
            <w:r>
              <w:rPr>
                <w:rFonts w:ascii="Times New Roman" w:cs="Times New Roman" w:eastAsia="Times New Roman" w:hAnsi="Times New Roman"/>
                <w:sz w:val="16"/>
                <w:szCs w:val="16"/>
                <w:color w:val="1E1E1E"/>
              </w:rPr>
              <w:t>3/16/2026</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Chief Operating</w:t>
            </w:r>
          </w:p>
        </w:tc>
        <w:tc>
          <w:tcPr>
            <w:tcW w:w="72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6"/>
                <w:szCs w:val="16"/>
                <w:i w:val="1"/>
                <w:iCs w:val="1"/>
                <w:color w:val="1E1E1E"/>
              </w:rPr>
              <w:t>Officer</w:t>
            </w:r>
          </w:p>
        </w:tc>
        <w:tc>
          <w:tcPr>
            <w:tcW w:w="7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0" w:right="320" w:hanging="10"/>
        <w:spacing w:after="0" w:line="246" w:lineRule="auto"/>
        <w:tabs>
          <w:tab w:leader="none" w:pos="141" w:val="left"/>
        </w:tabs>
        <w:numPr>
          <w:ilvl w:val="0"/>
          <w:numId w:val="78"/>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Contract, instruction or written plan intended to satisfy the affirmative defense conditions of Rule 10b5-1(c) under the Exchange Act. ** “Non-Rule 10b5-1 trading arrangement” as defined in Item 408(c) of Regulation S-K under the Exchange Act.</w:t>
      </w:r>
    </w:p>
    <w:p>
      <w:pPr>
        <w:ind w:left="10" w:right="140"/>
        <w:spacing w:after="0" w:line="269" w:lineRule="auto"/>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(1) This Rule 10b5-1 trading arrangement includes shares to be sold to satisfy tax withholding obligations arising from the vesting of restricted stock unit awards previously granted to Mr. Goguen that may vest and be released to him on or before December 15, 2025 upon satisfaction of the applicable service-based vesting conditions.</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1E1E1E"/>
        </w:rPr>
        <w:t>Item 9C. Disclosure Regarding Foreign Jurisdictions that Prevent Inspections.</w:t>
      </w:r>
    </w:p>
    <w:p>
      <w:pPr>
        <w:spacing w:after="0" w:line="124"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Not applicable.</w:t>
      </w:r>
    </w:p>
    <w:p>
      <w:pPr>
        <w:sectPr>
          <w:pgSz w:w="11880" w:h="15480" w:orient="portrait"/>
          <w:cols w:equalWidth="0" w:num="1">
            <w:col w:w="9770"/>
          </w:cols>
          <w:pgMar w:left="1050" w:top="1083" w:right="10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1E1E1E"/>
        </w:rPr>
        <w:t>104</w:t>
      </w:r>
    </w:p>
    <w:p>
      <w:pPr>
        <w:sectPr>
          <w:pgSz w:w="11880" w:h="15480" w:orient="portrait"/>
          <w:cols w:equalWidth="0" w:num="1">
            <w:col w:w="9770"/>
          </w:cols>
          <w:pgMar w:left="1050" w:top="1083" w:right="1060" w:bottom="227" w:gutter="0" w:footer="0" w:header="0"/>
          <w:type w:val="continuous"/>
        </w:sectPr>
      </w:pPr>
    </w:p>
    <w:bookmarkStart w:id="110" w:name="page111"/>
    <w:bookmarkEnd w:id="110"/>
    <w:p>
      <w:pPr>
        <w:ind w:left="4480"/>
        <w:spacing w:after="0"/>
        <w:rPr>
          <w:sz w:val="20"/>
          <w:szCs w:val="20"/>
          <w:color w:val="auto"/>
        </w:rPr>
      </w:pPr>
      <w:r>
        <w:rPr>
          <w:rFonts w:ascii="Times New Roman" w:cs="Times New Roman" w:eastAsia="Times New Roman" w:hAnsi="Times New Roman"/>
          <w:sz w:val="19"/>
          <w:szCs w:val="19"/>
          <w:b w:val="1"/>
          <w:bCs w:val="1"/>
          <w:color w:val="1E1E1E"/>
        </w:rPr>
        <w:t>PART III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10. Directors, Executive Officers and Corporate Governance.</w:t>
      </w:r>
    </w:p>
    <w:p>
      <w:pPr>
        <w:spacing w:after="0" w:line="124" w:lineRule="exact"/>
        <w:rPr>
          <w:sz w:val="20"/>
          <w:szCs w:val="20"/>
          <w:color w:val="auto"/>
        </w:rPr>
      </w:pPr>
    </w:p>
    <w:p>
      <w:pPr>
        <w:ind w:firstLine="601"/>
        <w:spacing w:after="0" w:line="256" w:lineRule="auto"/>
        <w:rPr>
          <w:sz w:val="20"/>
          <w:szCs w:val="20"/>
          <w:color w:val="auto"/>
        </w:rPr>
      </w:pPr>
      <w:r>
        <w:rPr>
          <w:rFonts w:ascii="Times New Roman" w:cs="Times New Roman" w:eastAsia="Times New Roman" w:hAnsi="Times New Roman"/>
          <w:sz w:val="19"/>
          <w:szCs w:val="19"/>
          <w:color w:val="1E1E1E"/>
        </w:rPr>
        <w:t>The information required by this item, including information about our directors, executive officers and audit committee, is incorporated by reference to the definitive Proxy Statement for our 2024 Annual Meeting of Stockholders under the captions “Information about our Director Nominees and Current Directors”, “Executive Officers” and “Information Regarding the Board and Corporate Governance”, which will be filed with the SEC, no later than 120 days after December 31, 2023.</w:t>
      </w:r>
    </w:p>
    <w:p>
      <w:pPr>
        <w:spacing w:after="0" w:line="67" w:lineRule="exact"/>
        <w:rPr>
          <w:sz w:val="20"/>
          <w:szCs w:val="20"/>
          <w:color w:val="auto"/>
        </w:rPr>
      </w:pPr>
    </w:p>
    <w:p>
      <w:pPr>
        <w:ind w:right="120" w:firstLine="601"/>
        <w:spacing w:after="0" w:line="251" w:lineRule="auto"/>
        <w:rPr>
          <w:sz w:val="20"/>
          <w:szCs w:val="20"/>
          <w:color w:val="auto"/>
        </w:rPr>
      </w:pPr>
      <w:r>
        <w:rPr>
          <w:rFonts w:ascii="Times New Roman" w:cs="Times New Roman" w:eastAsia="Times New Roman" w:hAnsi="Times New Roman"/>
          <w:sz w:val="19"/>
          <w:szCs w:val="19"/>
          <w:color w:val="1E1E1E"/>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 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11. Executive Compensation.</w:t>
      </w:r>
    </w:p>
    <w:p>
      <w:pPr>
        <w:spacing w:after="0" w:line="124" w:lineRule="exact"/>
        <w:rPr>
          <w:sz w:val="20"/>
          <w:szCs w:val="20"/>
          <w:color w:val="auto"/>
        </w:rPr>
      </w:pPr>
    </w:p>
    <w:p>
      <w:pPr>
        <w:ind w:right="380" w:firstLine="601"/>
        <w:spacing w:after="0" w:line="267" w:lineRule="auto"/>
        <w:rPr>
          <w:sz w:val="20"/>
          <w:szCs w:val="20"/>
          <w:color w:val="auto"/>
        </w:rPr>
      </w:pPr>
      <w:r>
        <w:rPr>
          <w:rFonts w:ascii="Times New Roman" w:cs="Times New Roman" w:eastAsia="Times New Roman" w:hAnsi="Times New Roman"/>
          <w:sz w:val="19"/>
          <w:szCs w:val="19"/>
          <w:color w:val="1E1E1E"/>
        </w:rPr>
        <w:t>The information required by this item is incorporated by reference to the definitive Proxy Statement for our 2024 Annual Meeting of Stockholders under the captions “Executive Compensation” and “Non-Employee Director Compensation”, which will be filed with the SEC no later than 120 days after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12. Security Ownership of Certain Beneficial Owners and Management and Related Stockholder Matters.</w:t>
      </w:r>
    </w:p>
    <w:p>
      <w:pPr>
        <w:spacing w:after="0" w:line="124" w:lineRule="exact"/>
        <w:rPr>
          <w:sz w:val="20"/>
          <w:szCs w:val="20"/>
          <w:color w:val="auto"/>
        </w:rPr>
      </w:pPr>
    </w:p>
    <w:p>
      <w:pPr>
        <w:ind w:right="240" w:firstLine="601"/>
        <w:spacing w:after="0" w:line="260" w:lineRule="auto"/>
        <w:rPr>
          <w:sz w:val="20"/>
          <w:szCs w:val="20"/>
          <w:color w:val="auto"/>
        </w:rPr>
      </w:pPr>
      <w:r>
        <w:rPr>
          <w:rFonts w:ascii="Times New Roman" w:cs="Times New Roman" w:eastAsia="Times New Roman" w:hAnsi="Times New Roman"/>
          <w:sz w:val="19"/>
          <w:szCs w:val="19"/>
          <w:color w:val="1E1E1E"/>
        </w:rPr>
        <w:t>The information required by this item is incorporated by reference to the definitive Proxy Statement for our 2024 Annual Meeting of Stockholders under the captions “Security Ownership of Certain Beneficial Owners and Management” and “Equity Compensation Plan Information”, which will be filed with the SEC no later than 120 days after December 31,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13. Certain Relationships and Related Transactions, and Director Independence.</w:t>
      </w:r>
    </w:p>
    <w:p>
      <w:pPr>
        <w:spacing w:after="0" w:line="124" w:lineRule="exact"/>
        <w:rPr>
          <w:sz w:val="20"/>
          <w:szCs w:val="20"/>
          <w:color w:val="auto"/>
        </w:rPr>
      </w:pPr>
    </w:p>
    <w:p>
      <w:pPr>
        <w:ind w:right="40" w:firstLine="601"/>
        <w:spacing w:after="0" w:line="267" w:lineRule="auto"/>
        <w:rPr>
          <w:sz w:val="20"/>
          <w:szCs w:val="20"/>
          <w:color w:val="auto"/>
        </w:rPr>
      </w:pPr>
      <w:r>
        <w:rPr>
          <w:rFonts w:ascii="Times New Roman" w:cs="Times New Roman" w:eastAsia="Times New Roman" w:hAnsi="Times New Roman"/>
          <w:sz w:val="19"/>
          <w:szCs w:val="19"/>
          <w:color w:val="1E1E1E"/>
        </w:rPr>
        <w:t>The information required by this item is incorporated by reference to the definitive Proxy Statement for our 2024 Annual Meeting of Stockholders under the caption “Transactions with Related Persons”, which will be filed with the SEC no later than 120 days after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14. Principal Accounting Fees and Services.</w:t>
      </w:r>
    </w:p>
    <w:p>
      <w:pPr>
        <w:spacing w:after="0" w:line="124" w:lineRule="exact"/>
        <w:rPr>
          <w:sz w:val="20"/>
          <w:szCs w:val="20"/>
          <w:color w:val="auto"/>
        </w:rPr>
      </w:pPr>
    </w:p>
    <w:p>
      <w:pPr>
        <w:jc w:val="both"/>
        <w:ind w:right="280" w:firstLine="601"/>
        <w:spacing w:after="0" w:line="267" w:lineRule="auto"/>
        <w:rPr>
          <w:sz w:val="20"/>
          <w:szCs w:val="20"/>
          <w:color w:val="auto"/>
        </w:rPr>
      </w:pPr>
      <w:r>
        <w:rPr>
          <w:rFonts w:ascii="Times New Roman" w:cs="Times New Roman" w:eastAsia="Times New Roman" w:hAnsi="Times New Roman"/>
          <w:sz w:val="19"/>
          <w:szCs w:val="19"/>
          <w:color w:val="1E1E1E"/>
        </w:rPr>
        <w:t>The information required by this item is incorporated by reference to the definitive Proxy Statement for our 2024 Annual Meeting of Stockholders under the caption “Ratification of the Selection of KPMG as our Independent Registered Public Accounting Firm”, which will be filed with the SEC no later than 120 days after December 31, 2023.</w:t>
      </w:r>
    </w:p>
    <w:p>
      <w:pPr>
        <w:sectPr>
          <w:pgSz w:w="11880" w:h="15480" w:orient="portrait"/>
          <w:cols w:equalWidth="0" w:num="1">
            <w:col w:w="9740"/>
          </w:cols>
          <w:pgMar w:left="1060" w:top="1080" w:right="108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1E1E1E"/>
        </w:rPr>
        <w:t>105</w:t>
      </w:r>
    </w:p>
    <w:p>
      <w:pPr>
        <w:sectPr>
          <w:pgSz w:w="11880" w:h="15480" w:orient="portrait"/>
          <w:cols w:equalWidth="0" w:num="1">
            <w:col w:w="9740"/>
          </w:cols>
          <w:pgMar w:left="1060" w:top="1080" w:right="1080" w:bottom="227" w:gutter="0" w:footer="0" w:header="0"/>
          <w:type w:val="continuous"/>
        </w:sectPr>
      </w:pPr>
    </w:p>
    <w:bookmarkStart w:id="111" w:name="page112"/>
    <w:bookmarkEnd w:id="111"/>
    <w:p>
      <w:pPr>
        <w:jc w:val="center"/>
        <w:ind w:right="-179"/>
        <w:spacing w:after="0"/>
        <w:rPr>
          <w:sz w:val="20"/>
          <w:szCs w:val="20"/>
          <w:color w:val="auto"/>
        </w:rPr>
      </w:pPr>
      <w:r>
        <w:rPr>
          <w:rFonts w:ascii="Times New Roman" w:cs="Times New Roman" w:eastAsia="Times New Roman" w:hAnsi="Times New Roman"/>
          <w:sz w:val="19"/>
          <w:szCs w:val="19"/>
          <w:b w:val="1"/>
          <w:bCs w:val="1"/>
          <w:color w:val="1E1E1E"/>
        </w:rPr>
        <w:t>PART IV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1E1E1E"/>
        </w:rPr>
        <w:t>Item 15. Exhibits, Financial Statement Schedules.</w:t>
      </w:r>
    </w:p>
    <w:p>
      <w:pPr>
        <w:spacing w:after="0" w:line="1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9"/>
          <w:szCs w:val="19"/>
          <w:color w:val="1E1E1E"/>
        </w:rPr>
        <w:t>The following documents are filed as a part of this Annual Report on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(a) Financial Statements</w:t>
      </w:r>
    </w:p>
    <w:p>
      <w:pPr>
        <w:spacing w:after="0" w:line="120" w:lineRule="exact"/>
        <w:rPr>
          <w:sz w:val="20"/>
          <w:szCs w:val="20"/>
          <w:color w:val="auto"/>
        </w:rPr>
      </w:pPr>
    </w:p>
    <w:p>
      <w:pPr>
        <w:ind w:right="20" w:firstLine="601"/>
        <w:spacing w:after="0" w:line="290" w:lineRule="auto"/>
        <w:rPr>
          <w:sz w:val="20"/>
          <w:szCs w:val="20"/>
          <w:color w:val="auto"/>
        </w:rPr>
      </w:pPr>
      <w:r>
        <w:rPr>
          <w:rFonts w:ascii="Times New Roman" w:cs="Times New Roman" w:eastAsia="Times New Roman" w:hAnsi="Times New Roman"/>
          <w:sz w:val="19"/>
          <w:szCs w:val="19"/>
          <w:color w:val="1E1E1E"/>
        </w:rPr>
        <w:t>Our Consolidated Financial Statements are listed in the “Index to Consolidated Financial Statements” under Part II, Item 8 of this Annual Report on Form 10-K.</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(b) Financial Statement Schedules</w:t>
      </w:r>
    </w:p>
    <w:p>
      <w:pPr>
        <w:spacing w:after="0" w:line="120" w:lineRule="exact"/>
        <w:rPr>
          <w:sz w:val="20"/>
          <w:szCs w:val="20"/>
          <w:color w:val="auto"/>
        </w:rPr>
      </w:pPr>
    </w:p>
    <w:p>
      <w:pPr>
        <w:ind w:firstLine="601"/>
        <w:spacing w:after="0" w:line="290" w:lineRule="auto"/>
        <w:rPr>
          <w:sz w:val="20"/>
          <w:szCs w:val="20"/>
          <w:color w:val="auto"/>
        </w:rPr>
      </w:pPr>
      <w:r>
        <w:rPr>
          <w:rFonts w:ascii="Times New Roman" w:cs="Times New Roman" w:eastAsia="Times New Roman" w:hAnsi="Times New Roman"/>
          <w:sz w:val="19"/>
          <w:szCs w:val="19"/>
          <w:color w:val="1E1E1E"/>
        </w:rPr>
        <w:t>All financial statement schedules are omitted because the information called for is not required or is shown either in the consolidated financial statements or in the notes thereto.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1E1E1E"/>
        </w:rPr>
        <w:t>(c) Exhibits</w:t>
      </w:r>
    </w:p>
    <w:p>
      <w:pPr>
        <w:spacing w:after="0" w:line="120" w:lineRule="exact"/>
        <w:rPr>
          <w:sz w:val="20"/>
          <w:szCs w:val="20"/>
          <w:color w:val="auto"/>
        </w:rPr>
      </w:pPr>
    </w:p>
    <w:p>
      <w:pPr>
        <w:ind w:right="540" w:firstLine="601"/>
        <w:spacing w:after="0" w:line="290" w:lineRule="auto"/>
        <w:rPr>
          <w:sz w:val="20"/>
          <w:szCs w:val="20"/>
          <w:color w:val="auto"/>
        </w:rPr>
      </w:pPr>
      <w:r>
        <w:rPr>
          <w:rFonts w:ascii="Times New Roman" w:cs="Times New Roman" w:eastAsia="Times New Roman" w:hAnsi="Times New Roman"/>
          <w:sz w:val="19"/>
          <w:szCs w:val="19"/>
          <w:color w:val="1E1E1E"/>
        </w:rPr>
        <w:t>The exhibits listed below are filed as part of this Annual Report on Form 10-K, or are incorporated herein by reference, in each case as indicated below.</w:t>
      </w:r>
    </w:p>
    <w:p>
      <w:pPr>
        <w:sectPr>
          <w:pgSz w:w="11880" w:h="15480" w:orient="portrait"/>
          <w:cols w:equalWidth="0" w:num="1">
            <w:col w:w="9580"/>
          </w:cols>
          <w:pgMar w:left="1060" w:top="1080" w:right="124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1E1E1E"/>
        </w:rPr>
        <w:t>106</w:t>
      </w:r>
    </w:p>
    <w:p>
      <w:pPr>
        <w:sectPr>
          <w:pgSz w:w="11880" w:h="15480" w:orient="portrait"/>
          <w:cols w:equalWidth="0" w:num="1">
            <w:col w:w="9580"/>
          </w:cols>
          <w:pgMar w:left="1060" w:top="1080" w:right="1240" w:bottom="227"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67"/>
        </w:trPr>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0" w:type="dxa"/>
            <w:vAlign w:val="bottom"/>
          </w:tcPr>
          <w:p>
            <w:pPr>
              <w:ind w:left="3160"/>
              <w:spacing w:after="0"/>
              <w:rPr>
                <w:sz w:val="20"/>
                <w:szCs w:val="20"/>
                <w:color w:val="auto"/>
              </w:rPr>
            </w:pPr>
            <w:r>
              <w:rPr>
                <w:rFonts w:ascii="Times New Roman" w:cs="Times New Roman" w:eastAsia="Times New Roman" w:hAnsi="Times New Roman"/>
                <w:sz w:val="19"/>
                <w:szCs w:val="19"/>
                <w:b w:val="1"/>
                <w:bCs w:val="1"/>
                <w:color w:val="1E1E1E"/>
              </w:rPr>
              <w:t>Exhibit Index</w:t>
            </w:r>
          </w:p>
        </w:tc>
        <w:tc>
          <w:tcPr>
            <w:tcW w:w="0" w:type="dxa"/>
            <w:vAlign w:val="bottom"/>
          </w:tcPr>
          <w:p>
            <w:pPr>
              <w:spacing w:after="0"/>
              <w:rPr>
                <w:sz w:val="1"/>
                <w:szCs w:val="1"/>
                <w:color w:val="auto"/>
              </w:rPr>
            </w:pPr>
          </w:p>
        </w:tc>
      </w:tr>
      <w:tr>
        <w:trPr>
          <w:trHeight w:val="422"/>
        </w:trPr>
        <w:tc>
          <w:tcPr>
            <w:tcW w:w="10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1E1E1E"/>
              </w:rPr>
              <w:t>Exhibit</w:t>
            </w:r>
          </w:p>
        </w:tc>
        <w:tc>
          <w:tcPr>
            <w:tcW w:w="10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060" w:type="dxa"/>
            <w:vAlign w:val="bottom"/>
            <w:tcBorders>
              <w:bottom w:val="single" w:sz="8" w:color="1E1E1E"/>
            </w:tcBorders>
          </w:tcPr>
          <w:p>
            <w:pPr>
              <w:ind w:left="240"/>
              <w:spacing w:after="0"/>
              <w:rPr>
                <w:sz w:val="20"/>
                <w:szCs w:val="20"/>
                <w:color w:val="auto"/>
              </w:rPr>
            </w:pPr>
            <w:r>
              <w:rPr>
                <w:rFonts w:ascii="Times New Roman" w:cs="Times New Roman" w:eastAsia="Times New Roman" w:hAnsi="Times New Roman"/>
                <w:sz w:val="16"/>
                <w:szCs w:val="16"/>
                <w:b w:val="1"/>
                <w:bCs w:val="1"/>
                <w:color w:val="1E1E1E"/>
              </w:rPr>
              <w:t>Number</w:t>
            </w:r>
          </w:p>
        </w:tc>
        <w:tc>
          <w:tcPr>
            <w:tcW w:w="100" w:type="dxa"/>
            <w:vAlign w:val="bottom"/>
          </w:tcPr>
          <w:p>
            <w:pPr>
              <w:spacing w:after="0"/>
              <w:rPr>
                <w:sz w:val="17"/>
                <w:szCs w:val="17"/>
                <w:color w:val="auto"/>
              </w:rPr>
            </w:pPr>
          </w:p>
        </w:tc>
        <w:tc>
          <w:tcPr>
            <w:tcW w:w="8600" w:type="dxa"/>
            <w:vAlign w:val="bottom"/>
            <w:tcBorders>
              <w:bottom w:val="single" w:sz="8" w:color="1E1E1E"/>
            </w:tcBorders>
          </w:tcPr>
          <w:p>
            <w:pPr>
              <w:ind w:left="3920"/>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0" w:type="dxa"/>
            <w:vAlign w:val="bottom"/>
          </w:tcPr>
          <w:p>
            <w:pPr>
              <w:spacing w:after="0"/>
              <w:rPr>
                <w:sz w:val="1"/>
                <w:szCs w:val="1"/>
                <w:color w:val="auto"/>
              </w:rPr>
            </w:pPr>
          </w:p>
        </w:tc>
      </w:tr>
      <w:tr>
        <w:trPr>
          <w:trHeight w:val="435"/>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3.1</w:t>
            </w:r>
          </w:p>
        </w:tc>
        <w:tc>
          <w:tcPr>
            <w:tcW w:w="100" w:type="dxa"/>
            <w:vAlign w:val="bottom"/>
          </w:tcPr>
          <w:p>
            <w:pPr>
              <w:spacing w:after="0"/>
              <w:rPr>
                <w:sz w:val="24"/>
                <w:szCs w:val="24"/>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Amended and Restated Certificate of Incorporation of Xometry, Inc., (incorporated herein by reference to</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Exhibit 3.1 to the Company’s Current Report on Form 8-K (File No. 001-40546), filed with the SEC on July</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2,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3.2</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Amended and Restated Bylaws of Xometry, Inc., (incorporated herein by reference to Exhibit 3.2 to the</w:t>
            </w:r>
          </w:p>
        </w:tc>
        <w:tc>
          <w:tcPr>
            <w:tcW w:w="0" w:type="dxa"/>
            <w:vAlign w:val="bottom"/>
          </w:tcPr>
          <w:p>
            <w:pPr>
              <w:spacing w:after="0"/>
              <w:rPr>
                <w:sz w:val="1"/>
                <w:szCs w:val="1"/>
                <w:color w:val="auto"/>
              </w:rPr>
            </w:pPr>
          </w:p>
        </w:tc>
      </w:tr>
      <w:tr>
        <w:trPr>
          <w:trHeight w:val="238"/>
        </w:trPr>
        <w:tc>
          <w:tcPr>
            <w:tcW w:w="106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4.1</w:t>
            </w: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Company’s Current Report on Form 8-K (File No. 001-40546), filed with the SEC on July 2, 2021).</w:t>
            </w:r>
          </w:p>
        </w:tc>
        <w:tc>
          <w:tcPr>
            <w:tcW w:w="0" w:type="dxa"/>
            <w:vAlign w:val="bottom"/>
          </w:tcPr>
          <w:p>
            <w:pPr>
              <w:spacing w:after="0"/>
              <w:rPr>
                <w:sz w:val="1"/>
                <w:szCs w:val="1"/>
                <w:color w:val="auto"/>
              </w:rPr>
            </w:pPr>
          </w:p>
        </w:tc>
      </w:tr>
      <w:tr>
        <w:trPr>
          <w:trHeight w:val="223"/>
        </w:trPr>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Indenture, dated as of February 4, 2022, by and between Xometry, Inc. and U.S. Bank Trust Company,</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National Association as Trustee (incorporated herein by reference to Exhibit 4.1 to the Company’s Current</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Report on Form 8-K (File No. 001-40546), filed with the SEC on February 4, 2022).</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4.2</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of Global Note representing Xometry, Inc.’s 1.00% Convertible Senior Notes due 2027 (included as</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Exhibit A to the Indenture filed as Exhibit 4.1) (incorporated herein by reference to Exhibit 4.2 to the</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Company’s Current Report on Form 8-K (File No. 001-40546), filed with the SEC on February 4, 2022).</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4.3</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Description of Registered Securities (incorporated herein by reference to Exhibit 4.3 to the Company’s</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Annual Report on Form 10-K (File No. 001-40546), filed with the SEC on March 18, 2022).</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4.4</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of Class A Common Stock Certificate (incorporated herein by reference to Exhibit 4.1 to the</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Company’s Registration Statement on Form S-1/A (File No. 333-256769), filed with the SEC on June 25,</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Xometry, Inc. 2021 Equity Incentive Plan (incorporated herein by reference to Exhibit 10.9 to the Company’s</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Registration Statement on Form S-1/A (File No. 333-256769), filed with the SEC on June 21,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10.2+</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Forms of grant notice, stock option agreement and notice of exercise under the Xometry, Inc. 2021 Equity</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Incentive Plan (incorporated herein by reference to Exhibit 10.10 to the Company’s Registration Statement on</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S-1/A (File No. 333-256769), filed with the SEC on June 25,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10.3+</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Forms of restricted stock unit grant notice and award agreement under the Xometry, Inc. 2021 Equity</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Incentive Plan (incorporated herein by reference to Exhibit 10.11 to the Company’s Registration Statement on</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S-1/A (File No. 333-256769), filed with the SEC on June 25,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10.4+</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Amended and Restated Employment Agreement by and between Xometry, Inc. and Randolph Altschuler,</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(incorporated herein by reference to Exhibit 10.12 to the Company’s Registration Statement on Form S-1/A</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(File No. 333-256769), filed with the SEC on June 25,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10.5+</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Amended and Restated Employment Agreement by and between Xometry, Inc. and James Rallo,</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(incorporated herein by reference to Exhibit 10.13 to the Company’s Registration Statement on Form S-1/A</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(File No. 333-256769), filed with the SEC on June 25,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10.6+</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Amended and Restated Employment Agreement by and between Xometry, Inc. and Peter Goguen,</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(incorporated herein by reference to Exhibit 10.14 to the Company’s Registration Statement on Form S-1/A</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(File No. 333-256769), filed with the SEC on June 25,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10.7+</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of Indemnification Agreement entered into by and between Xometry, Inc. and each director and</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executive officer (incorporated herein by reference to Exhibit 10.15 to the Company’s Registration Statement</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on Form S-1/A (File No. 333-256769), filed with the SEC on June 21,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10.8</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Form of Exchange Agreement by and among Xometry, Inc., Randolph Altschuler and Laurence Zuriff</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(incorporated herein by reference to Exhibit 10.18 to the Company’s Registration Statement on Form S-1/A</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(File No. 333-256769), filed with the SEC on June 21,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10.10</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Seventh Amended and Restated Investor Rights Agreement, dated July 20, 2020 (incorporated herein by</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reference to Exhibit 10.1 to the Company’s Registration Statement on Form S-1 (File No. 333-256769), filed</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with the SEC on June 4,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10.11+</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Xometry, Inc. 2016 Equity Incentive Plan (incorporated herein by reference to Exhibit 10.2 to the Company’s</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Registration Statement on Form S-1 (File No. 333-256769), filed with the SEC on June 4,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10.12+</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Xometry, Inc. Amendment No. 1 to 2016 Equity Incentive Plan (incorporated herein by reference to Exhibit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10.3 to the Company’s Registration Statement on Form S-1 (File No. 333-256769), filed with the SEC on</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June 4,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10.13+</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Xometry, Inc. Amendment No. 2 to 2016 Equity Incentive Plan (incorporated herein by reference to Exhibit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10.4 to the Company’s Registration Statement on Form S-1 (File No. 333-256769), filed with the SEC on</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June 4, 2021).</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1E1E1E"/>
              </w:rPr>
              <w:t>10.14+</w:t>
            </w: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Xometry, Inc. Amendment No. 3 to 2016 Equity Incentive Plan (incorporated herein by reference to Exhibit</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10.5 to the Company’s Registration Statement on Form S-1 (File No. 333-256769), filed with the SEC on</w:t>
            </w:r>
          </w:p>
        </w:tc>
        <w:tc>
          <w:tcPr>
            <w:tcW w:w="0" w:type="dxa"/>
            <w:vAlign w:val="bottom"/>
          </w:tcPr>
          <w:p>
            <w:pPr>
              <w:spacing w:after="0"/>
              <w:rPr>
                <w:sz w:val="1"/>
                <w:szCs w:val="1"/>
                <w:color w:val="auto"/>
              </w:rPr>
            </w:pPr>
          </w:p>
        </w:tc>
      </w:tr>
      <w:tr>
        <w:trPr>
          <w:trHeight w:val="260"/>
        </w:trPr>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9"/>
                <w:szCs w:val="19"/>
                <w:color w:val="1E1E1E"/>
              </w:rPr>
              <w:t>June 4,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676910</wp:posOffset>
            </wp:positionH>
            <wp:positionV relativeFrom="paragraph">
              <wp:posOffset>-7845425</wp:posOffset>
            </wp:positionV>
            <wp:extent cx="62230" cy="4763"/>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230" cy="4763"/>
                    </a:xfrm>
                    <a:prstGeom prst="rect">
                      <a:avLst/>
                    </a:prstGeom>
                    <a:noFill/>
                  </pic:spPr>
                </pic:pic>
              </a:graphicData>
            </a:graphic>
          </wp:anchor>
        </w:drawing>
      </w:r>
    </w:p>
    <w:p>
      <w:pPr>
        <w:sectPr>
          <w:pgSz w:w="12600" w:h="16200" w:orient="portrait"/>
          <w:cols w:equalWidth="0" w:num="1">
            <w:col w:w="9760"/>
          </w:cols>
          <w:pgMar w:left="1420" w:top="1440" w:right="1420" w:bottom="587"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107</w:t>
      </w:r>
    </w:p>
    <w:p>
      <w:pPr>
        <w:sectPr>
          <w:pgSz w:w="12600" w:h="16200" w:orient="portrait"/>
          <w:cols w:equalWidth="0" w:num="1">
            <w:col w:w="9760"/>
          </w:cols>
          <w:pgMar w:left="1420" w:top="1440" w:right="1420" w:bottom="587" w:gutter="0" w:footer="0" w:header="0"/>
          <w:type w:val="continuous"/>
        </w:sectPr>
      </w:pPr>
    </w:p>
    <w:bookmarkStart w:id="113" w:name="page114"/>
    <w:bookmarkEnd w:id="113"/>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10.15+</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Xometry, Inc. Amendment No. 4 to 2016 Equity Incentive Plan (incorporated herein by reference to Exhibit</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10.6 to the Company’s Registration Statement on Form S-1 (File No. 333-256769), filed with the SEC on</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June 4, 2021).</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10.16+</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Xometry, Inc. Amendment No. 5 to 2016 Equity Incentive Plan (incorporated herein by reference to Exhibit</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10.7 to the Company’s Registration Statement on Form S-1 (File No. 333-256769), filed with the SEC on</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June 4, 2021).</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10.17+</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Forms of grant notice, stock option agreement, and notice of exercise under the Xometry, Inc. 2016 Equity</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Incentive Plan (incorporated herein by reference to Exhibit 10.8 to the Company’s Registration Statement on</w:t>
            </w:r>
          </w:p>
        </w:tc>
        <w:tc>
          <w:tcPr>
            <w:tcW w:w="0" w:type="dxa"/>
            <w:vAlign w:val="bottom"/>
          </w:tcPr>
          <w:p>
            <w:pPr>
              <w:spacing w:after="0"/>
              <w:rPr>
                <w:sz w:val="1"/>
                <w:szCs w:val="1"/>
                <w:color w:val="auto"/>
              </w:rPr>
            </w:pPr>
          </w:p>
        </w:tc>
      </w:tr>
      <w:tr>
        <w:trPr>
          <w:trHeight w:val="238"/>
        </w:trPr>
        <w:tc>
          <w:tcPr>
            <w:tcW w:w="940" w:type="dxa"/>
            <w:vAlign w:val="bottom"/>
            <w:vMerge w:val="restart"/>
          </w:tcPr>
          <w:p>
            <w:pPr>
              <w:spacing w:after="0"/>
              <w:rPr>
                <w:sz w:val="20"/>
                <w:szCs w:val="20"/>
                <w:color w:val="auto"/>
              </w:rPr>
            </w:pPr>
            <w:r>
              <w:rPr>
                <w:rFonts w:ascii="Times New Roman" w:cs="Times New Roman" w:eastAsia="Times New Roman" w:hAnsi="Times New Roman"/>
                <w:sz w:val="19"/>
                <w:szCs w:val="19"/>
                <w:color w:val="1E1E1E"/>
              </w:rPr>
              <w:t>10.18+</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Form S-1 (File No. 333-256769), filed with the SEC on June 4, 2021).</w:t>
            </w:r>
          </w:p>
        </w:tc>
        <w:tc>
          <w:tcPr>
            <w:tcW w:w="0" w:type="dxa"/>
            <w:vAlign w:val="bottom"/>
          </w:tcPr>
          <w:p>
            <w:pPr>
              <w:spacing w:after="0"/>
              <w:rPr>
                <w:sz w:val="1"/>
                <w:szCs w:val="1"/>
                <w:color w:val="auto"/>
              </w:rPr>
            </w:pPr>
          </w:p>
        </w:tc>
      </w:tr>
      <w:tr>
        <w:trPr>
          <w:trHeight w:val="223"/>
        </w:trPr>
        <w:tc>
          <w:tcPr>
            <w:tcW w:w="940" w:type="dxa"/>
            <w:vAlign w:val="bottom"/>
            <w:vMerge w:val="continue"/>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Nextline Manufacturing Corp. 2014 Stock Option Plan (incorporated herein by reference to Exhibit 10.16 to</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the Company’s Registration Statement on Form S-1/A (File No. 333-256769), filed with the SEC on June 21,</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2021).</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10.19+</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Form of Stock Option Agreement to Nextline Manufacturing Corp 2014 Stock Option Plan (incorporated</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herein by reference to Exhibit 10.17 to the Company’s Registration Statement on Form S-1/A (File No. 333-</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256769), filed with the SEC on June 21, 2021).</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21.1*</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List of Subsidiaries of Xometry, Inc.</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23.1*</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Consent of KPMG LLP, independent registered public accounting firm.</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31.1*</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Exchange Act of 1934, as Adopted Pursuant to Section 302 of the Sarbanes-Oxley Act of 2002.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31.2*</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Exchange Act of 1934, as Adopted Pursuant to Section 302 of the Sarbanes-Oxley Act of 2002.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32.1**</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Certification of Principal Executive Officer Pursuant to 18 U.S.C. Section 1350, as Adopted Pursuant to</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Section 906 of the Sarbanes-Oxley Act of 2002.</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32.2**</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Certification of Principal Financial Officer Pursuant to 18 U.S.C. Section 1350, as Adopted Pursuant to</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Section 906 of the Sarbanes-Oxley Act of 2002.</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97.1</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Xometry, Inc. Incentive Compensation Recoupment Policy</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101.INS</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Inline XBRL Instance Document – the instance document does not appear in the Interactive Data File because</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XBRL tags are embedded within the Inline XBRL document.</w:t>
            </w:r>
          </w:p>
        </w:tc>
        <w:tc>
          <w:tcPr>
            <w:tcW w:w="0" w:type="dxa"/>
            <w:vAlign w:val="bottom"/>
          </w:tcPr>
          <w:p>
            <w:pPr>
              <w:spacing w:after="0"/>
              <w:rPr>
                <w:sz w:val="1"/>
                <w:szCs w:val="1"/>
                <w:color w:val="auto"/>
              </w:rPr>
            </w:pP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101.SCH</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Inline XBRL Taxonomy Extension Schema With Embedded Linkbase Documents</w:t>
            </w:r>
          </w:p>
        </w:tc>
        <w:tc>
          <w:tcPr>
            <w:tcW w:w="0" w:type="dxa"/>
            <w:vAlign w:val="bottom"/>
          </w:tcPr>
          <w:p>
            <w:pPr>
              <w:spacing w:after="0"/>
              <w:rPr>
                <w:sz w:val="1"/>
                <w:szCs w:val="1"/>
                <w:color w:val="auto"/>
              </w:rPr>
            </w:pPr>
          </w:p>
        </w:tc>
      </w:tr>
      <w:tr>
        <w:trPr>
          <w:trHeight w:val="260"/>
        </w:trPr>
        <w:tc>
          <w:tcPr>
            <w:tcW w:w="940" w:type="dxa"/>
            <w:vAlign w:val="bottom"/>
          </w:tcPr>
          <w:p>
            <w:pPr>
              <w:spacing w:after="0"/>
              <w:rPr>
                <w:sz w:val="20"/>
                <w:szCs w:val="20"/>
                <w:color w:val="auto"/>
              </w:rPr>
            </w:pPr>
            <w:r>
              <w:rPr>
                <w:rFonts w:ascii="Times New Roman" w:cs="Times New Roman" w:eastAsia="Times New Roman" w:hAnsi="Times New Roman"/>
                <w:sz w:val="19"/>
                <w:szCs w:val="19"/>
                <w:color w:val="1E1E1E"/>
              </w:rPr>
              <w:t>104</w:t>
            </w:r>
          </w:p>
        </w:tc>
        <w:tc>
          <w:tcPr>
            <w:tcW w:w="8780" w:type="dxa"/>
            <w:vAlign w:val="bottom"/>
          </w:tcPr>
          <w:p>
            <w:pPr>
              <w:ind w:left="220"/>
              <w:spacing w:after="0"/>
              <w:rPr>
                <w:sz w:val="20"/>
                <w:szCs w:val="20"/>
                <w:color w:val="auto"/>
              </w:rPr>
            </w:pPr>
            <w:r>
              <w:rPr>
                <w:rFonts w:ascii="Times New Roman" w:cs="Times New Roman" w:eastAsia="Times New Roman" w:hAnsi="Times New Roman"/>
                <w:sz w:val="19"/>
                <w:szCs w:val="19"/>
                <w:color w:val="1E1E1E"/>
              </w:rPr>
              <w:t>Cover Page Interactive Data File (embedded within the Inline XBRL document)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1E1E1E"/>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-131445</wp:posOffset>
            </wp:positionV>
            <wp:extent cx="92265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2655" cy="6350"/>
                    </a:xfrm>
                    <a:prstGeom prst="rect">
                      <a:avLst/>
                    </a:prstGeom>
                    <a:noFill/>
                  </pic:spPr>
                </pic:pic>
              </a:graphicData>
            </a:graphic>
          </wp:anchor>
        </w:drawing>
      </w:r>
    </w:p>
    <w:p>
      <w:pPr>
        <w:ind w:left="10" w:right="180" w:hanging="10"/>
        <w:spacing w:after="0" w:line="245" w:lineRule="auto"/>
        <w:tabs>
          <w:tab w:leader="none" w:pos="252" w:val="left"/>
        </w:tabs>
        <w:numPr>
          <w:ilvl w:val="0"/>
          <w:numId w:val="79"/>
        </w:numPr>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ind w:left="10"/>
        <w:spacing w:after="0"/>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Management contract or compensatory plan, contract or arrangement.</w:t>
      </w:r>
    </w:p>
    <w:p>
      <w:pPr>
        <w:spacing w:after="0" w:line="4" w:lineRule="exact"/>
        <w:rPr>
          <w:rFonts w:ascii="Times New Roman" w:cs="Times New Roman" w:eastAsia="Times New Roman" w:hAnsi="Times New Roman"/>
          <w:sz w:val="19"/>
          <w:szCs w:val="19"/>
          <w:color w:val="1E1E1E"/>
        </w:rPr>
      </w:pPr>
    </w:p>
    <w:p>
      <w:pPr>
        <w:ind w:left="10" w:right="220"/>
        <w:spacing w:after="0" w:line="290" w:lineRule="auto"/>
        <w:rPr>
          <w:rFonts w:ascii="Times New Roman" w:cs="Times New Roman" w:eastAsia="Times New Roman" w:hAnsi="Times New Roman"/>
          <w:sz w:val="19"/>
          <w:szCs w:val="19"/>
          <w:color w:val="1E1E1E"/>
        </w:rPr>
      </w:pPr>
      <w:r>
        <w:rPr>
          <w:rFonts w:ascii="Times New Roman" w:cs="Times New Roman" w:eastAsia="Times New Roman" w:hAnsi="Times New Roman"/>
          <w:sz w:val="19"/>
          <w:szCs w:val="19"/>
          <w:color w:val="1E1E1E"/>
        </w:rPr>
        <w:t>† We have omitted the schedules to this Exhibit in accordance with Regulation S-K Item 601(b)(2). A copy of any omitted schedule and/or exhibit will be furnished to the Securities and Exchange Commission upon its request.</w:t>
      </w:r>
    </w:p>
    <w:p>
      <w:pPr>
        <w:spacing w:after="0" w:line="10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b w:val="1"/>
          <w:bCs w:val="1"/>
          <w:color w:val="1E1E1E"/>
        </w:rPr>
        <w:t>Item 16. Form 10-K Summary</w:t>
      </w:r>
    </w:p>
    <w:p>
      <w:pPr>
        <w:spacing w:after="0" w:line="124" w:lineRule="exact"/>
        <w:rPr>
          <w:sz w:val="20"/>
          <w:szCs w:val="20"/>
          <w:color w:val="auto"/>
        </w:rPr>
      </w:pPr>
    </w:p>
    <w:p>
      <w:pPr>
        <w:ind w:left="610"/>
        <w:spacing w:after="0"/>
        <w:rPr>
          <w:sz w:val="20"/>
          <w:szCs w:val="20"/>
          <w:color w:val="auto"/>
        </w:rPr>
      </w:pPr>
      <w:r>
        <w:rPr>
          <w:rFonts w:ascii="Times New Roman" w:cs="Times New Roman" w:eastAsia="Times New Roman" w:hAnsi="Times New Roman"/>
          <w:sz w:val="19"/>
          <w:szCs w:val="19"/>
          <w:color w:val="1E1E1E"/>
        </w:rPr>
        <w:t>None.</w:t>
      </w:r>
    </w:p>
    <w:p>
      <w:pPr>
        <w:sectPr>
          <w:pgSz w:w="12600" w:h="16200" w:orient="portrait"/>
          <w:cols w:equalWidth="0" w:num="1">
            <w:col w:w="9750"/>
          </w:cols>
          <w:pgMar w:left="1410" w:top="1440" w:right="1440" w:bottom="5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1E1E1E"/>
        </w:rPr>
        <w:t>108</w:t>
      </w:r>
    </w:p>
    <w:p>
      <w:pPr>
        <w:sectPr>
          <w:pgSz w:w="12600" w:h="16200" w:orient="portrait"/>
          <w:cols w:equalWidth="0" w:num="1">
            <w:col w:w="9750"/>
          </w:cols>
          <w:pgMar w:left="1410" w:top="1440" w:right="1440" w:bottom="587"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9"/>
          <w:szCs w:val="19"/>
          <w:b w:val="1"/>
          <w:bCs w:val="1"/>
          <w:color w:val="1E1E1E"/>
        </w:rPr>
        <w:t>SIGNATURES</w:t>
      </w:r>
    </w:p>
    <w:p>
      <w:pPr>
        <w:spacing w:after="0" w:line="241" w:lineRule="exact"/>
        <w:rPr>
          <w:sz w:val="20"/>
          <w:szCs w:val="20"/>
          <w:color w:val="auto"/>
        </w:rPr>
      </w:pPr>
    </w:p>
    <w:p>
      <w:pPr>
        <w:ind w:firstLine="594"/>
        <w:spacing w:after="0" w:line="267" w:lineRule="auto"/>
        <w:rPr>
          <w:sz w:val="20"/>
          <w:szCs w:val="20"/>
          <w:color w:val="auto"/>
        </w:rPr>
      </w:pPr>
      <w:r>
        <w:rPr>
          <w:rFonts w:ascii="Times New Roman" w:cs="Times New Roman" w:eastAsia="Times New Roman" w:hAnsi="Times New Roman"/>
          <w:sz w:val="19"/>
          <w:szCs w:val="19"/>
          <w:color w:val="1E1E1E"/>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February 29, 2024.</w:t>
      </w:r>
    </w:p>
    <w:p>
      <w:pPr>
        <w:spacing w:after="0" w:line="21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1E1E1E"/>
        </w:rPr>
        <w:t>Xometry, Inc.</w:t>
      </w:r>
    </w:p>
    <w:p>
      <w:pPr>
        <w:spacing w:after="0" w:line="260" w:lineRule="exact"/>
        <w:rPr>
          <w:sz w:val="20"/>
          <w:szCs w:val="20"/>
          <w:color w:val="auto"/>
        </w:rPr>
      </w:pPr>
    </w:p>
    <w:p>
      <w:pPr>
        <w:spacing w:after="0"/>
        <w:tabs>
          <w:tab w:leader="none" w:pos="4680" w:val="left"/>
          <w:tab w:leader="none" w:pos="6560" w:val="left"/>
        </w:tabs>
        <w:rPr>
          <w:sz w:val="20"/>
          <w:szCs w:val="20"/>
          <w:color w:val="auto"/>
        </w:rPr>
      </w:pPr>
      <w:r>
        <w:rPr>
          <w:rFonts w:ascii="Times New Roman" w:cs="Times New Roman" w:eastAsia="Times New Roman" w:hAnsi="Times New Roman"/>
          <w:sz w:val="19"/>
          <w:szCs w:val="19"/>
          <w:color w:val="1E1E1E"/>
        </w:rPr>
        <w:t>Date: February 29, 2024</w:t>
      </w:r>
      <w:r>
        <w:rPr>
          <w:sz w:val="20"/>
          <w:szCs w:val="20"/>
          <w:color w:val="auto"/>
        </w:rPr>
        <w:tab/>
      </w:r>
      <w:r>
        <w:rPr>
          <w:rFonts w:ascii="Times New Roman" w:cs="Times New Roman" w:eastAsia="Times New Roman" w:hAnsi="Times New Roman"/>
          <w:sz w:val="19"/>
          <w:szCs w:val="19"/>
          <w:color w:val="1E1E1E"/>
        </w:rPr>
        <w:t>By:</w:t>
      </w:r>
      <w:r>
        <w:rPr>
          <w:sz w:val="20"/>
          <w:szCs w:val="20"/>
          <w:color w:val="auto"/>
        </w:rPr>
        <w:tab/>
      </w:r>
      <w:r>
        <w:rPr>
          <w:rFonts w:ascii="Times New Roman" w:cs="Times New Roman" w:eastAsia="Times New Roman" w:hAnsi="Times New Roman"/>
          <w:sz w:val="19"/>
          <w:szCs w:val="19"/>
          <w:color w:val="1E1E1E"/>
        </w:rPr>
        <w:t>/s/ Randolph Altschuler</w:t>
      </w:r>
    </w:p>
    <w:p>
      <w:pPr>
        <w:spacing w:after="0" w:line="2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9"/>
          <w:szCs w:val="19"/>
          <w:b w:val="1"/>
          <w:bCs w:val="1"/>
          <w:color w:val="1E1E1E"/>
        </w:rPr>
        <w:t xml:space="preserve">Name: </w:t>
      </w:r>
      <w:r>
        <w:rPr>
          <w:rFonts w:ascii="Times New Roman" w:cs="Times New Roman" w:eastAsia="Times New Roman" w:hAnsi="Times New Roman"/>
          <w:sz w:val="19"/>
          <w:szCs w:val="19"/>
          <w:color w:val="1E1E1E"/>
        </w:rPr>
        <w:t>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-137160</wp:posOffset>
            </wp:positionV>
            <wp:extent cx="2880360" cy="4763"/>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0360" cy="4763"/>
                    </a:xfrm>
                    <a:prstGeom prst="rect">
                      <a:avLst/>
                    </a:prstGeom>
                    <a:noFill/>
                  </pic:spPr>
                </pic:pic>
              </a:graphicData>
            </a:graphic>
          </wp:anchor>
        </w:drawing>
      </w:r>
    </w:p>
    <w:p>
      <w:pPr>
        <w:ind w:left="5800"/>
        <w:spacing w:after="0"/>
        <w:rPr>
          <w:sz w:val="20"/>
          <w:szCs w:val="20"/>
          <w:color w:val="auto"/>
        </w:rPr>
      </w:pPr>
      <w:r>
        <w:rPr>
          <w:rFonts w:ascii="Times New Roman" w:cs="Times New Roman" w:eastAsia="Times New Roman" w:hAnsi="Times New Roman"/>
          <w:sz w:val="19"/>
          <w:szCs w:val="19"/>
          <w:b w:val="1"/>
          <w:bCs w:val="1"/>
          <w:color w:val="1E1E1E"/>
        </w:rPr>
        <w:t xml:space="preserve">Title: </w:t>
      </w:r>
      <w:r>
        <w:rPr>
          <w:rFonts w:ascii="Times New Roman" w:cs="Times New Roman" w:eastAsia="Times New Roman" w:hAnsi="Times New Roman"/>
          <w:sz w:val="19"/>
          <w:szCs w:val="19"/>
          <w:color w:val="1E1E1E"/>
        </w:rPr>
        <w:t>Chief Executive Officer and Director</w:t>
      </w:r>
    </w:p>
    <w:p>
      <w:pPr>
        <w:spacing w:after="0" w:line="124" w:lineRule="exact"/>
        <w:rPr>
          <w:sz w:val="20"/>
          <w:szCs w:val="20"/>
          <w:color w:val="auto"/>
        </w:rPr>
      </w:pPr>
    </w:p>
    <w:p>
      <w:pPr>
        <w:ind w:right="200" w:firstLine="475"/>
        <w:spacing w:after="0" w:line="290" w:lineRule="auto"/>
        <w:rPr>
          <w:sz w:val="20"/>
          <w:szCs w:val="20"/>
          <w:color w:val="auto"/>
        </w:rPr>
      </w:pPr>
      <w:r>
        <w:rPr>
          <w:rFonts w:ascii="Times New Roman" w:cs="Times New Roman" w:eastAsia="Times New Roman" w:hAnsi="Times New Roman"/>
          <w:sz w:val="19"/>
          <w:szCs w:val="19"/>
          <w:color w:val="1E1E1E"/>
        </w:rPr>
        <w:t>Pursuant to the requirements of the Securities Exchange Act of 1934, as amended, this Report has been signed below by the following persons on behalf of the Registrant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4"/>
              </w:rPr>
              <w:t>Name</w:t>
            </w:r>
          </w:p>
        </w:tc>
        <w:tc>
          <w:tcPr>
            <w:tcW w:w="100" w:type="dxa"/>
            <w:vAlign w:val="bottom"/>
          </w:tcPr>
          <w:p>
            <w:pPr>
              <w:spacing w:after="0"/>
              <w:rPr>
                <w:sz w:val="17"/>
                <w:szCs w:val="17"/>
                <w:color w:val="auto"/>
              </w:rPr>
            </w:pPr>
          </w:p>
        </w:tc>
        <w:tc>
          <w:tcPr>
            <w:tcW w:w="4240" w:type="dxa"/>
            <w:vAlign w:val="bottom"/>
            <w:tcBorders>
              <w:bottom w:val="single" w:sz="8" w:color="1E1E1E"/>
            </w:tcBorders>
          </w:tcPr>
          <w:p>
            <w:pPr>
              <w:ind w:left="1960"/>
              <w:spacing w:after="0"/>
              <w:rPr>
                <w:sz w:val="20"/>
                <w:szCs w:val="20"/>
                <w:color w:val="auto"/>
              </w:rPr>
            </w:pPr>
            <w:r>
              <w:rPr>
                <w:rFonts w:ascii="Times New Roman" w:cs="Times New Roman" w:eastAsia="Times New Roman" w:hAnsi="Times New Roman"/>
                <w:sz w:val="16"/>
                <w:szCs w:val="16"/>
                <w:b w:val="1"/>
                <w:bCs w:val="1"/>
                <w:color w:val="1E1E1E"/>
              </w:rPr>
              <w:t>Title</w:t>
            </w:r>
          </w:p>
        </w:tc>
        <w:tc>
          <w:tcPr>
            <w:tcW w:w="100" w:type="dxa"/>
            <w:vAlign w:val="bottom"/>
          </w:tcPr>
          <w:p>
            <w:pPr>
              <w:spacing w:after="0"/>
              <w:rPr>
                <w:sz w:val="17"/>
                <w:szCs w:val="17"/>
                <w:color w:val="auto"/>
              </w:rPr>
            </w:pPr>
          </w:p>
        </w:tc>
        <w:tc>
          <w:tcPr>
            <w:tcW w:w="2100" w:type="dxa"/>
            <w:vAlign w:val="bottom"/>
            <w:tcBorders>
              <w:bottom w:val="single" w:sz="8" w:color="1E1E1E"/>
            </w:tcBorders>
          </w:tcPr>
          <w:p>
            <w:pPr>
              <w:ind w:left="880"/>
              <w:spacing w:after="0"/>
              <w:rPr>
                <w:sz w:val="20"/>
                <w:szCs w:val="20"/>
                <w:color w:val="auto"/>
              </w:rPr>
            </w:pPr>
            <w:r>
              <w:rPr>
                <w:rFonts w:ascii="Times New Roman" w:cs="Times New Roman" w:eastAsia="Times New Roman" w:hAnsi="Times New Roman"/>
                <w:sz w:val="16"/>
                <w:szCs w:val="16"/>
                <w:b w:val="1"/>
                <w:bCs w:val="1"/>
                <w:color w:val="1E1E1E"/>
              </w:rPr>
              <w:t>Date</w:t>
            </w:r>
          </w:p>
        </w:tc>
      </w:tr>
      <w:tr>
        <w:trPr>
          <w:trHeight w:val="306"/>
        </w:trPr>
        <w:tc>
          <w:tcPr>
            <w:tcW w:w="3220" w:type="dxa"/>
            <w:vAlign w:val="bottom"/>
          </w:tcPr>
          <w:p>
            <w:pPr>
              <w:spacing w:after="0"/>
              <w:rPr>
                <w:sz w:val="24"/>
                <w:szCs w:val="24"/>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Chief Executive Officer and Director</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4"/>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Randolph Altschuler</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(Principal Executive Officer)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Randolph Altschuler</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99"/>
        </w:trPr>
        <w:tc>
          <w:tcPr>
            <w:tcW w:w="3220" w:type="dxa"/>
            <w:vAlign w:val="bottom"/>
          </w:tcPr>
          <w:p>
            <w:pPr>
              <w:spacing w:after="0"/>
              <w:rPr>
                <w:sz w:val="24"/>
                <w:szCs w:val="24"/>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Chief Financial Officer</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4"/>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James Rallo</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(Principal Financial and Accounting Officer)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James Rallo</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99"/>
        </w:trPr>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Co-Founder, Managing Director Donor Advised</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44"/>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Laurence Zuriff</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Fund and 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Laurence Zuriff</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19"/>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Fabio Rosati</w:t>
            </w: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Chairman of the Board and 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Fabio Rosati</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19"/>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Emily Rollins</w:t>
            </w: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Emily Rollins</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19"/>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Deborah Bial</w:t>
            </w: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Deborah Bial</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19"/>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Katharine Weymouth</w:t>
            </w: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Katharine Weymouth</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380"/>
        </w:trPr>
        <w:tc>
          <w:tcPr>
            <w:tcW w:w="32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9"/>
                <w:szCs w:val="19"/>
                <w:color w:val="1E1E1E"/>
              </w:rPr>
              <w:t>/s/ Ranjana Clark</w:t>
            </w:r>
          </w:p>
        </w:tc>
        <w:tc>
          <w:tcPr>
            <w:tcW w:w="100" w:type="dxa"/>
            <w:vAlign w:val="bottom"/>
          </w:tcPr>
          <w:p>
            <w:pPr>
              <w:spacing w:after="0"/>
              <w:rPr>
                <w:sz w:val="24"/>
                <w:szCs w:val="24"/>
                <w:color w:val="auto"/>
              </w:rPr>
            </w:pPr>
          </w:p>
        </w:tc>
        <w:tc>
          <w:tcPr>
            <w:tcW w:w="4240" w:type="dxa"/>
            <w:vAlign w:val="bottom"/>
          </w:tcPr>
          <w:p>
            <w:pPr>
              <w:ind w:left="40"/>
              <w:spacing w:after="0"/>
              <w:rPr>
                <w:sz w:val="20"/>
                <w:szCs w:val="20"/>
                <w:color w:val="auto"/>
              </w:rPr>
            </w:pPr>
            <w:r>
              <w:rPr>
                <w:rFonts w:ascii="Times New Roman" w:cs="Times New Roman" w:eastAsia="Times New Roman" w:hAnsi="Times New Roman"/>
                <w:sz w:val="19"/>
                <w:szCs w:val="19"/>
                <w:color w:val="1E1E1E"/>
              </w:rPr>
              <w:t>Director</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1E1E1E"/>
              </w:rPr>
              <w:t>February 29, 2024</w:t>
            </w:r>
          </w:p>
        </w:tc>
      </w:tr>
      <w:tr>
        <w:trPr>
          <w:trHeight w:val="245"/>
        </w:trPr>
        <w:tc>
          <w:tcPr>
            <w:tcW w:w="3220" w:type="dxa"/>
            <w:vAlign w:val="bottom"/>
          </w:tcPr>
          <w:p>
            <w:pPr>
              <w:jc w:val="center"/>
              <w:spacing w:after="0"/>
              <w:rPr>
                <w:sz w:val="20"/>
                <w:szCs w:val="20"/>
                <w:color w:val="auto"/>
              </w:rPr>
            </w:pPr>
            <w:r>
              <w:rPr>
                <w:rFonts w:ascii="Times New Roman" w:cs="Times New Roman" w:eastAsia="Times New Roman" w:hAnsi="Times New Roman"/>
                <w:sz w:val="19"/>
                <w:szCs w:val="19"/>
                <w:color w:val="1E1E1E"/>
              </w:rPr>
              <w:t>Ranjana Clark</w:t>
            </w: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-3446780</wp:posOffset>
            </wp:positionV>
            <wp:extent cx="64770" cy="4763"/>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-3446780</wp:posOffset>
            </wp:positionV>
            <wp:extent cx="64770" cy="4763"/>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-3084830</wp:posOffset>
            </wp:positionV>
            <wp:extent cx="64770" cy="4763"/>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-2572385</wp:posOffset>
            </wp:positionV>
            <wp:extent cx="64770" cy="4763"/>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-2059940</wp:posOffset>
            </wp:positionV>
            <wp:extent cx="64770" cy="4763"/>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-1689100</wp:posOffset>
            </wp:positionV>
            <wp:extent cx="64770" cy="4763"/>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-1318260</wp:posOffset>
            </wp:positionV>
            <wp:extent cx="64770" cy="4763"/>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-947420</wp:posOffset>
            </wp:positionV>
            <wp:extent cx="64770" cy="4763"/>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-576580</wp:posOffset>
            </wp:positionV>
            <wp:extent cx="64770" cy="4763"/>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770" cy="4763"/>
                    </a:xfrm>
                    <a:prstGeom prst="rect">
                      <a:avLst/>
                    </a:prstGeom>
                    <a:noFill/>
                  </pic:spPr>
                </pic:pic>
              </a:graphicData>
            </a:graphic>
          </wp:anchor>
        </w:drawing>
        <w:drawing>
          <wp:anchor simplePos="0" relativeHeight="251657728" behindDoc="1" locked="0" layoutInCell="0" allowOverlap="1">
            <wp:simplePos x="0" y="0"/>
            <wp:positionH relativeFrom="column">
              <wp:posOffset>2041525</wp:posOffset>
            </wp:positionH>
            <wp:positionV relativeFrom="paragraph">
              <wp:posOffset>-167640</wp:posOffset>
            </wp:positionV>
            <wp:extent cx="64770" cy="4763"/>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770" cy="4763"/>
                    </a:xfrm>
                    <a:prstGeom prst="rect">
                      <a:avLst/>
                    </a:prstGeom>
                    <a:noFill/>
                  </pic:spPr>
                </pic:pic>
              </a:graphicData>
            </a:graphic>
          </wp:anchor>
        </w:drawing>
      </w:r>
    </w:p>
    <w:p>
      <w:pPr>
        <w:sectPr>
          <w:pgSz w:w="11880" w:h="15480" w:orient="portrait"/>
          <w:cols w:equalWidth="0" w:num="1">
            <w:col w:w="9760"/>
          </w:cols>
          <w:pgMar w:left="1060" w:top="1080" w:right="1060" w:bottom="2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E1E1E"/>
        </w:rPr>
        <w:t>109</w:t>
      </w:r>
    </w:p>
    <w:p>
      <w:pPr>
        <w:sectPr>
          <w:pgSz w:w="11880" w:h="15480" w:orient="portrait"/>
          <w:cols w:equalWidth="0" w:num="1">
            <w:col w:w="9760"/>
          </w:cols>
          <w:pgMar w:left="1060" w:top="1080" w:right="1060" w:bottom="227" w:gutter="0" w:footer="0" w:header="0"/>
          <w:type w:val="continuous"/>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[THIS PAGE INTENTIONALLY LEFT BLANK]</w:t>
      </w:r>
    </w:p>
    <w:p>
      <w:pPr>
        <w:sectPr>
          <w:pgSz w:w="11880" w:h="15480" w:orient="portrait"/>
          <w:cols w:equalWidth="0" w:num="1">
            <w:col w:w="9000"/>
          </w:cols>
          <w:pgMar w:left="1440" w:top="1440" w:right="1440"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1E1E1E"/>
        </w:rPr>
        <w:t>[THIS PAGE INTENTIONALLY LEFT BLANK]</w:t>
      </w:r>
    </w:p>
    <w:p>
      <w:pPr>
        <w:sectPr>
          <w:pgSz w:w="11880" w:h="15480" w:orient="portrait"/>
          <w:cols w:equalWidth="0" w:num="1">
            <w:col w:w="9000"/>
          </w:cols>
          <w:pgMar w:left="1440" w:top="1440" w:right="1440"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9"/>
          <w:szCs w:val="19"/>
          <w:color w:val="1E1E1E"/>
        </w:rPr>
        <w:t>[THIS PAGE INTENTIONALLY LEFT BLANK]</w:t>
      </w:r>
    </w:p>
    <w:p>
      <w:pPr>
        <w:sectPr>
          <w:pgSz w:w="11880" w:h="15480" w:orient="portrait"/>
          <w:cols w:equalWidth="0" w:num="1">
            <w:col w:w="9000"/>
          </w:cols>
          <w:pgMar w:left="1440" w:top="1440"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46"/>
          <w:szCs w:val="46"/>
          <w:b w:val="1"/>
          <w:bCs w:val="1"/>
          <w:color w:val="2F50A4"/>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361315</wp:posOffset>
            </wp:positionV>
            <wp:extent cx="5870575" cy="130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0575" cy="1301750"/>
                    </a:xfrm>
                    <a:prstGeom prst="rect">
                      <a:avLst/>
                    </a:prstGeom>
                    <a:noFill/>
                  </pic:spPr>
                </pic:pic>
              </a:graphicData>
            </a:graphic>
          </wp:anchor>
        </w:drawing>
      </w:r>
    </w:p>
    <w:p>
      <w:pPr>
        <w:sectPr>
          <w:pgSz w:w="11880" w:h="15480" w:orient="portrait"/>
          <w:cols w:equalWidth="0" w:num="1">
            <w:col w:w="9140"/>
          </w:cols>
          <w:pgMar w:left="1440" w:top="733" w:right="1300"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000011"/>
        </w:rPr>
        <w:t>Fabio Rosati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0011"/>
        </w:rPr>
        <w:t>Deborah Bial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00011"/>
        </w:rPr>
        <w:t>Ranjana Clark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000011"/>
        </w:rPr>
        <w:t>Emily Rollins</w:t>
      </w:r>
    </w:p>
    <w:p>
      <w:pPr>
        <w:spacing w:after="0" w:line="41" w:lineRule="exact"/>
        <w:rPr>
          <w:sz w:val="20"/>
          <w:szCs w:val="20"/>
          <w:color w:val="auto"/>
        </w:rPr>
      </w:pPr>
    </w:p>
    <w:p>
      <w:pPr>
        <w:sectPr>
          <w:pgSz w:w="11880" w:h="15480" w:orient="portrait"/>
          <w:cols w:equalWidth="0" w:num="4">
            <w:col w:w="1980" w:space="720"/>
            <w:col w:w="1620" w:space="720"/>
            <w:col w:w="1720" w:space="720"/>
            <w:col w:w="1660"/>
          </w:cols>
          <w:pgMar w:left="1440" w:top="733" w:right="1300" w:bottom="1031" w:gutter="0" w:footer="0" w:header="0"/>
          <w:type w:val="continuous"/>
        </w:sectPr>
      </w:pPr>
    </w:p>
    <w:p>
      <w:pPr>
        <w:ind w:left="380"/>
        <w:spacing w:after="0"/>
        <w:rPr>
          <w:sz w:val="20"/>
          <w:szCs w:val="20"/>
          <w:color w:val="auto"/>
        </w:rPr>
      </w:pPr>
      <w:r>
        <w:rPr>
          <w:rFonts w:ascii="Arial" w:cs="Arial" w:eastAsia="Arial" w:hAnsi="Arial"/>
          <w:sz w:val="18"/>
          <w:szCs w:val="18"/>
          <w:color w:val="000011"/>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467995</wp:posOffset>
            </wp:positionV>
            <wp:extent cx="975360" cy="916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75360" cy="916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00011"/>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368300</wp:posOffset>
            </wp:positionV>
            <wp:extent cx="1359535" cy="130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59535" cy="1301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40"/>
        <w:spacing w:after="0"/>
        <w:rPr>
          <w:sz w:val="20"/>
          <w:szCs w:val="20"/>
          <w:color w:val="auto"/>
        </w:rPr>
      </w:pPr>
      <w:r>
        <w:rPr>
          <w:rFonts w:ascii="Arial" w:cs="Arial" w:eastAsia="Arial" w:hAnsi="Arial"/>
          <w:sz w:val="18"/>
          <w:szCs w:val="18"/>
          <w:color w:val="000011"/>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368300</wp:posOffset>
            </wp:positionV>
            <wp:extent cx="1359535" cy="130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59535" cy="1301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00011"/>
        </w:rPr>
        <w:t>Director</w:t>
      </w:r>
    </w:p>
    <w:p>
      <w:pPr>
        <w:spacing w:after="0" w:line="200" w:lineRule="exact"/>
        <w:rPr>
          <w:sz w:val="20"/>
          <w:szCs w:val="20"/>
          <w:color w:val="auto"/>
        </w:rPr>
      </w:pPr>
    </w:p>
    <w:p>
      <w:pPr>
        <w:sectPr>
          <w:pgSz w:w="11880" w:h="15480" w:orient="portrait"/>
          <w:cols w:equalWidth="0" w:num="4">
            <w:col w:w="1980" w:space="720"/>
            <w:col w:w="1620" w:space="720"/>
            <w:col w:w="1720" w:space="720"/>
            <w:col w:w="1660"/>
          </w:cols>
          <w:pgMar w:left="1440" w:top="733" w:right="1300" w:bottom="103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b w:val="1"/>
                <w:bCs w:val="1"/>
                <w:color w:val="000011"/>
              </w:rPr>
              <w:t>Katharine Weymouth</w:t>
            </w:r>
          </w:p>
        </w:tc>
        <w:tc>
          <w:tcPr>
            <w:tcW w:w="2140" w:type="dxa"/>
            <w:vAlign w:val="bottom"/>
          </w:tcPr>
          <w:p>
            <w:pPr>
              <w:ind w:left="240"/>
              <w:spacing w:after="0"/>
              <w:rPr>
                <w:sz w:val="20"/>
                <w:szCs w:val="20"/>
                <w:color w:val="auto"/>
              </w:rPr>
            </w:pPr>
            <w:r>
              <w:rPr>
                <w:rFonts w:ascii="Arial" w:cs="Arial" w:eastAsia="Arial" w:hAnsi="Arial"/>
                <w:sz w:val="18"/>
                <w:szCs w:val="18"/>
                <w:b w:val="1"/>
                <w:bCs w:val="1"/>
                <w:color w:val="000011"/>
              </w:rPr>
              <w:t>Randy Altschuler</w:t>
            </w:r>
          </w:p>
        </w:tc>
        <w:tc>
          <w:tcPr>
            <w:tcW w:w="2140" w:type="dxa"/>
            <w:vAlign w:val="bottom"/>
          </w:tcPr>
          <w:p>
            <w:pPr>
              <w:ind w:left="440"/>
              <w:spacing w:after="0"/>
              <w:rPr>
                <w:sz w:val="20"/>
                <w:szCs w:val="20"/>
                <w:color w:val="auto"/>
              </w:rPr>
            </w:pPr>
            <w:r>
              <w:rPr>
                <w:rFonts w:ascii="Arial" w:cs="Arial" w:eastAsia="Arial" w:hAnsi="Arial"/>
                <w:sz w:val="18"/>
                <w:szCs w:val="18"/>
                <w:b w:val="1"/>
                <w:bCs w:val="1"/>
                <w:color w:val="000011"/>
              </w:rPr>
              <w:t>Laurence Zuriﬀ</w:t>
            </w:r>
          </w:p>
        </w:tc>
      </w:tr>
      <w:tr>
        <w:trPr>
          <w:trHeight w:val="240"/>
        </w:trPr>
        <w:tc>
          <w:tcPr>
            <w:tcW w:w="2080" w:type="dxa"/>
            <w:vAlign w:val="bottom"/>
          </w:tcPr>
          <w:p>
            <w:pPr>
              <w:spacing w:after="0"/>
              <w:rPr>
                <w:sz w:val="20"/>
                <w:szCs w:val="20"/>
                <w:color w:val="auto"/>
              </w:rPr>
            </w:pPr>
            <w:r>
              <w:rPr>
                <w:rFonts w:ascii="Arial" w:cs="Arial" w:eastAsia="Arial" w:hAnsi="Arial"/>
                <w:sz w:val="18"/>
                <w:szCs w:val="18"/>
                <w:color w:val="000011"/>
              </w:rPr>
              <w:t>Director</w:t>
            </w:r>
          </w:p>
        </w:tc>
        <w:tc>
          <w:tcPr>
            <w:tcW w:w="2140" w:type="dxa"/>
            <w:vAlign w:val="bottom"/>
          </w:tcPr>
          <w:p>
            <w:pPr>
              <w:ind w:left="240"/>
              <w:spacing w:after="0"/>
              <w:rPr>
                <w:sz w:val="20"/>
                <w:szCs w:val="20"/>
                <w:color w:val="auto"/>
              </w:rPr>
            </w:pPr>
            <w:r>
              <w:rPr>
                <w:rFonts w:ascii="Arial" w:cs="Arial" w:eastAsia="Arial" w:hAnsi="Arial"/>
                <w:sz w:val="18"/>
                <w:szCs w:val="18"/>
                <w:color w:val="000011"/>
              </w:rPr>
              <w:t>Chief Executive</w:t>
            </w:r>
          </w:p>
        </w:tc>
        <w:tc>
          <w:tcPr>
            <w:tcW w:w="2140" w:type="dxa"/>
            <w:vAlign w:val="bottom"/>
          </w:tcPr>
          <w:p>
            <w:pPr>
              <w:ind w:left="440"/>
              <w:spacing w:after="0"/>
              <w:rPr>
                <w:sz w:val="20"/>
                <w:szCs w:val="20"/>
                <w:color w:val="auto"/>
              </w:rPr>
            </w:pPr>
            <w:r>
              <w:rPr>
                <w:rFonts w:ascii="Arial" w:cs="Arial" w:eastAsia="Arial" w:hAnsi="Arial"/>
                <w:sz w:val="18"/>
                <w:szCs w:val="18"/>
                <w:color w:val="000011"/>
              </w:rPr>
              <w:t>Co-founder and</w:t>
            </w:r>
          </w:p>
        </w:tc>
      </w:tr>
      <w:tr>
        <w:trPr>
          <w:trHeight w:val="216"/>
        </w:trPr>
        <w:tc>
          <w:tcPr>
            <w:tcW w:w="2080" w:type="dxa"/>
            <w:vAlign w:val="bottom"/>
          </w:tcPr>
          <w:p>
            <w:pPr>
              <w:spacing w:after="0"/>
              <w:rPr>
                <w:sz w:val="18"/>
                <w:szCs w:val="18"/>
                <w:color w:val="auto"/>
              </w:rPr>
            </w:pPr>
          </w:p>
        </w:tc>
        <w:tc>
          <w:tcPr>
            <w:tcW w:w="2140" w:type="dxa"/>
            <w:vAlign w:val="bottom"/>
          </w:tcPr>
          <w:p>
            <w:pPr>
              <w:ind w:left="240"/>
              <w:spacing w:after="0"/>
              <w:rPr>
                <w:sz w:val="20"/>
                <w:szCs w:val="20"/>
                <w:color w:val="auto"/>
              </w:rPr>
            </w:pPr>
            <w:r>
              <w:rPr>
                <w:rFonts w:ascii="Arial" w:cs="Arial" w:eastAsia="Arial" w:hAnsi="Arial"/>
                <w:sz w:val="18"/>
                <w:szCs w:val="18"/>
                <w:color w:val="000011"/>
              </w:rPr>
              <w:t>Oﬃcer</w:t>
            </w:r>
          </w:p>
        </w:tc>
        <w:tc>
          <w:tcPr>
            <w:tcW w:w="2140" w:type="dxa"/>
            <w:vAlign w:val="bottom"/>
          </w:tcPr>
          <w:p>
            <w:pPr>
              <w:ind w:left="440"/>
              <w:spacing w:after="0"/>
              <w:rPr>
                <w:sz w:val="20"/>
                <w:szCs w:val="20"/>
                <w:color w:val="auto"/>
              </w:rPr>
            </w:pPr>
            <w:r>
              <w:rPr>
                <w:rFonts w:ascii="Arial" w:cs="Arial" w:eastAsia="Arial" w:hAnsi="Arial"/>
                <w:sz w:val="18"/>
                <w:szCs w:val="18"/>
                <w:color w:val="000011"/>
              </w:rPr>
              <w:t>Managing Director</w:t>
            </w:r>
          </w:p>
        </w:tc>
      </w:tr>
      <w:tr>
        <w:trPr>
          <w:trHeight w:val="237"/>
        </w:trPr>
        <w:tc>
          <w:tcPr>
            <w:tcW w:w="2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140" w:type="dxa"/>
            <w:vAlign w:val="bottom"/>
          </w:tcPr>
          <w:p>
            <w:pPr>
              <w:ind w:left="440"/>
              <w:spacing w:after="0"/>
              <w:rPr>
                <w:sz w:val="20"/>
                <w:szCs w:val="20"/>
                <w:color w:val="auto"/>
              </w:rPr>
            </w:pPr>
            <w:r>
              <w:rPr>
                <w:rFonts w:ascii="Arial" w:cs="Arial" w:eastAsia="Arial" w:hAnsi="Arial"/>
                <w:sz w:val="18"/>
                <w:szCs w:val="18"/>
                <w:color w:val="000011"/>
              </w:rPr>
              <w:t>Donor Advised Fund</w:t>
            </w: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46"/>
          <w:szCs w:val="46"/>
          <w:b w:val="1"/>
          <w:bCs w:val="1"/>
          <w:color w:val="2F50A4"/>
        </w:rPr>
        <w:t>Executive Oﬃcers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454025</wp:posOffset>
            </wp:positionV>
            <wp:extent cx="5937250" cy="11245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37250" cy="112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80" w:type="dxa"/>
        <w:tblCellMar>
          <w:top w:w="0" w:type="dxa"/>
          <w:left w:w="0" w:type="dxa"/>
          <w:bottom w:w="0" w:type="dxa"/>
          <w:right w:w="0" w:type="dxa"/>
        </w:tblCellMar>
      </w:tblPr>
      <w:tr>
        <w:trPr>
          <w:trHeight w:val="197"/>
        </w:trPr>
        <w:tc>
          <w:tcPr>
            <w:tcW w:w="1480" w:type="dxa"/>
            <w:vAlign w:val="bottom"/>
          </w:tcPr>
          <w:p>
            <w:pPr>
              <w:spacing w:after="0"/>
              <w:rPr>
                <w:sz w:val="20"/>
                <w:szCs w:val="20"/>
                <w:color w:val="auto"/>
              </w:rPr>
            </w:pPr>
            <w:r>
              <w:rPr>
                <w:rFonts w:ascii="Arial" w:cs="Arial" w:eastAsia="Arial" w:hAnsi="Arial"/>
                <w:sz w:val="15"/>
                <w:szCs w:val="15"/>
                <w:b w:val="1"/>
                <w:bCs w:val="1"/>
                <w:color w:val="000011"/>
              </w:rPr>
              <w:t>James Miln</w:t>
            </w:r>
          </w:p>
        </w:tc>
        <w:tc>
          <w:tcPr>
            <w:tcW w:w="1920" w:type="dxa"/>
            <w:vAlign w:val="bottom"/>
          </w:tcPr>
          <w:p>
            <w:pPr>
              <w:ind w:left="460"/>
              <w:spacing w:after="0"/>
              <w:rPr>
                <w:sz w:val="20"/>
                <w:szCs w:val="20"/>
                <w:color w:val="auto"/>
              </w:rPr>
            </w:pPr>
            <w:r>
              <w:rPr>
                <w:rFonts w:ascii="Arial" w:cs="Arial" w:eastAsia="Arial" w:hAnsi="Arial"/>
                <w:sz w:val="15"/>
                <w:szCs w:val="15"/>
                <w:b w:val="1"/>
                <w:bCs w:val="1"/>
                <w:color w:val="000011"/>
              </w:rPr>
              <w:t>Peter Goguen</w:t>
            </w:r>
          </w:p>
        </w:tc>
        <w:tc>
          <w:tcPr>
            <w:tcW w:w="1900" w:type="dxa"/>
            <w:vAlign w:val="bottom"/>
          </w:tcPr>
          <w:p>
            <w:pPr>
              <w:ind w:left="360"/>
              <w:spacing w:after="0"/>
              <w:rPr>
                <w:sz w:val="20"/>
                <w:szCs w:val="20"/>
                <w:color w:val="auto"/>
              </w:rPr>
            </w:pPr>
            <w:r>
              <w:rPr>
                <w:rFonts w:ascii="Arial" w:cs="Arial" w:eastAsia="Arial" w:hAnsi="Arial"/>
                <w:sz w:val="15"/>
                <w:szCs w:val="15"/>
                <w:b w:val="1"/>
                <w:bCs w:val="1"/>
                <w:color w:val="000011"/>
              </w:rPr>
              <w:t>Matt Leibel</w:t>
            </w:r>
          </w:p>
        </w:tc>
        <w:tc>
          <w:tcPr>
            <w:tcW w:w="1920" w:type="dxa"/>
            <w:vAlign w:val="bottom"/>
          </w:tcPr>
          <w:p>
            <w:pPr>
              <w:ind w:left="340"/>
              <w:spacing w:after="0"/>
              <w:rPr>
                <w:sz w:val="20"/>
                <w:szCs w:val="20"/>
                <w:color w:val="auto"/>
              </w:rPr>
            </w:pPr>
            <w:r>
              <w:rPr>
                <w:rFonts w:ascii="Arial" w:cs="Arial" w:eastAsia="Arial" w:hAnsi="Arial"/>
                <w:sz w:val="15"/>
                <w:szCs w:val="15"/>
                <w:b w:val="1"/>
                <w:bCs w:val="1"/>
                <w:color w:val="000011"/>
              </w:rPr>
              <w:t>Kathy Mayerhofer</w:t>
            </w:r>
          </w:p>
        </w:tc>
        <w:tc>
          <w:tcPr>
            <w:tcW w:w="1540" w:type="dxa"/>
            <w:vAlign w:val="bottom"/>
          </w:tcPr>
          <w:p>
            <w:pPr>
              <w:ind w:left="280"/>
              <w:spacing w:after="0"/>
              <w:rPr>
                <w:sz w:val="20"/>
                <w:szCs w:val="20"/>
                <w:color w:val="auto"/>
              </w:rPr>
            </w:pPr>
            <w:r>
              <w:rPr>
                <w:rFonts w:ascii="Arial" w:cs="Arial" w:eastAsia="Arial" w:hAnsi="Arial"/>
                <w:sz w:val="15"/>
                <w:szCs w:val="15"/>
                <w:b w:val="1"/>
                <w:bCs w:val="1"/>
                <w:color w:val="000011"/>
              </w:rPr>
              <w:t>Kristie Scott</w:t>
            </w:r>
          </w:p>
        </w:tc>
      </w:tr>
      <w:tr>
        <w:trPr>
          <w:trHeight w:val="180"/>
        </w:trPr>
        <w:tc>
          <w:tcPr>
            <w:tcW w:w="1480" w:type="dxa"/>
            <w:vAlign w:val="bottom"/>
          </w:tcPr>
          <w:p>
            <w:pPr>
              <w:spacing w:after="0"/>
              <w:rPr>
                <w:sz w:val="20"/>
                <w:szCs w:val="20"/>
                <w:color w:val="auto"/>
              </w:rPr>
            </w:pPr>
            <w:r>
              <w:rPr>
                <w:rFonts w:ascii="Arial" w:cs="Arial" w:eastAsia="Arial" w:hAnsi="Arial"/>
                <w:sz w:val="15"/>
                <w:szCs w:val="15"/>
                <w:color w:val="000011"/>
              </w:rPr>
              <w:t>Chief Financial</w:t>
            </w:r>
          </w:p>
        </w:tc>
        <w:tc>
          <w:tcPr>
            <w:tcW w:w="1920" w:type="dxa"/>
            <w:vAlign w:val="bottom"/>
          </w:tcPr>
          <w:p>
            <w:pPr>
              <w:ind w:left="460"/>
              <w:spacing w:after="0"/>
              <w:rPr>
                <w:sz w:val="20"/>
                <w:szCs w:val="20"/>
                <w:color w:val="auto"/>
              </w:rPr>
            </w:pPr>
            <w:r>
              <w:rPr>
                <w:rFonts w:ascii="Arial" w:cs="Arial" w:eastAsia="Arial" w:hAnsi="Arial"/>
                <w:sz w:val="15"/>
                <w:szCs w:val="15"/>
                <w:color w:val="000011"/>
              </w:rPr>
              <w:t>Chief Operating</w:t>
            </w:r>
          </w:p>
        </w:tc>
        <w:tc>
          <w:tcPr>
            <w:tcW w:w="1900" w:type="dxa"/>
            <w:vAlign w:val="bottom"/>
          </w:tcPr>
          <w:p>
            <w:pPr>
              <w:ind w:left="360"/>
              <w:spacing w:after="0"/>
              <w:rPr>
                <w:sz w:val="20"/>
                <w:szCs w:val="20"/>
                <w:color w:val="auto"/>
              </w:rPr>
            </w:pPr>
            <w:r>
              <w:rPr>
                <w:rFonts w:ascii="Arial" w:cs="Arial" w:eastAsia="Arial" w:hAnsi="Arial"/>
                <w:sz w:val="15"/>
                <w:szCs w:val="15"/>
                <w:color w:val="000011"/>
              </w:rPr>
              <w:t>Chief Technology</w:t>
            </w:r>
          </w:p>
        </w:tc>
        <w:tc>
          <w:tcPr>
            <w:tcW w:w="1920" w:type="dxa"/>
            <w:vAlign w:val="bottom"/>
          </w:tcPr>
          <w:p>
            <w:pPr>
              <w:ind w:left="340"/>
              <w:spacing w:after="0"/>
              <w:rPr>
                <w:sz w:val="20"/>
                <w:szCs w:val="20"/>
                <w:color w:val="auto"/>
              </w:rPr>
            </w:pPr>
            <w:r>
              <w:rPr>
                <w:rFonts w:ascii="Arial" w:cs="Arial" w:eastAsia="Arial" w:hAnsi="Arial"/>
                <w:sz w:val="15"/>
                <w:szCs w:val="15"/>
                <w:color w:val="000011"/>
              </w:rPr>
              <w:t>Chief Sales Oﬃcer</w:t>
            </w:r>
          </w:p>
        </w:tc>
        <w:tc>
          <w:tcPr>
            <w:tcW w:w="1540" w:type="dxa"/>
            <w:vAlign w:val="bottom"/>
          </w:tcPr>
          <w:p>
            <w:pPr>
              <w:ind w:left="280"/>
              <w:spacing w:after="0"/>
              <w:rPr>
                <w:sz w:val="20"/>
                <w:szCs w:val="20"/>
                <w:color w:val="auto"/>
              </w:rPr>
            </w:pPr>
            <w:r>
              <w:rPr>
                <w:rFonts w:ascii="Arial" w:cs="Arial" w:eastAsia="Arial" w:hAnsi="Arial"/>
                <w:sz w:val="15"/>
                <w:szCs w:val="15"/>
                <w:color w:val="000011"/>
              </w:rPr>
              <w:t>General Counsel /</w:t>
            </w:r>
          </w:p>
        </w:tc>
      </w:tr>
      <w:tr>
        <w:trPr>
          <w:trHeight w:val="220"/>
        </w:trPr>
        <w:tc>
          <w:tcPr>
            <w:tcW w:w="1480" w:type="dxa"/>
            <w:vAlign w:val="bottom"/>
          </w:tcPr>
          <w:p>
            <w:pPr>
              <w:spacing w:after="0"/>
              <w:rPr>
                <w:sz w:val="20"/>
                <w:szCs w:val="20"/>
                <w:color w:val="auto"/>
              </w:rPr>
            </w:pPr>
            <w:r>
              <w:rPr>
                <w:rFonts w:ascii="Arial" w:cs="Arial" w:eastAsia="Arial" w:hAnsi="Arial"/>
                <w:sz w:val="15"/>
                <w:szCs w:val="15"/>
                <w:color w:val="000011"/>
              </w:rPr>
              <w:t>Oﬃcer</w:t>
            </w:r>
          </w:p>
        </w:tc>
        <w:tc>
          <w:tcPr>
            <w:tcW w:w="1920" w:type="dxa"/>
            <w:vAlign w:val="bottom"/>
          </w:tcPr>
          <w:p>
            <w:pPr>
              <w:ind w:left="460"/>
              <w:spacing w:after="0"/>
              <w:rPr>
                <w:sz w:val="20"/>
                <w:szCs w:val="20"/>
                <w:color w:val="auto"/>
              </w:rPr>
            </w:pPr>
            <w:r>
              <w:rPr>
                <w:rFonts w:ascii="Arial" w:cs="Arial" w:eastAsia="Arial" w:hAnsi="Arial"/>
                <w:sz w:val="15"/>
                <w:szCs w:val="15"/>
                <w:color w:val="000011"/>
              </w:rPr>
              <w:t>Oﬃcer</w:t>
            </w:r>
          </w:p>
        </w:tc>
        <w:tc>
          <w:tcPr>
            <w:tcW w:w="1900" w:type="dxa"/>
            <w:vAlign w:val="bottom"/>
          </w:tcPr>
          <w:p>
            <w:pPr>
              <w:ind w:left="360"/>
              <w:spacing w:after="0"/>
              <w:rPr>
                <w:sz w:val="20"/>
                <w:szCs w:val="20"/>
                <w:color w:val="auto"/>
              </w:rPr>
            </w:pPr>
            <w:r>
              <w:rPr>
                <w:rFonts w:ascii="Arial" w:cs="Arial" w:eastAsia="Arial" w:hAnsi="Arial"/>
                <w:sz w:val="15"/>
                <w:szCs w:val="15"/>
                <w:color w:val="000011"/>
              </w:rPr>
              <w:t>Oﬃcer</w:t>
            </w:r>
          </w:p>
        </w:tc>
        <w:tc>
          <w:tcPr>
            <w:tcW w:w="1920" w:type="dxa"/>
            <w:vAlign w:val="bottom"/>
          </w:tcPr>
          <w:p>
            <w:pPr>
              <w:spacing w:after="0"/>
              <w:rPr>
                <w:sz w:val="19"/>
                <w:szCs w:val="19"/>
                <w:color w:val="auto"/>
              </w:rPr>
            </w:pPr>
          </w:p>
        </w:tc>
        <w:tc>
          <w:tcPr>
            <w:tcW w:w="1540" w:type="dxa"/>
            <w:vAlign w:val="bottom"/>
          </w:tcPr>
          <w:p>
            <w:pPr>
              <w:ind w:left="280"/>
              <w:spacing w:after="0"/>
              <w:rPr>
                <w:sz w:val="20"/>
                <w:szCs w:val="20"/>
                <w:color w:val="auto"/>
              </w:rPr>
            </w:pPr>
            <w:r>
              <w:rPr>
                <w:rFonts w:ascii="Arial" w:cs="Arial" w:eastAsia="Arial" w:hAnsi="Arial"/>
                <w:sz w:val="15"/>
                <w:szCs w:val="15"/>
                <w:color w:val="000011"/>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37"/>
        </w:trPr>
        <w:tc>
          <w:tcPr>
            <w:tcW w:w="2460" w:type="dxa"/>
            <w:vAlign w:val="bottom"/>
          </w:tcPr>
          <w:p>
            <w:pPr>
              <w:spacing w:after="0"/>
              <w:rPr>
                <w:sz w:val="20"/>
                <w:szCs w:val="20"/>
                <w:color w:val="auto"/>
              </w:rPr>
            </w:pPr>
            <w:r>
              <w:rPr>
                <w:rFonts w:ascii="Arial" w:cs="Arial" w:eastAsia="Arial" w:hAnsi="Arial"/>
                <w:sz w:val="18"/>
                <w:szCs w:val="18"/>
                <w:b w:val="1"/>
                <w:bCs w:val="1"/>
                <w:color w:val="000011"/>
              </w:rPr>
              <w:t>Corporate Headquarters</w:t>
            </w:r>
          </w:p>
        </w:tc>
        <w:tc>
          <w:tcPr>
            <w:tcW w:w="2760" w:type="dxa"/>
            <w:vAlign w:val="bottom"/>
          </w:tcPr>
          <w:p>
            <w:pPr>
              <w:ind w:left="340"/>
              <w:spacing w:after="0"/>
              <w:rPr>
                <w:sz w:val="20"/>
                <w:szCs w:val="20"/>
                <w:color w:val="auto"/>
              </w:rPr>
            </w:pPr>
            <w:r>
              <w:rPr>
                <w:rFonts w:ascii="Arial" w:cs="Arial" w:eastAsia="Arial" w:hAnsi="Arial"/>
                <w:sz w:val="18"/>
                <w:szCs w:val="18"/>
                <w:b w:val="1"/>
                <w:bCs w:val="1"/>
                <w:color w:val="000011"/>
              </w:rPr>
              <w:t>Common Stock</w:t>
            </w:r>
          </w:p>
        </w:tc>
        <w:tc>
          <w:tcPr>
            <w:tcW w:w="2400" w:type="dxa"/>
            <w:vAlign w:val="bottom"/>
          </w:tcPr>
          <w:p>
            <w:pPr>
              <w:ind w:left="340"/>
              <w:spacing w:after="0"/>
              <w:rPr>
                <w:sz w:val="20"/>
                <w:szCs w:val="20"/>
                <w:color w:val="auto"/>
              </w:rPr>
            </w:pPr>
            <w:r>
              <w:rPr>
                <w:rFonts w:ascii="Arial" w:cs="Arial" w:eastAsia="Arial" w:hAnsi="Arial"/>
                <w:sz w:val="18"/>
                <w:szCs w:val="18"/>
                <w:b w:val="1"/>
                <w:bCs w:val="1"/>
                <w:color w:val="000011"/>
              </w:rPr>
              <w:t>Investor Relations</w:t>
            </w:r>
          </w:p>
        </w:tc>
      </w:tr>
      <w:tr>
        <w:trPr>
          <w:trHeight w:val="300"/>
        </w:trPr>
        <w:tc>
          <w:tcPr>
            <w:tcW w:w="2460" w:type="dxa"/>
            <w:vAlign w:val="bottom"/>
          </w:tcPr>
          <w:p>
            <w:pPr>
              <w:ind w:left="20"/>
              <w:spacing w:after="0"/>
              <w:rPr>
                <w:sz w:val="20"/>
                <w:szCs w:val="20"/>
                <w:color w:val="auto"/>
              </w:rPr>
            </w:pPr>
            <w:r>
              <w:rPr>
                <w:rFonts w:ascii="Arial" w:cs="Arial" w:eastAsia="Arial" w:hAnsi="Arial"/>
                <w:sz w:val="18"/>
                <w:szCs w:val="18"/>
                <w:color w:val="000011"/>
              </w:rPr>
              <w:t>6116 Executive Blvd.</w:t>
            </w:r>
          </w:p>
        </w:tc>
        <w:tc>
          <w:tcPr>
            <w:tcW w:w="2760" w:type="dxa"/>
            <w:vAlign w:val="bottom"/>
          </w:tcPr>
          <w:p>
            <w:pPr>
              <w:ind w:left="360"/>
              <w:spacing w:after="0"/>
              <w:rPr>
                <w:sz w:val="20"/>
                <w:szCs w:val="20"/>
                <w:color w:val="auto"/>
              </w:rPr>
            </w:pPr>
            <w:r>
              <w:rPr>
                <w:rFonts w:ascii="Arial" w:cs="Arial" w:eastAsia="Arial" w:hAnsi="Arial"/>
                <w:sz w:val="18"/>
                <w:szCs w:val="18"/>
                <w:color w:val="000011"/>
              </w:rPr>
              <w:t>Xometry’s common</w:t>
            </w:r>
          </w:p>
        </w:tc>
        <w:tc>
          <w:tcPr>
            <w:tcW w:w="2400" w:type="dxa"/>
            <w:vAlign w:val="bottom"/>
          </w:tcPr>
          <w:p>
            <w:pPr>
              <w:ind w:left="360"/>
              <w:spacing w:after="0"/>
              <w:rPr>
                <w:sz w:val="20"/>
                <w:szCs w:val="20"/>
                <w:color w:val="auto"/>
              </w:rPr>
            </w:pPr>
            <w:r>
              <w:rPr>
                <w:rFonts w:ascii="Arial" w:cs="Arial" w:eastAsia="Arial" w:hAnsi="Arial"/>
                <w:sz w:val="18"/>
                <w:szCs w:val="18"/>
                <w:color w:val="000011"/>
              </w:rPr>
              <w:t>Information about</w:t>
            </w:r>
          </w:p>
        </w:tc>
      </w:tr>
      <w:tr>
        <w:trPr>
          <w:trHeight w:val="240"/>
        </w:trPr>
        <w:tc>
          <w:tcPr>
            <w:tcW w:w="2460" w:type="dxa"/>
            <w:vAlign w:val="bottom"/>
          </w:tcPr>
          <w:p>
            <w:pPr>
              <w:ind w:left="20"/>
              <w:spacing w:after="0"/>
              <w:rPr>
                <w:sz w:val="20"/>
                <w:szCs w:val="20"/>
                <w:color w:val="auto"/>
              </w:rPr>
            </w:pPr>
            <w:r>
              <w:rPr>
                <w:rFonts w:ascii="Arial" w:cs="Arial" w:eastAsia="Arial" w:hAnsi="Arial"/>
                <w:sz w:val="18"/>
                <w:szCs w:val="18"/>
                <w:color w:val="000011"/>
              </w:rPr>
              <w:t>Ste. 800</w:t>
            </w:r>
          </w:p>
        </w:tc>
        <w:tc>
          <w:tcPr>
            <w:tcW w:w="2760" w:type="dxa"/>
            <w:vAlign w:val="bottom"/>
          </w:tcPr>
          <w:p>
            <w:pPr>
              <w:ind w:left="360"/>
              <w:spacing w:after="0"/>
              <w:rPr>
                <w:sz w:val="20"/>
                <w:szCs w:val="20"/>
                <w:color w:val="auto"/>
              </w:rPr>
            </w:pPr>
            <w:r>
              <w:rPr>
                <w:rFonts w:ascii="Arial" w:cs="Arial" w:eastAsia="Arial" w:hAnsi="Arial"/>
                <w:sz w:val="18"/>
                <w:szCs w:val="18"/>
                <w:color w:val="000011"/>
              </w:rPr>
              <w:t>stock is listed on Nasdaq</w:t>
            </w:r>
          </w:p>
        </w:tc>
        <w:tc>
          <w:tcPr>
            <w:tcW w:w="2400" w:type="dxa"/>
            <w:vAlign w:val="bottom"/>
          </w:tcPr>
          <w:p>
            <w:pPr>
              <w:ind w:left="360"/>
              <w:spacing w:after="0"/>
              <w:rPr>
                <w:sz w:val="20"/>
                <w:szCs w:val="20"/>
                <w:color w:val="auto"/>
              </w:rPr>
            </w:pPr>
            <w:r>
              <w:rPr>
                <w:rFonts w:ascii="Arial" w:cs="Arial" w:eastAsia="Arial" w:hAnsi="Arial"/>
                <w:sz w:val="18"/>
                <w:szCs w:val="18"/>
                <w:color w:val="000011"/>
              </w:rPr>
              <w:t>Xometry, press releases,</w:t>
            </w:r>
          </w:p>
        </w:tc>
      </w:tr>
      <w:tr>
        <w:trPr>
          <w:trHeight w:val="240"/>
        </w:trPr>
        <w:tc>
          <w:tcPr>
            <w:tcW w:w="2460" w:type="dxa"/>
            <w:vAlign w:val="bottom"/>
          </w:tcPr>
          <w:p>
            <w:pPr>
              <w:ind w:left="20"/>
              <w:spacing w:after="0"/>
              <w:rPr>
                <w:sz w:val="20"/>
                <w:szCs w:val="20"/>
                <w:color w:val="auto"/>
              </w:rPr>
            </w:pPr>
            <w:r>
              <w:rPr>
                <w:rFonts w:ascii="Arial" w:cs="Arial" w:eastAsia="Arial" w:hAnsi="Arial"/>
                <w:sz w:val="18"/>
                <w:szCs w:val="18"/>
                <w:color w:val="000011"/>
              </w:rPr>
              <w:t>North Bethesda, MD</w:t>
            </w:r>
          </w:p>
        </w:tc>
        <w:tc>
          <w:tcPr>
            <w:tcW w:w="2760" w:type="dxa"/>
            <w:vAlign w:val="bottom"/>
          </w:tcPr>
          <w:p>
            <w:pPr>
              <w:ind w:left="360"/>
              <w:spacing w:after="0"/>
              <w:rPr>
                <w:sz w:val="20"/>
                <w:szCs w:val="20"/>
                <w:color w:val="auto"/>
              </w:rPr>
            </w:pPr>
            <w:r>
              <w:rPr>
                <w:rFonts w:ascii="Arial" w:cs="Arial" w:eastAsia="Arial" w:hAnsi="Arial"/>
                <w:sz w:val="18"/>
                <w:szCs w:val="18"/>
                <w:color w:val="000011"/>
              </w:rPr>
              <w:t>under the ticker symbol</w:t>
            </w:r>
          </w:p>
        </w:tc>
        <w:tc>
          <w:tcPr>
            <w:tcW w:w="2400" w:type="dxa"/>
            <w:vAlign w:val="bottom"/>
          </w:tcPr>
          <w:p>
            <w:pPr>
              <w:ind w:left="360"/>
              <w:spacing w:after="0"/>
              <w:rPr>
                <w:sz w:val="20"/>
                <w:szCs w:val="20"/>
                <w:color w:val="auto"/>
              </w:rPr>
            </w:pPr>
            <w:r>
              <w:rPr>
                <w:rFonts w:ascii="Arial" w:cs="Arial" w:eastAsia="Arial" w:hAnsi="Arial"/>
                <w:sz w:val="18"/>
                <w:szCs w:val="18"/>
                <w:color w:val="000011"/>
              </w:rPr>
              <w:t>and other investor</w:t>
            </w:r>
          </w:p>
        </w:tc>
      </w:tr>
      <w:tr>
        <w:trPr>
          <w:trHeight w:val="240"/>
        </w:trPr>
        <w:tc>
          <w:tcPr>
            <w:tcW w:w="2460" w:type="dxa"/>
            <w:vAlign w:val="bottom"/>
          </w:tcPr>
          <w:p>
            <w:pPr>
              <w:ind w:left="20"/>
              <w:spacing w:after="0"/>
              <w:rPr>
                <w:sz w:val="20"/>
                <w:szCs w:val="20"/>
                <w:color w:val="auto"/>
              </w:rPr>
            </w:pPr>
            <w:r>
              <w:rPr>
                <w:rFonts w:ascii="Arial" w:cs="Arial" w:eastAsia="Arial" w:hAnsi="Arial"/>
                <w:sz w:val="18"/>
                <w:szCs w:val="18"/>
                <w:color w:val="000011"/>
              </w:rPr>
              <w:t>20852</w:t>
            </w:r>
          </w:p>
        </w:tc>
        <w:tc>
          <w:tcPr>
            <w:tcW w:w="2760" w:type="dxa"/>
            <w:vAlign w:val="bottom"/>
          </w:tcPr>
          <w:p>
            <w:pPr>
              <w:ind w:left="360"/>
              <w:spacing w:after="0"/>
              <w:rPr>
                <w:sz w:val="20"/>
                <w:szCs w:val="20"/>
                <w:color w:val="auto"/>
              </w:rPr>
            </w:pPr>
            <w:r>
              <w:rPr>
                <w:rFonts w:ascii="Arial" w:cs="Arial" w:eastAsia="Arial" w:hAnsi="Arial"/>
                <w:sz w:val="18"/>
                <w:szCs w:val="18"/>
                <w:color w:val="000011"/>
              </w:rPr>
              <w:t>“XMTR”</w:t>
            </w:r>
          </w:p>
        </w:tc>
        <w:tc>
          <w:tcPr>
            <w:tcW w:w="2400" w:type="dxa"/>
            <w:vAlign w:val="bottom"/>
          </w:tcPr>
          <w:p>
            <w:pPr>
              <w:ind w:left="360"/>
              <w:spacing w:after="0"/>
              <w:rPr>
                <w:sz w:val="20"/>
                <w:szCs w:val="20"/>
                <w:color w:val="auto"/>
              </w:rPr>
            </w:pPr>
            <w:r>
              <w:rPr>
                <w:rFonts w:ascii="Arial" w:cs="Arial" w:eastAsia="Arial" w:hAnsi="Arial"/>
                <w:sz w:val="18"/>
                <w:szCs w:val="18"/>
                <w:color w:val="000011"/>
              </w:rPr>
              <w:t>information is available</w:t>
            </w:r>
          </w:p>
        </w:tc>
      </w:tr>
      <w:tr>
        <w:trPr>
          <w:trHeight w:val="240"/>
        </w:trPr>
        <w:tc>
          <w:tcPr>
            <w:tcW w:w="2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000011"/>
              </w:rPr>
              <w:t>on our website at:</w:t>
            </w:r>
          </w:p>
        </w:tc>
      </w:tr>
      <w:tr>
        <w:trPr>
          <w:trHeight w:val="240"/>
        </w:trPr>
        <w:tc>
          <w:tcPr>
            <w:tcW w:w="24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400" w:type="dxa"/>
            <w:vAlign w:val="bottom"/>
          </w:tcPr>
          <w:p>
            <w:pPr>
              <w:ind w:left="360"/>
              <w:spacing w:after="0"/>
              <w:rPr>
                <w:sz w:val="20"/>
                <w:szCs w:val="20"/>
                <w:color w:val="auto"/>
              </w:rPr>
            </w:pPr>
            <w:r>
              <w:rPr>
                <w:rFonts w:ascii="Arial" w:cs="Arial" w:eastAsia="Arial" w:hAnsi="Arial"/>
                <w:sz w:val="18"/>
                <w:szCs w:val="18"/>
                <w:color w:val="2F50A4"/>
              </w:rPr>
              <w:t>investors.xometry.com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441960</wp:posOffset>
            </wp:positionV>
            <wp:extent cx="1244600" cy="296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44600" cy="296545"/>
                    </a:xfrm>
                    <a:prstGeom prst="rect">
                      <a:avLst/>
                    </a:prstGeom>
                    <a:noFill/>
                  </pic:spPr>
                </pic:pic>
              </a:graphicData>
            </a:graphic>
          </wp:anchor>
        </w:drawing>
      </w:r>
    </w:p>
    <w:p>
      <w:pPr>
        <w:sectPr>
          <w:pgSz w:w="11880" w:h="15480" w:orient="portrait"/>
          <w:cols w:equalWidth="0" w:num="1">
            <w:col w:w="9140"/>
          </w:cols>
          <w:pgMar w:left="1440" w:top="733" w:right="1300" w:bottom="1031" w:gutter="0" w:footer="0" w:header="0"/>
          <w:type w:val="continuous"/>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tabs>
          <w:tab w:leader="none" w:pos="5134" w:val="left"/>
        </w:tabs>
        <w:rPr>
          <w:sz w:val="20"/>
          <w:szCs w:val="20"/>
          <w:color w:val="auto"/>
        </w:rPr>
      </w:pPr>
      <w:r>
        <w:rPr>
          <w:rFonts w:ascii="Arial" w:cs="Arial" w:eastAsia="Arial" w:hAnsi="Arial"/>
          <w:sz w:val="32"/>
          <w:szCs w:val="32"/>
          <w:color w:val="FFFFFF"/>
        </w:rPr>
        <w:t>www.xometry.com</w:t>
      </w:r>
      <w:r>
        <w:rPr>
          <w:sz w:val="20"/>
          <w:szCs w:val="20"/>
          <w:color w:val="auto"/>
        </w:rPr>
        <w:tab/>
      </w:r>
      <w:r>
        <w:rPr>
          <w:sz w:val="1"/>
          <w:szCs w:val="1"/>
          <w:color w:val="auto"/>
        </w:rPr>
        <w:drawing>
          <wp:inline distT="0" distB="0" distL="0" distR="0">
            <wp:extent cx="271780" cy="24574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780" cy="245745"/>
                    </a:xfrm>
                    <a:prstGeom prst="rect">
                      <a:avLst/>
                    </a:prstGeom>
                    <a:noFill/>
                    <a:ln>
                      <a:noFill/>
                    </a:ln>
                  </pic:spPr>
                </pic:pic>
              </a:graphicData>
            </a:graphic>
          </wp:inline>
        </w:drawing>
      </w:r>
      <w:r>
        <w:rPr>
          <w:rFonts w:ascii="Arial" w:cs="Arial" w:eastAsia="Arial" w:hAnsi="Arial"/>
          <w:sz w:val="32"/>
          <w:szCs w:val="32"/>
          <w:color w:val="FFFFFF"/>
        </w:rPr>
        <w:t xml:space="preserve"> @xometry</w:t>
      </w:r>
    </w:p>
    <w:p>
      <w:pPr>
        <w:sectPr>
          <w:pgSz w:w="11880" w:h="15480" w:orient="portrait"/>
          <w:cols w:equalWidth="0" w:num="1">
            <w:col w:w="9000"/>
          </w:cols>
          <w:pgMar w:left="1440" w:top="1440" w:right="1440" w:bottom="1440" w:gutter="0" w:footer="0" w:header="0"/>
        </w:sectPr>
      </w:pPr>
    </w:p>
    <w:p>
      <w:pPr>
        <w:spacing w:after="0" w:line="168" w:lineRule="exact"/>
        <w:rPr>
          <w:sz w:val="20"/>
          <w:szCs w:val="20"/>
          <w:color w:val="auto"/>
        </w:rPr>
      </w:pPr>
    </w:p>
    <w:p>
      <w:pPr>
        <w:ind w:left="3160" w:right="1220" w:hanging="1890"/>
        <w:spacing w:after="0" w:line="337" w:lineRule="auto"/>
        <w:tabs>
          <w:tab w:leader="none" w:pos="1512" w:val="left"/>
        </w:tabs>
        <w:numPr>
          <w:ilvl w:val="0"/>
          <w:numId w:val="80"/>
        </w:numPr>
        <w:rPr>
          <w:rFonts w:ascii="Arial" w:cs="Arial" w:eastAsia="Arial" w:hAnsi="Arial"/>
          <w:sz w:val="22"/>
          <w:szCs w:val="22"/>
          <w:color w:val="FFFFFF"/>
        </w:rPr>
      </w:pPr>
      <w:r>
        <w:rPr>
          <w:rFonts w:ascii="Arial" w:cs="Arial" w:eastAsia="Arial" w:hAnsi="Arial"/>
          <w:sz w:val="22"/>
          <w:szCs w:val="22"/>
          <w:color w:val="FFFFFF"/>
        </w:rPr>
        <w:t>2024 Xometry, Inc. All rights reserved. Xometry is a registered trademark of Xometry,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11741150</wp:posOffset>
                </wp:positionH>
                <wp:positionV relativeFrom="paragraph">
                  <wp:posOffset>-498475</wp:posOffset>
                </wp:positionV>
                <wp:extent cx="0" cy="11303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3030"/>
                        </a:xfrm>
                        <a:prstGeom prst="line">
                          <a:avLst/>
                        </a:prstGeom>
                        <a:solidFill>
                          <a:srgbClr val="FFFFFF"/>
                        </a:solidFill>
                        <a:ln w="11598">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4.5pt,-39.2499pt" to="924.5pt,-30.3499pt" o:allowincell="f" strokecolor="#000000" strokeweight="0.9132pt"/>
            </w:pict>
          </mc:Fallback>
        </mc:AlternateContent>
        <mc:AlternateContent>
          <mc:Choice Requires="wps">
            <w:drawing>
              <wp:anchor simplePos="0" relativeHeight="251657728" behindDoc="1" locked="0" layoutInCell="0" allowOverlap="1">
                <wp:simplePos x="0" y="0"/>
                <wp:positionH relativeFrom="column">
                  <wp:posOffset>11685905</wp:posOffset>
                </wp:positionH>
                <wp:positionV relativeFrom="paragraph">
                  <wp:posOffset>-441960</wp:posOffset>
                </wp:positionV>
                <wp:extent cx="11049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4763"/>
                        </a:xfrm>
                        <a:prstGeom prst="line">
                          <a:avLst/>
                        </a:prstGeom>
                        <a:solidFill>
                          <a:srgbClr val="FFFFFF"/>
                        </a:solidFill>
                        <a:ln w="14497">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0.15pt,-34.7999pt" to="928.85pt,-34.7999pt" o:allowincell="f" strokecolor="#000000" strokeweight="1.1415pt"/>
            </w:pict>
          </mc:Fallback>
        </mc:AlternateContent>
        <mc:AlternateContent>
          <mc:Choice Requires="wps">
            <w:drawing>
              <wp:anchor simplePos="0" relativeHeight="251657728" behindDoc="1" locked="0" layoutInCell="0" allowOverlap="1">
                <wp:simplePos x="0" y="0"/>
                <wp:positionH relativeFrom="column">
                  <wp:posOffset>11958320</wp:posOffset>
                </wp:positionH>
                <wp:positionV relativeFrom="paragraph">
                  <wp:posOffset>-498475</wp:posOffset>
                </wp:positionV>
                <wp:extent cx="0" cy="11303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3030"/>
                        </a:xfrm>
                        <a:prstGeom prst="line">
                          <a:avLst/>
                        </a:prstGeom>
                        <a:solidFill>
                          <a:srgbClr val="FFFFFF"/>
                        </a:solidFill>
                        <a:ln w="11598">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1.6pt,-39.2499pt" to="941.6pt,-30.3499pt" o:allowincell="f" strokecolor="#000000" strokeweight="0.9132pt"/>
            </w:pict>
          </mc:Fallback>
        </mc:AlternateContent>
        <mc:AlternateContent>
          <mc:Choice Requires="wps">
            <w:drawing>
              <wp:anchor simplePos="0" relativeHeight="251657728" behindDoc="1" locked="0" layoutInCell="0" allowOverlap="1">
                <wp:simplePos x="0" y="0"/>
                <wp:positionH relativeFrom="column">
                  <wp:posOffset>11903710</wp:posOffset>
                </wp:positionH>
                <wp:positionV relativeFrom="paragraph">
                  <wp:posOffset>-441960</wp:posOffset>
                </wp:positionV>
                <wp:extent cx="1098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 cy="4763"/>
                        </a:xfrm>
                        <a:prstGeom prst="line">
                          <a:avLst/>
                        </a:prstGeom>
                        <a:solidFill>
                          <a:srgbClr val="FFFFFF"/>
                        </a:solidFill>
                        <a:ln w="14497">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7.3pt,-34.7999pt" to="945.95pt,-34.7999pt" o:allowincell="f" strokecolor="#000000" strokeweight="1.1415pt"/>
            </w:pict>
          </mc:Fallback>
        </mc:AlternateContent>
        <mc:AlternateContent>
          <mc:Choice Requires="wps">
            <w:drawing>
              <wp:anchor simplePos="0" relativeHeight="251657728" behindDoc="1" locked="0" layoutInCell="0" allowOverlap="1">
                <wp:simplePos x="0" y="0"/>
                <wp:positionH relativeFrom="column">
                  <wp:posOffset>11685905</wp:posOffset>
                </wp:positionH>
                <wp:positionV relativeFrom="paragraph">
                  <wp:posOffset>-713105</wp:posOffset>
                </wp:positionV>
                <wp:extent cx="11049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 cy="4763"/>
                        </a:xfrm>
                        <a:prstGeom prst="line">
                          <a:avLst/>
                        </a:prstGeom>
                        <a:solidFill>
                          <a:srgbClr val="FFFFFF"/>
                        </a:solidFill>
                        <a:ln w="11598">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20.15pt,-56.1499pt" to="928.85pt,-56.1499pt" o:allowincell="f" strokecolor="#000000" strokeweight="0.9132pt"/>
            </w:pict>
          </mc:Fallback>
        </mc:AlternateContent>
        <mc:AlternateContent>
          <mc:Choice Requires="wps">
            <w:drawing>
              <wp:anchor simplePos="0" relativeHeight="251657728" behindDoc="1" locked="0" layoutInCell="0" allowOverlap="1">
                <wp:simplePos x="0" y="0"/>
                <wp:positionH relativeFrom="column">
                  <wp:posOffset>11958320</wp:posOffset>
                </wp:positionH>
                <wp:positionV relativeFrom="paragraph">
                  <wp:posOffset>-767715</wp:posOffset>
                </wp:positionV>
                <wp:extent cx="0" cy="10985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09855"/>
                        </a:xfrm>
                        <a:prstGeom prst="line">
                          <a:avLst/>
                        </a:prstGeom>
                        <a:solidFill>
                          <a:srgbClr val="FFFFFF"/>
                        </a:solidFill>
                        <a:ln w="11598">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1.6pt,-60.4499pt" to="941.6pt,-51.7999pt" o:allowincell="f" strokecolor="#000000" strokeweight="0.9132pt"/>
            </w:pict>
          </mc:Fallback>
        </mc:AlternateContent>
        <mc:AlternateContent>
          <mc:Choice Requires="wps">
            <w:drawing>
              <wp:anchor simplePos="0" relativeHeight="251657728" behindDoc="1" locked="0" layoutInCell="0" allowOverlap="1">
                <wp:simplePos x="0" y="0"/>
                <wp:positionH relativeFrom="column">
                  <wp:posOffset>11903710</wp:posOffset>
                </wp:positionH>
                <wp:positionV relativeFrom="paragraph">
                  <wp:posOffset>-713105</wp:posOffset>
                </wp:positionV>
                <wp:extent cx="1098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 cy="4763"/>
                        </a:xfrm>
                        <a:prstGeom prst="line">
                          <a:avLst/>
                        </a:prstGeom>
                        <a:solidFill>
                          <a:srgbClr val="FFFFFF"/>
                        </a:solidFill>
                        <a:ln w="11598">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37.3pt,-56.1499pt" to="945.95pt,-56.1499pt" o:allowincell="f" strokecolor="#000000" strokeweight="0.9132pt"/>
            </w:pict>
          </mc:Fallback>
        </mc:AlternateContent>
        <mc:AlternateContent>
          <mc:Choice Requires="wps">
            <w:drawing>
              <wp:anchor simplePos="0" relativeHeight="251657728" behindDoc="1" locked="0" layoutInCell="0" allowOverlap="1">
                <wp:simplePos x="0" y="0"/>
                <wp:positionH relativeFrom="column">
                  <wp:posOffset>11033760</wp:posOffset>
                </wp:positionH>
                <wp:positionV relativeFrom="paragraph">
                  <wp:posOffset>-1252220</wp:posOffset>
                </wp:positionV>
                <wp:extent cx="10985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 cy="4763"/>
                        </a:xfrm>
                        <a:prstGeom prst="line">
                          <a:avLst/>
                        </a:prstGeom>
                        <a:solidFill>
                          <a:srgbClr val="FFFFFF"/>
                        </a:solidFill>
                        <a:ln w="11598">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68.8pt,-98.5999pt" to="877.45pt,-98.5999pt" o:allowincell="f" strokecolor="#FFFFFF" strokeweight="0.9132pt"/>
            </w:pict>
          </mc:Fallback>
        </mc:AlternateContent>
        <mc:AlternateContent>
          <mc:Choice Requires="wps">
            <w:drawing>
              <wp:anchor simplePos="0" relativeHeight="251657728" behindDoc="1" locked="0" layoutInCell="0" allowOverlap="1">
                <wp:simplePos x="0" y="0"/>
                <wp:positionH relativeFrom="column">
                  <wp:posOffset>11958320</wp:posOffset>
                </wp:positionH>
                <wp:positionV relativeFrom="paragraph">
                  <wp:posOffset>-1849755</wp:posOffset>
                </wp:positionV>
                <wp:extent cx="0" cy="11303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3030"/>
                        </a:xfrm>
                        <a:prstGeom prst="line">
                          <a:avLst/>
                        </a:prstGeom>
                        <a:solidFill>
                          <a:srgbClr val="FFFFFF"/>
                        </a:solidFill>
                        <a:ln w="11598">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41.6pt,-145.6499pt" to="941.6pt,-136.7499pt" o:allowincell="f" strokecolor="#FFFFFF" strokeweight="0.9132pt"/>
            </w:pict>
          </mc:Fallback>
        </mc:AlternateContent>
      </w:r>
    </w:p>
    <w:sectPr>
      <w:pgSz w:w="11880" w:h="15480" w:orient="portrait"/>
      <w:cols w:equalWidth="0" w:num="1">
        <w:col w:w="900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decimal"/>
      <w:start w:val="1"/>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1)"/>
      <w:numFmt w:val="lowerRoman"/>
      <w:start w:val="3"/>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1)"/>
      <w:numFmt w:val="decimal"/>
      <w:start w:val="2"/>
    </w:lvl>
    <w:lvl w:ilvl="1">
      <w:lvlJc w:val="left"/>
      <w:lvlText w:val="(%2)"/>
      <w:numFmt w:val="lowerLetter"/>
      <w:start w:val="1"/>
    </w:lvl>
  </w:abstractNum>
  <w:abstractNum w:abstractNumId="33">
    <w:nsid w:val="1CF10FD8"/>
    <w:multiLevelType w:val="hybridMultilevel"/>
    <w:lvl w:ilvl="0">
      <w:lvlJc w:val="left"/>
      <w:lvlText w:val="(%1)"/>
      <w:numFmt w:val="lowerLetter"/>
      <w:start w:val="2"/>
    </w:lvl>
  </w:abstractNum>
  <w:abstractNum w:abstractNumId="34">
    <w:nsid w:val="180115BE"/>
    <w:multiLevelType w:val="hybridMultilevel"/>
    <w:lvl w:ilvl="0">
      <w:lvlJc w:val="left"/>
      <w:lvlText w:val="(%1)"/>
      <w:numFmt w:val="lowerLetter"/>
      <w:start w:val="3"/>
    </w:lvl>
  </w:abstractNum>
  <w:abstractNum w:abstractNumId="35">
    <w:nsid w:val="235BA861"/>
    <w:multiLevelType w:val="hybridMultilevel"/>
    <w:lvl w:ilvl="0">
      <w:lvlJc w:val="left"/>
      <w:lvlText w:val="(%1)"/>
      <w:numFmt w:val="lowerLetter"/>
      <w:start w:val="4"/>
    </w:lvl>
  </w:abstractNum>
  <w:abstractNum w:abstractNumId="36">
    <w:nsid w:val="47398C89"/>
    <w:multiLevelType w:val="hybridMultilevel"/>
    <w:lvl w:ilvl="0">
      <w:lvlJc w:val="left"/>
      <w:lvlText w:val="(%1)"/>
      <w:numFmt w:val="lowerLetter"/>
      <w:start w:val="5"/>
    </w:lvl>
  </w:abstractNum>
  <w:abstractNum w:abstractNumId="37">
    <w:nsid w:val="354FE9F9"/>
    <w:multiLevelType w:val="hybridMultilevel"/>
    <w:lvl w:ilvl="0">
      <w:lvlJc w:val="left"/>
      <w:lvlText w:val="(%1)"/>
      <w:numFmt w:val="lowerLetter"/>
      <w:start w:val="6"/>
    </w:lvl>
  </w:abstractNum>
  <w:abstractNum w:abstractNumId="38">
    <w:nsid w:val="15B5AF5C"/>
    <w:multiLevelType w:val="hybridMultilevel"/>
    <w:lvl w:ilvl="0">
      <w:lvlJc w:val="left"/>
      <w:lvlText w:val="(%1)"/>
      <w:numFmt w:val="lowerLetter"/>
      <w:start w:val="7"/>
    </w:lvl>
  </w:abstractNum>
  <w:abstractNum w:abstractNumId="39">
    <w:nsid w:val="741226BB"/>
    <w:multiLevelType w:val="hybridMultilevel"/>
    <w:lvl w:ilvl="0">
      <w:lvlJc w:val="left"/>
      <w:lvlText w:val="(%1)"/>
      <w:numFmt w:val="lowerLetter"/>
      <w:start w:val="8"/>
    </w:lvl>
  </w:abstractNum>
  <w:abstractNum w:abstractNumId="40">
    <w:nsid w:val="D34B6A8"/>
    <w:multiLevelType w:val="hybridMultilevel"/>
    <w:lvl w:ilvl="0">
      <w:lvlJc w:val="left"/>
      <w:lvlText w:val="(%1)"/>
      <w:numFmt w:val="lowerRoman"/>
      <w:start w:val="1"/>
    </w:lvl>
  </w:abstractNum>
  <w:abstractNum w:abstractNumId="41">
    <w:nsid w:val="10233C99"/>
    <w:multiLevelType w:val="hybridMultilevel"/>
    <w:lvl w:ilvl="0">
      <w:lvlJc w:val="left"/>
      <w:lvlText w:val="(%1)"/>
      <w:numFmt w:val="lowerLetter"/>
      <w:start w:val="10"/>
    </w:lvl>
  </w:abstractNum>
  <w:abstractNum w:abstractNumId="42">
    <w:nsid w:val="3F6AB60F"/>
    <w:multiLevelType w:val="hybridMultilevel"/>
    <w:lvl w:ilvl="0">
      <w:lvlJc w:val="left"/>
      <w:lvlText w:val="(%1)"/>
      <w:numFmt w:val="lowerLetter"/>
      <w:start w:val="11"/>
    </w:lvl>
  </w:abstractNum>
  <w:abstractNum w:abstractNumId="43">
    <w:nsid w:val="61574095"/>
    <w:multiLevelType w:val="hybridMultilevel"/>
    <w:lvl w:ilvl="0">
      <w:lvlJc w:val="left"/>
      <w:lvlText w:val="(%1)"/>
      <w:numFmt w:val="lowerLetter"/>
      <w:start w:val="12"/>
    </w:lvl>
  </w:abstractNum>
  <w:abstractNum w:abstractNumId="44">
    <w:nsid w:val="7E0C57B1"/>
    <w:multiLevelType w:val="hybridMultilevel"/>
    <w:lvl w:ilvl="0">
      <w:lvlJc w:val="left"/>
      <w:lvlText w:val="(%1)"/>
      <w:numFmt w:val="lowerLetter"/>
      <w:start w:val="13"/>
    </w:lvl>
  </w:abstractNum>
  <w:abstractNum w:abstractNumId="45">
    <w:nsid w:val="77AE35EB"/>
    <w:multiLevelType w:val="hybridMultilevel"/>
    <w:lvl w:ilvl="0">
      <w:lvlJc w:val="left"/>
      <w:lvlText w:val="(%1)"/>
      <w:numFmt w:val="lowerLetter"/>
      <w:start w:val="14"/>
    </w:lvl>
  </w:abstractNum>
  <w:abstractNum w:abstractNumId="46">
    <w:nsid w:val="579BE4F1"/>
    <w:multiLevelType w:val="hybridMultilevel"/>
    <w:lvl w:ilvl="0">
      <w:lvlJc w:val="left"/>
      <w:lvlText w:val="(%1)"/>
      <w:numFmt w:val="lowerLetter"/>
      <w:start w:val="15"/>
    </w:lvl>
  </w:abstractNum>
  <w:abstractNum w:abstractNumId="47">
    <w:nsid w:val="310C50B3"/>
    <w:multiLevelType w:val="hybridMultilevel"/>
    <w:lvl w:ilvl="0">
      <w:lvlJc w:val="left"/>
      <w:lvlText w:val="(%1)"/>
      <w:numFmt w:val="lowerLetter"/>
      <w:start w:val="16"/>
    </w:lvl>
  </w:abstractNum>
  <w:abstractNum w:abstractNumId="48">
    <w:nsid w:val="5FF87E05"/>
    <w:multiLevelType w:val="hybridMultilevel"/>
    <w:lvl w:ilvl="0">
      <w:lvlJc w:val="left"/>
      <w:lvlText w:val="(%1)"/>
      <w:numFmt w:val="lowerLetter"/>
      <w:start w:val="17"/>
    </w:lvl>
  </w:abstractNum>
  <w:abstractNum w:abstractNumId="49">
    <w:nsid w:val="2F305DEF"/>
    <w:multiLevelType w:val="hybridMultilevel"/>
    <w:lvl w:ilvl="0">
      <w:lvlJc w:val="left"/>
      <w:lvlText w:val="(%1)"/>
      <w:numFmt w:val="lowerLetter"/>
      <w:start w:val="18"/>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1)"/>
      <w:numFmt w:val="lowerLetter"/>
      <w:start w:val="19"/>
    </w:lvl>
  </w:abstractNum>
  <w:abstractNum w:abstractNumId="52">
    <w:nsid w:val="4AD084E9"/>
    <w:multiLevelType w:val="hybridMultilevel"/>
    <w:lvl w:ilvl="0">
      <w:lvlJc w:val="left"/>
      <w:lvlText w:val="(%1)"/>
      <w:numFmt w:val="lowerLetter"/>
      <w:start w:val="20"/>
    </w:lvl>
  </w:abstractNum>
  <w:abstractNum w:abstractNumId="53">
    <w:nsid w:val="1F48EAA1"/>
    <w:multiLevelType w:val="hybridMultilevel"/>
    <w:lvl w:ilvl="0">
      <w:lvlJc w:val="left"/>
      <w:lvlText w:val="(%1)"/>
      <w:numFmt w:val="lowerLetter"/>
      <w:start w:val="21"/>
    </w:lvl>
  </w:abstractNum>
  <w:abstractNum w:abstractNumId="54">
    <w:nsid w:val="1381823A"/>
    <w:multiLevelType w:val="hybridMultilevel"/>
    <w:lvl w:ilvl="0">
      <w:lvlJc w:val="left"/>
      <w:lvlText w:val="(%1)"/>
      <w:numFmt w:val="lowerRoman"/>
      <w:start w:val="5"/>
    </w:lvl>
  </w:abstractNum>
  <w:abstractNum w:abstractNumId="55">
    <w:nsid w:val="5DB70AE5"/>
    <w:multiLevelType w:val="hybridMultilevel"/>
    <w:lvl w:ilvl="0">
      <w:lvlJc w:val="left"/>
      <w:lvlText w:val="(%1)"/>
      <w:numFmt w:val="lowerLetter"/>
      <w:start w:val="23"/>
    </w:lvl>
  </w:abstractNum>
  <w:abstractNum w:abstractNumId="56">
    <w:nsid w:val="100F8FCA"/>
    <w:multiLevelType w:val="hybridMultilevel"/>
    <w:lvl w:ilvl="0">
      <w:lvlJc w:val="left"/>
      <w:lvlText w:val="(%1)"/>
      <w:numFmt w:val="lowerRoman"/>
      <w:start w:val="10"/>
    </w:lvl>
  </w:abstractNum>
  <w:abstractNum w:abstractNumId="57">
    <w:nsid w:val="6590700B"/>
    <w:multiLevelType w:val="hybridMultilevel"/>
    <w:lvl w:ilvl="0">
      <w:lvlJc w:val="left"/>
      <w:lvlText w:val="(%1)"/>
      <w:numFmt w:val="decimal"/>
      <w:start w:val="3"/>
    </w:lvl>
  </w:abstractNum>
  <w:abstractNum w:abstractNumId="58">
    <w:nsid w:val="15014ACB"/>
    <w:multiLevelType w:val="hybridMultilevel"/>
    <w:lvl w:ilvl="0">
      <w:lvlJc w:val="left"/>
      <w:lvlText w:val="(%1)"/>
      <w:numFmt w:val="decimal"/>
      <w:start w:val="4"/>
    </w:lvl>
  </w:abstractNum>
  <w:abstractNum w:abstractNumId="59">
    <w:nsid w:val="5F5E7FD0"/>
    <w:multiLevelType w:val="hybridMultilevel"/>
    <w:lvl w:ilvl="0">
      <w:lvlJc w:val="left"/>
      <w:lvlText w:val="(%1)"/>
      <w:numFmt w:val="decimal"/>
      <w:start w:val="5"/>
    </w:lvl>
  </w:abstractNum>
  <w:abstractNum w:abstractNumId="60">
    <w:nsid w:val="98A3148"/>
    <w:multiLevelType w:val="hybridMultilevel"/>
    <w:lvl w:ilvl="0">
      <w:lvlJc w:val="left"/>
      <w:lvlText w:val="(%1)"/>
      <w:numFmt w:val="decimal"/>
      <w:start w:val="6"/>
    </w:lvl>
  </w:abstractNum>
  <w:abstractNum w:abstractNumId="61">
    <w:nsid w:val="799D0247"/>
    <w:multiLevelType w:val="hybridMultilevel"/>
    <w:lvl w:ilvl="0">
      <w:lvlJc w:val="left"/>
      <w:lvlText w:val="(%1)"/>
      <w:numFmt w:val="decimal"/>
      <w:start w:val="7"/>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1)"/>
      <w:numFmt w:val="decimal"/>
      <w:start w:val="8"/>
    </w:lvl>
  </w:abstractNum>
  <w:abstractNum w:abstractNumId="64">
    <w:nsid w:val="168E121F"/>
    <w:multiLevelType w:val="hybridMultilevel"/>
    <w:lvl w:ilvl="0">
      <w:lvlJc w:val="left"/>
      <w:lvlText w:val="(%1)"/>
      <w:numFmt w:val="decimal"/>
      <w:start w:val="9"/>
    </w:lvl>
  </w:abstractNum>
  <w:abstractNum w:abstractNumId="65">
    <w:nsid w:val="1EBA5D23"/>
    <w:multiLevelType w:val="hybridMultilevel"/>
    <w:lvl w:ilvl="0">
      <w:lvlJc w:val="left"/>
      <w:lvlText w:val="(%1)"/>
      <w:numFmt w:val="decimal"/>
      <w:start w:val="10"/>
    </w:lvl>
  </w:abstractNum>
  <w:abstractNum w:abstractNumId="66">
    <w:nsid w:val="661E3F1E"/>
    <w:multiLevelType w:val="hybridMultilevel"/>
    <w:lvl w:ilvl="0">
      <w:lvlJc w:val="left"/>
      <w:lvlText w:val="(%1)"/>
      <w:numFmt w:val="decimal"/>
      <w:start w:val="11"/>
    </w:lvl>
  </w:abstractNum>
  <w:abstractNum w:abstractNumId="67">
    <w:nsid w:val="5DC79EA8"/>
    <w:multiLevelType w:val="hybridMultilevel"/>
    <w:lvl w:ilvl="0">
      <w:lvlJc w:val="left"/>
      <w:lvlText w:val="(%1)"/>
      <w:numFmt w:val="decimal"/>
      <w:start w:val="12"/>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1)"/>
      <w:numFmt w:val="decimal"/>
      <w:start w:val="1"/>
    </w:lvl>
  </w:abstractNum>
  <w:abstractNum w:abstractNumId="70">
    <w:nsid w:val="51D9C564"/>
    <w:multiLevelType w:val="hybridMultilevel"/>
    <w:lvl w:ilvl="0">
      <w:lvlJc w:val="left"/>
      <w:lvlText w:val="(%1)"/>
      <w:numFmt w:val="decimal"/>
      <w:start w:val="13"/>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1)"/>
      <w:numFmt w:val="decimal"/>
      <w:start w:val="14"/>
    </w:lvl>
  </w:abstractNum>
  <w:abstractNum w:abstractNumId="73">
    <w:nsid w:val="11447B73"/>
    <w:multiLevelType w:val="hybridMultilevel"/>
    <w:lvl w:ilvl="0">
      <w:lvlJc w:val="left"/>
      <w:lvlText w:val="(%1)"/>
      <w:numFmt w:val="decimal"/>
      <w:start w:val="15"/>
    </w:lvl>
  </w:abstractNum>
  <w:abstractNum w:abstractNumId="74">
    <w:nsid w:val="42963E5A"/>
    <w:multiLevelType w:val="hybridMultilevel"/>
    <w:lvl w:ilvl="0">
      <w:lvlJc w:val="left"/>
      <w:lvlText w:val="(%1)"/>
      <w:numFmt w:val="decimal"/>
      <w:start w:val="16"/>
    </w:lvl>
  </w:abstractNum>
  <w:abstractNum w:abstractNumId="75">
    <w:nsid w:val="A0382C5"/>
    <w:multiLevelType w:val="hybridMultilevel"/>
    <w:lvl w:ilvl="0">
      <w:lvlJc w:val="left"/>
      <w:lvlText w:val="(%1)"/>
      <w:numFmt w:val="decimal"/>
      <w:start w:val="17"/>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
      <w:numFmt w:val="bullet"/>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2024-04-29T15:21:46Z</dcterms:created>
  <dcterms:modified xsi:type="dcterms:W3CDTF">2024-04-29T15:21:46Z</dcterms:modified>
</cp:coreProperties>
</file>