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248"/>
        </w:trPr>
        <w:tc>
          <w:tcPr>
            <w:tcW w:w="3340" w:type="dxa"/>
            <w:vAlign w:val="bottom"/>
          </w:tcPr>
          <w:p>
            <w:pPr>
              <w:jc w:val="center"/>
              <w:ind w:right="94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001-40546</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32-0415449</w:t>
            </w:r>
          </w:p>
        </w:tc>
      </w:tr>
      <w:tr>
        <w:trPr>
          <w:trHeight w:val="166"/>
        </w:trPr>
        <w:tc>
          <w:tcPr>
            <w:tcW w:w="3340" w:type="dxa"/>
            <w:vAlign w:val="bottom"/>
          </w:tcPr>
          <w:p>
            <w:pPr>
              <w:jc w:val="center"/>
              <w:ind w:right="96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340" w:type="dxa"/>
            <w:vAlign w:val="bottom"/>
          </w:tcPr>
          <w:p>
            <w:pPr>
              <w:jc w:val="center"/>
              <w:ind w:right="96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340" w:type="dxa"/>
            <w:vAlign w:val="bottom"/>
          </w:tcPr>
          <w:p>
            <w:pPr>
              <w:jc w:val="center"/>
              <w:ind w:right="944"/>
              <w:spacing w:after="0"/>
              <w:rPr>
                <w:sz w:val="20"/>
                <w:szCs w:val="20"/>
                <w:color w:val="auto"/>
              </w:rPr>
            </w:pPr>
            <w:r>
              <w:rPr>
                <w:rFonts w:ascii="Arial" w:cs="Arial" w:eastAsia="Arial" w:hAnsi="Arial"/>
                <w:sz w:val="18"/>
                <w:szCs w:val="18"/>
                <w:b w:val="1"/>
                <w:bCs w:val="1"/>
                <w:color w:val="auto"/>
                <w:w w:val="88"/>
              </w:rPr>
              <w:t>7529 Standish Place, Suite 200</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340" w:type="dxa"/>
            <w:vAlign w:val="bottom"/>
          </w:tcPr>
          <w:p>
            <w:pPr>
              <w:jc w:val="center"/>
              <w:ind w:right="944"/>
              <w:spacing w:after="0"/>
              <w:rPr>
                <w:sz w:val="20"/>
                <w:szCs w:val="20"/>
                <w:color w:val="auto"/>
              </w:rPr>
            </w:pPr>
            <w:r>
              <w:rPr>
                <w:rFonts w:ascii="Arial" w:cs="Arial" w:eastAsia="Arial" w:hAnsi="Arial"/>
                <w:sz w:val="18"/>
                <w:szCs w:val="18"/>
                <w:b w:val="1"/>
                <w:bCs w:val="1"/>
                <w:color w:val="auto"/>
                <w:w w:val="93"/>
              </w:rPr>
              <w:t>Derwood, Maryland</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20855</w:t>
            </w:r>
          </w:p>
        </w:tc>
      </w:tr>
      <w:tr>
        <w:trPr>
          <w:trHeight w:val="173"/>
        </w:trPr>
        <w:tc>
          <w:tcPr>
            <w:tcW w:w="3340" w:type="dxa"/>
            <w:vAlign w:val="bottom"/>
          </w:tcPr>
          <w:p>
            <w:pPr>
              <w:jc w:val="center"/>
              <w:ind w:right="94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55" w:lineRule="exact"/>
        <w:rPr>
          <w:sz w:val="24"/>
          <w:szCs w:val="24"/>
          <w:color w:val="auto"/>
        </w:rPr>
      </w:pPr>
    </w:p>
    <w:p>
      <w:pPr>
        <w:ind w:right="220"/>
        <w:spacing w:after="0" w:line="293" w:lineRule="auto"/>
        <w:rPr>
          <w:sz w:val="20"/>
          <w:szCs w:val="20"/>
          <w:color w:val="auto"/>
        </w:rPr>
      </w:pPr>
      <w:r>
        <w:rPr>
          <w:rFonts w:ascii="Arial" w:cs="Arial" w:eastAsia="Arial" w:hAnsi="Arial"/>
          <w:sz w:val="16"/>
          <w:szCs w:val="16"/>
          <w:color w:val="auto"/>
        </w:rPr>
        <w:t>On November 10, 2021, Xometry, Inc. issued a press release announcing its third quarter 2021 financial results. A copy of the press release is furnished as Exhibit 99.1 to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4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3900" w:type="dxa"/>
            <w:vAlign w:val="bottom"/>
            <w:gridSpan w:val="3"/>
          </w:tcPr>
          <w:p>
            <w:pPr>
              <w:ind w:left="20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820" w:type="dxa"/>
            <w:vAlign w:val="bottom"/>
            <w:gridSpan w:val="2"/>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Press Release of Xometry, Inc. issued on November 10, 2021.</w:t>
              </w:r>
            </w:hyperlink>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4"/>
        </w:trPr>
        <w:tc>
          <w:tcPr>
            <w:tcW w:w="500" w:type="dxa"/>
            <w:vAlign w:val="bottom"/>
            <w:gridSpan w:val="2"/>
          </w:tcPr>
          <w:p>
            <w:pPr>
              <w:ind w:left="200"/>
              <w:spacing w:after="0"/>
              <w:rPr>
                <w:sz w:val="20"/>
                <w:szCs w:val="20"/>
                <w:color w:val="auto"/>
              </w:rPr>
            </w:pPr>
            <w:r>
              <w:rPr>
                <w:rFonts w:ascii="Arial" w:cs="Arial" w:eastAsia="Arial" w:hAnsi="Arial"/>
                <w:sz w:val="18"/>
                <w:szCs w:val="18"/>
                <w:color w:val="auto"/>
                <w:w w:val="93"/>
              </w:rPr>
              <w:t>104</w:t>
            </w:r>
          </w:p>
        </w:tc>
        <w:tc>
          <w:tcPr>
            <w:tcW w:w="34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XOMETRY, INC.</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Reports Third Quarter 2021 Results</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222222"/>
        </w:rPr>
        <w:t>Reports 35% Growth in Year-Over-Year Revenue</w:t>
      </w:r>
    </w:p>
    <w:p>
      <w:pPr>
        <w:spacing w:after="0" w:line="243" w:lineRule="exact"/>
        <w:rPr>
          <w:sz w:val="20"/>
          <w:szCs w:val="20"/>
          <w:color w:val="auto"/>
        </w:rPr>
      </w:pPr>
    </w:p>
    <w:p>
      <w:pPr>
        <w:ind w:right="160"/>
        <w:spacing w:after="0" w:line="347" w:lineRule="auto"/>
        <w:rPr>
          <w:sz w:val="20"/>
          <w:szCs w:val="20"/>
          <w:color w:val="auto"/>
        </w:rPr>
      </w:pPr>
      <w:r>
        <w:rPr>
          <w:rFonts w:ascii="Arial" w:cs="Arial" w:eastAsia="Arial" w:hAnsi="Arial"/>
          <w:sz w:val="18"/>
          <w:szCs w:val="18"/>
          <w:color w:val="auto"/>
        </w:rPr>
        <w:t>ROCKVILLE, MD., November 10, 2021 /Globe Newswire/ -- Xometry, Inc. (NASDAQ:XMTR), a leading AI-enabled marketplace for on-demand manufacturing, today reported financial results for the third quarter ended September 30, 2021, including the following highlights: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Revenue grew 35% year-over-year from $42.0 million as of September 30, 2020 to $56.7 million as of September 30, 2021.</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Revenue increased 77% year-over-year in Q3 2021, when excluding sales of masks by one customer from both periods.</w:t>
      </w:r>
    </w:p>
    <w:p>
      <w:pPr>
        <w:spacing w:after="0" w:line="146" w:lineRule="exact"/>
        <w:rPr>
          <w:sz w:val="20"/>
          <w:szCs w:val="20"/>
          <w:color w:val="auto"/>
        </w:rPr>
      </w:pPr>
    </w:p>
    <w:p>
      <w:pPr>
        <w:ind w:left="700" w:right="40"/>
        <w:spacing w:after="0" w:line="347" w:lineRule="auto"/>
        <w:rPr>
          <w:sz w:val="20"/>
          <w:szCs w:val="20"/>
          <w:color w:val="auto"/>
        </w:rPr>
      </w:pPr>
      <w:r>
        <w:rPr>
          <w:rFonts w:ascii="Arial" w:cs="Arial" w:eastAsia="Arial" w:hAnsi="Arial"/>
          <w:sz w:val="18"/>
          <w:szCs w:val="18"/>
          <w:color w:val="auto"/>
        </w:rPr>
        <w:t>Gross profit increased 42% year-over-year to $14.5 million as of September 30, 2021, as compared to $10.2 million as of September 30, 2020. Gross profit margin improved to 25.6% as of September 30, 2021 from 24.3% as of September 30, 2020.</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Active Buyers increased 61% from 16,266 as of September 30, 2020 to 26,187 as of September 30, 2021.</w:t>
      </w:r>
    </w:p>
    <w:p>
      <w:pPr>
        <w:spacing w:after="0" w:line="243" w:lineRule="exact"/>
        <w:rPr>
          <w:sz w:val="20"/>
          <w:szCs w:val="20"/>
          <w:color w:val="auto"/>
        </w:rPr>
      </w:pPr>
    </w:p>
    <w:p>
      <w:pPr>
        <w:ind w:left="700" w:right="600"/>
        <w:spacing w:after="0" w:line="288" w:lineRule="auto"/>
        <w:rPr>
          <w:sz w:val="20"/>
          <w:szCs w:val="20"/>
          <w:color w:val="auto"/>
        </w:rPr>
      </w:pPr>
      <w:r>
        <w:rPr>
          <w:rFonts w:ascii="Arial" w:cs="Arial" w:eastAsia="Arial" w:hAnsi="Arial"/>
          <w:sz w:val="20"/>
          <w:szCs w:val="20"/>
          <w:color w:val="auto"/>
        </w:rPr>
        <w:t>Accounts with Last Twelve-Months Spend of at least $50,000 increased 67% from 361 as of September 30, 2020 to 603 as of September 30, 2021.</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Percentage of Revenue from Existing Accounts was 95%, consistent with the prior quarter.</w:t>
      </w:r>
    </w:p>
    <w:p>
      <w:pPr>
        <w:spacing w:after="0" w:line="243" w:lineRule="exact"/>
        <w:rPr>
          <w:sz w:val="20"/>
          <w:szCs w:val="20"/>
          <w:color w:val="auto"/>
        </w:rPr>
      </w:pPr>
    </w:p>
    <w:p>
      <w:pPr>
        <w:jc w:val="both"/>
        <w:ind w:left="700" w:right="340"/>
        <w:spacing w:after="0" w:line="299" w:lineRule="auto"/>
        <w:rPr>
          <w:sz w:val="20"/>
          <w:szCs w:val="20"/>
          <w:color w:val="auto"/>
        </w:rPr>
      </w:pPr>
      <w:r>
        <w:rPr>
          <w:rFonts w:ascii="Arial" w:cs="Arial" w:eastAsia="Arial" w:hAnsi="Arial"/>
          <w:sz w:val="19"/>
          <w:szCs w:val="19"/>
          <w:color w:val="auto"/>
        </w:rPr>
        <w:t>Net loss was $14.7 million for the quarter, an increase of $8.5 million year-over-year, and Adjusted EBITDA was negative $10.0 million for the quarter, reflecting an increase of $5.4 million year-over-year. Net loss for Q3 2021 includes $2.3 million of stock-based compensation expense and $1.2 million of expense for charitable contributions.</w:t>
      </w:r>
    </w:p>
    <w:p>
      <w:pPr>
        <w:spacing w:after="0" w:line="61" w:lineRule="exact"/>
        <w:rPr>
          <w:sz w:val="20"/>
          <w:szCs w:val="20"/>
          <w:color w:val="auto"/>
        </w:rPr>
      </w:pPr>
    </w:p>
    <w:p>
      <w:pPr>
        <w:jc w:val="both"/>
        <w:ind w:left="700" w:right="260"/>
        <w:spacing w:after="0" w:line="278" w:lineRule="auto"/>
        <w:rPr>
          <w:sz w:val="20"/>
          <w:szCs w:val="20"/>
          <w:color w:val="auto"/>
        </w:rPr>
      </w:pPr>
      <w:r>
        <w:rPr>
          <w:rFonts w:ascii="Arial" w:cs="Arial" w:eastAsia="Arial" w:hAnsi="Arial"/>
          <w:sz w:val="20"/>
          <w:szCs w:val="20"/>
          <w:color w:val="auto"/>
        </w:rPr>
        <w:t>Xometry expects business momentum to continue and is providing guidance for Q4 2021 of 58%-63% revenue growth year-over-year. Q4 2021 revenue when excluding sales of masks by one customer from both periods, is expected to be 75%-80% year-over-year.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Cash and cash equivalents and marketable securities were $324.5 million as of September 30, 2021.</w:t>
      </w:r>
    </w:p>
    <w:p>
      <w:pPr>
        <w:spacing w:after="0" w:line="283"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“Xometry’s third quarter 2021 performance was outstanding as we saw accelerated demand from larger customers across many verticals on our platform”, said Randy Altschuler, Xometry’s CEO. “Active Buyer growth was robust at 61% year-over-year and Accounts with Last Twelve Month Spend of at least $50,000 increased 67% year-over-year. Excluding the sales of masks by one customer which accounted for significant revenue in the prior year, third quarter revenue accelerated significantly to 77% growth year-over-year. Additionally, we delivered significant improvement in gross margin on a year-over-year and quarter-over-quarter basis driven by AI based pricing and expanding seller network.”</w:t>
      </w:r>
    </w:p>
    <w:p>
      <w:pPr>
        <w:spacing w:after="0" w:line="237"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“We remain in the early innings of the secular digitization of the manufacturing industry, one of the largest industries in the world. We continue to grow our great team to build out the leading global on-demand manufacturing marketplace including the recent acquisitions of Big Blue Saw and FactoryFour. Big Blue Saw extends our marketplace capabilities in water jet and laser cutting while FactoryFour will provide a SaaS based solution to help manufacturers in the Xometry marketplace improve lead times and make strong, data-driven decisions through real-time production tracking. We expect these acquisitions to make an impact on our product offering beginning in 2022.”</w:t>
      </w:r>
    </w:p>
    <w:p>
      <w:pPr>
        <w:spacing w:after="0" w:line="174"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“Marketplace trends remain robust in Q4 and we expect revenue growth of 75-80% year-over-year excluding sales of masks by one customer in both periods. Our machine learning pricing algorithms continue to drive improving gross margins and we expect that trend to continue with sequential growth in gross margins from Q3 to Q4.”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Unaudited Financial Summary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 Ended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Nine Months Ended</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77"/>
        </w:trPr>
        <w:tc>
          <w:tcPr>
            <w:tcW w:w="3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500" w:type="dxa"/>
            <w:vAlign w:val="bottom"/>
          </w:tcPr>
          <w:p>
            <w:pPr>
              <w:spacing w:after="0"/>
              <w:rPr>
                <w:sz w:val="24"/>
                <w:szCs w:val="24"/>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24"/>
                <w:szCs w:val="2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24"/>
                <w:szCs w:val="24"/>
                <w:color w:val="auto"/>
              </w:rPr>
            </w:pPr>
          </w:p>
        </w:tc>
      </w:tr>
      <w:tr>
        <w:trPr>
          <w:trHeight w:val="283"/>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Revenue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56,727</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41,953</w:t>
            </w:r>
          </w:p>
        </w:tc>
        <w:tc>
          <w:tcPr>
            <w:tcW w:w="2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35 %</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151,238</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103,425</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46 %</w:t>
            </w:r>
          </w:p>
        </w:tc>
      </w:tr>
      <w:tr>
        <w:trPr>
          <w:trHeight w:val="261"/>
        </w:trPr>
        <w:tc>
          <w:tcPr>
            <w:tcW w:w="362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14,494</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10,175</w:t>
            </w:r>
          </w:p>
        </w:tc>
        <w:tc>
          <w:tcPr>
            <w:tcW w:w="24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0"/>
                <w:szCs w:val="20"/>
                <w:color w:val="auto"/>
              </w:rPr>
              <w:t>42 %</w:t>
            </w:r>
          </w:p>
        </w:tc>
        <w:tc>
          <w:tcPr>
            <w:tcW w:w="1060" w:type="dxa"/>
            <w:vAlign w:val="bottom"/>
          </w:tcPr>
          <w:p>
            <w:pPr>
              <w:jc w:val="right"/>
              <w:spacing w:after="0"/>
              <w:rPr>
                <w:sz w:val="20"/>
                <w:szCs w:val="20"/>
                <w:color w:val="auto"/>
              </w:rPr>
            </w:pPr>
            <w:r>
              <w:rPr>
                <w:rFonts w:ascii="Arial" w:cs="Arial" w:eastAsia="Arial" w:hAnsi="Arial"/>
                <w:sz w:val="20"/>
                <w:szCs w:val="20"/>
                <w:color w:val="auto"/>
              </w:rPr>
              <w:t>36,205</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23,806</w:t>
            </w: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52 %</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Net loss</w:t>
            </w: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(14,711 )</w:t>
            </w:r>
          </w:p>
        </w:tc>
        <w:tc>
          <w:tcPr>
            <w:tcW w:w="3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(6,183 )</w:t>
            </w:r>
          </w:p>
        </w:tc>
        <w:tc>
          <w:tcPr>
            <w:tcW w:w="132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138 %</w:t>
            </w: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(37,476 )</w:t>
            </w:r>
          </w:p>
        </w:tc>
        <w:tc>
          <w:tcPr>
            <w:tcW w:w="3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w w:val="94"/>
              </w:rPr>
              <w:t>(20,909 )</w:t>
            </w: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79 %</w:t>
            </w:r>
          </w:p>
        </w:tc>
      </w:tr>
      <w:tr>
        <w:trPr>
          <w:trHeight w:val="261"/>
        </w:trPr>
        <w:tc>
          <w:tcPr>
            <w:tcW w:w="3620" w:type="dxa"/>
            <w:vAlign w:val="bottom"/>
          </w:tcPr>
          <w:p>
            <w:pPr>
              <w:ind w:left="20"/>
              <w:spacing w:after="0"/>
              <w:rPr>
                <w:sz w:val="20"/>
                <w:szCs w:val="20"/>
                <w:color w:val="auto"/>
              </w:rPr>
            </w:pPr>
            <w:r>
              <w:rPr>
                <w:rFonts w:ascii="Arial" w:cs="Arial" w:eastAsia="Arial" w:hAnsi="Arial"/>
                <w:sz w:val="20"/>
                <w:szCs w:val="20"/>
                <w:color w:val="auto"/>
              </w:rPr>
              <w:t>EPS—basic and diluted</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20"/>
                <w:szCs w:val="20"/>
                <w:color w:val="auto"/>
              </w:rPr>
              <w:t>(0.33 )</w:t>
            </w:r>
          </w:p>
        </w:tc>
        <w:tc>
          <w:tcPr>
            <w:tcW w:w="3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(1.99 )</w:t>
            </w:r>
          </w:p>
        </w:tc>
        <w:tc>
          <w:tcPr>
            <w:tcW w:w="1320" w:type="dxa"/>
            <w:vAlign w:val="bottom"/>
            <w:gridSpan w:val="2"/>
          </w:tcPr>
          <w:p>
            <w:pPr>
              <w:jc w:val="right"/>
              <w:ind w:right="260"/>
              <w:spacing w:after="0"/>
              <w:rPr>
                <w:sz w:val="20"/>
                <w:szCs w:val="20"/>
                <w:color w:val="auto"/>
              </w:rPr>
            </w:pPr>
            <w:r>
              <w:rPr>
                <w:rFonts w:ascii="Arial" w:cs="Arial" w:eastAsia="Arial" w:hAnsi="Arial"/>
                <w:sz w:val="20"/>
                <w:szCs w:val="20"/>
                <w:color w:val="auto"/>
              </w:rPr>
              <w:t>(83 )%</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color w:val="auto"/>
              </w:rPr>
              <w:t>(1.87 )</w:t>
            </w:r>
          </w:p>
        </w:tc>
        <w:tc>
          <w:tcPr>
            <w:tcW w:w="3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(3.98 )</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(53 )%</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r>
      <w:tr>
        <w:trPr>
          <w:trHeight w:val="284"/>
        </w:trPr>
        <w:tc>
          <w:tcPr>
            <w:tcW w:w="3620" w:type="dxa"/>
            <w:vAlign w:val="bottom"/>
            <w:shd w:val="clear" w:color="auto" w:fill="CFF0FC"/>
          </w:tcPr>
          <w:p>
            <w:pPr>
              <w:ind w:left="20"/>
              <w:spacing w:after="0" w:line="283" w:lineRule="exact"/>
              <w:rPr>
                <w:sz w:val="20"/>
                <w:szCs w:val="20"/>
                <w:color w:val="auto"/>
              </w:rPr>
            </w:pPr>
            <w:r>
              <w:rPr>
                <w:rFonts w:ascii="Arial" w:cs="Arial" w:eastAsia="Arial" w:hAnsi="Arial"/>
                <w:sz w:val="20"/>
                <w:szCs w:val="20"/>
                <w:color w:val="auto"/>
              </w:rPr>
              <w:t>Adjusted EBITDA (Non-GAAP)</w:t>
            </w:r>
            <w:r>
              <w:rPr>
                <w:rFonts w:ascii="Arial" w:cs="Arial" w:eastAsia="Arial" w:hAnsi="Arial"/>
                <w:sz w:val="26"/>
                <w:szCs w:val="26"/>
                <w:color w:val="auto"/>
                <w:vertAlign w:val="superscript"/>
              </w:rPr>
              <w:t>(1)</w:t>
            </w:r>
          </w:p>
        </w:tc>
        <w:tc>
          <w:tcPr>
            <w:tcW w:w="20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(10,024 )</w:t>
            </w:r>
          </w:p>
        </w:tc>
        <w:tc>
          <w:tcPr>
            <w:tcW w:w="34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(4,605 )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118 %</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(27,905 )</w:t>
            </w:r>
          </w:p>
        </w:tc>
        <w:tc>
          <w:tcPr>
            <w:tcW w:w="34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w w:val="94"/>
              </w:rPr>
              <w:t>(16,910 )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65 %</w:t>
            </w:r>
          </w:p>
        </w:tc>
      </w:tr>
    </w:tbl>
    <w:p>
      <w:pPr>
        <w:spacing w:after="0" w:line="226" w:lineRule="exact"/>
        <w:rPr>
          <w:sz w:val="20"/>
          <w:szCs w:val="20"/>
          <w:color w:val="auto"/>
        </w:rPr>
      </w:pPr>
    </w:p>
    <w:p>
      <w:pPr>
        <w:ind w:left="340" w:right="200" w:hanging="332"/>
        <w:spacing w:after="0" w:line="288"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2"/>
              </w:rPr>
              <w:t>As of September 30,</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79"/>
        </w:trPr>
        <w:tc>
          <w:tcPr>
            <w:tcW w:w="6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r>
      <w:tr>
        <w:trPr>
          <w:trHeight w:val="192"/>
        </w:trPr>
        <w:tc>
          <w:tcPr>
            <w:tcW w:w="6400" w:type="dxa"/>
            <w:vAlign w:val="bottom"/>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6"/>
                <w:szCs w:val="16"/>
                <w:color w:val="auto"/>
              </w:rPr>
            </w:pPr>
          </w:p>
        </w:tc>
      </w:tr>
      <w:tr>
        <w:trPr>
          <w:trHeight w:val="256"/>
        </w:trPr>
        <w:tc>
          <w:tcPr>
            <w:tcW w:w="6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2"/>
          </w:tcPr>
          <w:p>
            <w:pPr>
              <w:spacing w:after="0"/>
              <w:rPr>
                <w:sz w:val="22"/>
                <w:szCs w:val="22"/>
                <w:color w:val="auto"/>
              </w:rPr>
            </w:pPr>
          </w:p>
        </w:tc>
      </w:tr>
      <w:tr>
        <w:trPr>
          <w:trHeight w:val="257"/>
        </w:trPr>
        <w:tc>
          <w:tcPr>
            <w:tcW w:w="640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26,187</w:t>
            </w:r>
          </w:p>
        </w:tc>
        <w:tc>
          <w:tcPr>
            <w:tcW w:w="4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16,266</w:t>
            </w:r>
          </w:p>
        </w:tc>
        <w:tc>
          <w:tcPr>
            <w:tcW w:w="38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61 %</w:t>
            </w:r>
          </w:p>
        </w:tc>
      </w:tr>
      <w:tr>
        <w:trPr>
          <w:trHeight w:val="257"/>
        </w:trPr>
        <w:tc>
          <w:tcPr>
            <w:tcW w:w="6400" w:type="dxa"/>
            <w:vAlign w:val="bottom"/>
          </w:tcPr>
          <w:p>
            <w:pPr>
              <w:ind w:left="20"/>
              <w:spacing w:after="0" w:line="257"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(2)</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95 %</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96 %</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r>
      <w:tr>
        <w:trPr>
          <w:trHeight w:val="257"/>
        </w:trPr>
        <w:tc>
          <w:tcPr>
            <w:tcW w:w="640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4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67 %</w:t>
            </w:r>
          </w:p>
        </w:tc>
      </w:tr>
    </w:tbl>
    <w:p>
      <w:pPr>
        <w:spacing w:after="0" w:line="253" w:lineRule="exact"/>
        <w:rPr>
          <w:sz w:val="20"/>
          <w:szCs w:val="20"/>
          <w:color w:val="auto"/>
        </w:rPr>
      </w:pPr>
    </w:p>
    <w:p>
      <w:pPr>
        <w:ind w:left="340" w:right="120" w:hanging="332"/>
        <w:spacing w:after="0" w:line="34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shown for Active Buyers and Accounts with Last Twelve-Months Spend of at Least $50,000 are as of September 30, 2021 and 2020, and Percentage of Revenue from Existing Accounts is presented for the quarters ended September 30,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to Third Quarter 2021</w:t>
      </w:r>
    </w:p>
    <w:p>
      <w:pPr>
        <w:spacing w:after="0" w:line="222"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On November 1, 2021, the Company acquired certain assets and liabilities from Big Blue Saw LLC, subject to an Asset Purchase Agreement for total consideration of $2.5 million. The total consideration includes cash consideration at closing of $1.25 million, $250,000 of Class A common stock at closing and contingent consideration of $1.0 million.</w:t>
      </w:r>
    </w:p>
    <w:p>
      <w:pPr>
        <w:spacing w:after="0" w:line="78" w:lineRule="exact"/>
        <w:rPr>
          <w:sz w:val="20"/>
          <w:szCs w:val="20"/>
          <w:color w:val="auto"/>
        </w:rPr>
      </w:pPr>
    </w:p>
    <w:p>
      <w:pPr>
        <w:ind w:right="320"/>
        <w:spacing w:after="0" w:line="278" w:lineRule="auto"/>
        <w:rPr>
          <w:sz w:val="20"/>
          <w:szCs w:val="20"/>
          <w:color w:val="auto"/>
        </w:rPr>
      </w:pPr>
      <w:r>
        <w:rPr>
          <w:rFonts w:ascii="Arial" w:cs="Arial" w:eastAsia="Arial" w:hAnsi="Arial"/>
          <w:sz w:val="20"/>
          <w:szCs w:val="20"/>
          <w:color w:val="auto"/>
        </w:rPr>
        <w:t>On November 5, 2021, the Company acquired certain assets and liabilities from Fusiform, Inc. (dba FactoryFour), subject to an Asset Purchase Agreement for total consideration of $6.3 million. The total consideration includes cash consideration at closing of $1.9 million, $1.9 million of Class A common stock at closing and contingent consideration of $2.5 million.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Q4 2021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75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7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797"/>
              <w:spacing w:after="0"/>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24"/>
                <w:szCs w:val="2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High</w:t>
            </w:r>
          </w:p>
        </w:tc>
      </w:tr>
      <w:tr>
        <w:trPr>
          <w:trHeight w:val="26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Revenue</w:t>
            </w:r>
          </w:p>
        </w:tc>
        <w:tc>
          <w:tcPr>
            <w:tcW w:w="4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20"/>
                <w:szCs w:val="20"/>
                <w:color w:val="auto"/>
              </w:rPr>
              <w:t>60.0</w:t>
            </w:r>
          </w:p>
        </w:tc>
        <w:tc>
          <w:tcPr>
            <w:tcW w:w="540" w:type="dxa"/>
            <w:vAlign w:val="bottom"/>
            <w:tcBorders>
              <w:bottom w:val="single" w:sz="8" w:color="CFF0FC"/>
            </w:tcBorders>
            <w:shd w:val="clear" w:color="auto" w:fill="CFF0FC"/>
          </w:tcPr>
          <w:p>
            <w:pPr>
              <w:jc w:val="right"/>
              <w:ind w:right="22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0"/>
        </w:trPr>
        <w:tc>
          <w:tcPr>
            <w:tcW w:w="7520" w:type="dxa"/>
            <w:vAlign w:val="bottom"/>
          </w:tcPr>
          <w:p>
            <w:pPr>
              <w:ind w:left="20"/>
              <w:spacing w:after="0"/>
              <w:rPr>
                <w:sz w:val="20"/>
                <w:szCs w:val="20"/>
                <w:color w:val="auto"/>
              </w:rPr>
            </w:pPr>
            <w:r>
              <w:rPr>
                <w:rFonts w:ascii="Arial" w:cs="Arial" w:eastAsia="Arial" w:hAnsi="Arial"/>
                <w:sz w:val="20"/>
                <w:szCs w:val="20"/>
                <w:color w:val="auto"/>
              </w:rPr>
              <w:t>Adjusted EBITDA</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ind w:right="17"/>
              <w:spacing w:after="0"/>
              <w:rPr>
                <w:sz w:val="20"/>
                <w:szCs w:val="20"/>
                <w:color w:val="auto"/>
              </w:rPr>
            </w:pPr>
            <w:r>
              <w:rPr>
                <w:rFonts w:ascii="Arial" w:cs="Arial" w:eastAsia="Arial" w:hAnsi="Arial"/>
                <w:sz w:val="20"/>
                <w:szCs w:val="20"/>
                <w:color w:val="auto"/>
              </w:rPr>
              <w:t>(12.0 )</w:t>
            </w:r>
          </w:p>
        </w:tc>
        <w:tc>
          <w:tcPr>
            <w:tcW w:w="5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(11.0 )</w:t>
            </w:r>
          </w:p>
        </w:tc>
      </w:tr>
    </w:tbl>
    <w:p>
      <w:pPr>
        <w:spacing w:after="0" w:line="384" w:lineRule="exact"/>
        <w:rPr>
          <w:sz w:val="20"/>
          <w:szCs w:val="20"/>
          <w:color w:val="auto"/>
        </w:rPr>
      </w:pPr>
    </w:p>
    <w:p>
      <w:pPr>
        <w:ind w:left="960" w:right="300"/>
        <w:spacing w:after="0" w:line="316" w:lineRule="auto"/>
        <w:rPr>
          <w:sz w:val="20"/>
          <w:szCs w:val="20"/>
          <w:color w:val="auto"/>
        </w:rPr>
      </w:pPr>
      <w:r>
        <w:rPr>
          <w:rFonts w:ascii="Arial" w:cs="Arial" w:eastAsia="Arial" w:hAnsi="Arial"/>
          <w:sz w:val="19"/>
          <w:szCs w:val="19"/>
          <w:color w:val="auto"/>
        </w:rPr>
        <w:t>In 2020, one customer, that produces masks, accounted for approximately 10% of our revenue in Q4 2020. Excluding revenue from that one customer, growth is expected to be between 75%-80% for Q4 2021, as compared to Q4 2020.</w:t>
      </w:r>
    </w:p>
    <w:p>
      <w:pPr>
        <w:spacing w:after="0" w:line="46" w:lineRule="exact"/>
        <w:rPr>
          <w:sz w:val="20"/>
          <w:szCs w:val="20"/>
          <w:color w:val="auto"/>
        </w:rPr>
      </w:pPr>
    </w:p>
    <w:p>
      <w:pPr>
        <w:ind w:left="960" w:right="440"/>
        <w:spacing w:after="0" w:line="288" w:lineRule="auto"/>
        <w:rPr>
          <w:sz w:val="20"/>
          <w:szCs w:val="20"/>
          <w:color w:val="auto"/>
        </w:rPr>
      </w:pPr>
      <w:r>
        <w:rPr>
          <w:rFonts w:ascii="Arial" w:cs="Arial" w:eastAsia="Arial" w:hAnsi="Arial"/>
          <w:sz w:val="20"/>
          <w:szCs w:val="20"/>
          <w:color w:val="auto"/>
        </w:rPr>
        <w:t>The acquisitions of Big Blue Saw and FactoryFour are not expected to materially impact our Q4 2021 revenue and Adjusted EBITDA guidance.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41"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To supplement its consolidated financial statements, which are prepared and presented in accordance with generally accepted accounting principles in the United States of America (“GAAP”), Xometry, Inc. ("Xometry", the "Company", "we" or "our") uses Adjusted EBITDA, a non-GAAP financial measure, as described below. This non-GAAP financial measure is presented to enhance the user’s overall understanding of Xometry’s financial performance and should not be considered a substitute for, or superior to, the financial information prepared and presented in accordance with GAAP. The non-GAAP financial measure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this measure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this non-GAAP financial measure provides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200" w:lineRule="exact"/>
        <w:rPr>
          <w:sz w:val="20"/>
          <w:szCs w:val="20"/>
          <w:color w:val="auto"/>
        </w:rPr>
      </w:pPr>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use of non-GAAP financial measures has certain limitations because they do not reflect all items of income and expense, or cash flows, that affect the Company’s financial performance and operations. An additional limitation of non-GAAP financial measures is that they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Terms for our Key Metrics and Non-GAAP Financial Measures</w:t>
      </w:r>
    </w:p>
    <w:p>
      <w:pPr>
        <w:spacing w:after="0" w:line="243"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 xml:space="preserve">The Company defines </w:t>
      </w:r>
      <w:r>
        <w:rPr>
          <w:rFonts w:ascii="Arial" w:cs="Arial" w:eastAsia="Arial" w:hAnsi="Arial"/>
          <w:sz w:val="18"/>
          <w:szCs w:val="18"/>
          <w:b w:val="1"/>
          <w:bCs w:val="1"/>
          <w:color w:val="auto"/>
        </w:rPr>
        <w:t>Adjusted earnings before interest, taxes, depreciation and amortization (Adjusted EBITDA)</w:t>
      </w:r>
      <w:r>
        <w:rPr>
          <w:rFonts w:ascii="Arial" w:cs="Arial" w:eastAsia="Arial" w:hAnsi="Arial"/>
          <w:sz w:val="18"/>
          <w:szCs w:val="18"/>
          <w:color w:val="auto"/>
        </w:rPr>
        <w:t xml:space="preserve"> as net income (loss) excluding interest income (expense), income tax (expense) benefit, and certain other non-cash or non-recurring items impacting net loss from time to time, principally comprised of depreciation and amortization, stock-based compensation, charitable contributions and impairment charges. Management believes that the exclusion of certain expenses and gains in calculating Adjusted EBITDA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64" w:lineRule="exact"/>
        <w:rPr>
          <w:sz w:val="20"/>
          <w:szCs w:val="20"/>
          <w:color w:val="auto"/>
        </w:rPr>
      </w:pPr>
    </w:p>
    <w:p>
      <w:pPr>
        <w:jc w:val="both"/>
        <w:ind w:right="80"/>
        <w:spacing w:after="0" w:line="281"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 assemblies on our</w:t>
      </w:r>
      <w:r>
        <w:rPr>
          <w:rFonts w:ascii="Arial" w:cs="Arial" w:eastAsia="Arial" w:hAnsi="Arial"/>
          <w:sz w:val="20"/>
          <w:szCs w:val="20"/>
          <w:b w:val="1"/>
          <w:bCs w:val="1"/>
          <w:color w:val="auto"/>
        </w:rPr>
        <w:t xml:space="preserve"> </w:t>
      </w:r>
      <w:r>
        <w:rPr>
          <w:rFonts w:ascii="Arial" w:cs="Arial" w:eastAsia="Arial" w:hAnsi="Arial"/>
          <w:sz w:val="20"/>
          <w:szCs w:val="20"/>
          <w:color w:val="auto"/>
        </w:rPr>
        <w:t>platform. The Company defines Active Buyers as the number of buyers who have made at least one purchase on our marketplace during the last twelve months.</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“accounts” as an individual entity, such as a sole proprietor with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buyer or corporate entities with multiple buyers, having purchased at least one part on our marketplace. The Company defines an existing account as an account where at least one buyer has made a purchase on our marketplace.</w:t>
      </w:r>
    </w:p>
    <w:p>
      <w:pPr>
        <w:spacing w:after="0" w:line="161" w:lineRule="exact"/>
        <w:rPr>
          <w:sz w:val="20"/>
          <w:szCs w:val="20"/>
          <w:color w:val="auto"/>
        </w:rPr>
      </w:pPr>
    </w:p>
    <w:p>
      <w:pPr>
        <w:ind w:right="380"/>
        <w:spacing w:after="0" w:line="354" w:lineRule="auto"/>
        <w:rPr>
          <w:sz w:val="20"/>
          <w:szCs w:val="20"/>
          <w:color w:val="auto"/>
        </w:rPr>
      </w:pPr>
      <w:r>
        <w:rPr>
          <w:rFonts w:ascii="Arial" w:cs="Arial" w:eastAsia="Arial" w:hAnsi="Arial"/>
          <w:sz w:val="18"/>
          <w:szCs w:val="18"/>
          <w:b w:val="1"/>
          <w:bCs w:val="1"/>
          <w:color w:val="auto"/>
        </w:rPr>
        <w:t xml:space="preserve">Accounts with Last Twelve-Month Spend of At Least $50,000: </w:t>
      </w:r>
      <w:r>
        <w:rPr>
          <w:rFonts w:ascii="Arial" w:cs="Arial" w:eastAsia="Arial" w:hAnsi="Arial"/>
          <w:sz w:val="18"/>
          <w:szCs w:val="18"/>
          <w:color w:val="auto"/>
        </w:rPr>
        <w:t>The Company defines Accounts with Last Twelve-Month Spend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$50,000 as an account that has spent at least $50,000 on our marketplace in the most recent twelve-month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Xometry</w:t>
      </w:r>
    </w:p>
    <w:p>
      <w:pPr>
        <w:spacing w:after="0" w:line="249" w:lineRule="exact"/>
        <w:rPr>
          <w:sz w:val="20"/>
          <w:szCs w:val="20"/>
          <w:color w:val="auto"/>
        </w:rPr>
      </w:pPr>
    </w:p>
    <w:p>
      <w:pPr>
        <w:ind w:right="140"/>
        <w:spacing w:after="0" w:line="293" w:lineRule="auto"/>
        <w:rPr>
          <w:sz w:val="20"/>
          <w:szCs w:val="20"/>
          <w:color w:val="auto"/>
        </w:rPr>
      </w:pPr>
      <w:r>
        <w:rPr>
          <w:rFonts w:ascii="Arial" w:cs="Arial" w:eastAsia="Arial" w:hAnsi="Arial"/>
          <w:sz w:val="19"/>
          <w:szCs w:val="19"/>
          <w:color w:val="auto"/>
        </w:rPr>
        <w:t>Xometry, Inc. (NASDAQ: XMTR) is a leading AI-enabled marketplace for on demand manufacturing, transforming one of the largest industries in the world. Xometry uses its proprietary technology to create a marketplace that enables buyers to efficiently source on-demand manufactured parts and assemblies, and empowers sellers of manufacturing services to grow their businesses. Xometry's buyers range from self-funded startups to Fortune 100 companies. Learn more at www.xometry.com or follow @xometry.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9"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The Company will discuss its third quarter and year to date financial results during a teleconference on 11/10/2021, at 5:00 PM EST/2:00 PM PT. The conference call can be accessed in the U.S. at 877-313-2061 or outside the U.S. at 470-495-9537 with the conference ID# 8195399. A live audio webcast of the call will also be available simultaneously at investors.xometry.com. Following completion of the call, a recorded replay of the teleconference will be available in the investor relations section of Xometry's website. The earnings webcast presentation will be archived within the Investor Relations section of Xometry's website.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33"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and full year 2021, and demand for our marketplace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Quarterly Report on Form 10-Q for the period ended September 30, 2021.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(Tables Follow)</w:t>
      </w:r>
    </w:p>
    <w:p>
      <w:pPr>
        <w:spacing w:after="0" w:line="25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8"/>
          <w:szCs w:val="18"/>
          <w:b w:val="1"/>
          <w:bCs w:val="1"/>
          <w:color w:val="auto"/>
        </w:rPr>
        <w:t>Media Contact:</w:t>
      </w:r>
    </w:p>
    <w:p>
      <w:pPr>
        <w:sectPr>
          <w:pgSz w:w="11900" w:h="16838" w:orient="portrait"/>
          <w:cols w:equalWidth="0" w:num="1">
            <w:col w:w="11220"/>
          </w:cols>
          <w:pgMar w:left="320" w:top="576" w:right="359" w:bottom="1440" w:gutter="0" w:footer="0" w:header="0"/>
        </w:sect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VP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240-335-8132</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shawn.milne@xometry.com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Ted Weismann</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fama PR for Xometry</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617-396-7740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xometry@famapr.com</w:t>
      </w:r>
    </w:p>
    <w:p>
      <w:pPr>
        <w:spacing w:after="0" w:line="200" w:lineRule="exact"/>
        <w:rPr>
          <w:sz w:val="20"/>
          <w:szCs w:val="20"/>
          <w:color w:val="auto"/>
        </w:rPr>
      </w:pPr>
    </w:p>
    <w:p>
      <w:pPr>
        <w:sectPr>
          <w:pgSz w:w="11900" w:h="16838" w:orient="portrait"/>
          <w:cols w:equalWidth="0" w:num="2">
            <w:col w:w="4920" w:space="720"/>
            <w:col w:w="5580"/>
          </w:cols>
          <w:pgMar w:left="320" w:top="576"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Unaudited Condensed Consolidated Balance Sheets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(In thousands, except share and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266,739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9"/>
              </w:rPr>
              <w:t>Accounts receivable, less allowance for doubtful accounts of $0.7 million as of September 30, 2021 and $0.6 million as of</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2020, respectively</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25,157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4,988</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356,089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77,655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3,101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Goodwill</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370,297</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17,487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Short-term debt</w:t>
            </w: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15,753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2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27,177</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29,374</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39,499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680" w:type="dxa"/>
            <w:vAlign w:val="bottom"/>
          </w:tcPr>
          <w:p>
            <w:pPr>
              <w:ind w:left="200"/>
              <w:spacing w:after="0"/>
              <w:rPr>
                <w:sz w:val="20"/>
                <w:szCs w:val="20"/>
                <w:color w:val="auto"/>
              </w:rPr>
            </w:pPr>
            <w:r>
              <w:rPr>
                <w:rFonts w:ascii="Arial" w:cs="Arial" w:eastAsia="Arial" w:hAnsi="Arial"/>
                <w:sz w:val="14"/>
                <w:szCs w:val="14"/>
                <w:color w:val="auto"/>
                <w:w w:val="97"/>
              </w:rPr>
              <w:t>Convertible preferred stock, $0.000001 par value, Seed-1, Seed-2, Series A-1, Series A-2, Series B, Series C, Series D and</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w w:val="97"/>
              </w:rPr>
              <w:t>Series E. Authorized; zero shares and 27,970,966 shares, zero shares and 27,758,941 shares issued and outstanding as of</w:t>
            </w:r>
          </w:p>
        </w:tc>
        <w:tc>
          <w:tcPr>
            <w:tcW w:w="260" w:type="dxa"/>
            <w:vAlign w:val="bottom"/>
          </w:tcPr>
          <w:p>
            <w:pPr>
              <w:spacing w:after="0"/>
              <w:rPr>
                <w:sz w:val="15"/>
                <w:szCs w:val="15"/>
                <w:color w:val="auto"/>
              </w:rPr>
            </w:pP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160,713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4"/>
                <w:szCs w:val="14"/>
                <w:color w:val="auto"/>
              </w:rPr>
              <w:t>September 30, 2021 and December 31, 2020, respectively</w:t>
            </w:r>
          </w:p>
        </w:tc>
        <w:tc>
          <w:tcPr>
            <w:tcW w:w="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2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80" w:type="dxa"/>
            <w:vAlign w:val="bottom"/>
          </w:tcPr>
          <w:p>
            <w:pPr>
              <w:ind w:left="200"/>
              <w:spacing w:after="0"/>
              <w:rPr>
                <w:sz w:val="20"/>
                <w:szCs w:val="20"/>
                <w:color w:val="auto"/>
              </w:rPr>
            </w:pPr>
            <w:r>
              <w:rPr>
                <w:rFonts w:ascii="Arial" w:cs="Arial" w:eastAsia="Arial" w:hAnsi="Arial"/>
                <w:sz w:val="14"/>
                <w:szCs w:val="14"/>
                <w:color w:val="auto"/>
                <w:w w:val="93"/>
              </w:rPr>
              <w:t>Preferred stock, $0.000001 par value. Authorized; 50,000,000 shares and zero shares; zero shares issued and outstanding as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200"/>
              <w:spacing w:after="0"/>
              <w:rPr>
                <w:sz w:val="20"/>
                <w:szCs w:val="20"/>
                <w:color w:val="auto"/>
              </w:rPr>
            </w:pPr>
            <w:r>
              <w:rPr>
                <w:rFonts w:ascii="Arial" w:cs="Arial" w:eastAsia="Arial" w:hAnsi="Arial"/>
                <w:sz w:val="14"/>
                <w:szCs w:val="14"/>
                <w:color w:val="auto"/>
              </w:rPr>
              <w:t>September 30, 2021 and December 31, 2020, respectively</w:t>
            </w:r>
          </w:p>
        </w:tc>
        <w:tc>
          <w:tcPr>
            <w:tcW w:w="260" w:type="dxa"/>
            <w:vAlign w:val="bottom"/>
          </w:tcPr>
          <w:p>
            <w:pPr>
              <w:spacing w:after="0"/>
              <w:rPr>
                <w:sz w:val="16"/>
                <w:szCs w:val="16"/>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3"/>
              </w:rPr>
              <w:t>Common stock, $0.000001 par value. Authorized; zero shares and 42,000,000 shares; zero shares and 7,755,782 shares issued</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and outstanding as of September 30, 2021 and December 31, 2020, respectively</w:t>
            </w:r>
          </w:p>
        </w:tc>
        <w:tc>
          <w:tcPr>
            <w:tcW w:w="26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680" w:type="dxa"/>
            <w:vAlign w:val="bottom"/>
          </w:tcPr>
          <w:p>
            <w:pPr>
              <w:ind w:left="200"/>
              <w:spacing w:after="0"/>
              <w:rPr>
                <w:sz w:val="20"/>
                <w:szCs w:val="20"/>
                <w:color w:val="auto"/>
              </w:rPr>
            </w:pPr>
            <w:r>
              <w:rPr>
                <w:rFonts w:ascii="Arial" w:cs="Arial" w:eastAsia="Arial" w:hAnsi="Arial"/>
                <w:sz w:val="14"/>
                <w:szCs w:val="14"/>
                <w:color w:val="auto"/>
              </w:rPr>
              <w:t>Class A Common stock, $0.000001 par value. Authorized; 750,000,000 shares and zero shares</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240"/>
              <w:spacing w:after="0"/>
              <w:rPr>
                <w:sz w:val="20"/>
                <w:szCs w:val="20"/>
                <w:color w:val="auto"/>
              </w:rPr>
            </w:pPr>
            <w:r>
              <w:rPr>
                <w:rFonts w:ascii="Arial" w:cs="Arial" w:eastAsia="Arial" w:hAnsi="Arial"/>
                <w:sz w:val="14"/>
                <w:szCs w:val="14"/>
                <w:color w:val="auto"/>
                <w:w w:val="96"/>
              </w:rPr>
              <w:t>41,714,711 shares and zero shares issued and outstanding as of September 30, 2021 and December 31, 2020, respectively</w:t>
            </w:r>
          </w:p>
        </w:tc>
        <w:tc>
          <w:tcPr>
            <w:tcW w:w="260" w:type="dxa"/>
            <w:vAlign w:val="bottom"/>
          </w:tcPr>
          <w:p>
            <w:pPr>
              <w:spacing w:after="0"/>
              <w:rPr>
                <w:sz w:val="16"/>
                <w:szCs w:val="16"/>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3"/>
              </w:rPr>
              <w:t>Class B Common stock, $0.000001 par value. Authorized; 5,000,000 shares and zero shares, 2,676,154 shares and zero shares</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issued and outstanding as of September 30, 2021 and December 31, 2020, respectively</w:t>
            </w:r>
          </w:p>
        </w:tc>
        <w:tc>
          <w:tcPr>
            <w:tcW w:w="26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490,175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(149,438 )</w:t>
            </w:r>
          </w:p>
        </w:tc>
        <w:tc>
          <w:tcPr>
            <w:tcW w:w="26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(111,962 )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stockholders’ equity (deficit)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340,923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(111,249 )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370,297</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88,963</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-4762500</wp:posOffset>
            </wp:positionV>
            <wp:extent cx="1631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-4762500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-3982720</wp:posOffset>
            </wp:positionV>
            <wp:extent cx="1631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-3982720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-2388235</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-2388235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56,727</w:t>
            </w:r>
          </w:p>
        </w:tc>
        <w:tc>
          <w:tcPr>
            <w:tcW w:w="24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41,953</w:t>
            </w:r>
          </w:p>
        </w:tc>
        <w:tc>
          <w:tcPr>
            <w:tcW w:w="22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151,238</w:t>
            </w:r>
          </w:p>
        </w:tc>
        <w:tc>
          <w:tcPr>
            <w:tcW w:w="220" w:type="dxa"/>
            <w:vAlign w:val="bottom"/>
            <w:shd w:val="clear" w:color="auto" w:fill="CFF0FC"/>
          </w:tcPr>
          <w:p>
            <w:pPr>
              <w:spacing w:after="0"/>
              <w:rPr>
                <w:sz w:val="16"/>
                <w:szCs w:val="16"/>
                <w:color w:val="auto"/>
              </w:rPr>
            </w:pPr>
          </w:p>
        </w:tc>
        <w:tc>
          <w:tcPr>
            <w:tcW w:w="440" w:type="dxa"/>
            <w:vAlign w:val="bottom"/>
            <w:vMerge w:val="restart"/>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103,425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60" w:type="dxa"/>
            <w:vAlign w:val="bottom"/>
            <w:vMerge w:val="continue"/>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40" w:type="dxa"/>
            <w:vAlign w:val="bottom"/>
            <w:vMerge w:val="continue"/>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42,233</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115,033</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14,494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10,175</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36,205</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23,806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9,828</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5,986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26,250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5,775</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3,671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15,594</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4,376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3,003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12,131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8,778</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3,282</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18,343</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8,792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28,757</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72,318</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(14,263 )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(5,767 )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(36,113 )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(19,845 )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Other (expenses) income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(79 )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(309 )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(799 )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(939 )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Interest and dividend income</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(786 )</w:t>
            </w:r>
          </w:p>
        </w:tc>
        <w:tc>
          <w:tcPr>
            <w:tcW w:w="4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(109 )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(1,021 )</w:t>
            </w:r>
          </w:p>
        </w:tc>
        <w:tc>
          <w:tcPr>
            <w:tcW w:w="4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(340 )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4"/>
                <w:szCs w:val="14"/>
                <w:color w:val="auto"/>
              </w:rPr>
              <w:t>Total other expenses</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(448 )</w:t>
            </w: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(416 )</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(1,363 )</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(1,064 )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(6,183 )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(20,909 )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4"/>
                <w:szCs w:val="14"/>
                <w:color w:val="auto"/>
              </w:rPr>
              <w:t>Deemed dividend to preferred stockholders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(8,801 )</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(8,801 )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(14,984 )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(29,710 )</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(0.33 )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(1.99 )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(1.87 )</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number of shares outstanding used to compute</w:t>
            </w: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43,962,863</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7,546,458</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20,092,600</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7,458,671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40" w:type="dxa"/>
            <w:vAlign w:val="bottom"/>
            <w:tcBorders>
              <w:bottom w:val="single" w:sz="8" w:color="CFF0FC"/>
            </w:tcBorders>
            <w:shd w:val="clear" w:color="auto" w:fill="CFF0FC"/>
          </w:tcPr>
          <w:p>
            <w:pPr>
              <w:jc w:val="right"/>
              <w:ind w:right="2988"/>
              <w:spacing w:after="0" w:line="154" w:lineRule="exact"/>
              <w:rPr>
                <w:sz w:val="20"/>
                <w:szCs w:val="20"/>
                <w:color w:val="auto"/>
              </w:rPr>
            </w:pPr>
            <w:r>
              <w:rPr>
                <w:rFonts w:ascii="Arial" w:cs="Arial" w:eastAsia="Arial" w:hAnsi="Arial"/>
                <w:sz w:val="14"/>
                <w:szCs w:val="14"/>
                <w:color w:val="auto"/>
                <w:w w:val="96"/>
              </w:rPr>
              <w:t>net loss per share, basic and diluted</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84"/>
        </w:trPr>
        <w:tc>
          <w:tcPr>
            <w:tcW w:w="524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(65 )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(24 )</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Pr>
          <w:p>
            <w:pPr>
              <w:jc w:val="right"/>
              <w:ind w:right="2988"/>
              <w:spacing w:after="0"/>
              <w:rPr>
                <w:sz w:val="20"/>
                <w:szCs w:val="20"/>
                <w:color w:val="auto"/>
              </w:rPr>
            </w:pPr>
            <w:r>
              <w:rPr>
                <w:rFonts w:ascii="Arial" w:cs="Arial" w:eastAsia="Arial" w:hAnsi="Arial"/>
                <w:sz w:val="14"/>
                <w:szCs w:val="14"/>
                <w:color w:val="auto"/>
              </w:rPr>
              <w:t>Total other comprehensive loss</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(41 )</w:t>
            </w: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(65 )</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(24 )</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(6,183 )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(20,909 )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(14,752 )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(6,248 )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(37,500 )</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(21,001 )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-3828415</wp:posOffset>
            </wp:positionV>
            <wp:extent cx="1454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-3828415</wp:posOffset>
            </wp:positionV>
            <wp:extent cx="1371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-3828415</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-3828415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-3176905</wp:posOffset>
            </wp:positionV>
            <wp:extent cx="1454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-3176905</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-3176905</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-3176905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-2199640</wp:posOffset>
            </wp:positionV>
            <wp:extent cx="1454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-2199640</wp:posOffset>
            </wp:positionV>
            <wp:extent cx="1371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-2199640</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-2199640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-1567815</wp:posOffset>
            </wp:positionV>
            <wp:extent cx="145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-1550670</wp:posOffset>
            </wp:positionV>
            <wp:extent cx="145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-1567815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-1550670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-1567815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-1550670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-1567815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-1550670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-1165225</wp:posOffset>
            </wp:positionV>
            <wp:extent cx="145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-1148080</wp:posOffset>
            </wp:positionV>
            <wp:extent cx="145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-1165225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-1148080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-1165225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-1148080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-1165225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-493395</wp:posOffset>
            </wp:positionV>
            <wp:extent cx="1454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-493395</wp:posOffset>
            </wp:positionV>
            <wp:extent cx="1371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-493395</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-493395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-167640</wp:posOffset>
            </wp:positionV>
            <wp:extent cx="1454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-167640</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-167640</wp:posOffset>
            </wp:positionV>
            <wp:extent cx="1371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-167640</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34"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17145</wp:posOffset>
            </wp:positionV>
            <wp:extent cx="2272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(37,476 )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(20,909 )</w:t>
            </w: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2,304</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2,256</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380"/>
              <w:spacing w:after="0"/>
              <w:rPr>
                <w:sz w:val="20"/>
                <w:szCs w:val="20"/>
                <w:color w:val="auto"/>
              </w:rPr>
            </w:pPr>
            <w:r>
              <w:rPr>
                <w:rFonts w:ascii="Arial" w:cs="Arial" w:eastAsia="Arial" w:hAnsi="Arial"/>
                <w:sz w:val="14"/>
                <w:szCs w:val="14"/>
                <w:color w:val="auto"/>
              </w:rPr>
              <w:t>Stock based compensation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4,747</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679</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interest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380"/>
              <w:spacing w:after="0"/>
              <w:rPr>
                <w:sz w:val="20"/>
                <w:szCs w:val="20"/>
                <w:color w:val="auto"/>
              </w:rPr>
            </w:pPr>
            <w:r>
              <w:rPr>
                <w:rFonts w:ascii="Arial" w:cs="Arial" w:eastAsia="Arial" w:hAnsi="Arial"/>
                <w:sz w:val="14"/>
                <w:szCs w:val="14"/>
                <w:color w:val="auto"/>
              </w:rPr>
              <w:t>Loss on debt extinguishment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Donation of common stock</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239</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(10,645 )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(4,381 )</w:t>
            </w: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(618 )</w:t>
            </w: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(4,080 )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(544 )</w:t>
            </w: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(400 )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(3,142 )</w:t>
            </w: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3,931</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8,100</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7"/>
                <w:szCs w:val="17"/>
                <w:color w:val="auto"/>
              </w:rPr>
            </w:pPr>
          </w:p>
        </w:tc>
      </w:tr>
      <w:tr>
        <w:trPr>
          <w:trHeight w:val="203"/>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(917 )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(720 )</w:t>
            </w:r>
          </w:p>
        </w:tc>
      </w:tr>
      <w:tr>
        <w:trPr>
          <w:trHeight w:val="20"/>
        </w:trPr>
        <w:tc>
          <w:tcPr>
            <w:tcW w:w="75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(37,370 )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(17,145 )</w:t>
            </w: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Purchase of marketable securities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(266,978 )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short-term investments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(17,711 )</w:t>
            </w: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short-term investments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28,571</w:t>
            </w:r>
          </w:p>
        </w:tc>
        <w:tc>
          <w:tcPr>
            <w:tcW w:w="8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(4,625 )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(2,888 )</w:t>
            </w:r>
          </w:p>
        </w:tc>
      </w:tr>
      <w:tr>
        <w:trPr>
          <w:trHeight w:val="20"/>
        </w:trPr>
        <w:tc>
          <w:tcPr>
            <w:tcW w:w="75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(271,603 )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7,972</w:t>
            </w:r>
          </w:p>
        </w:tc>
        <w:tc>
          <w:tcPr>
            <w:tcW w:w="80" w:type="dxa"/>
            <w:vAlign w:val="bottom"/>
          </w:tcPr>
          <w:p>
            <w:pPr>
              <w:spacing w:after="0"/>
              <w:rPr>
                <w:sz w:val="17"/>
                <w:szCs w:val="17"/>
                <w:color w:val="auto"/>
              </w:rPr>
            </w:pP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4"/>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issuance of Series A-2, Series B, Series C, Series D and Series E convertible preferred stock, net of</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8"/>
        </w:trPr>
        <w:tc>
          <w:tcPr>
            <w:tcW w:w="7580" w:type="dxa"/>
            <w:vAlign w:val="bottom"/>
          </w:tcPr>
          <w:p>
            <w:pPr>
              <w:ind w:left="200"/>
              <w:spacing w:after="0"/>
              <w:rPr>
                <w:sz w:val="20"/>
                <w:szCs w:val="20"/>
                <w:color w:val="auto"/>
              </w:rPr>
            </w:pPr>
            <w:r>
              <w:rPr>
                <w:rFonts w:ascii="Arial" w:cs="Arial" w:eastAsia="Arial" w:hAnsi="Arial"/>
                <w:sz w:val="14"/>
                <w:szCs w:val="14"/>
                <w:color w:val="auto"/>
              </w:rPr>
              <w:t>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52,409</w:t>
            </w:r>
          </w:p>
        </w:tc>
        <w:tc>
          <w:tcPr>
            <w:tcW w:w="80" w:type="dxa"/>
            <w:vAlign w:val="bottom"/>
          </w:tcPr>
          <w:p>
            <w:pPr>
              <w:spacing w:after="0"/>
              <w:rPr>
                <w:sz w:val="16"/>
                <w:szCs w:val="16"/>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Series A-2, Series B, Series C and Series D convertible preferred stock</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(12,852 )</w:t>
            </w: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Deemed dividend to preferred stockholders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(8,801 )</w:t>
            </w: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(3,995 )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term loan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term loan</w:t>
            </w:r>
          </w:p>
        </w:tc>
        <w:tc>
          <w:tcPr>
            <w:tcW w:w="9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(16,136 )</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other borrowings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4,783</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other borrowings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(4,783 )</w:t>
            </w: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(9 )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(9 )</w:t>
            </w:r>
          </w:p>
        </w:tc>
      </w:tr>
      <w:tr>
        <w:trPr>
          <w:trHeight w:val="196"/>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306,910</w:t>
            </w:r>
          </w:p>
        </w:tc>
        <w:tc>
          <w:tcPr>
            <w:tcW w:w="5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35,152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(33 )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(9 )</w:t>
            </w:r>
          </w:p>
        </w:tc>
      </w:tr>
      <w:tr>
        <w:trPr>
          <w:trHeight w:val="20"/>
        </w:trPr>
        <w:tc>
          <w:tcPr>
            <w:tcW w:w="7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(2,096 )</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25,970</w:t>
            </w:r>
          </w:p>
        </w:tc>
        <w:tc>
          <w:tcPr>
            <w:tcW w:w="80" w:type="dxa"/>
            <w:vAlign w:val="bottom"/>
            <w:shd w:val="clear" w:color="auto" w:fill="CFF0FC"/>
          </w:tcPr>
          <w:p>
            <w:pPr>
              <w:spacing w:after="0"/>
              <w:rPr>
                <w:sz w:val="17"/>
                <w:szCs w:val="17"/>
                <w:color w:val="auto"/>
              </w:rPr>
            </w:pPr>
          </w:p>
        </w:tc>
      </w:tr>
      <w:tr>
        <w:trPr>
          <w:trHeight w:val="196"/>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40,122</w:t>
            </w:r>
          </w:p>
        </w:tc>
        <w:tc>
          <w:tcPr>
            <w:tcW w:w="8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57,778</w:t>
            </w:r>
          </w:p>
        </w:tc>
        <w:tc>
          <w:tcPr>
            <w:tcW w:w="5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66,092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activity:</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(19 )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-3802380</wp:posOffset>
            </wp:positionV>
            <wp:extent cx="3175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-3802380</wp:posOffset>
            </wp:positionV>
            <wp:extent cx="514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-3013710</wp:posOffset>
            </wp:positionV>
            <wp:extent cx="3175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-3013710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-1076325</wp:posOffset>
            </wp:positionV>
            <wp:extent cx="3175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-1076325</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-539115</wp:posOffset>
            </wp:positionV>
            <wp:extent cx="317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-521970</wp:posOffset>
            </wp:positionV>
            <wp:extent cx="317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-539115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-521970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Reconciliations of Non-GAAP Financial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63"/>
        </w:trPr>
        <w:tc>
          <w:tcPr>
            <w:tcW w:w="20" w:type="dxa"/>
            <w:vAlign w:val="bottom"/>
            <w:shd w:val="clear" w:color="auto" w:fill="CFF0FC"/>
          </w:tcPr>
          <w:p>
            <w:pPr>
              <w:spacing w:after="0"/>
              <w:rPr>
                <w:sz w:val="22"/>
                <w:szCs w:val="22"/>
                <w:color w:val="auto"/>
              </w:rPr>
            </w:pPr>
          </w:p>
        </w:tc>
        <w:tc>
          <w:tcPr>
            <w:tcW w:w="5720" w:type="dxa"/>
            <w:vAlign w:val="bottom"/>
            <w:gridSpan w:val="2"/>
            <w:shd w:val="clear" w:color="auto" w:fill="CFF0FC"/>
          </w:tcPr>
          <w:p>
            <w:pPr>
              <w:spacing w:after="0" w:line="215" w:lineRule="exact"/>
              <w:rPr>
                <w:sz w:val="20"/>
                <w:szCs w:val="20"/>
                <w:color w:val="auto"/>
              </w:rPr>
            </w:pPr>
            <w:r>
              <w:rPr>
                <w:rFonts w:ascii="Arial" w:cs="Arial" w:eastAsia="Arial" w:hAnsi="Arial"/>
                <w:sz w:val="20"/>
                <w:szCs w:val="20"/>
                <w:b w:val="1"/>
                <w:bCs w:val="1"/>
                <w:color w:val="auto"/>
              </w:rPr>
              <w:t>Adjusted EBITDA:</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61"/>
        </w:trPr>
        <w:tc>
          <w:tcPr>
            <w:tcW w:w="20" w:type="dxa"/>
            <w:vAlign w:val="bottom"/>
            <w:tcBorders>
              <w:top w:val="single" w:sz="8" w:color="CFF0FC"/>
            </w:tcBorders>
          </w:tcPr>
          <w:p>
            <w:pPr>
              <w:spacing w:after="0"/>
              <w:rPr>
                <w:sz w:val="22"/>
                <w:szCs w:val="22"/>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Net loss</w:t>
            </w:r>
          </w:p>
        </w:tc>
        <w:tc>
          <w:tcPr>
            <w:tcW w:w="4080" w:type="dxa"/>
            <w:vAlign w:val="bottom"/>
            <w:tcBorders>
              <w:top w:val="single" w:sz="8" w:color="CFF0FC"/>
            </w:tcBorders>
          </w:tcPr>
          <w:p>
            <w:pPr>
              <w:spacing w:after="0"/>
              <w:rPr>
                <w:sz w:val="22"/>
                <w:szCs w:val="22"/>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20"/>
                <w:szCs w:val="20"/>
                <w:color w:val="auto"/>
              </w:rPr>
              <w:t>(14,711 )</w:t>
            </w:r>
          </w:p>
        </w:tc>
        <w:tc>
          <w:tcPr>
            <w:tcW w:w="280" w:type="dxa"/>
            <w:vAlign w:val="bottom"/>
            <w:tcBorders>
              <w:top w:val="single" w:sz="8" w:color="CFF0FC"/>
            </w:tcBorders>
          </w:tcPr>
          <w:p>
            <w:pPr>
              <w:jc w:val="right"/>
              <w:ind w:right="8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20"/>
                <w:szCs w:val="20"/>
                <w:color w:val="auto"/>
              </w:rPr>
              <w:t>(6,183 )</w:t>
            </w: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20"/>
                <w:szCs w:val="20"/>
                <w:color w:val="auto"/>
              </w:rPr>
              <w:t>(37,476 )</w:t>
            </w:r>
          </w:p>
        </w:tc>
        <w:tc>
          <w:tcPr>
            <w:tcW w:w="280" w:type="dxa"/>
            <w:vAlign w:val="bottom"/>
            <w:tcBorders>
              <w:top w:val="single" w:sz="8" w:color="CFF0FC"/>
            </w:tcBorders>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20"/>
                <w:szCs w:val="20"/>
                <w:color w:val="auto"/>
              </w:rPr>
              <w:t>(20,909 )</w:t>
            </w:r>
          </w:p>
        </w:tc>
      </w:tr>
      <w:tr>
        <w:trPr>
          <w:trHeight w:val="2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57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20"/>
                <w:szCs w:val="20"/>
                <w:color w:val="auto"/>
              </w:rPr>
              <w:t>Add (deduct):</w:t>
            </w:r>
          </w:p>
        </w:tc>
        <w:tc>
          <w:tcPr>
            <w:tcW w:w="16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544"/>
        </w:trPr>
        <w:tc>
          <w:tcPr>
            <w:tcW w:w="5740" w:type="dxa"/>
            <w:vAlign w:val="bottom"/>
            <w:gridSpan w:val="3"/>
          </w:tcPr>
          <w:p>
            <w:pPr>
              <w:ind w:left="20"/>
              <w:spacing w:after="0"/>
              <w:rPr>
                <w:sz w:val="20"/>
                <w:szCs w:val="20"/>
                <w:color w:val="auto"/>
              </w:rPr>
            </w:pPr>
            <w:r>
              <w:rPr>
                <w:rFonts w:ascii="Arial" w:cs="Arial" w:eastAsia="Arial" w:hAnsi="Arial"/>
                <w:sz w:val="20"/>
                <w:szCs w:val="20"/>
                <w:color w:val="auto"/>
                <w:w w:val="97"/>
              </w:rPr>
              <w:t>Interest expense, interest and dividend income and other expense</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1,363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1,064</w:t>
            </w:r>
          </w:p>
        </w:tc>
        <w:tc>
          <w:tcPr>
            <w:tcW w:w="1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3"/>
        </w:trPr>
        <w:tc>
          <w:tcPr>
            <w:tcW w:w="5740" w:type="dxa"/>
            <w:vAlign w:val="bottom"/>
            <w:gridSpan w:val="3"/>
            <w:shd w:val="clear" w:color="auto" w:fill="CFF0FC"/>
          </w:tcPr>
          <w:p>
            <w:pPr>
              <w:ind w:left="20"/>
              <w:spacing w:after="0" w:line="283" w:lineRule="exact"/>
              <w:rPr>
                <w:sz w:val="20"/>
                <w:szCs w:val="20"/>
                <w:color w:val="auto"/>
              </w:rPr>
            </w:pPr>
            <w:r>
              <w:rPr>
                <w:rFonts w:ascii="Arial" w:cs="Arial" w:eastAsia="Arial" w:hAnsi="Arial"/>
                <w:sz w:val="20"/>
                <w:szCs w:val="20"/>
                <w:color w:val="auto"/>
              </w:rPr>
              <w:t>Depreciation and amortization</w:t>
            </w:r>
            <w:r>
              <w:rPr>
                <w:rFonts w:ascii="Arial" w:cs="Arial" w:eastAsia="Arial" w:hAnsi="Arial"/>
                <w:sz w:val="26"/>
                <w:szCs w:val="26"/>
                <w:color w:val="auto"/>
                <w:vertAlign w:val="superscript"/>
              </w:rPr>
              <w:t>(1)</w:t>
            </w:r>
          </w:p>
        </w:tc>
        <w:tc>
          <w:tcPr>
            <w:tcW w:w="16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816</w:t>
            </w:r>
          </w:p>
        </w:tc>
        <w:tc>
          <w:tcPr>
            <w:tcW w:w="2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869</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2,304</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2,256</w:t>
            </w:r>
          </w:p>
        </w:tc>
        <w:tc>
          <w:tcPr>
            <w:tcW w:w="100" w:type="dxa"/>
            <w:vAlign w:val="bottom"/>
            <w:shd w:val="clear" w:color="auto" w:fill="CFF0FC"/>
          </w:tcPr>
          <w:p>
            <w:pPr>
              <w:spacing w:after="0"/>
              <w:rPr>
                <w:sz w:val="24"/>
                <w:szCs w:val="24"/>
                <w:color w:val="auto"/>
              </w:rPr>
            </w:pPr>
          </w:p>
        </w:tc>
      </w:tr>
      <w:tr>
        <w:trPr>
          <w:trHeight w:val="261"/>
        </w:trPr>
        <w:tc>
          <w:tcPr>
            <w:tcW w:w="5740" w:type="dxa"/>
            <w:vAlign w:val="bottom"/>
            <w:gridSpan w:val="3"/>
          </w:tcPr>
          <w:p>
            <w:pPr>
              <w:ind w:left="20"/>
              <w:spacing w:after="0"/>
              <w:rPr>
                <w:sz w:val="20"/>
                <w:szCs w:val="20"/>
                <w:color w:val="auto"/>
              </w:rPr>
            </w:pPr>
            <w:r>
              <w:rPr>
                <w:rFonts w:ascii="Arial" w:cs="Arial" w:eastAsia="Arial" w:hAnsi="Arial"/>
                <w:sz w:val="20"/>
                <w:szCs w:val="20"/>
                <w:color w:val="auto"/>
              </w:rPr>
              <w:t>Charitable contribution of common stock</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1,157</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1,157</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3"/>
        </w:trPr>
        <w:tc>
          <w:tcPr>
            <w:tcW w:w="5740" w:type="dxa"/>
            <w:vAlign w:val="bottom"/>
            <w:gridSpan w:val="3"/>
            <w:shd w:val="clear" w:color="auto" w:fill="CFF0FC"/>
          </w:tcPr>
          <w:p>
            <w:pPr>
              <w:ind w:left="20"/>
              <w:spacing w:after="0" w:line="283" w:lineRule="exact"/>
              <w:rPr>
                <w:sz w:val="20"/>
                <w:szCs w:val="20"/>
                <w:color w:val="auto"/>
              </w:rPr>
            </w:pPr>
            <w:r>
              <w:rPr>
                <w:rFonts w:ascii="Arial" w:cs="Arial" w:eastAsia="Arial" w:hAnsi="Arial"/>
                <w:sz w:val="20"/>
                <w:szCs w:val="20"/>
                <w:color w:val="auto"/>
              </w:rPr>
              <w:t>Stock-based compensation</w:t>
            </w:r>
            <w:r>
              <w:rPr>
                <w:rFonts w:ascii="Arial" w:cs="Arial" w:eastAsia="Arial" w:hAnsi="Arial"/>
                <w:sz w:val="26"/>
                <w:szCs w:val="26"/>
                <w:color w:val="auto"/>
                <w:vertAlign w:val="superscript"/>
              </w:rPr>
              <w:t>(2)</w:t>
            </w:r>
          </w:p>
        </w:tc>
        <w:tc>
          <w:tcPr>
            <w:tcW w:w="1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2,266</w:t>
            </w:r>
          </w:p>
        </w:tc>
        <w:tc>
          <w:tcPr>
            <w:tcW w:w="26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24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4,747</w:t>
            </w:r>
          </w:p>
        </w:tc>
        <w:tc>
          <w:tcPr>
            <w:tcW w:w="22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679</w:t>
            </w:r>
          </w:p>
        </w:tc>
        <w:tc>
          <w:tcPr>
            <w:tcW w:w="100" w:type="dxa"/>
            <w:vAlign w:val="bottom"/>
            <w:shd w:val="clear" w:color="auto" w:fill="CFF0FC"/>
          </w:tcPr>
          <w:p>
            <w:pPr>
              <w:spacing w:after="0"/>
              <w:rPr>
                <w:sz w:val="24"/>
                <w:szCs w:val="24"/>
                <w:color w:val="auto"/>
              </w:rPr>
            </w:pPr>
          </w:p>
        </w:tc>
      </w:tr>
      <w:tr>
        <w:trPr>
          <w:trHeight w:val="254"/>
        </w:trPr>
        <w:tc>
          <w:tcPr>
            <w:tcW w:w="5740" w:type="dxa"/>
            <w:vAlign w:val="bottom"/>
            <w:gridSpan w:val="3"/>
          </w:tcPr>
          <w:p>
            <w:pPr>
              <w:ind w:left="20"/>
              <w:spacing w:after="0"/>
              <w:rPr>
                <w:sz w:val="20"/>
                <w:szCs w:val="20"/>
                <w:color w:val="auto"/>
              </w:rPr>
            </w:pPr>
            <w:r>
              <w:rPr>
                <w:rFonts w:ascii="Arial" w:cs="Arial" w:eastAsia="Arial" w:hAnsi="Arial"/>
                <w:sz w:val="20"/>
                <w:szCs w:val="20"/>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20"/>
                <w:szCs w:val="20"/>
                <w:color w:val="auto"/>
              </w:rPr>
              <w:t>(10,024 )</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(4,605 )</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gridSpan w:val="2"/>
          </w:tcPr>
          <w:p>
            <w:pPr>
              <w:jc w:val="right"/>
              <w:ind w:right="140"/>
              <w:spacing w:after="0"/>
              <w:rPr>
                <w:sz w:val="20"/>
                <w:szCs w:val="20"/>
                <w:color w:val="auto"/>
              </w:rPr>
            </w:pPr>
            <w:r>
              <w:rPr>
                <w:rFonts w:ascii="Arial" w:cs="Arial" w:eastAsia="Arial" w:hAnsi="Arial"/>
                <w:sz w:val="20"/>
                <w:szCs w:val="20"/>
                <w:color w:val="auto"/>
              </w:rPr>
              <w:t>(27,905 )</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(16,910 )</w:t>
            </w:r>
          </w:p>
        </w:tc>
      </w:tr>
      <w:tr>
        <w:trPr>
          <w:trHeight w:val="2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340" w:right="520" w:hanging="332"/>
        <w:spacing w:after="0" w:line="267"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expense related to stock-based awards granted to employees, as included in the Company’s GAAP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Segment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77"/>
        </w:trPr>
        <w:tc>
          <w:tcPr>
            <w:tcW w:w="454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6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b w:val="1"/>
                <w:bCs w:val="1"/>
                <w:color w:val="auto"/>
              </w:rPr>
              <w:t>Segment Revenue:</w:t>
            </w:r>
          </w:p>
        </w:tc>
        <w:tc>
          <w:tcPr>
            <w:tcW w:w="3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61"/>
        </w:trPr>
        <w:tc>
          <w:tcPr>
            <w:tcW w:w="4540" w:type="dxa"/>
            <w:vAlign w:val="bottom"/>
          </w:tcPr>
          <w:p>
            <w:pPr>
              <w:ind w:left="20"/>
              <w:spacing w:after="0"/>
              <w:rPr>
                <w:sz w:val="20"/>
                <w:szCs w:val="20"/>
                <w:color w:val="auto"/>
              </w:rPr>
            </w:pPr>
            <w:r>
              <w:rPr>
                <w:rFonts w:ascii="Arial" w:cs="Arial" w:eastAsia="Arial" w:hAnsi="Arial"/>
                <w:sz w:val="20"/>
                <w:szCs w:val="20"/>
                <w:color w:val="auto"/>
              </w:rPr>
              <w:t>U.S.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51,739</w:t>
            </w:r>
          </w:p>
        </w:tc>
        <w:tc>
          <w:tcPr>
            <w:tcW w:w="28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41,145</w:t>
            </w:r>
          </w:p>
        </w:tc>
        <w:tc>
          <w:tcPr>
            <w:tcW w:w="28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140,266</w:t>
            </w:r>
          </w:p>
        </w:tc>
        <w:tc>
          <w:tcPr>
            <w:tcW w:w="26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101,537</w:t>
            </w:r>
          </w:p>
        </w:tc>
        <w:tc>
          <w:tcPr>
            <w:tcW w:w="100" w:type="dxa"/>
            <w:vAlign w:val="bottom"/>
          </w:tcPr>
          <w:p>
            <w:pPr>
              <w:spacing w:after="0"/>
              <w:rPr>
                <w:sz w:val="22"/>
                <w:szCs w:val="22"/>
                <w:color w:val="auto"/>
              </w:rPr>
            </w:pPr>
          </w:p>
        </w:tc>
      </w:tr>
      <w:tr>
        <w:trPr>
          <w:trHeight w:val="23"/>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Europe</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4,988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808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10,972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4"/>
        </w:trPr>
        <w:tc>
          <w:tcPr>
            <w:tcW w:w="4540" w:type="dxa"/>
            <w:vAlign w:val="bottom"/>
            <w:tcBorders>
              <w:top w:val="single" w:sz="8" w:color="CFF0FC"/>
            </w:tcBorders>
          </w:tcPr>
          <w:p>
            <w:pPr>
              <w:ind w:left="280"/>
              <w:spacing w:after="0"/>
              <w:rPr>
                <w:sz w:val="20"/>
                <w:szCs w:val="20"/>
                <w:color w:val="auto"/>
              </w:rPr>
            </w:pPr>
            <w:r>
              <w:rPr>
                <w:rFonts w:ascii="Arial" w:cs="Arial" w:eastAsia="Arial" w:hAnsi="Arial"/>
                <w:sz w:val="20"/>
                <w:szCs w:val="20"/>
                <w:color w:val="auto"/>
              </w:rPr>
              <w:t>Total revenue</w:t>
            </w: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56,727</w:t>
            </w:r>
          </w:p>
        </w:tc>
        <w:tc>
          <w:tcPr>
            <w:tcW w:w="280" w:type="dxa"/>
            <w:vAlign w:val="bottom"/>
            <w:tcBorders>
              <w:top w:val="single" w:sz="8" w:color="CFF0FC"/>
            </w:tcBorders>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41,953</w:t>
            </w:r>
          </w:p>
        </w:tc>
        <w:tc>
          <w:tcPr>
            <w:tcW w:w="28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151,238</w:t>
            </w:r>
          </w:p>
        </w:tc>
        <w:tc>
          <w:tcPr>
            <w:tcW w:w="260" w:type="dxa"/>
            <w:vAlign w:val="bottom"/>
            <w:tcBorders>
              <w:top w:val="single" w:sz="8" w:color="CFF0FC"/>
            </w:tcBorders>
          </w:tcPr>
          <w:p>
            <w:pPr>
              <w:spacing w:after="0"/>
              <w:rPr>
                <w:sz w:val="22"/>
                <w:szCs w:val="22"/>
                <w:color w:val="auto"/>
              </w:rPr>
            </w:pPr>
          </w:p>
        </w:tc>
        <w:tc>
          <w:tcPr>
            <w:tcW w:w="34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103,425</w:t>
            </w:r>
          </w:p>
        </w:tc>
        <w:tc>
          <w:tcPr>
            <w:tcW w:w="100" w:type="dxa"/>
            <w:vAlign w:val="bottom"/>
            <w:tcBorders>
              <w:top w:val="single" w:sz="8" w:color="CFF0FC"/>
            </w:tcBorders>
          </w:tcPr>
          <w:p>
            <w:pPr>
              <w:spacing w:after="0"/>
              <w:rPr>
                <w:sz w:val="22"/>
                <w:szCs w:val="22"/>
                <w:color w:val="auto"/>
              </w:rPr>
            </w:pPr>
          </w:p>
        </w:tc>
      </w:tr>
      <w:tr>
        <w:trPr>
          <w:trHeight w:val="23"/>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b w:val="1"/>
                <w:bCs w:val="1"/>
                <w:color w:val="auto"/>
              </w:rPr>
              <w:t>Segment Net Loss:</w:t>
            </w:r>
          </w:p>
        </w:tc>
        <w:tc>
          <w:tcPr>
            <w:tcW w:w="3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61"/>
        </w:trPr>
        <w:tc>
          <w:tcPr>
            <w:tcW w:w="4540" w:type="dxa"/>
            <w:vAlign w:val="bottom"/>
          </w:tcPr>
          <w:p>
            <w:pPr>
              <w:ind w:left="20"/>
              <w:spacing w:after="0"/>
              <w:rPr>
                <w:sz w:val="20"/>
                <w:szCs w:val="20"/>
                <w:color w:val="auto"/>
              </w:rPr>
            </w:pPr>
            <w:r>
              <w:rPr>
                <w:rFonts w:ascii="Arial" w:cs="Arial" w:eastAsia="Arial" w:hAnsi="Arial"/>
                <w:sz w:val="20"/>
                <w:szCs w:val="20"/>
                <w:color w:val="auto"/>
              </w:rPr>
              <w:t>U.S.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(12,550 )</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20"/>
                <w:szCs w:val="20"/>
                <w:color w:val="auto"/>
              </w:rPr>
              <w:t>(4,101 )</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(30,152 )</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(16,092 )</w:t>
            </w:r>
          </w:p>
        </w:tc>
      </w:tr>
      <w:tr>
        <w:trPr>
          <w:trHeight w:val="23"/>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6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Europe</w:t>
            </w:r>
          </w:p>
        </w:tc>
        <w:tc>
          <w:tcPr>
            <w:tcW w:w="3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(2,161 )</w:t>
            </w:r>
          </w:p>
        </w:tc>
        <w:tc>
          <w:tcPr>
            <w:tcW w:w="36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(2,082 )</w:t>
            </w:r>
          </w:p>
        </w:tc>
        <w:tc>
          <w:tcPr>
            <w:tcW w:w="30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(7,324 )</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(4,817 )</w:t>
            </w:r>
          </w:p>
        </w:tc>
      </w:tr>
      <w:tr>
        <w:trPr>
          <w:trHeight w:val="20"/>
        </w:trPr>
        <w:tc>
          <w:tcPr>
            <w:tcW w:w="4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4"/>
        </w:trPr>
        <w:tc>
          <w:tcPr>
            <w:tcW w:w="4540" w:type="dxa"/>
            <w:vAlign w:val="bottom"/>
          </w:tcPr>
          <w:p>
            <w:pPr>
              <w:ind w:left="20"/>
              <w:spacing w:after="0"/>
              <w:rPr>
                <w:sz w:val="20"/>
                <w:szCs w:val="20"/>
                <w:color w:val="auto"/>
              </w:rPr>
            </w:pPr>
            <w:r>
              <w:rPr>
                <w:rFonts w:ascii="Arial" w:cs="Arial" w:eastAsia="Arial" w:hAnsi="Arial"/>
                <w:sz w:val="20"/>
                <w:szCs w:val="20"/>
                <w:color w:val="auto"/>
              </w:rPr>
              <w:t>Total net loss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(14,711 )</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20"/>
                <w:szCs w:val="20"/>
                <w:color w:val="auto"/>
              </w:rPr>
              <w:t>(6,183 )</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(37,476 )</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(20,909 )</w:t>
            </w:r>
          </w:p>
        </w:tc>
      </w:tr>
      <w:tr>
        <w:trPr>
          <w:trHeight w:val="23"/>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-1144905</wp:posOffset>
            </wp:positionV>
            <wp:extent cx="17970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-1144905</wp:posOffset>
            </wp:positionV>
            <wp:extent cx="1714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-1144905</wp:posOffset>
            </wp:positionV>
            <wp:extent cx="16319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-1144905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-210820</wp:posOffset>
            </wp:positionV>
            <wp:extent cx="1797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-210820</wp:posOffset>
            </wp:positionV>
            <wp:extent cx="1714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-210820</wp:posOffset>
            </wp:positionV>
            <wp:extent cx="16319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20"/>
          <w:szCs w:val="20"/>
          <w:b w:val="1"/>
          <w:bCs w:val="1"/>
          <w:color w:val="auto"/>
        </w:rPr>
        <w:t>Xometry, Inc. and Subsidiaries</w:t>
      </w:r>
    </w:p>
    <w:p>
      <w:pPr>
        <w:spacing w:after="0" w:line="33"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Unaudited Supplemental Information</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Three Months Ended September 30,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r>
      <w:tr>
        <w:trPr>
          <w:trHeight w:val="250"/>
        </w:trPr>
        <w:tc>
          <w:tcPr>
            <w:tcW w:w="46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335</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r>
      <w:tr>
        <w:trPr>
          <w:trHeight w:val="263"/>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2,266</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4,747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FF0FC"/>
          </w:tcPr>
          <w:p>
            <w:pPr>
              <w:spacing w:after="0"/>
              <w:rPr>
                <w:sz w:val="22"/>
                <w:szCs w:val="22"/>
                <w:color w:val="auto"/>
              </w:rPr>
            </w:pPr>
          </w:p>
        </w:tc>
      </w:tr>
      <w:tr>
        <w:trPr>
          <w:trHeight w:val="257"/>
        </w:trPr>
        <w:tc>
          <w:tcPr>
            <w:tcW w:w="4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r>
      <w:tr>
        <w:trPr>
          <w:trHeight w:val="290"/>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-1530985</wp:posOffset>
            </wp:positionV>
            <wp:extent cx="1714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-1530985</wp:posOffset>
            </wp:positionV>
            <wp:extent cx="17145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-1530985</wp:posOffset>
            </wp:positionV>
            <wp:extent cx="1543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171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71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71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54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54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color w:val="auto"/>
        </w:rPr>
        <w:t>For the three and nine months ended September 30, 2021, general and administrative expense includes $1.2 million of expense related to charitable contributions.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2021-11-10T15:18:27Z</dcterms:created>
  <dcterms:modified xsi:type="dcterms:W3CDTF">2021-11-10T15:18:27Z</dcterms:modified>
</cp:coreProperties>
</file>