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7"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On August 5, 2025, Xometry, Inc. (the “Company”) issued a press release announcing its second quarter financial results for the quarterly period ended June 30, 2025. A copy of the press release is furnished as Exhibit 99.1 to this report.</w:t>
      </w:r>
    </w:p>
    <w:p>
      <w:pPr>
        <w:spacing w:after="0" w:line="16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06"/>
        </w:trPr>
        <w:tc>
          <w:tcPr>
            <w:tcW w:w="1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6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August 5, 2025.</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37"/>
        </w:trPr>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0"/>
                <w:szCs w:val="20"/>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Record Second Quarter 2025 Results</w:t>
      </w:r>
    </w:p>
    <w:p>
      <w:pPr>
        <w:spacing w:after="0" w:line="19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Q2 revenue increased 23% year-over-year to a record $163 million driven by robust marketplace growth.</w:t>
      </w:r>
    </w:p>
    <w:p>
      <w:pPr>
        <w:spacing w:after="0" w:line="106" w:lineRule="exact"/>
        <w:rPr>
          <w:rFonts w:ascii="Times New Roman" w:cs="Times New Roman" w:eastAsia="Times New Roman" w:hAnsi="Times New Roman"/>
          <w:sz w:val="20"/>
          <w:szCs w:val="20"/>
          <w:color w:val="auto"/>
        </w:rPr>
      </w:pPr>
    </w:p>
    <w:p>
      <w:pPr>
        <w:ind w:left="1020" w:right="10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Q2 marketplace revenue increased 26% year-over-year driven by strong enterprise growth and expanding networks of buyers and suppliers.</w:t>
      </w:r>
    </w:p>
    <w:p>
      <w:pPr>
        <w:spacing w:after="0" w:line="48" w:lineRule="exact"/>
        <w:rPr>
          <w:rFonts w:ascii="Times New Roman" w:cs="Times New Roman" w:eastAsia="Times New Roman" w:hAnsi="Times New Roman"/>
          <w:sz w:val="20"/>
          <w:szCs w:val="20"/>
          <w:color w:val="auto"/>
        </w:rPr>
      </w:pPr>
    </w:p>
    <w:p>
      <w:pPr>
        <w:ind w:left="1020" w:right="68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Q2 gross profit increased 23% year-over-year to a record $65.2 million, or 40.1% of revenue driven by record marketplace gross margin of 35.4%.</w:t>
      </w:r>
    </w:p>
    <w:p>
      <w:pPr>
        <w:spacing w:after="0" w:line="48" w:lineRule="exact"/>
        <w:rPr>
          <w:rFonts w:ascii="Times New Roman" w:cs="Times New Roman" w:eastAsia="Times New Roman" w:hAnsi="Times New Roman"/>
          <w:sz w:val="20"/>
          <w:szCs w:val="20"/>
          <w:color w:val="auto"/>
        </w:rPr>
      </w:pPr>
    </w:p>
    <w:p>
      <w:pPr>
        <w:ind w:left="1020" w:right="18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Q2 Adjusted EBITDA improved $6.6 million year-over-year to Adjusted EBITDA of $3.9 million driven by expanding marketplace gross margin and strong operating expense leverage.</w:t>
      </w:r>
    </w:p>
    <w:p>
      <w:pPr>
        <w:spacing w:after="0" w:line="48" w:lineRule="exact"/>
        <w:rPr>
          <w:rFonts w:ascii="Times New Roman" w:cs="Times New Roman" w:eastAsia="Times New Roman" w:hAnsi="Times New Roman"/>
          <w:sz w:val="20"/>
          <w:szCs w:val="20"/>
          <w:color w:val="auto"/>
        </w:rPr>
      </w:pPr>
    </w:p>
    <w:p>
      <w:pPr>
        <w:ind w:left="1020" w:hanging="503"/>
        <w:spacing w:after="0" w:line="241"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Strong operating results are driven by consistent execution across growth initiatives: expanding buyer and supplier networks; driving deeper enterprise engagement; further expanding the marketplace platform; growing internationally and enhancing supplier services.</w:t>
      </w:r>
    </w:p>
    <w:p>
      <w:pPr>
        <w:spacing w:after="0" w:line="128" w:lineRule="exact"/>
        <w:rPr>
          <w:sz w:val="20"/>
          <w:szCs w:val="20"/>
          <w:color w:val="auto"/>
        </w:rPr>
      </w:pPr>
    </w:p>
    <w:p>
      <w:pPr>
        <w:jc w:val="both"/>
        <w:ind w:right="580"/>
        <w:spacing w:after="0" w:line="242" w:lineRule="auto"/>
        <w:rPr>
          <w:sz w:val="20"/>
          <w:szCs w:val="20"/>
          <w:color w:val="auto"/>
        </w:rPr>
      </w:pPr>
      <w:r>
        <w:rPr>
          <w:rFonts w:ascii="Arial" w:cs="Arial" w:eastAsia="Arial" w:hAnsi="Arial"/>
          <w:sz w:val="20"/>
          <w:szCs w:val="20"/>
          <w:b w:val="1"/>
          <w:bCs w:val="1"/>
          <w:color w:val="auto"/>
        </w:rPr>
        <w:t>NORTH BETHESDA, MD., August 5, 2025 /Globe Newswire/</w:t>
      </w:r>
      <w:r>
        <w:rPr>
          <w:rFonts w:ascii="Arial" w:cs="Arial" w:eastAsia="Arial" w:hAnsi="Arial"/>
          <w:sz w:val="20"/>
          <w:szCs w:val="20"/>
          <w:color w:val="auto"/>
        </w:rPr>
        <w:t>-- Xometry, Inc. (NASDAQ: XMTR), the global AI-powered</w:t>
      </w:r>
      <w:r>
        <w:rPr>
          <w:rFonts w:ascii="Arial" w:cs="Arial" w:eastAsia="Arial" w:hAnsi="Arial"/>
          <w:sz w:val="20"/>
          <w:szCs w:val="20"/>
          <w:b w:val="1"/>
          <w:bCs w:val="1"/>
          <w:color w:val="auto"/>
        </w:rPr>
        <w:t xml:space="preserve"> </w:t>
      </w:r>
      <w:r>
        <w:rPr>
          <w:rFonts w:ascii="Arial" w:cs="Arial" w:eastAsia="Arial" w:hAnsi="Arial"/>
          <w:sz w:val="20"/>
          <w:szCs w:val="20"/>
          <w:color w:val="auto"/>
        </w:rPr>
        <w:t>marketplace connecting buyers with suppliers of manufacturing services, today announced financial results for the second quarter ended June 30, 2025.</w:t>
      </w:r>
    </w:p>
    <w:p>
      <w:pPr>
        <w:spacing w:after="0" w:line="170" w:lineRule="exact"/>
        <w:rPr>
          <w:sz w:val="20"/>
          <w:szCs w:val="20"/>
          <w:color w:val="auto"/>
        </w:rPr>
      </w:pPr>
    </w:p>
    <w:p>
      <w:pPr>
        <w:jc w:val="both"/>
        <w:ind w:right="260"/>
        <w:spacing w:after="0" w:line="237" w:lineRule="auto"/>
        <w:rPr>
          <w:sz w:val="20"/>
          <w:szCs w:val="20"/>
          <w:color w:val="auto"/>
        </w:rPr>
      </w:pPr>
      <w:r>
        <w:rPr>
          <w:rFonts w:ascii="Arial" w:cs="Arial" w:eastAsia="Arial" w:hAnsi="Arial"/>
          <w:sz w:val="20"/>
          <w:szCs w:val="20"/>
          <w:color w:val="auto"/>
        </w:rPr>
        <w:t>“We delivered strong performance across the board this quarter,” said Randy Altschuler, CEO at Xometry. "The record results reflect investments we’ve made in platform innovation, enterprise initiatives and network expansion – key drivers that position Xometry for sustainable, long-term growth. We expect continued growth momentum as we gain share in our large fragmented market.”</w:t>
      </w:r>
    </w:p>
    <w:p>
      <w:pPr>
        <w:spacing w:after="0" w:line="17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“In Q2, we generated record revenue, significant marketplace gross margin expansion and strong operating leverage. Our Adjusted EBITDA improved by $6.6 million year-over-year to $3.9 million,” said James Miln, CFO at Xometry. “As we scale to $1 billion of revenue, we expect to deliver improving profitability even as we continue to invest in our growth initiatives.”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2025 Financial Highlights</w:t>
      </w:r>
    </w:p>
    <w:p>
      <w:pPr>
        <w:spacing w:after="0" w:line="9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second quarter of 2025 was $148 million, an increase of 26% year-over-year.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22% from 61,530 as of June 30, 2024 to 74,777 as of June 30, 2025.</w:t>
      </w:r>
    </w:p>
    <w:p>
      <w:pPr>
        <w:spacing w:after="0" w:line="106" w:lineRule="exact"/>
        <w:rPr>
          <w:rFonts w:ascii="Times New Roman" w:cs="Times New Roman" w:eastAsia="Times New Roman" w:hAnsi="Times New Roman"/>
          <w:sz w:val="20"/>
          <w:szCs w:val="20"/>
          <w:color w:val="auto"/>
        </w:rPr>
      </w:pPr>
    </w:p>
    <w:p>
      <w:pPr>
        <w:ind w:left="1020" w:right="6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15% from 1,436 as of June 30, 2024 to 1,653 as of June 30, 2025.</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second quarter of 2025 was $14.3 million, a decrease of 6% year-over-year.</w:t>
      </w:r>
    </w:p>
    <w:p>
      <w:pPr>
        <w:spacing w:after="0" w:line="106"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for the second quarter of 2025 was $26.4 million. This includes a $16.4 million non-recurring loss on debt extinguishment.</w:t>
      </w:r>
    </w:p>
    <w:p>
      <w:pPr>
        <w:spacing w:after="0" w:line="48" w:lineRule="exact"/>
        <w:rPr>
          <w:rFonts w:ascii="Times New Roman" w:cs="Times New Roman" w:eastAsia="Times New Roman" w:hAnsi="Times New Roman"/>
          <w:sz w:val="20"/>
          <w:szCs w:val="20"/>
          <w:color w:val="auto"/>
        </w:rPr>
      </w:pPr>
    </w:p>
    <w:p>
      <w:pPr>
        <w:ind w:left="1020" w:right="58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for the second quarter of 2025 was a profit of $3.9 million, reflecting an improvement of $6.6 million year-over-year.</w:t>
      </w:r>
    </w:p>
    <w:p>
      <w:pPr>
        <w:spacing w:after="0" w:line="48" w:lineRule="exact"/>
        <w:rPr>
          <w:rFonts w:ascii="Times New Roman" w:cs="Times New Roman" w:eastAsia="Times New Roman" w:hAnsi="Times New Roman"/>
          <w:sz w:val="20"/>
          <w:szCs w:val="20"/>
          <w:color w:val="auto"/>
        </w:rPr>
      </w:pPr>
    </w:p>
    <w:p>
      <w:pPr>
        <w:ind w:left="1020" w:right="42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for the second quarter of 2025 was $4.7 million, as compared to a Non-GAAP net loss of $0.6 million in the second quarter of 2024.</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cash equivalents and marketable securities were $226 million as of June 30, 2025.</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Business highlights since Xometry's last earnings announcement include:</w:t>
      </w:r>
    </w:p>
    <w:p>
      <w:pPr>
        <w:spacing w:after="0" w:line="96" w:lineRule="exact"/>
        <w:rPr>
          <w:sz w:val="20"/>
          <w:szCs w:val="20"/>
          <w:color w:val="auto"/>
        </w:rPr>
      </w:pPr>
    </w:p>
    <w:p>
      <w:pPr>
        <w:ind w:left="1020" w:right="30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Completed convertible debt refinancing and closing of $250 million of new 0.75% convertible notes due 2030.The transaction addressed over $200 million principal amount that had 2027 maturities, providing financial flexibility to focus on our growth initiatives and margin expansion. Purchased a capped call hedge with a cap price initially at $63.35, which represents a 75% premium over the market price on the transaction date.</w:t>
      </w:r>
    </w:p>
    <w:p>
      <w:pPr>
        <w:spacing w:after="0" w:line="66" w:lineRule="exact"/>
        <w:rPr>
          <w:rFonts w:ascii="Times New Roman" w:cs="Times New Roman" w:eastAsia="Times New Roman" w:hAnsi="Times New Roman"/>
          <w:sz w:val="20"/>
          <w:szCs w:val="20"/>
          <w:color w:val="auto"/>
        </w:rPr>
      </w:pPr>
    </w:p>
    <w:p>
      <w:pPr>
        <w:ind w:left="1020" w:right="26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Xometry EU launched Teamspace in Europe, the UK and Turkey. Teamspace is a cloud-based solution within the Xometry platform that enables customers to collaborate with their colleagues on projects and custom part orders. This global expansion enables Xometry to drive deeper enterprise engagement and enhance viral buyer growth within a company.</w:t>
      </w:r>
    </w:p>
    <w:p>
      <w:pPr>
        <w:spacing w:after="0" w:line="66" w:lineRule="exact"/>
        <w:rPr>
          <w:rFonts w:ascii="Times New Roman" w:cs="Times New Roman" w:eastAsia="Times New Roman" w:hAnsi="Times New Roman"/>
          <w:sz w:val="20"/>
          <w:szCs w:val="20"/>
          <w:color w:val="auto"/>
        </w:rPr>
      </w:pPr>
    </w:p>
    <w:p>
      <w:pPr>
        <w:ind w:left="102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Xometry EU launched integration capabilities for enterprise customers to streamline procurement. This feature enables buyers to order custom parts directly from the Xometry site while still within the buyer's procurement platform - streamlining the purchasing process, reducing errors, and improving efficiency by automating data transfer between systems.</w:t>
      </w:r>
    </w:p>
    <w:p>
      <w:pPr>
        <w:spacing w:after="0" w:line="66" w:lineRule="exact"/>
        <w:rPr>
          <w:rFonts w:ascii="Times New Roman" w:cs="Times New Roman" w:eastAsia="Times New Roman" w:hAnsi="Times New Roman"/>
          <w:sz w:val="20"/>
          <w:szCs w:val="20"/>
          <w:color w:val="auto"/>
        </w:rPr>
      </w:pPr>
    </w:p>
    <w:p>
      <w:pPr>
        <w:ind w:left="1020" w:right="120" w:hanging="503"/>
        <w:spacing w:after="0" w:line="241"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North America Xometry introduced a new AI feature on the marketplace to accelerate our initiative to instantly quote technical drawings. This feature automates the extraction of information from technical drawings to help drive more accurate quoting and supplier selection.</w:t>
      </w:r>
    </w:p>
    <w:p>
      <w:pPr>
        <w:spacing w:after="0" w:line="62" w:lineRule="exact"/>
        <w:rPr>
          <w:rFonts w:ascii="Times New Roman" w:cs="Times New Roman" w:eastAsia="Times New Roman" w:hAnsi="Times New Roman"/>
          <w:sz w:val="20"/>
          <w:szCs w:val="20"/>
          <w:color w:val="auto"/>
        </w:rPr>
      </w:pPr>
    </w:p>
    <w:p>
      <w:pPr>
        <w:ind w:left="1020" w:right="20" w:hanging="503"/>
        <w:spacing w:after="0" w:line="234"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Thomasnet announced its partnership with NSF, a recognized global leader in public health and safety certification, to become the preferred certification body for its digital industrial sourcing platform. Suppliers listed on Thomasnet will have the opportunity to earn certifications, including management system certifications, from NSF’s wide-ranging portfolio of services. NSF will also promote Thomasnet as a platform for manufacturing businesses to reach new audiences.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Financial Summary</w:t>
      </w:r>
    </w:p>
    <w:p>
      <w:pPr>
        <w:jc w:val="center"/>
        <w:spacing w:after="0" w:line="231" w:lineRule="auto"/>
        <w:rPr>
          <w:sz w:val="20"/>
          <w:szCs w:val="20"/>
          <w:color w:val="auto"/>
        </w:rPr>
      </w:pPr>
      <w:r>
        <w:rPr>
          <w:rFonts w:ascii="Arial" w:cs="Arial" w:eastAsia="Arial" w:hAnsi="Arial"/>
          <w:sz w:val="20"/>
          <w:szCs w:val="20"/>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the Three Months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For the Six Months</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Ended June 30,</w:t>
            </w:r>
          </w:p>
        </w:tc>
        <w:tc>
          <w:tcPr>
            <w:tcW w:w="6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Ended June 30,</w:t>
            </w:r>
          </w:p>
        </w:tc>
        <w:tc>
          <w:tcPr>
            <w:tcW w:w="7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Revenue</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162,547</w:t>
            </w:r>
          </w:p>
        </w:tc>
        <w:tc>
          <w:tcPr>
            <w:tcW w:w="26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132,595</w:t>
            </w:r>
          </w:p>
        </w:tc>
        <w:tc>
          <w:tcPr>
            <w:tcW w:w="2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313,518</w:t>
            </w:r>
          </w:p>
        </w:tc>
        <w:tc>
          <w:tcPr>
            <w:tcW w:w="28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255,285</w:t>
            </w: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65,176</w:t>
            </w: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52,877</w:t>
            </w:r>
          </w:p>
        </w:tc>
        <w:tc>
          <w:tcPr>
            <w:tcW w:w="28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121,507</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100,779</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(26,434)</w:t>
            </w:r>
          </w:p>
        </w:tc>
        <w:tc>
          <w:tcPr>
            <w:tcW w:w="2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(13,697)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(41,512)</w:t>
            </w:r>
          </w:p>
        </w:tc>
        <w:tc>
          <w:tcPr>
            <w:tcW w:w="2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(30,313)</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EPS, basic and diluted, of Class A and Class B</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(0.52)</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(0.28)</w:t>
            </w:r>
          </w:p>
        </w:tc>
        <w:tc>
          <w:tcPr>
            <w:tcW w:w="10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(86)%</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(0.82)</w:t>
            </w: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(0.62)</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(2,634)</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249%</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(10,093)</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Non-GAAP net income (loss)</w:t>
            </w:r>
            <w:r>
              <w:rPr>
                <w:rFonts w:ascii="Arial" w:cs="Arial" w:eastAsia="Arial" w:hAnsi="Arial"/>
                <w:sz w:val="21"/>
                <w:szCs w:val="21"/>
                <w:color w:val="auto"/>
                <w:vertAlign w:val="superscript"/>
              </w:rPr>
              <w:t>(1)</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4,681</w:t>
            </w: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(606)</w:t>
            </w: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872%</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5,509</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(6,348)</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5"/>
                <w:szCs w:val="15"/>
                <w:color w:val="auto"/>
              </w:rPr>
              <w:t>Non-GAAP EPS, basic</w:t>
            </w:r>
            <w:r>
              <w:rPr>
                <w:rFonts w:ascii="Arial" w:cs="Arial" w:eastAsia="Arial" w:hAnsi="Arial"/>
                <w:sz w:val="20"/>
                <w:szCs w:val="20"/>
                <w:color w:val="auto"/>
                <w:vertAlign w:val="superscript"/>
              </w:rPr>
              <w:t>(1)</w:t>
            </w:r>
            <w:r>
              <w:rPr>
                <w:rFonts w:ascii="Arial" w:cs="Arial" w:eastAsia="Arial" w:hAnsi="Arial"/>
                <w:sz w:val="15"/>
                <w:szCs w:val="15"/>
                <w:color w:val="auto"/>
              </w:rPr>
              <w:t>, of Class A and Class B</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common stock</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(0.01)</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(0.13)</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5"/>
                <w:szCs w:val="15"/>
                <w:color w:val="auto"/>
              </w:rPr>
              <w:t>Non-GAAP EPS, diluted</w:t>
            </w:r>
            <w:r>
              <w:rPr>
                <w:rFonts w:ascii="Arial" w:cs="Arial" w:eastAsia="Arial" w:hAnsi="Arial"/>
                <w:sz w:val="20"/>
                <w:szCs w:val="20"/>
                <w:color w:val="auto"/>
                <w:vertAlign w:val="superscript"/>
              </w:rPr>
              <w:t>(1)</w:t>
            </w:r>
            <w:r>
              <w:rPr>
                <w:rFonts w:ascii="Arial" w:cs="Arial" w:eastAsia="Arial" w:hAnsi="Arial"/>
                <w:sz w:val="15"/>
                <w:szCs w:val="15"/>
                <w:color w:val="auto"/>
              </w:rPr>
              <w:t>, of Class A and Class B</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0.09</w:t>
            </w: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(0.01)</w:t>
            </w: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(0.13)</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0"/>
                <w:szCs w:val="20"/>
                <w:color w:val="auto"/>
              </w:rPr>
            </w:pPr>
            <w:r>
              <w:rPr>
                <w:rFonts w:ascii="Arial" w:cs="Arial" w:eastAsia="Arial" w:hAnsi="Arial"/>
                <w:sz w:val="16"/>
                <w:szCs w:val="16"/>
                <w:b w:val="1"/>
                <w:bCs w:val="1"/>
                <w:color w:val="auto"/>
              </w:rPr>
              <w:t>Marketplace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148,223</w:t>
            </w: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117,287</w:t>
            </w:r>
          </w:p>
        </w:tc>
        <w:tc>
          <w:tcPr>
            <w:tcW w:w="28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284,576</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224,473</w:t>
            </w:r>
          </w:p>
        </w:tc>
        <w:tc>
          <w:tcPr>
            <w:tcW w:w="2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95,759</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78,024</w:t>
            </w:r>
          </w:p>
        </w:tc>
        <w:tc>
          <w:tcPr>
            <w:tcW w:w="2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188,805</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150,931</w:t>
            </w:r>
          </w:p>
        </w:tc>
        <w:tc>
          <w:tcPr>
            <w:tcW w:w="2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Gross Profit</w:t>
            </w:r>
          </w:p>
        </w:tc>
        <w:tc>
          <w:tcPr>
            <w:tcW w:w="3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52,464</w:t>
            </w: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39,263</w:t>
            </w:r>
          </w:p>
        </w:tc>
        <w:tc>
          <w:tcPr>
            <w:tcW w:w="28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80"/>
              <w:spacing w:after="0" w:line="169" w:lineRule="exact"/>
              <w:rPr>
                <w:sz w:val="20"/>
                <w:szCs w:val="20"/>
                <w:color w:val="auto"/>
              </w:rPr>
            </w:pPr>
            <w:r>
              <w:rPr>
                <w:rFonts w:ascii="Arial" w:cs="Arial" w:eastAsia="Arial" w:hAnsi="Arial"/>
                <w:sz w:val="16"/>
                <w:szCs w:val="16"/>
                <w:color w:val="auto"/>
              </w:rPr>
              <w:t>34%</w:t>
            </w:r>
          </w:p>
        </w:tc>
        <w:tc>
          <w:tcPr>
            <w:tcW w:w="24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95,771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73,542</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80" w:type="dxa"/>
            <w:vAlign w:val="bottom"/>
          </w:tcPr>
          <w:p>
            <w:pPr>
              <w:spacing w:after="0"/>
              <w:rPr>
                <w:sz w:val="20"/>
                <w:szCs w:val="20"/>
                <w:color w:val="auto"/>
              </w:rPr>
            </w:pPr>
            <w:r>
              <w:rPr>
                <w:rFonts w:ascii="Arial" w:cs="Arial" w:eastAsia="Arial" w:hAnsi="Arial"/>
                <w:sz w:val="16"/>
                <w:szCs w:val="16"/>
                <w:color w:val="auto"/>
              </w:rPr>
              <w:t>Gross Margin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33.5%</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33.7%</w:t>
            </w:r>
          </w:p>
        </w:tc>
        <w:tc>
          <w:tcPr>
            <w:tcW w:w="2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32.8%</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Supplier services</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Revenue</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14,324</w:t>
            </w:r>
          </w:p>
        </w:tc>
        <w:tc>
          <w:tcPr>
            <w:tcW w:w="26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15,308</w:t>
            </w:r>
          </w:p>
        </w:tc>
        <w:tc>
          <w:tcPr>
            <w:tcW w:w="2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28,942</w:t>
            </w:r>
          </w:p>
        </w:tc>
        <w:tc>
          <w:tcPr>
            <w:tcW w:w="28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30,812</w:t>
            </w:r>
          </w:p>
        </w:tc>
        <w:tc>
          <w:tcPr>
            <w:tcW w:w="2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1,612</w:t>
            </w:r>
          </w:p>
        </w:tc>
        <w:tc>
          <w:tcPr>
            <w:tcW w:w="2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1,694</w:t>
            </w:r>
          </w:p>
        </w:tc>
        <w:tc>
          <w:tcPr>
            <w:tcW w:w="2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3,206</w:t>
            </w:r>
          </w:p>
        </w:tc>
        <w:tc>
          <w:tcPr>
            <w:tcW w:w="2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3,575</w:t>
            </w:r>
          </w:p>
        </w:tc>
        <w:tc>
          <w:tcPr>
            <w:tcW w:w="2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3"/>
        </w:trPr>
        <w:tc>
          <w:tcPr>
            <w:tcW w:w="3780" w:type="dxa"/>
            <w:vAlign w:val="bottom"/>
          </w:tcPr>
          <w:p>
            <w:pPr>
              <w:spacing w:after="0" w:line="169" w:lineRule="exact"/>
              <w:rPr>
                <w:sz w:val="20"/>
                <w:szCs w:val="20"/>
                <w:color w:val="auto"/>
              </w:rPr>
            </w:pPr>
            <w:r>
              <w:rPr>
                <w:rFonts w:ascii="Arial" w:cs="Arial" w:eastAsia="Arial" w:hAnsi="Arial"/>
                <w:sz w:val="16"/>
                <w:szCs w:val="16"/>
                <w:color w:val="auto"/>
              </w:rPr>
              <w:t>Gross Profit</w:t>
            </w: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12,712</w:t>
            </w:r>
          </w:p>
        </w:tc>
        <w:tc>
          <w:tcPr>
            <w:tcW w:w="260" w:type="dxa"/>
            <w:vAlign w:val="bottom"/>
          </w:tcPr>
          <w:p>
            <w:pPr>
              <w:spacing w:after="0"/>
              <w:rPr>
                <w:sz w:val="15"/>
                <w:szCs w:val="15"/>
                <w:color w:val="auto"/>
              </w:rPr>
            </w:pPr>
          </w:p>
        </w:tc>
        <w:tc>
          <w:tcPr>
            <w:tcW w:w="220" w:type="dxa"/>
            <w:vAlign w:val="bottom"/>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69" w:lineRule="exact"/>
              <w:rPr>
                <w:sz w:val="20"/>
                <w:szCs w:val="20"/>
                <w:color w:val="auto"/>
              </w:rPr>
            </w:pPr>
            <w:r>
              <w:rPr>
                <w:rFonts w:ascii="Arial" w:cs="Arial" w:eastAsia="Arial" w:hAnsi="Arial"/>
                <w:sz w:val="16"/>
                <w:szCs w:val="16"/>
                <w:color w:val="auto"/>
              </w:rPr>
              <w:t>13,614</w:t>
            </w:r>
          </w:p>
        </w:tc>
        <w:tc>
          <w:tcPr>
            <w:tcW w:w="280" w:type="dxa"/>
            <w:vAlign w:val="bottom"/>
          </w:tcPr>
          <w:p>
            <w:pPr>
              <w:spacing w:after="0"/>
              <w:rPr>
                <w:sz w:val="15"/>
                <w:szCs w:val="15"/>
                <w:color w:val="auto"/>
              </w:rPr>
            </w:pPr>
          </w:p>
        </w:tc>
        <w:tc>
          <w:tcPr>
            <w:tcW w:w="1000" w:type="dxa"/>
            <w:vAlign w:val="bottom"/>
            <w:gridSpan w:val="2"/>
          </w:tcPr>
          <w:p>
            <w:pPr>
              <w:jc w:val="right"/>
              <w:ind w:right="120"/>
              <w:spacing w:after="0" w:line="169" w:lineRule="exact"/>
              <w:rPr>
                <w:sz w:val="20"/>
                <w:szCs w:val="20"/>
                <w:color w:val="auto"/>
              </w:rPr>
            </w:pPr>
            <w:r>
              <w:rPr>
                <w:rFonts w:ascii="Arial" w:cs="Arial" w:eastAsia="Arial" w:hAnsi="Arial"/>
                <w:sz w:val="16"/>
                <w:szCs w:val="16"/>
                <w:color w:val="auto"/>
              </w:rPr>
              <w:t>(7)%</w:t>
            </w:r>
          </w:p>
        </w:tc>
        <w:tc>
          <w:tcPr>
            <w:tcW w:w="240" w:type="dxa"/>
            <w:vAlign w:val="bottom"/>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25,736</w:t>
            </w:r>
          </w:p>
        </w:tc>
        <w:tc>
          <w:tcPr>
            <w:tcW w:w="280" w:type="dxa"/>
            <w:vAlign w:val="bottom"/>
          </w:tcPr>
          <w:p>
            <w:pPr>
              <w:spacing w:after="0"/>
              <w:rPr>
                <w:sz w:val="15"/>
                <w:szCs w:val="15"/>
                <w:color w:val="auto"/>
              </w:rPr>
            </w:pPr>
          </w:p>
        </w:tc>
        <w:tc>
          <w:tcPr>
            <w:tcW w:w="200" w:type="dxa"/>
            <w:vAlign w:val="bottom"/>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27,237</w:t>
            </w:r>
          </w:p>
        </w:tc>
        <w:tc>
          <w:tcPr>
            <w:tcW w:w="260" w:type="dxa"/>
            <w:vAlign w:val="bottom"/>
          </w:tcPr>
          <w:p>
            <w:pPr>
              <w:spacing w:after="0"/>
              <w:rPr>
                <w:sz w:val="15"/>
                <w:szCs w:val="15"/>
                <w:color w:val="auto"/>
              </w:rPr>
            </w:pPr>
          </w:p>
        </w:tc>
        <w:tc>
          <w:tcPr>
            <w:tcW w:w="9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Gross Margin</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20"/>
              <w:spacing w:after="0" w:line="170" w:lineRule="exact"/>
              <w:rPr>
                <w:sz w:val="20"/>
                <w:szCs w:val="20"/>
                <w:color w:val="auto"/>
              </w:rPr>
            </w:pPr>
            <w:r>
              <w:rPr>
                <w:rFonts w:ascii="Arial" w:cs="Arial" w:eastAsia="Arial" w:hAnsi="Arial"/>
                <w:sz w:val="16"/>
                <w:szCs w:val="16"/>
                <w:color w:val="auto"/>
              </w:rPr>
              <w:t>88.7%</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6"/>
                <w:szCs w:val="16"/>
                <w:color w:val="auto"/>
              </w:rPr>
              <w:t>88.9%</w:t>
            </w:r>
          </w:p>
        </w:tc>
        <w:tc>
          <w:tcPr>
            <w:tcW w:w="1000" w:type="dxa"/>
            <w:vAlign w:val="bottom"/>
            <w:tcBorders>
              <w:right w:val="single" w:sz="8" w:color="CFF0FC"/>
            </w:tcBorders>
            <w:gridSpan w:val="2"/>
            <w:shd w:val="clear" w:color="auto" w:fill="CFF0FC"/>
          </w:tcPr>
          <w:p>
            <w:pPr>
              <w:jc w:val="right"/>
              <w:ind w:right="120"/>
              <w:spacing w:after="0" w:line="170" w:lineRule="exact"/>
              <w:rPr>
                <w:sz w:val="20"/>
                <w:szCs w:val="20"/>
                <w:color w:val="auto"/>
              </w:rPr>
            </w:pPr>
            <w:r>
              <w:rPr>
                <w:rFonts w:ascii="Arial" w:cs="Arial" w:eastAsia="Arial" w:hAnsi="Arial"/>
                <w:sz w:val="16"/>
                <w:szCs w:val="16"/>
                <w:color w:val="auto"/>
              </w:rPr>
              <w:t>(0.2)%</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70" w:lineRule="exact"/>
              <w:rPr>
                <w:sz w:val="20"/>
                <w:szCs w:val="20"/>
                <w:color w:val="auto"/>
              </w:rPr>
            </w:pPr>
            <w:r>
              <w:rPr>
                <w:rFonts w:ascii="Arial" w:cs="Arial" w:eastAsia="Arial" w:hAnsi="Arial"/>
                <w:sz w:val="16"/>
                <w:szCs w:val="16"/>
                <w:color w:val="auto"/>
              </w:rPr>
              <w:t>88.9%</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6"/>
                <w:szCs w:val="16"/>
                <w:color w:val="auto"/>
              </w:rPr>
              <w:t>88.4%</w:t>
            </w:r>
          </w:p>
        </w:tc>
        <w:tc>
          <w:tcPr>
            <w:tcW w:w="960" w:type="dxa"/>
            <w:vAlign w:val="bottom"/>
            <w:gridSpan w:val="2"/>
            <w:shd w:val="clear" w:color="auto" w:fill="CFF0FC"/>
          </w:tcPr>
          <w:p>
            <w:pPr>
              <w:jc w:val="right"/>
              <w:ind w:right="80"/>
              <w:spacing w:after="0" w:line="170" w:lineRule="exact"/>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-899795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-882015</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-899795</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-882015</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-899795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-882015</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-899795</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-882015</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-273685</wp:posOffset>
            </wp:positionV>
            <wp:extent cx="102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-273685</wp:posOffset>
            </wp:positionV>
            <wp:extent cx="102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-273685</wp:posOffset>
            </wp:positionV>
            <wp:extent cx="102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-273685</wp:posOffset>
            </wp:positionV>
            <wp:extent cx="102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3" w:lineRule="exact"/>
        <w:rPr>
          <w:sz w:val="20"/>
          <w:szCs w:val="20"/>
          <w:color w:val="auto"/>
        </w:rPr>
      </w:pPr>
    </w:p>
    <w:p>
      <w:pPr>
        <w:ind w:left="380" w:right="160" w:hanging="372"/>
        <w:spacing w:after="0" w:line="285"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420"/>
              <w:spacing w:after="0" w:line="203" w:lineRule="exact"/>
              <w:rPr>
                <w:sz w:val="20"/>
                <w:szCs w:val="20"/>
                <w:color w:val="auto"/>
              </w:rPr>
            </w:pPr>
            <w:r>
              <w:rPr>
                <w:rFonts w:ascii="Arial" w:cs="Arial" w:eastAsia="Arial" w:hAnsi="Arial"/>
                <w:sz w:val="18"/>
                <w:szCs w:val="18"/>
                <w:b w:val="1"/>
                <w:bCs w:val="1"/>
                <w:color w:val="auto"/>
              </w:rPr>
              <w:t>As of June 30,</w:t>
            </w:r>
          </w:p>
        </w:tc>
        <w:tc>
          <w:tcPr>
            <w:tcW w:w="13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6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510"/>
              <w:spacing w:after="0" w:line="177"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r>
      <w:tr>
        <w:trPr>
          <w:trHeight w:val="221"/>
        </w:trPr>
        <w:tc>
          <w:tcPr>
            <w:tcW w:w="636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9"/>
                <w:szCs w:val="19"/>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Change</w:t>
            </w:r>
          </w:p>
        </w:tc>
      </w:tr>
      <w:tr>
        <w:trPr>
          <w:trHeight w:val="196"/>
        </w:trPr>
        <w:tc>
          <w:tcPr>
            <w:tcW w:w="636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Active Buyers</w:t>
            </w:r>
            <w:r>
              <w:rPr>
                <w:rFonts w:ascii="Arial" w:cs="Arial" w:eastAsia="Arial" w:hAnsi="Arial"/>
                <w:sz w:val="23"/>
                <w:szCs w:val="23"/>
                <w:color w:val="auto"/>
                <w:vertAlign w:val="superscript"/>
              </w:rPr>
              <w:t>(3)</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74,777</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61,530</w:t>
            </w:r>
          </w:p>
        </w:tc>
        <w:tc>
          <w:tcPr>
            <w:tcW w:w="2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7"/>
                <w:szCs w:val="17"/>
                <w:color w:val="auto"/>
              </w:rPr>
              <w:t>Percentage of Revenue from Existing Accounts</w:t>
            </w:r>
            <w:r>
              <w:rPr>
                <w:rFonts w:ascii="Arial" w:cs="Arial" w:eastAsia="Arial" w:hAnsi="Arial"/>
                <w:sz w:val="23"/>
                <w:szCs w:val="23"/>
                <w:color w:val="auto"/>
                <w:vertAlign w:val="superscript"/>
              </w:rPr>
              <w:t>(3)</w:t>
            </w: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w:t>
            </w:r>
          </w:p>
        </w:tc>
        <w:tc>
          <w:tcPr>
            <w:tcW w:w="1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Accounts with Last Twelve-Months Spend of at Least $50,000</w:t>
            </w:r>
            <w:r>
              <w:rPr>
                <w:rFonts w:ascii="Arial" w:cs="Arial" w:eastAsia="Arial" w:hAnsi="Arial"/>
                <w:sz w:val="23"/>
                <w:szCs w:val="23"/>
                <w:color w:val="auto"/>
                <w:vertAlign w:val="superscript"/>
              </w:rPr>
              <w:t>(3)</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1,653</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1,436</w:t>
            </w:r>
          </w:p>
        </w:tc>
        <w:tc>
          <w:tcPr>
            <w:tcW w:w="2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w:t>
            </w:r>
          </w:p>
        </w:tc>
      </w:tr>
    </w:tbl>
    <w:p>
      <w:pPr>
        <w:spacing w:after="0" w:line="207" w:lineRule="exact"/>
        <w:rPr>
          <w:sz w:val="20"/>
          <w:szCs w:val="20"/>
          <w:color w:val="auto"/>
        </w:rPr>
      </w:pPr>
    </w:p>
    <w:p>
      <w:pPr>
        <w:ind w:left="380" w:right="120" w:hanging="372"/>
        <w:spacing w:after="0" w:line="25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key operating metrics are for Marketplace and Supplier Services. See “Key Terms for our Key Metrics and Non-GAAP Financial Measures” below for definitions of these metrics.</w:t>
      </w:r>
    </w:p>
    <w:p>
      <w:pPr>
        <w:spacing w:after="0" w:line="1" w:lineRule="exact"/>
        <w:rPr>
          <w:rFonts w:ascii="Arial" w:cs="Arial" w:eastAsia="Arial" w:hAnsi="Arial"/>
          <w:sz w:val="14"/>
          <w:szCs w:val="14"/>
          <w:color w:val="auto"/>
        </w:rPr>
      </w:pPr>
    </w:p>
    <w:p>
      <w:pPr>
        <w:ind w:left="380" w:right="80" w:hanging="372"/>
        <w:spacing w:after="0" w:line="324"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shown for Active Buyers, Accounts with Last Twelve-Months Spend of at Least $50,000 and Percentage of Revenue from Existing Accounts is presented for the quarters ended June 30, 2025 and 2024.</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80"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8890</wp:posOffset>
            </wp:positionV>
            <wp:extent cx="2271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(in millions)</w:t>
      </w: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Low</w:t>
            </w:r>
          </w:p>
        </w:tc>
        <w:tc>
          <w:tcPr>
            <w:tcW w:w="5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7"/>
                <w:szCs w:val="17"/>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34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167</w:t>
            </w:r>
          </w:p>
        </w:tc>
        <w:tc>
          <w:tcPr>
            <w:tcW w:w="50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17"/>
                <w:szCs w:val="17"/>
                <w:color w:val="auto"/>
              </w:rPr>
            </w:pPr>
          </w:p>
        </w:tc>
      </w:tr>
      <w:tr>
        <w:trPr>
          <w:trHeight w:val="239"/>
        </w:trPr>
        <w:tc>
          <w:tcPr>
            <w:tcW w:w="4480" w:type="dxa"/>
            <w:vAlign w:val="bottom"/>
          </w:tcPr>
          <w:p>
            <w:pPr>
              <w:spacing w:after="0"/>
              <w:rPr>
                <w:sz w:val="20"/>
                <w:szCs w:val="20"/>
                <w:color w:val="auto"/>
              </w:rPr>
            </w:pPr>
            <w:r>
              <w:rPr>
                <w:rFonts w:ascii="Arial" w:cs="Arial" w:eastAsia="Arial" w:hAnsi="Arial"/>
                <w:sz w:val="18"/>
                <w:szCs w:val="18"/>
                <w:color w:val="auto"/>
              </w:rPr>
              <w:t>Adjusted EBITDA</w:t>
            </w:r>
          </w:p>
        </w:tc>
        <w:tc>
          <w:tcPr>
            <w:tcW w:w="3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r>
    </w:tbl>
    <w:p>
      <w:pPr>
        <w:spacing w:after="0" w:line="26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1D1C1D"/>
        </w:rPr>
      </w:pPr>
      <w:r>
        <w:rPr>
          <w:rFonts w:ascii="Arial" w:cs="Arial" w:eastAsia="Arial" w:hAnsi="Arial"/>
          <w:sz w:val="20"/>
          <w:szCs w:val="20"/>
          <w:color w:val="1D1C1D"/>
        </w:rPr>
        <w:t>For Q3 2025, expect revenue of $167-$169 million, representing 18-19% growth year-over-year.</w:t>
      </w:r>
    </w:p>
    <w:p>
      <w:pPr>
        <w:spacing w:after="0" w:line="217" w:lineRule="exact"/>
        <w:rPr>
          <w:rFonts w:ascii="Times New Roman" w:cs="Times New Roman" w:eastAsia="Times New Roman" w:hAnsi="Times New Roman"/>
          <w:sz w:val="20"/>
          <w:szCs w:val="20"/>
          <w:color w:val="1D1C1D"/>
        </w:rPr>
      </w:pPr>
    </w:p>
    <w:p>
      <w:pPr>
        <w:ind w:left="5580"/>
        <w:spacing w:after="0"/>
        <w:rPr>
          <w:rFonts w:ascii="Times New Roman" w:cs="Times New Roman" w:eastAsia="Times New Roman" w:hAnsi="Times New Roman"/>
          <w:sz w:val="20"/>
          <w:szCs w:val="20"/>
          <w:color w:val="1D1C1D"/>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6" w:name="page7"/>
    <w:bookmarkEnd w:id="6"/>
    <w:p>
      <w:pPr>
        <w:ind w:left="1020" w:hanging="503"/>
        <w:spacing w:after="0" w:line="256" w:lineRule="auto"/>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Q3 2025, expect Adjusted EBITDA of approximately $4.0-5.0 million, an improvement from an Adjusted EBITDA loss of $0.6 million in Q3 2024.</w:t>
      </w:r>
    </w:p>
    <w:p>
      <w:pPr>
        <w:spacing w:after="0" w:line="48" w:lineRule="exact"/>
        <w:rPr>
          <w:rFonts w:ascii="Times New Roman" w:cs="Times New Roman" w:eastAsia="Times New Roman" w:hAnsi="Times New Roman"/>
          <w:sz w:val="20"/>
          <w:szCs w:val="20"/>
          <w:color w:val="1D1C1D"/>
        </w:rPr>
      </w:pPr>
    </w:p>
    <w:p>
      <w:pPr>
        <w:ind w:left="1020" w:right="380" w:hanging="503"/>
        <w:spacing w:after="0" w:line="256" w:lineRule="auto"/>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the full year 2025, we are raising our marketplace growth outlook from our previous guidance of at least 22% growth to 23-24% growth.</w:t>
      </w:r>
    </w:p>
    <w:p>
      <w:pPr>
        <w:spacing w:after="0" w:line="48" w:lineRule="exact"/>
        <w:rPr>
          <w:rFonts w:ascii="Times New Roman" w:cs="Times New Roman" w:eastAsia="Times New Roman" w:hAnsi="Times New Roman"/>
          <w:sz w:val="20"/>
          <w:szCs w:val="20"/>
          <w:color w:val="1D1C1D"/>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We expect supplier services revenue to be down approximately 5% year-over-year.</w:t>
      </w:r>
    </w:p>
    <w:p>
      <w:pPr>
        <w:spacing w:after="0" w:line="106" w:lineRule="exact"/>
        <w:rPr>
          <w:rFonts w:ascii="Times New Roman" w:cs="Times New Roman" w:eastAsia="Times New Roman" w:hAnsi="Times New Roman"/>
          <w:sz w:val="20"/>
          <w:szCs w:val="20"/>
          <w:color w:val="1D1C1D"/>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1D1C1D"/>
        </w:rPr>
      </w:pPr>
      <w:r>
        <w:rPr>
          <w:rFonts w:ascii="Arial" w:cs="Arial" w:eastAsia="Arial" w:hAnsi="Arial"/>
          <w:sz w:val="20"/>
          <w:szCs w:val="20"/>
          <w:color w:val="1D1C1D"/>
        </w:rPr>
        <w:t>For FY 2025, expect incremental Adjusted EBITDA margin of approximately 21% on a year-over-year basis.</w:t>
      </w:r>
    </w:p>
    <w:p>
      <w:pPr>
        <w:spacing w:after="0" w:line="215"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Xometry’s third quarter 2025 and full year 2025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71"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Reconciliation of Adjusted EBITDA on a forward-looking basis to net loss, the most directly comparable GAAP measure, is not available without unreasonable efforts due to the high variability and complexity and low visibility with respect to certain charges excluded from this non-GAAP measure, including interest and dividend income, benefit for income taxes, charitable contributions of common stock and impairment of assets. Xometry expects the variability of these items could have a significant, and potentially unpredictable, impact on its future GAAP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6"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income (loss)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72"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 w:name="page8"/>
    <w:bookmarkEnd w:id="7"/>
    <w:p>
      <w:pPr>
        <w:ind w:right="4080"/>
        <w:spacing w:after="0" w:line="326"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ind w:right="340"/>
        <w:spacing w:after="0" w:line="259" w:lineRule="auto"/>
        <w:rPr>
          <w:sz w:val="20"/>
          <w:szCs w:val="20"/>
          <w:color w:val="auto"/>
        </w:rPr>
      </w:pPr>
      <w:r>
        <w:rPr>
          <w:rFonts w:ascii="Arial" w:cs="Arial" w:eastAsia="Arial" w:hAnsi="Arial"/>
          <w:sz w:val="20"/>
          <w:szCs w:val="20"/>
          <w:b w:val="1"/>
          <w:bCs w:val="1"/>
          <w:color w:val="auto"/>
        </w:rPr>
        <w:t xml:space="preserve">Supplier service revenue: </w:t>
      </w:r>
      <w:r>
        <w:rPr>
          <w:rFonts w:ascii="Arial" w:cs="Arial" w:eastAsia="Arial" w:hAnsi="Arial"/>
          <w:sz w:val="20"/>
          <w:szCs w:val="20"/>
          <w:color w:val="auto"/>
        </w:rPr>
        <w:t>includes the sales of marketing and advertising services and, to a lesser extent, financial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SaaS-based solutions.</w:t>
      </w:r>
    </w:p>
    <w:p>
      <w:pPr>
        <w:spacing w:after="0" w:line="17" w:lineRule="exact"/>
        <w:rPr>
          <w:sz w:val="20"/>
          <w:szCs w:val="20"/>
          <w:color w:val="auto"/>
        </w:rPr>
      </w:pPr>
    </w:p>
    <w:p>
      <w:pPr>
        <w:ind w:right="440"/>
        <w:spacing w:after="0" w:line="242"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33"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w:t>
      </w:r>
    </w:p>
    <w:p>
      <w:pPr>
        <w:spacing w:after="0" w:line="37" w:lineRule="exact"/>
        <w:rPr>
          <w:sz w:val="20"/>
          <w:szCs w:val="20"/>
          <w:color w:val="auto"/>
        </w:rPr>
      </w:pPr>
    </w:p>
    <w:p>
      <w:pPr>
        <w:jc w:val="both"/>
        <w:ind w:right="12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6"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14"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Adjusted earnings before interest, taxes, depreciation and amortization (Adjusted EBITDA)</w:t>
      </w:r>
      <w:r>
        <w:rPr>
          <w:rFonts w:ascii="Arial" w:cs="Arial" w:eastAsia="Arial" w:hAnsi="Arial"/>
          <w:sz w:val="19"/>
          <w:szCs w:val="19"/>
          <w:color w:val="auto"/>
        </w:rPr>
        <w:t>: The Company defines</w:t>
      </w:r>
      <w:r>
        <w:rPr>
          <w:rFonts w:ascii="Arial" w:cs="Arial" w:eastAsia="Arial" w:hAnsi="Arial"/>
          <w:sz w:val="19"/>
          <w:szCs w:val="19"/>
          <w:b w:val="1"/>
          <w:bCs w:val="1"/>
          <w:color w:val="auto"/>
        </w:rPr>
        <w:t xml:space="preserve"> </w:t>
      </w:r>
      <w:r>
        <w:rPr>
          <w:rFonts w:ascii="Arial" w:cs="Arial" w:eastAsia="Arial" w:hAnsi="Arial"/>
          <w:sz w:val="19"/>
          <w:szCs w:val="19"/>
          <w:color w:val="auto"/>
        </w:rPr>
        <w:t>Adjusted EBITDA as net loss, adjusted for interest expense, interest and dividend income and other expenses, and certain other non-cash or non-recurring items impacting net loss from time to time, principally comprised of depreciation and amortization, amortization of lease intangible, benefit for income taxes, stock-based compensation, payroll tax expense related to stock-based compensation, charitable contributions of common stock, income from unconsolidated joint venture, restructuring charges and acquisition and other adjustments not reflective of the Company’s ongoing business, such as adjustments related to purchase accounting, the revaluation of contingent consideration, transaction costs and executive severance.</w:t>
      </w:r>
    </w:p>
    <w:p>
      <w:pPr>
        <w:spacing w:after="0" w:line="32"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b w:val="1"/>
          <w:bCs w:val="1"/>
          <w:color w:val="auto"/>
        </w:rPr>
        <w:t xml:space="preserve">Non-GAAP net income (loss): </w:t>
      </w:r>
      <w:r>
        <w:rPr>
          <w:rFonts w:ascii="Arial" w:cs="Arial" w:eastAsia="Arial" w:hAnsi="Arial"/>
          <w:sz w:val="20"/>
          <w:szCs w:val="20"/>
          <w:color w:val="auto"/>
        </w:rPr>
        <w:t>The Company defines non-GAAP net income (loss) as net loss adjusted for depreciation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amortization, stock-based compensation, payroll tax expense related to stock-based compensation, amortization of lease intangible, amortization of deferred costs on convertible notes, gain on sale of property and equipment, charitable contributions of common stock, lease termination, restructuring charges, loss on debt extinguishment and acquisition and other adjustments not reflective of the Company’s ongoing business, such as adjustments related to purchase accounting, the revaluation of contingent consideration, transaction costs and executive severance.</w:t>
      </w:r>
    </w:p>
    <w:p>
      <w:pPr>
        <w:spacing w:after="0" w:line="37" w:lineRule="exact"/>
        <w:rPr>
          <w:sz w:val="20"/>
          <w:szCs w:val="20"/>
          <w:color w:val="auto"/>
        </w:rPr>
      </w:pPr>
    </w:p>
    <w:p>
      <w:pPr>
        <w:ind w:right="28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income (loss) divided by weighted average number of basic or dilutive shares of common stock outstanding.</w:t>
      </w:r>
    </w:p>
    <w:p>
      <w:pPr>
        <w:spacing w:after="0" w:line="25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income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auto"/>
        </w:rPr>
        <w:t>Xometry’s (NASDAQ: XMTR) AI-powered marketplace, popular Thomasnet® industrial sourcing platform and suite of cloud-based services are rapidly digitizing the manufacturing industry. Xometry provides manufacturers the critical resources they need to grow their business and streamlines the procurement process for buyers through real-time pricing and lead time data. Learn more at xometry.com and xometry.eu.</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August 5, 2025. In addition to its press release announcing its second quarter 2025 financial results, Xometry will release an earnings presentation, which will be available on its investor website at investors.xometry.com.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Xometry, Inc. Second Quarter 2025 Earnings Presentation and Conference Call</w:t>
      </w:r>
    </w:p>
    <w:p>
      <w:pPr>
        <w:spacing w:after="0" w:line="3"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Tuesday, August 5, 2025</w:t>
      </w:r>
    </w:p>
    <w:p>
      <w:pPr>
        <w:ind w:left="1020" w:hanging="503"/>
        <w:spacing w:after="0" w:line="238"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w:t>
      </w:r>
    </w:p>
    <w:p>
      <w:pPr>
        <w:ind w:left="1020" w:hanging="503"/>
        <w:spacing w:after="0" w:line="238"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To access the webcast use the following link: https://register-conf.media-server.com/register</w:t>
      </w:r>
    </w:p>
    <w:p>
      <w:pPr>
        <w:ind w:left="1020" w:right="60" w:hanging="503"/>
        <w:spacing w:after="0" w:line="239" w:lineRule="auto"/>
        <w:tabs>
          <w:tab w:leader="none" w:pos="102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Information Regarding Forward-Looking Statements</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third quarter of 2025 and the full year 2025; our expectations regarding our growth; and statements regarding our strategies, initiatives,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2024,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00"/>
          </w:cols>
          <w:pgMar w:left="320" w:top="1088" w:right="37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Shawn Milne</w:t>
      </w:r>
    </w:p>
    <w:p>
      <w:pPr>
        <w:spacing w:after="0" w:line="232" w:lineRule="auto"/>
        <w:rPr>
          <w:sz w:val="20"/>
          <w:szCs w:val="20"/>
          <w:color w:val="auto"/>
        </w:rPr>
      </w:pPr>
      <w:r>
        <w:rPr>
          <w:rFonts w:ascii="Arial" w:cs="Arial" w:eastAsia="Arial" w:hAnsi="Arial"/>
          <w:sz w:val="17"/>
          <w:szCs w:val="17"/>
          <w:color w:val="auto"/>
        </w:rPr>
        <w:t>VP Investor Relations</w:t>
      </w:r>
    </w:p>
    <w:p>
      <w:pPr>
        <w:spacing w:after="0" w:line="232" w:lineRule="auto"/>
        <w:rPr>
          <w:sz w:val="20"/>
          <w:szCs w:val="20"/>
          <w:color w:val="auto"/>
        </w:rPr>
      </w:pPr>
      <w:r>
        <w:rPr>
          <w:rFonts w:ascii="Arial" w:cs="Arial" w:eastAsia="Arial" w:hAnsi="Arial"/>
          <w:sz w:val="17"/>
          <w:szCs w:val="17"/>
          <w:color w:val="auto"/>
        </w:rPr>
        <w:t>240-335-8132</w:t>
      </w:r>
    </w:p>
    <w:p>
      <w:pPr>
        <w:spacing w:after="0"/>
        <w:rPr>
          <w:sz w:val="20"/>
          <w:szCs w:val="20"/>
          <w:color w:val="auto"/>
        </w:rPr>
      </w:pPr>
      <w:r>
        <w:rPr>
          <w:rFonts w:ascii="Arial" w:cs="Arial" w:eastAsia="Arial" w:hAnsi="Arial"/>
          <w:sz w:val="17"/>
          <w:szCs w:val="17"/>
          <w:color w:val="auto"/>
        </w:rPr>
        <w:t>shawn.milne@xometry.com</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Lauran Cacciatori</w:t>
      </w:r>
    </w:p>
    <w:p>
      <w:pPr>
        <w:spacing w:after="0" w:line="232" w:lineRule="auto"/>
        <w:rPr>
          <w:sz w:val="20"/>
          <w:szCs w:val="20"/>
          <w:color w:val="auto"/>
        </w:rPr>
      </w:pPr>
      <w:r>
        <w:rPr>
          <w:rFonts w:ascii="Arial" w:cs="Arial" w:eastAsia="Arial" w:hAnsi="Arial"/>
          <w:sz w:val="17"/>
          <w:szCs w:val="17"/>
          <w:color w:val="auto"/>
        </w:rPr>
        <w:t>VP Communications</w:t>
      </w:r>
    </w:p>
    <w:p>
      <w:pPr>
        <w:spacing w:after="0" w:line="232" w:lineRule="auto"/>
        <w:rPr>
          <w:sz w:val="20"/>
          <w:szCs w:val="20"/>
          <w:color w:val="auto"/>
        </w:rPr>
      </w:pPr>
      <w:r>
        <w:rPr>
          <w:rFonts w:ascii="Arial" w:cs="Arial" w:eastAsia="Arial" w:hAnsi="Arial"/>
          <w:sz w:val="17"/>
          <w:szCs w:val="17"/>
          <w:color w:val="auto"/>
        </w:rPr>
        <w:t>773-610-0806</w:t>
      </w:r>
    </w:p>
    <w:p>
      <w:pPr>
        <w:spacing w:after="0"/>
        <w:rPr>
          <w:sz w:val="20"/>
          <w:szCs w:val="20"/>
          <w:color w:val="auto"/>
        </w:rPr>
      </w:pPr>
      <w:r>
        <w:rPr>
          <w:rFonts w:ascii="Arial" w:cs="Arial" w:eastAsia="Arial" w:hAnsi="Arial"/>
          <w:sz w:val="17"/>
          <w:szCs w:val="17"/>
          <w:color w:val="auto"/>
        </w:rPr>
        <w:t>lauran.cacciatori@xometry.com</w:t>
      </w:r>
    </w:p>
    <w:p>
      <w:pPr>
        <w:spacing w:after="0" w:line="200" w:lineRule="exact"/>
        <w:rPr>
          <w:sz w:val="20"/>
          <w:szCs w:val="20"/>
          <w:color w:val="auto"/>
        </w:rPr>
      </w:pPr>
    </w:p>
    <w:p>
      <w:pPr>
        <w:sectPr>
          <w:pgSz w:w="11900" w:h="16838" w:orient="portrait"/>
          <w:cols w:equalWidth="0" w:num="2">
            <w:col w:w="4900" w:space="720"/>
            <w:col w:w="5580"/>
          </w:cols>
          <w:pgMar w:left="320" w:top="1088" w:right="37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740"/>
        <w:spacing w:after="0" w:line="231" w:lineRule="auto"/>
        <w:rPr>
          <w:sz w:val="20"/>
          <w:szCs w:val="20"/>
          <w:color w:val="auto"/>
        </w:rPr>
      </w:pPr>
      <w:r>
        <w:rPr>
          <w:rFonts w:ascii="Arial" w:cs="Arial" w:eastAsia="Arial" w:hAnsi="Arial"/>
          <w:sz w:val="20"/>
          <w:szCs w:val="20"/>
          <w:color w:val="auto"/>
        </w:rPr>
        <w:t>Condensed Consolidated Balance Sheets</w:t>
      </w:r>
    </w:p>
    <w:p>
      <w:pPr>
        <w:ind w:left="3520"/>
        <w:spacing w:after="0" w:line="226" w:lineRule="auto"/>
        <w:rPr>
          <w:sz w:val="20"/>
          <w:szCs w:val="20"/>
          <w:color w:val="auto"/>
        </w:rPr>
      </w:pPr>
      <w:r>
        <w:rPr>
          <w:rFonts w:ascii="Arial" w:cs="Arial" w:eastAsia="Arial" w:hAnsi="Arial"/>
          <w:sz w:val="20"/>
          <w:szCs w:val="20"/>
          <w:color w:val="auto"/>
        </w:rPr>
        <w:t>(In thousands, except share and per share data)</w:t>
      </w:r>
    </w:p>
    <w:p>
      <w:pPr>
        <w:jc w:val="center"/>
        <w:spacing w:after="0" w:line="231" w:lineRule="auto"/>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79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83"/>
        </w:trPr>
        <w:tc>
          <w:tcPr>
            <w:tcW w:w="79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16,751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22,232</w:t>
            </w:r>
          </w:p>
        </w:tc>
        <w:tc>
          <w:tcPr>
            <w:tcW w:w="100" w:type="dxa"/>
            <w:vAlign w:val="bottom"/>
            <w:shd w:val="clear" w:color="auto" w:fill="CFF0FC"/>
          </w:tcPr>
          <w:p>
            <w:pPr>
              <w:spacing w:after="0"/>
              <w:rPr>
                <w:sz w:val="16"/>
                <w:szCs w:val="16"/>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209,041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217,603</w:t>
            </w:r>
          </w:p>
        </w:tc>
        <w:tc>
          <w:tcPr>
            <w:tcW w:w="100" w:type="dxa"/>
            <w:vAlign w:val="bottom"/>
          </w:tcPr>
          <w:p>
            <w:pPr>
              <w:spacing w:after="0"/>
              <w:rPr>
                <w:sz w:val="16"/>
                <w:szCs w:val="16"/>
                <w:color w:val="auto"/>
              </w:rPr>
            </w:pPr>
          </w:p>
        </w:tc>
      </w:tr>
      <w:tr>
        <w:trPr>
          <w:trHeight w:val="175"/>
        </w:trPr>
        <w:tc>
          <w:tcPr>
            <w:tcW w:w="79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Accounts receivable, less allowance for credit losses of $4.8 million and $4.9 million as of June 30, 2025</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and December 31, 2024, respectively</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86,877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73,962</w:t>
            </w:r>
          </w:p>
        </w:tc>
        <w:tc>
          <w:tcPr>
            <w:tcW w:w="100" w:type="dxa"/>
            <w:vAlign w:val="bottom"/>
            <w:shd w:val="clear" w:color="auto" w:fill="CFF0FC"/>
          </w:tcPr>
          <w:p>
            <w:pPr>
              <w:spacing w:after="0"/>
              <w:rPr>
                <w:sz w:val="17"/>
                <w:szCs w:val="17"/>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3,915</w:t>
            </w:r>
          </w:p>
        </w:tc>
        <w:tc>
          <w:tcPr>
            <w:tcW w:w="100" w:type="dxa"/>
            <w:vAlign w:val="bottom"/>
          </w:tcPr>
          <w:p>
            <w:pPr>
              <w:spacing w:after="0"/>
              <w:rPr>
                <w:sz w:val="16"/>
                <w:szCs w:val="16"/>
                <w:color w:val="auto"/>
              </w:rPr>
            </w:pP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4,954</w:t>
            </w:r>
          </w:p>
        </w:tc>
        <w:tc>
          <w:tcPr>
            <w:tcW w:w="100" w:type="dxa"/>
            <w:vAlign w:val="bottom"/>
            <w:shd w:val="clear" w:color="auto" w:fill="CFF0FC"/>
          </w:tcPr>
          <w:p>
            <w:pPr>
              <w:spacing w:after="0"/>
              <w:rPr>
                <w:sz w:val="16"/>
                <w:szCs w:val="16"/>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4,874</w:t>
            </w:r>
          </w:p>
        </w:tc>
        <w:tc>
          <w:tcPr>
            <w:tcW w:w="100" w:type="dxa"/>
            <w:vAlign w:val="bottom"/>
          </w:tcPr>
          <w:p>
            <w:pPr>
              <w:spacing w:after="0"/>
              <w:rPr>
                <w:sz w:val="16"/>
                <w:szCs w:val="16"/>
                <w:color w:val="auto"/>
              </w:rPr>
            </w:pPr>
          </w:p>
        </w:tc>
      </w:tr>
      <w:tr>
        <w:trPr>
          <w:trHeight w:val="183"/>
        </w:trPr>
        <w:tc>
          <w:tcPr>
            <w:tcW w:w="79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current assets</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328,510</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327,540</w:t>
            </w:r>
          </w:p>
        </w:tc>
        <w:tc>
          <w:tcPr>
            <w:tcW w:w="100" w:type="dxa"/>
            <w:vAlign w:val="bottom"/>
            <w:shd w:val="clear" w:color="auto" w:fill="CFF0FC"/>
          </w:tcPr>
          <w:p>
            <w:pPr>
              <w:spacing w:after="0"/>
              <w:rPr>
                <w:sz w:val="15"/>
                <w:szCs w:val="15"/>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51,192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44,825</w:t>
            </w:r>
          </w:p>
        </w:tc>
        <w:tc>
          <w:tcPr>
            <w:tcW w:w="100" w:type="dxa"/>
            <w:vAlign w:val="bottom"/>
          </w:tcPr>
          <w:p>
            <w:pPr>
              <w:spacing w:after="0"/>
              <w:rPr>
                <w:sz w:val="16"/>
                <w:szCs w:val="16"/>
                <w:color w:val="auto"/>
              </w:rPr>
            </w:pP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8,462</w:t>
            </w:r>
          </w:p>
        </w:tc>
        <w:tc>
          <w:tcPr>
            <w:tcW w:w="100" w:type="dxa"/>
            <w:vAlign w:val="bottom"/>
            <w:shd w:val="clear" w:color="auto" w:fill="CFF0FC"/>
          </w:tcPr>
          <w:p>
            <w:pPr>
              <w:spacing w:after="0"/>
              <w:rPr>
                <w:sz w:val="16"/>
                <w:szCs w:val="16"/>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Investment in unconsolidated joint venture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4,089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4,065</w:t>
            </w:r>
          </w:p>
        </w:tc>
        <w:tc>
          <w:tcPr>
            <w:tcW w:w="100" w:type="dxa"/>
            <w:vAlign w:val="bottom"/>
          </w:tcPr>
          <w:p>
            <w:pPr>
              <w:spacing w:after="0"/>
              <w:rPr>
                <w:sz w:val="16"/>
                <w:szCs w:val="16"/>
                <w:color w:val="auto"/>
              </w:rPr>
            </w:pP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30,350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32,139</w:t>
            </w:r>
          </w:p>
        </w:tc>
        <w:tc>
          <w:tcPr>
            <w:tcW w:w="100" w:type="dxa"/>
            <w:vAlign w:val="bottom"/>
            <w:shd w:val="clear" w:color="auto" w:fill="CFF0FC"/>
          </w:tcPr>
          <w:p>
            <w:pPr>
              <w:spacing w:after="0"/>
              <w:rPr>
                <w:sz w:val="16"/>
                <w:szCs w:val="16"/>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263,771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262,686</w:t>
            </w:r>
          </w:p>
        </w:tc>
        <w:tc>
          <w:tcPr>
            <w:tcW w:w="100" w:type="dxa"/>
            <w:vAlign w:val="bottom"/>
          </w:tcPr>
          <w:p>
            <w:pPr>
              <w:spacing w:after="0"/>
              <w:rPr>
                <w:sz w:val="16"/>
                <w:szCs w:val="16"/>
                <w:color w:val="auto"/>
              </w:rPr>
            </w:pPr>
          </w:p>
        </w:tc>
      </w:tr>
      <w:tr>
        <w:trPr>
          <w:trHeight w:val="189"/>
        </w:trPr>
        <w:tc>
          <w:tcPr>
            <w:tcW w:w="7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2,654</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960" w:type="dxa"/>
            <w:vAlign w:val="bottom"/>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687,041</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680,129</w:t>
            </w:r>
          </w:p>
        </w:tc>
        <w:tc>
          <w:tcPr>
            <w:tcW w:w="100" w:type="dxa"/>
            <w:vAlign w:val="bottom"/>
          </w:tcPr>
          <w:p>
            <w:pPr>
              <w:spacing w:after="0"/>
              <w:rPr>
                <w:sz w:val="15"/>
                <w:szCs w:val="15"/>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96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cost of revenue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41,985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35,023</w:t>
            </w:r>
          </w:p>
        </w:tc>
        <w:tc>
          <w:tcPr>
            <w:tcW w:w="100" w:type="dxa"/>
            <w:vAlign w:val="bottom"/>
            <w:shd w:val="clear" w:color="auto" w:fill="CFF0FC"/>
          </w:tcPr>
          <w:p>
            <w:pPr>
              <w:spacing w:after="0"/>
              <w:rPr>
                <w:sz w:val="16"/>
                <w:szCs w:val="16"/>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Other accrued expenses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26,782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24,401</w:t>
            </w:r>
          </w:p>
        </w:tc>
        <w:tc>
          <w:tcPr>
            <w:tcW w:w="100" w:type="dxa"/>
            <w:vAlign w:val="bottom"/>
          </w:tcPr>
          <w:p>
            <w:pPr>
              <w:spacing w:after="0"/>
              <w:rPr>
                <w:sz w:val="16"/>
                <w:szCs w:val="16"/>
                <w:color w:val="auto"/>
              </w:rPr>
            </w:pP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7,948</w:t>
            </w:r>
          </w:p>
        </w:tc>
        <w:tc>
          <w:tcPr>
            <w:tcW w:w="100" w:type="dxa"/>
            <w:vAlign w:val="bottom"/>
            <w:shd w:val="clear" w:color="auto" w:fill="CFF0FC"/>
          </w:tcPr>
          <w:p>
            <w:pPr>
              <w:spacing w:after="0"/>
              <w:rPr>
                <w:sz w:val="16"/>
                <w:szCs w:val="16"/>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6"/>
                <w:szCs w:val="16"/>
                <w:color w:val="auto"/>
              </w:rPr>
            </w:pPr>
          </w:p>
        </w:tc>
      </w:tr>
      <w:tr>
        <w:trPr>
          <w:trHeight w:val="189"/>
        </w:trPr>
        <w:tc>
          <w:tcPr>
            <w:tcW w:w="7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lease liabilities, current portion</w:t>
            </w:r>
          </w:p>
        </w:tc>
        <w:tc>
          <w:tcPr>
            <w:tcW w:w="2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4,182</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960" w:type="dxa"/>
            <w:vAlign w:val="bottom"/>
          </w:tcPr>
          <w:p>
            <w:pPr>
              <w:spacing w:after="0" w:line="183" w:lineRule="exact"/>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84,025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74,787</w:t>
            </w:r>
          </w:p>
        </w:tc>
        <w:tc>
          <w:tcPr>
            <w:tcW w:w="100" w:type="dxa"/>
            <w:vAlign w:val="bottom"/>
          </w:tcPr>
          <w:p>
            <w:pPr>
              <w:spacing w:after="0"/>
              <w:rPr>
                <w:sz w:val="15"/>
                <w:szCs w:val="15"/>
                <w:color w:val="auto"/>
              </w:rPr>
            </w:pP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Convertible notes</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326,390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283,628</w:t>
            </w:r>
          </w:p>
        </w:tc>
        <w:tc>
          <w:tcPr>
            <w:tcW w:w="100" w:type="dxa"/>
            <w:vAlign w:val="bottom"/>
            <w:shd w:val="clear" w:color="auto" w:fill="CFF0FC"/>
          </w:tcPr>
          <w:p>
            <w:pPr>
              <w:spacing w:after="0"/>
              <w:rPr>
                <w:sz w:val="16"/>
                <w:szCs w:val="16"/>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5,072</w:t>
            </w:r>
          </w:p>
        </w:tc>
        <w:tc>
          <w:tcPr>
            <w:tcW w:w="100" w:type="dxa"/>
            <w:vAlign w:val="bottom"/>
          </w:tcPr>
          <w:p>
            <w:pPr>
              <w:spacing w:after="0"/>
              <w:rPr>
                <w:sz w:val="16"/>
                <w:szCs w:val="16"/>
                <w:color w:val="auto"/>
              </w:rPr>
            </w:pP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FF0FC"/>
          </w:tcPr>
          <w:p>
            <w:pPr>
              <w:spacing w:after="0"/>
              <w:rPr>
                <w:sz w:val="16"/>
                <w:szCs w:val="16"/>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6"/>
                <w:szCs w:val="16"/>
                <w:color w:val="auto"/>
              </w:rPr>
            </w:pPr>
          </w:p>
        </w:tc>
      </w:tr>
      <w:tr>
        <w:trPr>
          <w:trHeight w:val="183"/>
        </w:trPr>
        <w:tc>
          <w:tcPr>
            <w:tcW w:w="79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415,520</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364,533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960" w:type="dxa"/>
            <w:vAlign w:val="bottom"/>
          </w:tcPr>
          <w:p>
            <w:pPr>
              <w:spacing w:after="0" w:line="183" w:lineRule="exact"/>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5"/>
        </w:trPr>
        <w:tc>
          <w:tcPr>
            <w:tcW w:w="7960" w:type="dxa"/>
            <w:vAlign w:val="bottom"/>
          </w:tcPr>
          <w:p>
            <w:pPr>
              <w:spacing w:after="0" w:line="175" w:lineRule="exact"/>
              <w:rPr>
                <w:sz w:val="20"/>
                <w:szCs w:val="20"/>
                <w:color w:val="auto"/>
              </w:rPr>
            </w:pPr>
            <w:r>
              <w:rPr>
                <w:rFonts w:ascii="Arial" w:cs="Arial" w:eastAsia="Arial" w:hAnsi="Arial"/>
                <w:sz w:val="16"/>
                <w:szCs w:val="16"/>
                <w:color w:val="auto"/>
              </w:rPr>
              <w:t>Preferred stock, $0.000001 par value. Authorized; 50,000,000 shares; zero shares issued and outstanding</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6"/>
                <w:szCs w:val="16"/>
                <w:color w:val="auto"/>
              </w:rPr>
              <w:t>as of June 30, 2025 and December 31, 2024, respectively</w:t>
            </w:r>
          </w:p>
        </w:tc>
        <w:tc>
          <w:tcPr>
            <w:tcW w:w="2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5"/>
        </w:trPr>
        <w:tc>
          <w:tcPr>
            <w:tcW w:w="79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Class A Common stock, $0.000001 par value. Authorized; 750,000,000 shares; 49,107,080 shares and</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48,289,274 shares issued and outstanding as of June 30, 2025 and December 31, 2024, respectively</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75"/>
        </w:trPr>
        <w:tc>
          <w:tcPr>
            <w:tcW w:w="7960" w:type="dxa"/>
            <w:vAlign w:val="bottom"/>
          </w:tcPr>
          <w:p>
            <w:pPr>
              <w:spacing w:after="0" w:line="175" w:lineRule="exact"/>
              <w:rPr>
                <w:sz w:val="20"/>
                <w:szCs w:val="20"/>
                <w:color w:val="auto"/>
              </w:rPr>
            </w:pPr>
            <w:r>
              <w:rPr>
                <w:rFonts w:ascii="Arial" w:cs="Arial" w:eastAsia="Arial" w:hAnsi="Arial"/>
                <w:sz w:val="16"/>
                <w:szCs w:val="16"/>
                <w:color w:val="auto"/>
              </w:rPr>
              <w:t>Class B Common stock, $0.000001 par value. Authorized; 5,000,000 shares; 1,475,311 shares issued and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6"/>
                <w:szCs w:val="16"/>
                <w:color w:val="auto"/>
              </w:rPr>
              <w:t>outstanding as of June 30, 2025 and December 31, 2024</w:t>
            </w:r>
          </w:p>
        </w:tc>
        <w:tc>
          <w:tcPr>
            <w:tcW w:w="2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685,986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685,054</w:t>
            </w:r>
          </w:p>
        </w:tc>
        <w:tc>
          <w:tcPr>
            <w:tcW w:w="100" w:type="dxa"/>
            <w:vAlign w:val="bottom"/>
            <w:shd w:val="clear" w:color="auto" w:fill="CFF0FC"/>
          </w:tcPr>
          <w:p>
            <w:pPr>
              <w:spacing w:after="0"/>
              <w:rPr>
                <w:sz w:val="16"/>
                <w:szCs w:val="16"/>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Treasury stock, at cost, 220,994 and no shares as of June 30, 2025 and December 31, 2024, respectively</w:t>
            </w:r>
          </w:p>
        </w:tc>
        <w:tc>
          <w:tcPr>
            <w:tcW w:w="24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(8,080)</w:t>
            </w:r>
          </w:p>
        </w:tc>
        <w:tc>
          <w:tcPr>
            <w:tcW w:w="16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96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(328)</w:t>
            </w:r>
          </w:p>
        </w:tc>
      </w:tr>
      <w:tr>
        <w:trPr>
          <w:trHeight w:val="189"/>
        </w:trPr>
        <w:tc>
          <w:tcPr>
            <w:tcW w:w="7960" w:type="dxa"/>
            <w:vAlign w:val="bottom"/>
          </w:tcPr>
          <w:p>
            <w:pPr>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(411,785)</w:t>
            </w:r>
          </w:p>
        </w:tc>
        <w:tc>
          <w:tcPr>
            <w:tcW w:w="16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(370,273)</w:t>
            </w:r>
          </w:p>
        </w:tc>
      </w:tr>
      <w:tr>
        <w:trPr>
          <w:trHeight w:val="183"/>
        </w:trPr>
        <w:tc>
          <w:tcPr>
            <w:tcW w:w="79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270,402</w:t>
            </w:r>
          </w:p>
        </w:tc>
        <w:tc>
          <w:tcPr>
            <w:tcW w:w="2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314,453</w:t>
            </w:r>
          </w:p>
        </w:tc>
        <w:tc>
          <w:tcPr>
            <w:tcW w:w="100" w:type="dxa"/>
            <w:vAlign w:val="bottom"/>
            <w:shd w:val="clear" w:color="auto" w:fill="CFF0FC"/>
          </w:tcPr>
          <w:p>
            <w:pPr>
              <w:spacing w:after="0"/>
              <w:rPr>
                <w:sz w:val="15"/>
                <w:szCs w:val="15"/>
                <w:color w:val="auto"/>
              </w:rPr>
            </w:pPr>
          </w:p>
        </w:tc>
      </w:tr>
      <w:tr>
        <w:trPr>
          <w:trHeight w:val="189"/>
        </w:trPr>
        <w:tc>
          <w:tcPr>
            <w:tcW w:w="7960" w:type="dxa"/>
            <w:vAlign w:val="bottom"/>
          </w:tcPr>
          <w:p>
            <w:pPr>
              <w:spacing w:after="0"/>
              <w:rPr>
                <w:sz w:val="20"/>
                <w:szCs w:val="20"/>
                <w:color w:val="auto"/>
              </w:rPr>
            </w:pPr>
            <w:r>
              <w:rPr>
                <w:rFonts w:ascii="Arial" w:cs="Arial" w:eastAsia="Arial" w:hAnsi="Arial"/>
                <w:sz w:val="16"/>
                <w:szCs w:val="16"/>
                <w:b w:val="1"/>
                <w:bCs w:val="1"/>
                <w:color w:val="auto"/>
              </w:rPr>
              <w:t>Noncontrolling interest</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16"/>
                <w:szCs w:val="16"/>
                <w:color w:val="auto"/>
              </w:rPr>
            </w:pPr>
          </w:p>
        </w:tc>
      </w:tr>
      <w:tr>
        <w:trPr>
          <w:trHeight w:val="183"/>
        </w:trPr>
        <w:tc>
          <w:tcPr>
            <w:tcW w:w="79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271,521</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315,596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960" w:type="dxa"/>
            <w:vAlign w:val="bottom"/>
          </w:tcPr>
          <w:p>
            <w:pPr>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687,041</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680,129</w:t>
            </w:r>
          </w:p>
        </w:tc>
        <w:tc>
          <w:tcPr>
            <w:tcW w:w="100" w:type="dxa"/>
            <w:vAlign w:val="bottom"/>
          </w:tcPr>
          <w:p>
            <w:pPr>
              <w:spacing w:after="0"/>
              <w:rPr>
                <w:sz w:val="15"/>
                <w:szCs w:val="15"/>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-3710940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-3710940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-2716530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-1979295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-153670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Condensed Consolidated Statements of Operations and Comprehensive Loss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line="234" w:lineRule="auto"/>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148"/>
        </w:trPr>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6"/>
          </w:tcPr>
          <w:p>
            <w:pPr>
              <w:jc w:val="right"/>
              <w:ind w:right="840"/>
              <w:spacing w:after="0" w:line="148"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6"/>
          </w:tcPr>
          <w:p>
            <w:pPr>
              <w:jc w:val="right"/>
              <w:ind w:right="920"/>
              <w:spacing w:after="0" w:line="148"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162,547</w:t>
            </w:r>
          </w:p>
        </w:tc>
        <w:tc>
          <w:tcPr>
            <w:tcW w:w="1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132,595</w:t>
            </w:r>
          </w:p>
        </w:tc>
        <w:tc>
          <w:tcPr>
            <w:tcW w:w="1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313,518</w:t>
            </w:r>
          </w:p>
        </w:tc>
        <w:tc>
          <w:tcPr>
            <w:tcW w:w="1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255,285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Gross profit</w:t>
            </w:r>
          </w:p>
        </w:tc>
        <w:tc>
          <w:tcPr>
            <w:tcW w:w="2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65,176</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52,877</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121,507</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100,779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line="155" w:lineRule="exact"/>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29,781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27,487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56,216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54,687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Operations and support</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17,732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14,173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34,822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Product development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16,945</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16,488</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33,971</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31,410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line="155" w:lineRule="exact"/>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75,466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68,166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147,188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133,925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Loss from operations</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(10,290)</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(15,289)</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(25,681)</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(33,146)</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b w:val="1"/>
                <w:bCs w:val="1"/>
                <w:color w:val="auto"/>
              </w:rPr>
              <w:t>Other (expenses) income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(1,182)</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(1,188)</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(2,370)</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Interest and dividend income</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Other expenses</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(17,365)</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(18,245)</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Income from unconsolidated joint venture</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other (expenses) income</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(16,155)</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1,575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(15,840)</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280" w:type="dxa"/>
            <w:vAlign w:val="bottom"/>
          </w:tcPr>
          <w:p>
            <w:pPr>
              <w:spacing w:after="0"/>
              <w:rPr>
                <w:sz w:val="13"/>
                <w:szCs w:val="13"/>
                <w:color w:val="auto"/>
              </w:rPr>
            </w:pP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(26,445)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(13,714)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(41,521)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(30,318)</w:t>
            </w:r>
          </w:p>
        </w:tc>
        <w:tc>
          <w:tcPr>
            <w:tcW w:w="0" w:type="dxa"/>
            <w:vAlign w:val="bottom"/>
          </w:tcPr>
          <w:p>
            <w:pPr>
              <w:spacing w:after="0"/>
              <w:rPr>
                <w:sz w:val="1"/>
                <w:szCs w:val="1"/>
                <w:color w:val="auto"/>
              </w:rPr>
            </w:pPr>
          </w:p>
        </w:tc>
      </w:tr>
      <w:tr>
        <w:trPr>
          <w:trHeight w:val="162"/>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Benefit for income taxes</w:t>
            </w: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280" w:type="dxa"/>
            <w:vAlign w:val="bottom"/>
          </w:tcPr>
          <w:p>
            <w:pPr>
              <w:spacing w:after="0"/>
              <w:rPr>
                <w:sz w:val="13"/>
                <w:szCs w:val="13"/>
                <w:color w:val="auto"/>
              </w:rPr>
            </w:pP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(26,437)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(13,704)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(41,513)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(30,308)</w:t>
            </w: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 attributable to noncontrolling interest</w:t>
            </w: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20" w:type="dxa"/>
            <w:vAlign w:val="bottom"/>
          </w:tcPr>
          <w:p>
            <w:pPr>
              <w:spacing w:after="0" w:line="155" w:lineRule="exact"/>
              <w:rPr>
                <w:sz w:val="20"/>
                <w:szCs w:val="20"/>
                <w:color w:val="auto"/>
              </w:rPr>
            </w:pPr>
            <w:r>
              <w:rPr>
                <w:rFonts w:ascii="Arial" w:cs="Arial" w:eastAsia="Arial" w:hAnsi="Arial"/>
                <w:sz w:val="14"/>
                <w:szCs w:val="14"/>
                <w:b w:val="1"/>
                <w:bCs w:val="1"/>
                <w:color w:val="auto"/>
              </w:rPr>
              <w:t>Net loss attributable to common stockholders</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(26,434)</w:t>
            </w:r>
          </w:p>
        </w:tc>
        <w:tc>
          <w:tcPr>
            <w:tcW w:w="420" w:type="dxa"/>
            <w:vAlign w:val="bottom"/>
            <w:gridSpan w:val="2"/>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(13,697)</w:t>
            </w:r>
          </w:p>
        </w:tc>
        <w:tc>
          <w:tcPr>
            <w:tcW w:w="38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(41,512)</w:t>
            </w:r>
          </w:p>
        </w:tc>
        <w:tc>
          <w:tcPr>
            <w:tcW w:w="440" w:type="dxa"/>
            <w:vAlign w:val="bottom"/>
            <w:gridSpan w:val="2"/>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(30,313)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20" w:type="dxa"/>
            <w:vAlign w:val="bottom"/>
            <w:shd w:val="clear" w:color="auto" w:fill="CFF0FC"/>
          </w:tcPr>
          <w:p>
            <w:pPr>
              <w:spacing w:after="0" w:line="133" w:lineRule="exact"/>
              <w:rPr>
                <w:sz w:val="20"/>
                <w:szCs w:val="20"/>
                <w:color w:val="auto"/>
              </w:rPr>
            </w:pPr>
            <w:r>
              <w:rPr>
                <w:rFonts w:ascii="Arial" w:cs="Arial" w:eastAsia="Arial" w:hAnsi="Arial"/>
                <w:sz w:val="14"/>
                <w:szCs w:val="14"/>
                <w:color w:val="auto"/>
              </w:rPr>
              <w:t>Net loss per share, basic and diluted, of Class A and Class B common</w:t>
            </w:r>
          </w:p>
        </w:tc>
        <w:tc>
          <w:tcPr>
            <w:tcW w:w="28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(0.52)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(0.28)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(0.82)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20" w:type="dxa"/>
            <w:vAlign w:val="bottom"/>
            <w:tcBorders>
              <w:bottom w:val="single" w:sz="8" w:color="CFF0FC"/>
            </w:tcBorders>
            <w:shd w:val="clear" w:color="auto" w:fill="CFF0FC"/>
          </w:tcPr>
          <w:p>
            <w:pPr>
              <w:ind w:left="120"/>
              <w:spacing w:after="0" w:line="125" w:lineRule="exact"/>
              <w:rPr>
                <w:sz w:val="20"/>
                <w:szCs w:val="20"/>
                <w:color w:val="auto"/>
              </w:rPr>
            </w:pPr>
            <w:r>
              <w:rPr>
                <w:rFonts w:ascii="Arial" w:cs="Arial" w:eastAsia="Arial" w:hAnsi="Arial"/>
                <w:sz w:val="14"/>
                <w:szCs w:val="14"/>
                <w:color w:val="auto"/>
              </w:rPr>
              <w:t>stock</w:t>
            </w:r>
          </w:p>
        </w:tc>
        <w:tc>
          <w:tcPr>
            <w:tcW w:w="280" w:type="dxa"/>
            <w:vAlign w:val="bottom"/>
            <w:tcBorders>
              <w:bottom w:val="single" w:sz="8" w:color="auto"/>
            </w:tcBorders>
            <w:vMerge w:val="continue"/>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vMerge w:val="continue"/>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line="133" w:lineRule="exact"/>
              <w:rPr>
                <w:sz w:val="20"/>
                <w:szCs w:val="20"/>
                <w:color w:val="auto"/>
              </w:rPr>
            </w:pPr>
            <w:r>
              <w:rPr>
                <w:rFonts w:ascii="Arial" w:cs="Arial" w:eastAsia="Arial" w:hAnsi="Arial"/>
                <w:sz w:val="14"/>
                <w:szCs w:val="14"/>
                <w:color w:val="auto"/>
              </w:rPr>
              <w:t>Weighted-average number of shares outstanding used to compute</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20"/>
              <w:spacing w:after="0"/>
              <w:rPr>
                <w:sz w:val="20"/>
                <w:szCs w:val="20"/>
                <w:color w:val="auto"/>
              </w:rPr>
            </w:pPr>
            <w:r>
              <w:rPr>
                <w:rFonts w:ascii="Arial" w:cs="Arial" w:eastAsia="Arial" w:hAnsi="Arial"/>
                <w:sz w:val="14"/>
                <w:szCs w:val="14"/>
                <w:color w:val="auto"/>
              </w:rPr>
              <w:t>net loss per share, basic and diluted, of Class A and Class B</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50,699,914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48,840,100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50,518,492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48,709,040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20" w:type="dxa"/>
            <w:vAlign w:val="bottom"/>
          </w:tcPr>
          <w:p>
            <w:pPr>
              <w:ind w:left="120"/>
              <w:spacing w:after="0" w:line="125" w:lineRule="exact"/>
              <w:rPr>
                <w:sz w:val="20"/>
                <w:szCs w:val="20"/>
                <w:color w:val="auto"/>
              </w:rPr>
            </w:pPr>
            <w:r>
              <w:rPr>
                <w:rFonts w:ascii="Arial" w:cs="Arial" w:eastAsia="Arial" w:hAnsi="Arial"/>
                <w:sz w:val="14"/>
                <w:szCs w:val="14"/>
                <w:color w:val="auto"/>
              </w:rPr>
              <w:t>common stock</w:t>
            </w: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Net loss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(26,437)</w:t>
            </w:r>
          </w:p>
        </w:tc>
        <w:tc>
          <w:tcPr>
            <w:tcW w:w="4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(13,704)</w:t>
            </w:r>
          </w:p>
        </w:tc>
        <w:tc>
          <w:tcPr>
            <w:tcW w:w="3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(41,513)</w:t>
            </w:r>
          </w:p>
        </w:tc>
        <w:tc>
          <w:tcPr>
            <w:tcW w:w="44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(30,308)</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tcPr>
          <w:p>
            <w:pPr>
              <w:spacing w:after="0" w:line="155" w:lineRule="exact"/>
              <w:rPr>
                <w:sz w:val="20"/>
                <w:szCs w:val="20"/>
                <w:color w:val="auto"/>
              </w:rPr>
            </w:pPr>
            <w:r>
              <w:rPr>
                <w:rFonts w:ascii="Arial" w:cs="Arial" w:eastAsia="Arial" w:hAnsi="Arial"/>
                <w:sz w:val="14"/>
                <w:szCs w:val="14"/>
                <w:color w:val="auto"/>
              </w:rPr>
              <w:t>Total other comprehensive income (loss)</w:t>
            </w: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3,066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92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4,586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Comprehensive loss</w:t>
            </w: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(23,371)</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(13,612)</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(36,927)</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(30,673)</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Comprehensive (loss) income attributable to noncontrolling interest</w:t>
            </w:r>
          </w:p>
        </w:tc>
        <w:tc>
          <w:tcPr>
            <w:tcW w:w="2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comprehensive loss attributable to common stockholders</w:t>
            </w: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(23,358)</w:t>
            </w:r>
          </w:p>
        </w:tc>
        <w:tc>
          <w:tcPr>
            <w:tcW w:w="420" w:type="dxa"/>
            <w:vAlign w:val="bottom"/>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(13,614)</w:t>
            </w:r>
          </w:p>
        </w:tc>
        <w:tc>
          <w:tcPr>
            <w:tcW w:w="38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(36,903)</w:t>
            </w:r>
          </w:p>
        </w:tc>
        <w:tc>
          <w:tcPr>
            <w:tcW w:w="440" w:type="dxa"/>
            <w:vAlign w:val="bottom"/>
            <w:gridSpan w:val="2"/>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(30,704)</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-3222625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-3222625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-3222625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-2802255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-2802255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-2802255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-1953895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-1953895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-1953895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-1739900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-1739900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-1739900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-1525270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-1525270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-1525270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-1207770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-1191260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-1207770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-1191260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-1207770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-1191260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-462280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-462280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-462280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1" w:lineRule="auto"/>
        <w:rPr>
          <w:sz w:val="20"/>
          <w:szCs w:val="20"/>
          <w:color w:val="auto"/>
        </w:rPr>
      </w:pPr>
      <w:r>
        <w:rPr>
          <w:rFonts w:ascii="Arial" w:cs="Arial" w:eastAsia="Arial" w:hAnsi="Arial"/>
          <w:sz w:val="20"/>
          <w:szCs w:val="20"/>
          <w:color w:val="auto"/>
        </w:rPr>
        <w:t>Condensed Consolidated Statements of Cash Flows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line="234" w:lineRule="auto"/>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157"/>
        </w:trPr>
        <w:tc>
          <w:tcPr>
            <w:tcW w:w="7760" w:type="dxa"/>
            <w:vAlign w:val="bottom"/>
          </w:tcPr>
          <w:p>
            <w:pPr>
              <w:spacing w:after="0"/>
              <w:rPr>
                <w:sz w:val="13"/>
                <w:szCs w:val="13"/>
                <w:color w:val="auto"/>
              </w:rPr>
            </w:pPr>
          </w:p>
        </w:tc>
        <w:tc>
          <w:tcPr>
            <w:tcW w:w="2800" w:type="dxa"/>
            <w:vAlign w:val="bottom"/>
            <w:tcBorders>
              <w:bottom w:val="single" w:sz="8" w:color="auto"/>
            </w:tcBorders>
            <w:gridSpan w:val="5"/>
          </w:tcPr>
          <w:p>
            <w:pPr>
              <w:jc w:val="right"/>
              <w:ind w:right="128"/>
              <w:spacing w:after="0" w:line="157" w:lineRule="exact"/>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7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7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9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(41,513)</w:t>
            </w:r>
          </w:p>
        </w:tc>
        <w:tc>
          <w:tcPr>
            <w:tcW w:w="140" w:type="dxa"/>
            <w:vAlign w:val="bottom"/>
          </w:tcPr>
          <w:p>
            <w:pPr>
              <w:spacing w:after="0"/>
              <w:rPr>
                <w:sz w:val="14"/>
                <w:szCs w:val="14"/>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(30,308)</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6,409</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Reduction in carrying amount of right-of-use asset</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2,202</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Lease termination</w:t>
            </w:r>
          </w:p>
        </w:tc>
        <w:tc>
          <w:tcPr>
            <w:tcW w:w="9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14,161</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Revaluation of contingent consideration</w:t>
            </w:r>
          </w:p>
        </w:tc>
        <w:tc>
          <w:tcPr>
            <w:tcW w:w="94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Income from unconsolidated joint venture</w:t>
            </w:r>
          </w:p>
        </w:tc>
        <w:tc>
          <w:tcPr>
            <w:tcW w:w="9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w:t>
            </w: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Donation of common stock</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Loss on debt extinguishment</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16,430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Gain on sale of property and equipment</w:t>
            </w:r>
          </w:p>
        </w:tc>
        <w:tc>
          <w:tcPr>
            <w:tcW w:w="94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Amortization of deferred costs on convertible notes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Deferred tax benefit</w:t>
            </w:r>
          </w:p>
        </w:tc>
        <w:tc>
          <w:tcPr>
            <w:tcW w:w="9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Changes in other assets and liabilities: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9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(13,505)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(1,293)</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Inventory</w:t>
            </w:r>
          </w:p>
        </w:tc>
        <w:tc>
          <w:tcPr>
            <w:tcW w:w="9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(572)</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w:t>
            </w: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Prepaid expenses</w:t>
            </w:r>
          </w:p>
        </w:tc>
        <w:tc>
          <w:tcPr>
            <w:tcW w:w="9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(118)</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(495)</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Other assets</w:t>
            </w:r>
          </w:p>
        </w:tc>
        <w:tc>
          <w:tcPr>
            <w:tcW w:w="9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2,593</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Accounts payable and accrued cost of revenue</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6,361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(14,428)</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Other accrued expenses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Contract liabilities</w:t>
            </w: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1,719</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Lease liabilities</w:t>
            </w:r>
          </w:p>
        </w:tc>
        <w:tc>
          <w:tcPr>
            <w:tcW w:w="9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(3,170)</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(3,371)</w:t>
            </w: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Other liabilities</w:t>
            </w:r>
          </w:p>
        </w:tc>
        <w:tc>
          <w:tcPr>
            <w:tcW w:w="9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Income taxes payable</w:t>
            </w:r>
          </w:p>
        </w:tc>
        <w:tc>
          <w:tcPr>
            <w:tcW w:w="9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(108)</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(1,154)</w:t>
            </w: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76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9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(4,118)</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(20,835)</w:t>
            </w:r>
          </w:p>
        </w:tc>
      </w:tr>
      <w:tr>
        <w:trPr>
          <w:trHeight w:val="156"/>
        </w:trPr>
        <w:tc>
          <w:tcPr>
            <w:tcW w:w="77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94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Purchases of marketable securities</w:t>
            </w:r>
          </w:p>
        </w:tc>
        <w:tc>
          <w:tcPr>
            <w:tcW w:w="9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(4,438)</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(13,481)</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marketable securities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9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(12,462)</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(8,750)</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Distributions in excess of earnings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94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r>
      <w:tr>
        <w:trPr>
          <w:trHeight w:val="156"/>
        </w:trPr>
        <w:tc>
          <w:tcPr>
            <w:tcW w:w="77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(3,834)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(12,140)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55"/>
        </w:trPr>
        <w:tc>
          <w:tcPr>
            <w:tcW w:w="77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convertible notes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Costs incurred in connection with issuance of convertible notes</w:t>
            </w:r>
          </w:p>
        </w:tc>
        <w:tc>
          <w:tcPr>
            <w:tcW w:w="9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(7,822)</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Payments for repurchase of convertible notes</w:t>
            </w:r>
          </w:p>
        </w:tc>
        <w:tc>
          <w:tcPr>
            <w:tcW w:w="9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(215,992)</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Purchase of capped calls</w:t>
            </w:r>
          </w:p>
        </w:tc>
        <w:tc>
          <w:tcPr>
            <w:tcW w:w="9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(17,475)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Purchase of treasury stock</w:t>
            </w:r>
          </w:p>
        </w:tc>
        <w:tc>
          <w:tcPr>
            <w:tcW w:w="9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(8,080)</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Proceeds from stock options exercised</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14"/>
                <w:szCs w:val="14"/>
                <w:color w:val="auto"/>
              </w:rPr>
            </w:pPr>
          </w:p>
        </w:tc>
      </w:tr>
      <w:tr>
        <w:trPr>
          <w:trHeight w:val="156"/>
        </w:trPr>
        <w:tc>
          <w:tcPr>
            <w:tcW w:w="77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94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2,046</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760" w:type="dxa"/>
            <w:vAlign w:val="bottom"/>
          </w:tcPr>
          <w:p>
            <w:pPr>
              <w:spacing w:after="0" w:line="155" w:lineRule="exact"/>
              <w:rPr>
                <w:sz w:val="20"/>
                <w:szCs w:val="20"/>
                <w:color w:val="auto"/>
              </w:rPr>
            </w:pPr>
            <w:r>
              <w:rPr>
                <w:rFonts w:ascii="Arial" w:cs="Arial" w:eastAsia="Arial" w:hAnsi="Arial"/>
                <w:sz w:val="14"/>
                <w:szCs w:val="14"/>
                <w:color w:val="auto"/>
              </w:rPr>
              <w:t>Effect of foreign currency translation on cash and cash equivalents</w:t>
            </w:r>
          </w:p>
        </w:tc>
        <w:tc>
          <w:tcPr>
            <w:tcW w:w="9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(173)</w:t>
            </w: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7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9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(5,481)</w:t>
            </w: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(31,353)</w:t>
            </w:r>
          </w:p>
        </w:tc>
      </w:tr>
      <w:tr>
        <w:trPr>
          <w:trHeight w:val="162"/>
        </w:trPr>
        <w:tc>
          <w:tcPr>
            <w:tcW w:w="7760" w:type="dxa"/>
            <w:vAlign w:val="bottom"/>
          </w:tcPr>
          <w:p>
            <w:pPr>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53,424</w:t>
            </w:r>
          </w:p>
        </w:tc>
        <w:tc>
          <w:tcPr>
            <w:tcW w:w="100" w:type="dxa"/>
            <w:vAlign w:val="bottom"/>
          </w:tcPr>
          <w:p>
            <w:pPr>
              <w:spacing w:after="0"/>
              <w:rPr>
                <w:sz w:val="14"/>
                <w:szCs w:val="14"/>
                <w:color w:val="auto"/>
              </w:rPr>
            </w:pPr>
          </w:p>
        </w:tc>
      </w:tr>
      <w:tr>
        <w:trPr>
          <w:trHeight w:val="195"/>
        </w:trPr>
        <w:tc>
          <w:tcPr>
            <w:tcW w:w="77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and cash equivalents at end of the period</w:t>
            </w:r>
          </w:p>
        </w:tc>
        <w:tc>
          <w:tcPr>
            <w:tcW w:w="940" w:type="dxa"/>
            <w:vAlign w:val="bottom"/>
            <w:tcBorders>
              <w:bottom w:val="single" w:sz="8" w:color="auto"/>
            </w:tcBorders>
            <w:shd w:val="clear" w:color="auto" w:fill="CFF0FC"/>
          </w:tcPr>
          <w:p>
            <w:pPr>
              <w:jc w:val="right"/>
              <w:ind w:right="78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16,751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760" w:type="dxa"/>
            <w:vAlign w:val="bottom"/>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Cash paid for interest</w:t>
            </w: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color w:val="auto"/>
              </w:rPr>
              <w:t>Non-cash purchase of property and equipment</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FF0FC"/>
          </w:tcPr>
          <w:p>
            <w:pPr>
              <w:spacing w:after="0"/>
              <w:rPr>
                <w:sz w:val="14"/>
                <w:szCs w:val="14"/>
                <w:color w:val="auto"/>
              </w:rPr>
            </w:pPr>
          </w:p>
        </w:tc>
      </w:tr>
      <w:tr>
        <w:trPr>
          <w:trHeight w:val="153"/>
        </w:trPr>
        <w:tc>
          <w:tcPr>
            <w:tcW w:w="7760" w:type="dxa"/>
            <w:vAlign w:val="bottom"/>
          </w:tcPr>
          <w:p>
            <w:pPr>
              <w:spacing w:after="0" w:line="153" w:lineRule="exact"/>
              <w:rPr>
                <w:sz w:val="20"/>
                <w:szCs w:val="20"/>
                <w:color w:val="auto"/>
              </w:rPr>
            </w:pPr>
            <w:r>
              <w:rPr>
                <w:rFonts w:ascii="Arial" w:cs="Arial" w:eastAsia="Arial" w:hAnsi="Arial"/>
                <w:sz w:val="14"/>
                <w:szCs w:val="14"/>
                <w:color w:val="auto"/>
              </w:rPr>
              <w:t>Non-cash consideration in connection with business combination</w:t>
            </w:r>
          </w:p>
        </w:tc>
        <w:tc>
          <w:tcPr>
            <w:tcW w:w="94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625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90"/>
        </w:trPr>
        <w:tc>
          <w:tcPr>
            <w:tcW w:w="7760" w:type="dxa"/>
            <w:vAlign w:val="bottom"/>
          </w:tcPr>
          <w:p>
            <w:pPr>
              <w:spacing w:after="0"/>
              <w:rPr>
                <w:sz w:val="20"/>
                <w:szCs w:val="20"/>
                <w:color w:val="auto"/>
              </w:rPr>
            </w:pPr>
            <w:r>
              <w:rPr>
                <w:rFonts w:ascii="Arial" w:cs="Arial" w:eastAsia="Arial" w:hAnsi="Arial"/>
                <w:sz w:val="14"/>
                <w:szCs w:val="14"/>
                <w:color w:val="auto"/>
              </w:rPr>
              <w:t>Non-cash costs incurred in connection with the issuance of convertible notes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-2780030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-2780030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-2055495</wp:posOffset>
            </wp:positionV>
            <wp:extent cx="9398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-2055495</wp:posOffset>
            </wp:positionV>
            <wp:extent cx="9398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-1091565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-1091565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-654050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-636905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-654050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-636905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line="234" w:lineRule="auto"/>
        <w:rPr>
          <w:sz w:val="20"/>
          <w:szCs w:val="20"/>
          <w:color w:val="auto"/>
        </w:rPr>
      </w:pPr>
      <w:r>
        <w:rPr>
          <w:rFonts w:ascii="Arial" w:cs="Arial" w:eastAsia="Arial" w:hAnsi="Arial"/>
          <w:sz w:val="20"/>
          <w:szCs w:val="20"/>
          <w:color w:val="auto"/>
        </w:rPr>
        <w:t>(Unaudited)</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6"/>
          </w:tcPr>
          <w:p>
            <w:pPr>
              <w:jc w:val="right"/>
              <w:ind w:right="640"/>
              <w:spacing w:after="0" w:line="148" w:lineRule="exact"/>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6"/>
          </w:tcPr>
          <w:p>
            <w:pPr>
              <w:jc w:val="right"/>
              <w:ind w:right="720"/>
              <w:spacing w:after="0" w:line="148" w:lineRule="exact"/>
              <w:rPr>
                <w:sz w:val="20"/>
                <w:szCs w:val="20"/>
                <w:color w:val="auto"/>
              </w:rPr>
            </w:pPr>
            <w:r>
              <w:rPr>
                <w:rFonts w:ascii="Arial" w:cs="Arial" w:eastAsia="Arial" w:hAnsi="Arial"/>
                <w:sz w:val="14"/>
                <w:szCs w:val="14"/>
                <w:b w:val="1"/>
                <w:bCs w:val="1"/>
                <w:color w:val="auto"/>
              </w:rPr>
              <w:t>For the Six Months</w:t>
            </w: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Ended June 30,</w:t>
            </w:r>
          </w:p>
        </w:tc>
      </w:tr>
      <w:tr>
        <w:trPr>
          <w:trHeight w:val="155"/>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820" w:type="dxa"/>
            <w:vAlign w:val="bottom"/>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Adjusted EBITDA:</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5"/>
        </w:trPr>
        <w:tc>
          <w:tcPr>
            <w:tcW w:w="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w:t>
            </w:r>
          </w:p>
        </w:tc>
        <w:tc>
          <w:tcPr>
            <w:tcW w:w="460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gridSpan w:val="2"/>
          </w:tcPr>
          <w:p>
            <w:pPr>
              <w:jc w:val="right"/>
              <w:ind w:right="109"/>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(26,437)</w:t>
            </w:r>
          </w:p>
        </w:tc>
        <w:tc>
          <w:tcPr>
            <w:tcW w:w="340" w:type="dxa"/>
            <w:vAlign w:val="bottom"/>
            <w:tcBorders>
              <w:top w:val="single" w:sz="8" w:color="CFF0FC"/>
            </w:tcBorders>
            <w:gridSpan w:val="2"/>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CFF0FC"/>
            </w:tcBorders>
            <w:gridSpan w:val="2"/>
          </w:tcPr>
          <w:p>
            <w:pPr>
              <w:jc w:val="right"/>
              <w:ind w:right="100"/>
              <w:spacing w:after="0" w:line="155" w:lineRule="exact"/>
              <w:rPr>
                <w:sz w:val="20"/>
                <w:szCs w:val="20"/>
                <w:color w:val="auto"/>
              </w:rPr>
            </w:pPr>
            <w:r>
              <w:rPr>
                <w:rFonts w:ascii="Arial" w:cs="Arial" w:eastAsia="Arial" w:hAnsi="Arial"/>
                <w:sz w:val="14"/>
                <w:szCs w:val="14"/>
                <w:color w:val="auto"/>
              </w:rPr>
              <w:t>(13,704)</w:t>
            </w:r>
          </w:p>
        </w:tc>
        <w:tc>
          <w:tcPr>
            <w:tcW w:w="320" w:type="dxa"/>
            <w:vAlign w:val="bottom"/>
            <w:tcBorders>
              <w:top w:val="single" w:sz="8" w:color="CFF0FC"/>
            </w:tcBorders>
            <w:gridSpan w:val="2"/>
          </w:tcPr>
          <w:p>
            <w:pPr>
              <w:jc w:val="right"/>
              <w:ind w:right="109"/>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(41,513)</w:t>
            </w:r>
          </w:p>
        </w:tc>
        <w:tc>
          <w:tcPr>
            <w:tcW w:w="340" w:type="dxa"/>
            <w:vAlign w:val="bottom"/>
            <w:tcBorders>
              <w:top w:val="single" w:sz="8" w:color="CFF0FC"/>
            </w:tcBorders>
            <w:gridSpan w:val="2"/>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(30,308)</w:t>
            </w:r>
          </w:p>
        </w:tc>
      </w:tr>
      <w:tr>
        <w:trPr>
          <w:trHeight w:val="162"/>
        </w:trPr>
        <w:tc>
          <w:tcPr>
            <w:tcW w:w="20" w:type="dxa"/>
            <w:vAlign w:val="bottom"/>
          </w:tcPr>
          <w:p>
            <w:pPr>
              <w:spacing w:after="0"/>
              <w:rPr>
                <w:sz w:val="14"/>
                <w:szCs w:val="14"/>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4"/>
                <w:szCs w:val="14"/>
                <w:color w:val="auto"/>
              </w:rPr>
              <w:t>Interest expense, interest and dividend income and other expenses</w:t>
            </w:r>
            <w:r>
              <w:rPr>
                <w:rFonts w:ascii="Arial" w:cs="Arial" w:eastAsia="Arial" w:hAnsi="Arial"/>
                <w:sz w:val="18"/>
                <w:szCs w:val="18"/>
                <w:color w:val="auto"/>
                <w:vertAlign w:val="superscript"/>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(2,497)</w:t>
            </w:r>
          </w:p>
        </w:tc>
      </w:tr>
      <w:tr>
        <w:trPr>
          <w:trHeight w:val="162"/>
        </w:trPr>
        <w:tc>
          <w:tcPr>
            <w:tcW w:w="20" w:type="dxa"/>
            <w:vAlign w:val="bottom"/>
          </w:tcPr>
          <w:p>
            <w:pPr>
              <w:spacing w:after="0"/>
              <w:rPr>
                <w:sz w:val="14"/>
                <w:szCs w:val="14"/>
                <w:color w:val="auto"/>
              </w:rPr>
            </w:pPr>
          </w:p>
        </w:tc>
        <w:tc>
          <w:tcPr>
            <w:tcW w:w="582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(2)</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6,409</w:t>
            </w:r>
          </w:p>
        </w:tc>
        <w:tc>
          <w:tcPr>
            <w:tcW w:w="1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Amortization of lease intangible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Benefit for income taxes</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w:t>
            </w: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8"/>
                <w:szCs w:val="18"/>
                <w:color w:val="auto"/>
                <w:vertAlign w:val="superscript"/>
              </w:rPr>
              <w:t>(3)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14,161</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Charitable contribution of common stock</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Income from unconsolidated joint venture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(331)</w:t>
            </w:r>
          </w:p>
        </w:tc>
      </w:tr>
      <w:tr>
        <w:trPr>
          <w:trHeight w:val="162"/>
        </w:trPr>
        <w:tc>
          <w:tcPr>
            <w:tcW w:w="20" w:type="dxa"/>
            <w:vAlign w:val="bottom"/>
          </w:tcPr>
          <w:p>
            <w:pPr>
              <w:spacing w:after="0"/>
              <w:rPr>
                <w:sz w:val="14"/>
                <w:szCs w:val="14"/>
                <w:color w:val="auto"/>
              </w:rPr>
            </w:pPr>
          </w:p>
        </w:tc>
        <w:tc>
          <w:tcPr>
            <w:tcW w:w="582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(5)</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5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(10,093)</w:t>
            </w:r>
          </w:p>
        </w:tc>
        <w:tc>
          <w:tcPr>
            <w:tcW w:w="1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23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Ended June 30,</w:t>
            </w:r>
          </w:p>
        </w:tc>
        <w:tc>
          <w:tcPr>
            <w:tcW w:w="240" w:type="dxa"/>
            <w:vAlign w:val="bottom"/>
          </w:tcPr>
          <w:p>
            <w:pPr>
              <w:spacing w:after="0"/>
              <w:rPr>
                <w:sz w:val="14"/>
                <w:szCs w:val="1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20" w:type="dxa"/>
            <w:vAlign w:val="bottom"/>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Non-GAAP Net Income (Loss):</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w:t>
            </w:r>
          </w:p>
        </w:tc>
        <w:tc>
          <w:tcPr>
            <w:tcW w:w="394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(26,437)</w:t>
            </w:r>
          </w:p>
        </w:tc>
        <w:tc>
          <w:tcPr>
            <w:tcW w:w="300" w:type="dxa"/>
            <w:vAlign w:val="bottom"/>
            <w:tcBorders>
              <w:top w:val="single" w:sz="8" w:color="CFF0FC"/>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CFF0FC"/>
            </w:tcBorders>
            <w:gridSpan w:val="2"/>
          </w:tcPr>
          <w:p>
            <w:pPr>
              <w:jc w:val="right"/>
              <w:ind w:right="160"/>
              <w:spacing w:after="0" w:line="155" w:lineRule="exact"/>
              <w:rPr>
                <w:sz w:val="20"/>
                <w:szCs w:val="20"/>
                <w:color w:val="auto"/>
              </w:rPr>
            </w:pPr>
            <w:r>
              <w:rPr>
                <w:rFonts w:ascii="Arial" w:cs="Arial" w:eastAsia="Arial" w:hAnsi="Arial"/>
                <w:sz w:val="14"/>
                <w:szCs w:val="14"/>
                <w:color w:val="auto"/>
              </w:rPr>
              <w:t>(13,704)</w:t>
            </w:r>
          </w:p>
        </w:tc>
        <w:tc>
          <w:tcPr>
            <w:tcW w:w="240" w:type="dxa"/>
            <w:vAlign w:val="bottom"/>
            <w:tcBorders>
              <w:top w:val="single" w:sz="8" w:color="CFF0FC"/>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CFF0FC"/>
            </w:tcBorders>
            <w:gridSpan w:val="2"/>
          </w:tcPr>
          <w:p>
            <w:pPr>
              <w:jc w:val="right"/>
              <w:ind w:right="180"/>
              <w:spacing w:after="0" w:line="155" w:lineRule="exact"/>
              <w:rPr>
                <w:sz w:val="20"/>
                <w:szCs w:val="20"/>
                <w:color w:val="auto"/>
              </w:rPr>
            </w:pPr>
            <w:r>
              <w:rPr>
                <w:rFonts w:ascii="Arial" w:cs="Arial" w:eastAsia="Arial" w:hAnsi="Arial"/>
                <w:sz w:val="14"/>
                <w:szCs w:val="14"/>
                <w:color w:val="auto"/>
              </w:rPr>
              <w:t>(41,513)</w:t>
            </w:r>
          </w:p>
        </w:tc>
        <w:tc>
          <w:tcPr>
            <w:tcW w:w="240" w:type="dxa"/>
            <w:vAlign w:val="bottom"/>
            <w:tcBorders>
              <w:top w:val="single" w:sz="8" w:color="CFF0FC"/>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(30,308)</w:t>
            </w:r>
          </w:p>
        </w:tc>
        <w:tc>
          <w:tcPr>
            <w:tcW w:w="0" w:type="dxa"/>
            <w:vAlign w:val="bottom"/>
          </w:tcPr>
          <w:p>
            <w:pPr>
              <w:spacing w:after="0"/>
              <w:rPr>
                <w:sz w:val="1"/>
                <w:szCs w:val="1"/>
                <w:color w:val="auto"/>
              </w:rPr>
            </w:pPr>
          </w:p>
        </w:tc>
      </w:tr>
      <w:tr>
        <w:trPr>
          <w:trHeight w:val="162"/>
        </w:trPr>
        <w:tc>
          <w:tcPr>
            <w:tcW w:w="6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spacing w:after="0" w:line="16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4,495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8,741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8"/>
                <w:szCs w:val="18"/>
                <w:color w:val="auto"/>
                <w:vertAlign w:val="superscript"/>
              </w:rPr>
              <w:t>(3)</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7,895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8,125</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lease intangible</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spacing w:after="0"/>
              <w:rPr>
                <w:sz w:val="20"/>
                <w:szCs w:val="20"/>
                <w:color w:val="auto"/>
              </w:rPr>
            </w:pPr>
            <w:r>
              <w:rPr>
                <w:rFonts w:ascii="Arial" w:cs="Arial" w:eastAsia="Arial" w:hAnsi="Arial"/>
                <w:sz w:val="14"/>
                <w:szCs w:val="14"/>
                <w:color w:val="auto"/>
              </w:rPr>
              <w:t>Amortization of deferred costs on convertible notes</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(4)</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spacing w:after="0"/>
              <w:rPr>
                <w:sz w:val="20"/>
                <w:szCs w:val="20"/>
                <w:color w:val="auto"/>
              </w:rPr>
            </w:pPr>
            <w:r>
              <w:rPr>
                <w:rFonts w:ascii="Arial" w:cs="Arial" w:eastAsia="Arial" w:hAnsi="Arial"/>
                <w:sz w:val="14"/>
                <w:szCs w:val="14"/>
                <w:color w:val="auto"/>
              </w:rPr>
              <w:t>Gain on sale of property and equipment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6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Charitable contribution of common stock</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spacing w:after="0" w:line="162" w:lineRule="exact"/>
              <w:rPr>
                <w:sz w:val="20"/>
                <w:szCs w:val="20"/>
                <w:color w:val="auto"/>
              </w:rPr>
            </w:pPr>
            <w:r>
              <w:rPr>
                <w:rFonts w:ascii="Arial" w:cs="Arial" w:eastAsia="Arial" w:hAnsi="Arial"/>
                <w:sz w:val="14"/>
                <w:szCs w:val="14"/>
                <w:color w:val="auto"/>
              </w:rPr>
              <w:t>Lease termination</w:t>
            </w:r>
            <w:r>
              <w:rPr>
                <w:rFonts w:ascii="Arial" w:cs="Arial" w:eastAsia="Arial" w:hAnsi="Arial"/>
                <w:sz w:val="18"/>
                <w:szCs w:val="18"/>
                <w:color w:val="auto"/>
                <w:vertAlign w:val="superscript"/>
              </w:rPr>
              <w:t>(6)</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2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(5)</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20" w:type="dxa"/>
            <w:vAlign w:val="bottom"/>
            <w:gridSpan w:val="2"/>
          </w:tcPr>
          <w:p>
            <w:pPr>
              <w:spacing w:after="0"/>
              <w:rPr>
                <w:sz w:val="20"/>
                <w:szCs w:val="20"/>
                <w:color w:val="auto"/>
              </w:rPr>
            </w:pPr>
            <w:r>
              <w:rPr>
                <w:rFonts w:ascii="Arial" w:cs="Arial" w:eastAsia="Arial" w:hAnsi="Arial"/>
                <w:sz w:val="14"/>
                <w:szCs w:val="14"/>
                <w:color w:val="auto"/>
              </w:rPr>
              <w:t>Loss on debt extinguishment</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Non-GAAP Net Income (Loss)</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4,681</w:t>
            </w: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(606)</w:t>
            </w: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5,509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(6,348)</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3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20" w:type="dxa"/>
            <w:vAlign w:val="bottom"/>
            <w:gridSpan w:val="2"/>
          </w:tcPr>
          <w:p>
            <w:pPr>
              <w:spacing w:after="0"/>
              <w:rPr>
                <w:sz w:val="20"/>
                <w:szCs w:val="20"/>
                <w:color w:val="auto"/>
              </w:rPr>
            </w:pPr>
            <w:r>
              <w:rPr>
                <w:rFonts w:ascii="Arial" w:cs="Arial" w:eastAsia="Arial" w:hAnsi="Arial"/>
                <w:sz w:val="14"/>
                <w:szCs w:val="14"/>
                <w:color w:val="auto"/>
              </w:rPr>
              <w:t>Adjustments to numerator</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74</w:t>
            </w:r>
          </w:p>
        </w:tc>
        <w:tc>
          <w:tcPr>
            <w:tcW w:w="14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6020" w:type="dxa"/>
            <w:vAlign w:val="bottom"/>
            <w:gridSpan w:val="2"/>
            <w:shd w:val="clear" w:color="auto" w:fill="CFF0FC"/>
          </w:tcPr>
          <w:p>
            <w:pPr>
              <w:spacing w:after="0" w:line="153" w:lineRule="exact"/>
              <w:rPr>
                <w:sz w:val="20"/>
                <w:szCs w:val="20"/>
                <w:color w:val="auto"/>
              </w:rPr>
            </w:pPr>
            <w:r>
              <w:rPr>
                <w:rFonts w:ascii="Arial" w:cs="Arial" w:eastAsia="Arial" w:hAnsi="Arial"/>
                <w:sz w:val="14"/>
                <w:szCs w:val="14"/>
                <w:color w:val="auto"/>
              </w:rPr>
              <w:t>Weighted-average number of shares outstanding used to compute Non-GAAP Net Income</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per share, basic and diluted, of Class A and Class B common stock</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50,699,914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48,840,100</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50,518,492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48,709,040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spacing w:after="0"/>
              <w:rPr>
                <w:sz w:val="20"/>
                <w:szCs w:val="20"/>
                <w:color w:val="auto"/>
              </w:rPr>
            </w:pPr>
            <w:r>
              <w:rPr>
                <w:rFonts w:ascii="Arial" w:cs="Arial" w:eastAsia="Arial" w:hAnsi="Arial"/>
                <w:sz w:val="14"/>
                <w:szCs w:val="14"/>
                <w:color w:val="auto"/>
              </w:rPr>
              <w:t>Non-GAAP weighted-average effect of potentially dilutive Class A common stock</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3,447,896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2,365,302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020" w:type="dxa"/>
            <w:vAlign w:val="bottom"/>
            <w:gridSpan w:val="2"/>
            <w:shd w:val="clear" w:color="auto" w:fill="CFF0FC"/>
          </w:tcPr>
          <w:p>
            <w:pPr>
              <w:spacing w:after="0" w:line="147" w:lineRule="exact"/>
              <w:rPr>
                <w:sz w:val="20"/>
                <w:szCs w:val="20"/>
                <w:color w:val="auto"/>
              </w:rPr>
            </w:pPr>
            <w:r>
              <w:rPr>
                <w:rFonts w:ascii="Arial" w:cs="Arial" w:eastAsia="Arial" w:hAnsi="Arial"/>
                <w:sz w:val="14"/>
                <w:szCs w:val="14"/>
                <w:color w:val="auto"/>
              </w:rPr>
              <w:t>Non-GAAP weighted-average shares used to compute Non-GAAP Net Income (Loss) per</w:t>
            </w:r>
          </w:p>
        </w:tc>
        <w:tc>
          <w:tcPr>
            <w:tcW w:w="2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54,147,810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48,840,100</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52,883,794</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48,709,040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20" w:type="dxa"/>
            <w:vAlign w:val="bottom"/>
            <w:tcBorders>
              <w:bottom w:val="single" w:sz="8" w:color="CFF0FC"/>
            </w:tcBorders>
            <w:gridSpan w:val="2"/>
            <w:shd w:val="clear" w:color="auto" w:fill="CFF0FC"/>
          </w:tcPr>
          <w:p>
            <w:pPr>
              <w:spacing w:after="0" w:line="158" w:lineRule="exact"/>
              <w:rPr>
                <w:sz w:val="20"/>
                <w:szCs w:val="20"/>
                <w:color w:val="auto"/>
              </w:rPr>
            </w:pPr>
            <w:r>
              <w:rPr>
                <w:rFonts w:ascii="Arial" w:cs="Arial" w:eastAsia="Arial" w:hAnsi="Arial"/>
                <w:sz w:val="14"/>
                <w:szCs w:val="14"/>
                <w:color w:val="auto"/>
              </w:rPr>
              <w:t>share, diluted</w:t>
            </w:r>
          </w:p>
        </w:tc>
        <w:tc>
          <w:tcPr>
            <w:tcW w:w="2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6020" w:type="dxa"/>
            <w:vAlign w:val="bottom"/>
            <w:gridSpan w:val="2"/>
          </w:tcPr>
          <w:p>
            <w:pPr>
              <w:spacing w:after="0"/>
              <w:rPr>
                <w:sz w:val="20"/>
                <w:szCs w:val="20"/>
                <w:color w:val="auto"/>
              </w:rPr>
            </w:pPr>
            <w:r>
              <w:rPr>
                <w:rFonts w:ascii="Arial" w:cs="Arial" w:eastAsia="Arial" w:hAnsi="Arial"/>
                <w:sz w:val="14"/>
                <w:szCs w:val="14"/>
                <w:color w:val="auto"/>
              </w:rPr>
              <w:t>EPS, basic and diluted, of Class A and Class B common stock</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(0.52)</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(0.28)</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(0.82)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Non-GAAP EPS basic, of Class A and Class B common stock</w:t>
            </w:r>
          </w:p>
        </w:tc>
        <w:tc>
          <w:tcPr>
            <w:tcW w:w="2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0.09</w:t>
            </w:r>
          </w:p>
        </w:tc>
        <w:tc>
          <w:tcPr>
            <w:tcW w:w="14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line="143" w:lineRule="exact"/>
              <w:rPr>
                <w:sz w:val="20"/>
                <w:szCs w:val="20"/>
                <w:color w:val="auto"/>
              </w:rPr>
            </w:pPr>
            <w:r>
              <w:rPr>
                <w:rFonts w:ascii="Arial" w:cs="Arial" w:eastAsia="Arial" w:hAnsi="Arial"/>
                <w:sz w:val="14"/>
                <w:szCs w:val="14"/>
                <w:color w:val="auto"/>
              </w:rPr>
              <w:t>(0.01)</w:t>
            </w:r>
          </w:p>
        </w:tc>
        <w:tc>
          <w:tcPr>
            <w:tcW w:w="240" w:type="dxa"/>
            <w:vAlign w:val="bottom"/>
            <w:shd w:val="clear" w:color="auto" w:fill="CFF0FC"/>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0.11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3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20" w:type="dxa"/>
            <w:vAlign w:val="bottom"/>
            <w:gridSpan w:val="2"/>
          </w:tcPr>
          <w:p>
            <w:pPr>
              <w:spacing w:after="0" w:line="143" w:lineRule="exact"/>
              <w:rPr>
                <w:sz w:val="20"/>
                <w:szCs w:val="20"/>
                <w:color w:val="auto"/>
              </w:rPr>
            </w:pPr>
            <w:r>
              <w:rPr>
                <w:rFonts w:ascii="Arial" w:cs="Arial" w:eastAsia="Arial" w:hAnsi="Arial"/>
                <w:sz w:val="14"/>
                <w:szCs w:val="14"/>
                <w:color w:val="auto"/>
              </w:rPr>
              <w:t>Non-GAAP EPS diluted, of Class A and Class B common stock</w:t>
            </w:r>
          </w:p>
        </w:tc>
        <w:tc>
          <w:tcPr>
            <w:tcW w:w="220" w:type="dxa"/>
            <w:vAlign w:val="bottom"/>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0.09</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(0.01)</w:t>
            </w: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0.10</w:t>
            </w:r>
          </w:p>
        </w:tc>
        <w:tc>
          <w:tcPr>
            <w:tcW w:w="220" w:type="dxa"/>
            <w:vAlign w:val="bottom"/>
          </w:tcPr>
          <w:p>
            <w:pPr>
              <w:spacing w:after="0"/>
              <w:rPr>
                <w:sz w:val="12"/>
                <w:szCs w:val="12"/>
                <w:color w:val="auto"/>
              </w:rPr>
            </w:pP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-1242695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-1224915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-1242695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-1224915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-1242695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-1224915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-496570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-496570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-496570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-153670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-136525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-153670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-136525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-153670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-136525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expenses includes loss on debt extinguishment.</w:t>
      </w:r>
    </w:p>
    <w:p>
      <w:pPr>
        <w:spacing w:after="0" w:line="15" w:lineRule="exact"/>
        <w:rPr>
          <w:rFonts w:ascii="Arial" w:cs="Arial" w:eastAsia="Arial" w:hAnsi="Arial"/>
          <w:sz w:val="14"/>
          <w:szCs w:val="14"/>
          <w:color w:val="auto"/>
        </w:rPr>
      </w:pPr>
    </w:p>
    <w:p>
      <w:pPr>
        <w:ind w:left="380" w:right="120" w:hanging="372"/>
        <w:spacing w:after="0" w:line="24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transaction costs and executive severance.</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Costs associated with the 2025 reduction in workforce.</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 is recorded in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Reconciliation of GAAP EPS to Non-GAAP EPS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For the Three Months</w:t>
            </w:r>
          </w:p>
        </w:tc>
        <w:tc>
          <w:tcPr>
            <w:tcW w:w="240" w:type="dxa"/>
            <w:vAlign w:val="bottom"/>
          </w:tcPr>
          <w:p>
            <w:pPr>
              <w:spacing w:after="0"/>
              <w:rPr>
                <w:sz w:val="16"/>
                <w:szCs w:val="16"/>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For the Six Months</w:t>
            </w:r>
          </w:p>
        </w:tc>
      </w:tr>
      <w:tr>
        <w:trPr>
          <w:trHeight w:val="203"/>
        </w:trPr>
        <w:tc>
          <w:tcPr>
            <w:tcW w:w="126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Ended June 30,</w:t>
            </w:r>
          </w:p>
        </w:tc>
        <w:tc>
          <w:tcPr>
            <w:tcW w:w="240" w:type="dxa"/>
            <w:vAlign w:val="bottom"/>
          </w:tcPr>
          <w:p>
            <w:pPr>
              <w:spacing w:after="0"/>
              <w:rPr>
                <w:sz w:val="17"/>
                <w:szCs w:val="17"/>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Ended June 30,</w:t>
            </w:r>
          </w:p>
        </w:tc>
      </w:tr>
      <w:tr>
        <w:trPr>
          <w:trHeight w:val="183"/>
        </w:trPr>
        <w:tc>
          <w:tcPr>
            <w:tcW w:w="12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r>
      <w:tr>
        <w:trPr>
          <w:trHeight w:val="156"/>
        </w:trPr>
        <w:tc>
          <w:tcPr>
            <w:tcW w:w="6020" w:type="dxa"/>
            <w:vAlign w:val="bottom"/>
            <w:gridSpan w:val="2"/>
            <w:shd w:val="clear" w:color="auto" w:fill="CFF0FC"/>
          </w:tcPr>
          <w:p>
            <w:pPr>
              <w:spacing w:after="0" w:line="155" w:lineRule="exact"/>
              <w:rPr>
                <w:sz w:val="20"/>
                <w:szCs w:val="20"/>
                <w:color w:val="auto"/>
              </w:rPr>
            </w:pPr>
            <w:r>
              <w:rPr>
                <w:rFonts w:ascii="Arial" w:cs="Arial" w:eastAsia="Arial" w:hAnsi="Arial"/>
                <w:sz w:val="16"/>
                <w:szCs w:val="16"/>
                <w:b w:val="1"/>
                <w:bCs w:val="1"/>
                <w:color w:val="auto"/>
              </w:rPr>
              <w:t>Non-GAAP EPS:</w:t>
            </w: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27"/>
        </w:trPr>
        <w:tc>
          <w:tcPr>
            <w:tcW w:w="1260" w:type="dxa"/>
            <w:vAlign w:val="bottom"/>
            <w:shd w:val="clear" w:color="auto" w:fill="000000"/>
          </w:tcPr>
          <w:p>
            <w:pPr>
              <w:spacing w:after="0"/>
              <w:rPr>
                <w:sz w:val="2"/>
                <w:szCs w:val="2"/>
                <w:color w:val="auto"/>
              </w:rPr>
            </w:pPr>
          </w:p>
        </w:tc>
        <w:tc>
          <w:tcPr>
            <w:tcW w:w="47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r>
      <w:tr>
        <w:trPr>
          <w:trHeight w:val="189"/>
        </w:trPr>
        <w:tc>
          <w:tcPr>
            <w:tcW w:w="6020" w:type="dxa"/>
            <w:vAlign w:val="bottom"/>
            <w:gridSpan w:val="2"/>
          </w:tcPr>
          <w:p>
            <w:pPr>
              <w:spacing w:after="0"/>
              <w:rPr>
                <w:sz w:val="20"/>
                <w:szCs w:val="20"/>
                <w:color w:val="auto"/>
              </w:rPr>
            </w:pPr>
            <w:r>
              <w:rPr>
                <w:rFonts w:ascii="Arial" w:cs="Arial" w:eastAsia="Arial" w:hAnsi="Arial"/>
                <w:sz w:val="16"/>
                <w:szCs w:val="16"/>
                <w:color w:val="auto"/>
              </w:rPr>
              <w:t>GAAP EPS, diluted, of Class A and Class B common stock</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(0.52)</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(0.28)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(0.82)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(0.62)</w:t>
            </w:r>
          </w:p>
        </w:tc>
      </w:tr>
      <w:tr>
        <w:trPr>
          <w:trHeight w:val="189"/>
        </w:trPr>
        <w:tc>
          <w:tcPr>
            <w:tcW w:w="6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Non-GAAP effect of potentially dilutive Class A common stock</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6020" w:type="dxa"/>
            <w:vAlign w:val="bottom"/>
            <w:gridSpan w:val="2"/>
          </w:tcPr>
          <w:p>
            <w:pPr>
              <w:spacing w:after="0"/>
              <w:rPr>
                <w:sz w:val="20"/>
                <w:szCs w:val="20"/>
                <w:color w:val="auto"/>
              </w:rPr>
            </w:pPr>
            <w:r>
              <w:rPr>
                <w:rFonts w:ascii="Arial" w:cs="Arial" w:eastAsia="Arial" w:hAnsi="Arial"/>
                <w:sz w:val="16"/>
                <w:szCs w:val="16"/>
                <w:color w:val="auto"/>
              </w:rPr>
              <w:t>Add (deduct):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FF0FC"/>
          </w:tcPr>
          <w:p>
            <w:pPr>
              <w:spacing w:after="0"/>
              <w:rPr>
                <w:sz w:val="16"/>
                <w:szCs w:val="16"/>
                <w:color w:val="auto"/>
              </w:rPr>
            </w:pPr>
          </w:p>
        </w:tc>
      </w:tr>
      <w:tr>
        <w:trPr>
          <w:trHeight w:val="189"/>
        </w:trPr>
        <w:tc>
          <w:tcPr>
            <w:tcW w:w="602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6"/>
                <w:szCs w:val="16"/>
                <w:color w:val="auto"/>
              </w:rPr>
            </w:pPr>
          </w:p>
        </w:tc>
      </w:tr>
      <w:tr>
        <w:trPr>
          <w:trHeight w:val="189"/>
        </w:trPr>
        <w:tc>
          <w:tcPr>
            <w:tcW w:w="6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Payroll tax expense related to stock-based compensation</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FF0FC"/>
          </w:tcPr>
          <w:p>
            <w:pPr>
              <w:spacing w:after="0"/>
              <w:rPr>
                <w:sz w:val="16"/>
                <w:szCs w:val="16"/>
                <w:color w:val="auto"/>
              </w:rPr>
            </w:pPr>
          </w:p>
        </w:tc>
      </w:tr>
      <w:tr>
        <w:trPr>
          <w:trHeight w:val="189"/>
        </w:trPr>
        <w:tc>
          <w:tcPr>
            <w:tcW w:w="6020" w:type="dxa"/>
            <w:vAlign w:val="bottom"/>
            <w:gridSpan w:val="2"/>
          </w:tcPr>
          <w:p>
            <w:pPr>
              <w:spacing w:after="0"/>
              <w:rPr>
                <w:sz w:val="20"/>
                <w:szCs w:val="20"/>
                <w:color w:val="auto"/>
              </w:rPr>
            </w:pPr>
            <w:r>
              <w:rPr>
                <w:rFonts w:ascii="Arial" w:cs="Arial" w:eastAsia="Arial" w:hAnsi="Arial"/>
                <w:sz w:val="16"/>
                <w:szCs w:val="16"/>
                <w:color w:val="auto"/>
              </w:rPr>
              <w:t>Amortization of lease intangible</w:t>
            </w:r>
          </w:p>
        </w:tc>
        <w:tc>
          <w:tcPr>
            <w:tcW w:w="2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6"/>
                <w:szCs w:val="16"/>
                <w:color w:val="auto"/>
              </w:rPr>
            </w:pPr>
          </w:p>
        </w:tc>
      </w:tr>
      <w:tr>
        <w:trPr>
          <w:trHeight w:val="189"/>
        </w:trPr>
        <w:tc>
          <w:tcPr>
            <w:tcW w:w="6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deferred costs on convertible notes</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FF0FC"/>
          </w:tcPr>
          <w:p>
            <w:pPr>
              <w:spacing w:after="0"/>
              <w:rPr>
                <w:sz w:val="16"/>
                <w:szCs w:val="16"/>
                <w:color w:val="auto"/>
              </w:rPr>
            </w:pPr>
          </w:p>
        </w:tc>
      </w:tr>
      <w:tr>
        <w:trPr>
          <w:trHeight w:val="189"/>
        </w:trPr>
        <w:tc>
          <w:tcPr>
            <w:tcW w:w="6020" w:type="dxa"/>
            <w:vAlign w:val="bottom"/>
            <w:gridSpan w:val="2"/>
          </w:tcPr>
          <w:p>
            <w:pPr>
              <w:spacing w:after="0"/>
              <w:rPr>
                <w:sz w:val="20"/>
                <w:szCs w:val="20"/>
                <w:color w:val="auto"/>
              </w:rPr>
            </w:pPr>
            <w:r>
              <w:rPr>
                <w:rFonts w:ascii="Arial" w:cs="Arial" w:eastAsia="Arial" w:hAnsi="Arial"/>
                <w:sz w:val="16"/>
                <w:szCs w:val="16"/>
                <w:color w:val="auto"/>
              </w:rPr>
              <w:t>Acquisition and other</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6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Gain on sale of property and equipment</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(0.01)</w:t>
            </w:r>
          </w:p>
        </w:tc>
      </w:tr>
      <w:tr>
        <w:trPr>
          <w:trHeight w:val="189"/>
        </w:trPr>
        <w:tc>
          <w:tcPr>
            <w:tcW w:w="6020" w:type="dxa"/>
            <w:vAlign w:val="bottom"/>
            <w:gridSpan w:val="2"/>
          </w:tcPr>
          <w:p>
            <w:pPr>
              <w:spacing w:after="0"/>
              <w:rPr>
                <w:sz w:val="20"/>
                <w:szCs w:val="20"/>
                <w:color w:val="auto"/>
              </w:rPr>
            </w:pPr>
            <w:r>
              <w:rPr>
                <w:rFonts w:ascii="Arial" w:cs="Arial" w:eastAsia="Arial" w:hAnsi="Arial"/>
                <w:sz w:val="16"/>
                <w:szCs w:val="16"/>
                <w:color w:val="auto"/>
              </w:rPr>
              <w:t>Charitable contribution of common stock</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6"/>
                <w:szCs w:val="16"/>
                <w:color w:val="auto"/>
              </w:rPr>
            </w:pPr>
          </w:p>
        </w:tc>
      </w:tr>
      <w:tr>
        <w:trPr>
          <w:trHeight w:val="189"/>
        </w:trPr>
        <w:tc>
          <w:tcPr>
            <w:tcW w:w="6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Restructuring charges</w:t>
            </w:r>
          </w:p>
        </w:tc>
        <w:tc>
          <w:tcPr>
            <w:tcW w:w="2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6020" w:type="dxa"/>
            <w:vAlign w:val="bottom"/>
            <w:gridSpan w:val="2"/>
          </w:tcPr>
          <w:p>
            <w:pPr>
              <w:spacing w:after="0"/>
              <w:rPr>
                <w:sz w:val="20"/>
                <w:szCs w:val="20"/>
                <w:color w:val="auto"/>
              </w:rPr>
            </w:pPr>
            <w:r>
              <w:rPr>
                <w:rFonts w:ascii="Arial" w:cs="Arial" w:eastAsia="Arial" w:hAnsi="Arial"/>
                <w:sz w:val="16"/>
                <w:szCs w:val="16"/>
                <w:color w:val="auto"/>
              </w:rPr>
              <w:t>Loss on debt extinguishment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6"/>
                <w:szCs w:val="16"/>
                <w:color w:val="auto"/>
              </w:rPr>
            </w:pPr>
          </w:p>
        </w:tc>
      </w:tr>
      <w:tr>
        <w:trPr>
          <w:trHeight w:val="203"/>
        </w:trPr>
        <w:tc>
          <w:tcPr>
            <w:tcW w:w="6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Non-GAAP EPS, diluted, of Class A and Class B common stock</w:t>
            </w: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0.09</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(0.01)</w:t>
            </w: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0.10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(0.13)</w:t>
            </w:r>
          </w:p>
        </w:tc>
      </w:tr>
      <w:tr>
        <w:trPr>
          <w:trHeight w:val="20"/>
        </w:trPr>
        <w:tc>
          <w:tcPr>
            <w:tcW w:w="1260" w:type="dxa"/>
            <w:vAlign w:val="bottom"/>
            <w:tcBorders>
              <w:top w:val="single" w:sz="8" w:color="CFF0FC"/>
            </w:tcBorders>
            <w:shd w:val="clear" w:color="auto" w:fill="CFF0FC"/>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Segment Results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For the Three Months Ended June</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2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9"/>
              </w:rPr>
              <w:t>For the Six Months Ended June 30,</w:t>
            </w:r>
          </w:p>
        </w:tc>
      </w:tr>
      <w:tr>
        <w:trPr>
          <w:trHeight w:val="196"/>
        </w:trPr>
        <w:tc>
          <w:tcPr>
            <w:tcW w:w="44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Segment Revenue:</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135,733</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112,166</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263,553</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215,529</w:t>
            </w:r>
          </w:p>
        </w:tc>
        <w:tc>
          <w:tcPr>
            <w:tcW w:w="100" w:type="dxa"/>
            <w:vAlign w:val="bottom"/>
          </w:tcPr>
          <w:p>
            <w:pPr>
              <w:spacing w:after="0"/>
              <w:rPr>
                <w:sz w:val="17"/>
                <w:szCs w:val="17"/>
                <w:color w:val="auto"/>
              </w:rPr>
            </w:pPr>
          </w:p>
        </w:tc>
      </w:tr>
      <w:tr>
        <w:trPr>
          <w:trHeight w:val="203"/>
        </w:trPr>
        <w:tc>
          <w:tcPr>
            <w:tcW w:w="44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26,814</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20,429</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49,965</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39,756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162,547</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132,595</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313,518</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255,285</w:t>
            </w:r>
          </w:p>
        </w:tc>
        <w:tc>
          <w:tcPr>
            <w:tcW w:w="10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Segment Cost of Revenue:</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80,968</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67,036</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160,908</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129,966</w:t>
            </w:r>
          </w:p>
        </w:tc>
        <w:tc>
          <w:tcPr>
            <w:tcW w:w="100" w:type="dxa"/>
            <w:vAlign w:val="bottom"/>
          </w:tcPr>
          <w:p>
            <w:pPr>
              <w:spacing w:after="0"/>
              <w:rPr>
                <w:sz w:val="17"/>
                <w:szCs w:val="17"/>
                <w:color w:val="auto"/>
              </w:rPr>
            </w:pPr>
          </w:p>
        </w:tc>
      </w:tr>
      <w:tr>
        <w:trPr>
          <w:trHeight w:val="203"/>
        </w:trPr>
        <w:tc>
          <w:tcPr>
            <w:tcW w:w="44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16,403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12,682</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31,103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24,540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97,371</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79,718</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192,011</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154,506</w:t>
            </w:r>
          </w:p>
        </w:tc>
        <w:tc>
          <w:tcPr>
            <w:tcW w:w="10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Segment Adjusted EBITDA:</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6,875</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9,885</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(5,235)</w:t>
            </w:r>
          </w:p>
        </w:tc>
      </w:tr>
      <w:tr>
        <w:trPr>
          <w:trHeight w:val="203"/>
        </w:trPr>
        <w:tc>
          <w:tcPr>
            <w:tcW w:w="4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(2,949)</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(2,880)</w:t>
            </w:r>
          </w:p>
        </w:tc>
        <w:tc>
          <w:tcPr>
            <w:tcW w:w="1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(5,881)</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(4,858)</w:t>
            </w:r>
          </w:p>
        </w:tc>
      </w:tr>
      <w:tr>
        <w:trPr>
          <w:trHeight w:val="20"/>
        </w:trPr>
        <w:tc>
          <w:tcPr>
            <w:tcW w:w="4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Total Adjusted EBITDA</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3,926</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(2,634)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4,004</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(10,093)</w:t>
            </w:r>
          </w:p>
        </w:tc>
      </w:tr>
      <w:tr>
        <w:trPr>
          <w:trHeight w:val="20"/>
        </w:trPr>
        <w:tc>
          <w:tcPr>
            <w:tcW w:w="4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-2485390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-2485390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-2485390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-1807845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-1807845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-1807845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-1130935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-1130935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-1130935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242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For the Six Months</w:t>
            </w:r>
          </w:p>
        </w:tc>
        <w:tc>
          <w:tcPr>
            <w:tcW w:w="0" w:type="dxa"/>
            <w:vAlign w:val="bottom"/>
          </w:tcPr>
          <w:p>
            <w:pPr>
              <w:spacing w:after="0"/>
              <w:rPr>
                <w:sz w:val="1"/>
                <w:szCs w:val="1"/>
                <w:color w:val="auto"/>
              </w:rPr>
            </w:pPr>
          </w:p>
        </w:tc>
      </w:tr>
      <w:tr>
        <w:trPr>
          <w:trHeight w:val="221"/>
        </w:trPr>
        <w:tc>
          <w:tcPr>
            <w:tcW w:w="5140" w:type="dxa"/>
            <w:vAlign w:val="bottom"/>
          </w:tcPr>
          <w:p>
            <w:pPr>
              <w:spacing w:after="0"/>
              <w:rPr>
                <w:sz w:val="19"/>
                <w:szCs w:val="19"/>
                <w:color w:val="auto"/>
              </w:rPr>
            </w:pPr>
          </w:p>
        </w:tc>
        <w:tc>
          <w:tcPr>
            <w:tcW w:w="24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Ended June 30,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Ended June 30,</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14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Summary of Stock-based Compensation Expense and</w:t>
            </w:r>
          </w:p>
        </w:tc>
        <w:tc>
          <w:tcPr>
            <w:tcW w:w="8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Payroll Taxes Related to Stock-based Compensation</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86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2,256</w:t>
            </w:r>
          </w:p>
        </w:tc>
        <w:tc>
          <w:tcPr>
            <w:tcW w:w="220" w:type="dxa"/>
            <w:vAlign w:val="bottom"/>
          </w:tcPr>
          <w:p>
            <w:pPr>
              <w:spacing w:after="0"/>
              <w:rPr>
                <w:sz w:val="17"/>
                <w:szCs w:val="17"/>
                <w:color w:val="auto"/>
              </w:rPr>
            </w:pPr>
          </w:p>
        </w:tc>
        <w:tc>
          <w:tcPr>
            <w:tcW w:w="86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2,567</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4,639</w:t>
            </w:r>
          </w:p>
        </w:tc>
        <w:tc>
          <w:tcPr>
            <w:tcW w:w="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4,087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Operations and support</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2,758</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2,492</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1,812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2,088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3,828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1,330</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1,758</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2,767</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140" w:type="dxa"/>
            <w:vAlign w:val="bottom"/>
          </w:tcPr>
          <w:p>
            <w:pPr>
              <w:spacing w:after="0" w:line="177" w:lineRule="exact"/>
              <w:rPr>
                <w:sz w:val="20"/>
                <w:szCs w:val="20"/>
                <w:color w:val="auto"/>
              </w:rPr>
            </w:pPr>
            <w:r>
              <w:rPr>
                <w:rFonts w:ascii="Arial" w:cs="Arial" w:eastAsia="Arial" w:hAnsi="Arial"/>
                <w:sz w:val="18"/>
                <w:szCs w:val="18"/>
                <w:color w:val="auto"/>
              </w:rPr>
              <w:t>Total stock-based compensation expense and payroll taxes</w:t>
            </w:r>
          </w:p>
        </w:tc>
        <w:tc>
          <w:tcPr>
            <w:tcW w:w="860" w:type="dxa"/>
            <w:vAlign w:val="bottom"/>
            <w:vMerge w:val="restart"/>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97"/>
              </w:rPr>
              <w:t>8,156</w:t>
            </w:r>
          </w:p>
        </w:tc>
        <w:tc>
          <w:tcPr>
            <w:tcW w:w="220" w:type="dxa"/>
            <w:vAlign w:val="bottom"/>
          </w:tcPr>
          <w:p>
            <w:pPr>
              <w:spacing w:after="0"/>
              <w:rPr>
                <w:sz w:val="15"/>
                <w:szCs w:val="15"/>
                <w:color w:val="auto"/>
              </w:rPr>
            </w:pPr>
          </w:p>
        </w:tc>
        <w:tc>
          <w:tcPr>
            <w:tcW w:w="860" w:type="dxa"/>
            <w:vAlign w:val="bottom"/>
            <w:vMerge w:val="restart"/>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7"/>
              </w:rPr>
              <w:t>8,905</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16,971</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line="161" w:lineRule="exact"/>
              <w:rPr>
                <w:sz w:val="20"/>
                <w:szCs w:val="20"/>
                <w:color w:val="auto"/>
              </w:rPr>
            </w:pPr>
            <w:r>
              <w:rPr>
                <w:rFonts w:ascii="Arial" w:cs="Arial" w:eastAsia="Arial" w:hAnsi="Arial"/>
                <w:sz w:val="18"/>
                <w:szCs w:val="18"/>
                <w:color w:val="auto"/>
              </w:rPr>
              <w:t>related to stock-based compensation</w:t>
            </w:r>
          </w:p>
        </w:tc>
        <w:tc>
          <w:tcPr>
            <w:tcW w:w="8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Summary of Depreciation and Amortization Expense</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86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220" w:type="dxa"/>
            <w:vAlign w:val="bottom"/>
          </w:tcPr>
          <w:p>
            <w:pPr>
              <w:spacing w:after="0"/>
              <w:rPr>
                <w:sz w:val="17"/>
                <w:szCs w:val="17"/>
                <w:color w:val="auto"/>
              </w:rPr>
            </w:pPr>
          </w:p>
        </w:tc>
        <w:tc>
          <w:tcPr>
            <w:tcW w:w="86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792</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Operations and support</w:t>
            </w:r>
          </w:p>
        </w:tc>
        <w:tc>
          <w:tcPr>
            <w:tcW w:w="8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3,144</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2,017</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6,137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w:t>
            </w:r>
          </w:p>
        </w:tc>
        <w:tc>
          <w:tcPr>
            <w:tcW w:w="2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depreciation and amortization expense</w:t>
            </w:r>
          </w:p>
        </w:tc>
        <w:tc>
          <w:tcPr>
            <w:tcW w:w="860" w:type="dxa"/>
            <w:vAlign w:val="bottom"/>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4,495</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3,256</w:t>
            </w:r>
          </w:p>
        </w:tc>
        <w:tc>
          <w:tcPr>
            <w:tcW w:w="52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8,741</w:t>
            </w:r>
          </w:p>
        </w:tc>
        <w:tc>
          <w:tcPr>
            <w:tcW w:w="50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6,409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1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Summary of Restructuring Charges</w:t>
            </w:r>
          </w:p>
        </w:tc>
        <w:tc>
          <w:tcPr>
            <w:tcW w:w="8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Operations and support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restructuring charges</w:t>
            </w:r>
          </w:p>
        </w:tc>
        <w:tc>
          <w:tcPr>
            <w:tcW w:w="860" w:type="dxa"/>
            <w:vAlign w:val="bottom"/>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1,556</w:t>
            </w:r>
          </w:p>
        </w:tc>
        <w:tc>
          <w:tcPr>
            <w:tcW w:w="50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514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-3213735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-3213735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-3213735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-1910715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-1893570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-1910715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-1893570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-1910715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-1893570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-933450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-916305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-933450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-916305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-933450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-916305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2025-08-05T06:20:26Z</dcterms:created>
  <dcterms:modified xsi:type="dcterms:W3CDTF">2025-08-05T06:20:26Z</dcterms:modified>
</cp:coreProperties>
</file>