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Miln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3"/>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02/25/2025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35,996</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138,325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 that were granted in March 2024 subject to performance-based vesting conditions pertaining to 2024 performance, the achievement of which was certified by the Board on February 25, 2025. Of these RSUs, 1/3rd of the shares vested on February 25, 2025, and the remainder of the shares underlying the RSUs will vest in equal installments on each of February 25, 2026 and February 25, 2027, subject to the reporting person's continuous service.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02/27/2025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6790"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2025-02-27T18:02:10Z</dcterms:created>
  <dcterms:modified xsi:type="dcterms:W3CDTF">2025-02-27T18:02:10Z</dcterms:modified>
</cp:coreProperties>
</file>