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Registration No. 333-296394</w:t>
      </w:r>
    </w:p>
    <w:p>
      <w:pPr>
        <w:spacing w:after="0" w:line="10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Prospectus Supplement (To Prospectus dated June 1, 2026)</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2,647,059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2298065</wp:posOffset>
            </wp:positionH>
            <wp:positionV relativeFrom="paragraph">
              <wp:posOffset>141605</wp:posOffset>
            </wp:positionV>
            <wp:extent cx="1123315" cy="250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250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Xometry, Inc.</w:t>
      </w:r>
    </w:p>
    <w:p>
      <w:pPr>
        <w:spacing w:after="0" w:line="18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1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We are offering 2,647,059 shares of our Class A common stock.</w:t>
      </w:r>
    </w:p>
    <w:p>
      <w:pPr>
        <w:spacing w:after="0" w:line="172" w:lineRule="exact"/>
        <w:rPr>
          <w:sz w:val="24"/>
          <w:szCs w:val="24"/>
          <w:color w:val="auto"/>
        </w:rPr>
      </w:pPr>
    </w:p>
    <w:p>
      <w:pPr>
        <w:ind w:left="260" w:right="459" w:firstLine="340"/>
        <w:spacing w:after="0" w:line="258" w:lineRule="auto"/>
        <w:rPr>
          <w:sz w:val="20"/>
          <w:szCs w:val="20"/>
          <w:color w:val="auto"/>
        </w:rPr>
      </w:pPr>
      <w:r>
        <w:rPr>
          <w:rFonts w:ascii="Times New Roman" w:cs="Times New Roman" w:eastAsia="Times New Roman" w:hAnsi="Times New Roman"/>
          <w:sz w:val="14"/>
          <w:szCs w:val="14"/>
          <w:color w:val="auto"/>
        </w:rPr>
        <w:t>Our Class A common stock is traded on the Nasdaq Global Select Market under the symbol “XMTR.” On May 29, 2026, the last reported sale price of our Class A common stock on the Nasdaq Global Select Market was $95.29 per share. The final public offering price will be determined through negotiation between us and the lead underwriters in the offering and the recent market price used throughout this prospectus supplement may not be indicative of the actual offering price.</w:t>
      </w:r>
    </w:p>
    <w:p>
      <w:pPr>
        <w:spacing w:after="0" w:line="157" w:lineRule="exact"/>
        <w:rPr>
          <w:sz w:val="24"/>
          <w:szCs w:val="24"/>
          <w:color w:val="auto"/>
        </w:rPr>
      </w:pPr>
    </w:p>
    <w:tbl>
      <w:tblPr>
        <w:tblLayout w:type="fixed"/>
        <w:tblInd w:w="1280" w:type="dxa"/>
        <w:tblCellMar>
          <w:top w:w="0" w:type="dxa"/>
          <w:left w:w="0" w:type="dxa"/>
          <w:bottom w:w="0" w:type="dxa"/>
          <w:right w:w="0" w:type="dxa"/>
        </w:tblCellMar>
      </w:tblPr>
      <w:tr>
        <w:trPr>
          <w:trHeight w:val="134"/>
        </w:trPr>
        <w:tc>
          <w:tcPr>
            <w:tcW w:w="3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3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Public offering price</w:t>
            </w: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85.00</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4"/>
              </w:rPr>
              <w:t>225,000,015</w:t>
            </w:r>
          </w:p>
        </w:tc>
        <w:tc>
          <w:tcPr>
            <w:tcW w:w="60" w:type="dxa"/>
            <w:vAlign w:val="bottom"/>
            <w:tcBorders>
              <w:top w:val="single" w:sz="8" w:color="CCEEFF"/>
            </w:tcBorders>
            <w:shd w:val="clear" w:color="auto" w:fill="CCEEFF"/>
          </w:tcPr>
          <w:p>
            <w:pPr>
              <w:spacing w:after="0"/>
              <w:rPr>
                <w:sz w:val="13"/>
                <w:szCs w:val="13"/>
                <w:color w:val="auto"/>
              </w:rPr>
            </w:pPr>
          </w:p>
        </w:tc>
      </w:tr>
      <w:tr>
        <w:trPr>
          <w:trHeight w:val="167"/>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commissions(1)</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9,000,001</w:t>
            </w:r>
          </w:p>
        </w:tc>
        <w:tc>
          <w:tcPr>
            <w:tcW w:w="60" w:type="dxa"/>
            <w:vAlign w:val="bottom"/>
          </w:tcPr>
          <w:p>
            <w:pPr>
              <w:spacing w:after="0"/>
              <w:rPr>
                <w:sz w:val="14"/>
                <w:szCs w:val="14"/>
                <w:color w:val="auto"/>
              </w:rPr>
            </w:pPr>
          </w:p>
        </w:tc>
      </w:tr>
      <w:tr>
        <w:trPr>
          <w:trHeight w:val="16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Xometry, Inc., before expenses</w:t>
            </w: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216,000,014</w:t>
            </w:r>
          </w:p>
        </w:tc>
        <w:tc>
          <w:tcPr>
            <w:tcW w:w="60" w:type="dxa"/>
            <w:vAlign w:val="bottom"/>
            <w:shd w:val="clear" w:color="auto" w:fill="CCEEFF"/>
          </w:tcPr>
          <w:p>
            <w:pPr>
              <w:spacing w:after="0"/>
              <w:rPr>
                <w:sz w:val="14"/>
                <w:szCs w:val="14"/>
                <w:color w:val="auto"/>
              </w:rPr>
            </w:pPr>
          </w:p>
        </w:tc>
      </w:tr>
    </w:tbl>
    <w:p>
      <w:pPr>
        <w:spacing w:after="0" w:line="173" w:lineRule="exact"/>
        <w:rPr>
          <w:sz w:val="24"/>
          <w:szCs w:val="24"/>
          <w:color w:val="auto"/>
        </w:rPr>
      </w:pPr>
    </w:p>
    <w:p>
      <w:pPr>
        <w:ind w:left="600" w:hanging="342"/>
        <w:spacing w:after="0"/>
        <w:tabs>
          <w:tab w:leader="none" w:pos="6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172" w:lineRule="exact"/>
        <w:rPr>
          <w:sz w:val="24"/>
          <w:szCs w:val="24"/>
          <w:color w:val="auto"/>
        </w:rPr>
      </w:pPr>
    </w:p>
    <w:p>
      <w:pPr>
        <w:ind w:left="260" w:right="259" w:firstLine="340"/>
        <w:spacing w:after="0" w:line="263" w:lineRule="auto"/>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397,058 shares of Class A common stock from us at the public offering price, less underwriting discounts and commissions, within 30 days from the date of this prospectus supplement. See “Underwriting” for more information.</w:t>
      </w:r>
    </w:p>
    <w:p>
      <w:pPr>
        <w:spacing w:after="0" w:line="127" w:lineRule="exact"/>
        <w:rPr>
          <w:sz w:val="24"/>
          <w:szCs w:val="24"/>
          <w:color w:val="auto"/>
        </w:rPr>
      </w:pPr>
    </w:p>
    <w:p>
      <w:pPr>
        <w:ind w:left="260" w:right="319" w:firstLine="340"/>
        <w:spacing w:after="0" w:line="260" w:lineRule="auto"/>
        <w:rPr>
          <w:sz w:val="20"/>
          <w:szCs w:val="20"/>
          <w:color w:val="auto"/>
        </w:rPr>
      </w:pPr>
      <w:r>
        <w:rPr>
          <w:rFonts w:ascii="Times New Roman" w:cs="Times New Roman" w:eastAsia="Times New Roman" w:hAnsi="Times New Roman"/>
          <w:sz w:val="17"/>
          <w:szCs w:val="17"/>
          <w:b w:val="1"/>
          <w:bCs w:val="1"/>
          <w:color w:val="auto"/>
        </w:rPr>
        <w:t>Investing in our Class A common stock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S-4 of this prospectus supplement.</w:t>
      </w:r>
    </w:p>
    <w:p>
      <w:pPr>
        <w:spacing w:after="0" w:line="126" w:lineRule="exact"/>
        <w:rPr>
          <w:sz w:val="24"/>
          <w:szCs w:val="24"/>
          <w:color w:val="auto"/>
        </w:rPr>
      </w:pPr>
    </w:p>
    <w:p>
      <w:pPr>
        <w:ind w:left="260" w:right="379" w:firstLine="340"/>
        <w:spacing w:after="0" w:line="26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The underwriters expect to deliver the shares to purchasers on or about June 3, 2026.</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9019"/>
          </w:cols>
          <w:pgMar w:left="1440" w:top="206" w:right="1440" w:bottom="1440" w:gutter="0" w:footer="0" w:header="0"/>
        </w:sectPr>
      </w:pPr>
    </w:p>
    <w:p>
      <w:pPr>
        <w:spacing w:after="0" w:line="26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185" w:lineRule="exact"/>
        <w:rPr>
          <w:sz w:val="24"/>
          <w:szCs w:val="24"/>
          <w:color w:val="auto"/>
        </w:rPr>
      </w:pPr>
    </w:p>
    <w:p>
      <w:pPr>
        <w:sectPr>
          <w:pgSz w:w="11900" w:h="16838" w:orient="portrait"/>
          <w:cols w:equalWidth="0" w:num="2">
            <w:col w:w="5400" w:space="720"/>
            <w:col w:w="2899"/>
          </w:cols>
          <w:pgMar w:left="1440" w:top="20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Book-Running Managers</w:t>
      </w:r>
    </w:p>
    <w:p>
      <w:pPr>
        <w:sectPr>
          <w:pgSz w:w="11900" w:h="16838" w:orient="portrait"/>
          <w:cols w:equalWidth="0" w:num="1">
            <w:col w:w="9019"/>
          </w:cols>
          <w:pgMar w:left="1440" w:top="206" w:right="1440" w:bottom="1440" w:gutter="0" w:footer="0" w:header="0"/>
          <w:type w:val="continuous"/>
        </w:sectPr>
      </w:pPr>
    </w:p>
    <w:p>
      <w:pPr>
        <w:spacing w:after="0" w:line="28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9"/>
          <w:szCs w:val="19"/>
          <w:b w:val="1"/>
          <w:bCs w:val="1"/>
          <w:color w:val="auto"/>
        </w:rPr>
        <w:t>William Blair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Citizens Capital Markets</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Cantor</w:t>
      </w:r>
    </w:p>
    <w:p>
      <w:pPr>
        <w:spacing w:after="0" w:line="182" w:lineRule="exact"/>
        <w:rPr>
          <w:sz w:val="24"/>
          <w:szCs w:val="24"/>
          <w:color w:val="auto"/>
        </w:rPr>
      </w:pPr>
    </w:p>
    <w:p>
      <w:pPr>
        <w:sectPr>
          <w:pgSz w:w="11900" w:h="16838" w:orient="portrait"/>
          <w:cols w:equalWidth="0" w:num="3">
            <w:col w:w="3220" w:space="720"/>
            <w:col w:w="3500" w:space="720"/>
            <w:col w:w="859"/>
          </w:cols>
          <w:pgMar w:left="1440" w:top="20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Co-Manager</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Craig-Hallum</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June 1, 2026</w:t>
      </w:r>
    </w:p>
    <w:p>
      <w:pPr>
        <w:sectPr>
          <w:pgSz w:w="11900" w:h="16838" w:orient="portrait"/>
          <w:cols w:equalWidth="0" w:num="1">
            <w:col w:w="9019"/>
          </w:cols>
          <w:pgMar w:left="1440" w:top="206" w:right="1440" w:bottom="1440"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184"/>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5"/>
                <w:szCs w:val="15"/>
                <w:color w:val="auto"/>
              </w:rPr>
            </w:pPr>
          </w:p>
        </w:tc>
      </w:tr>
      <w:tr>
        <w:trPr>
          <w:trHeight w:val="333"/>
        </w:trPr>
        <w:tc>
          <w:tcPr>
            <w:tcW w:w="65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1860" w:type="dxa"/>
            <w:vAlign w:val="bottom"/>
          </w:tcPr>
          <w:p>
            <w:pPr>
              <w:spacing w:after="0"/>
              <w:rPr>
                <w:sz w:val="24"/>
                <w:szCs w:val="24"/>
                <w:color w:val="auto"/>
              </w:rPr>
            </w:pPr>
          </w:p>
        </w:tc>
      </w:tr>
      <w:tr>
        <w:trPr>
          <w:trHeight w:val="322"/>
        </w:trPr>
        <w:tc>
          <w:tcPr>
            <w:tcW w:w="1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7"/>
              </w:rPr>
              <w:t>About This Prospectus Supplement</w:t>
            </w:r>
          </w:p>
        </w:tc>
        <w:tc>
          <w:tcPr>
            <w:tcW w:w="4620" w:type="dxa"/>
            <w:vAlign w:val="bottom"/>
            <w:gridSpan w:val="6"/>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147"/>
        </w:trPr>
        <w:tc>
          <w:tcPr>
            <w:tcW w:w="188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8"/>
              </w:rPr>
              <w:t>Prospectus Supplement Summary</w:t>
            </w:r>
          </w:p>
        </w:tc>
        <w:tc>
          <w:tcPr>
            <w:tcW w:w="4700" w:type="dxa"/>
            <w:vAlign w:val="bottom"/>
            <w:gridSpan w:val="7"/>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w:t>
            </w:r>
          </w:p>
        </w:tc>
      </w:tr>
      <w:tr>
        <w:trPr>
          <w:trHeight w:val="147"/>
        </w:trPr>
        <w:tc>
          <w:tcPr>
            <w:tcW w:w="7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2"/>
                <w:szCs w:val="12"/>
                <w:color w:val="auto"/>
              </w:rPr>
            </w:pPr>
          </w:p>
        </w:tc>
        <w:tc>
          <w:tcPr>
            <w:tcW w:w="5860" w:type="dxa"/>
            <w:vAlign w:val="bottom"/>
            <w:gridSpan w:val="17"/>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S-4</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S-7</w:t>
            </w:r>
          </w:p>
        </w:tc>
      </w:tr>
      <w:tr>
        <w:trPr>
          <w:trHeight w:val="147"/>
        </w:trPr>
        <w:tc>
          <w:tcPr>
            <w:tcW w:w="90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2080" w:type="dxa"/>
            <w:vAlign w:val="bottom"/>
            <w:tcBorders>
              <w:top w:val="single" w:sz="8" w:color="0000EE"/>
            </w:tcBorders>
            <w:gridSpan w:val="12"/>
          </w:tcPr>
          <w:p>
            <w:pPr>
              <w:spacing w:after="0"/>
              <w:rPr>
                <w:sz w:val="12"/>
                <w:szCs w:val="12"/>
                <w:color w:val="auto"/>
              </w:rPr>
            </w:pPr>
          </w:p>
        </w:tc>
        <w:tc>
          <w:tcPr>
            <w:tcW w:w="3600" w:type="dxa"/>
            <w:vAlign w:val="bottom"/>
            <w:gridSpan w:val="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S-9</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Dilution</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S-10</w:t>
            </w: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Material U.S. Federal Income Tax Consequences to Non-U.S. Holders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S-12</w:t>
            </w:r>
          </w:p>
        </w:tc>
      </w:tr>
      <w:tr>
        <w:trPr>
          <w:trHeight w:val="147"/>
        </w:trPr>
        <w:tc>
          <w:tcPr>
            <w:tcW w:w="3900" w:type="dxa"/>
            <w:vAlign w:val="bottom"/>
            <w:tcBorders>
              <w:top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Underwriting</w:t>
            </w:r>
          </w:p>
        </w:tc>
        <w:tc>
          <w:tcPr>
            <w:tcW w:w="2680" w:type="dxa"/>
            <w:vAlign w:val="bottom"/>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S-16</w:t>
            </w: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7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5800" w:type="dxa"/>
            <w:vAlign w:val="bottom"/>
            <w:gridSpan w:val="1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S-27</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S-27</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S-27</w:t>
            </w:r>
          </w:p>
        </w:tc>
      </w:tr>
      <w:tr>
        <w:trPr>
          <w:trHeight w:val="20"/>
        </w:trPr>
        <w:tc>
          <w:tcPr>
            <w:tcW w:w="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S-27</w:t>
            </w:r>
          </w:p>
        </w:tc>
      </w:tr>
      <w:tr>
        <w:trPr>
          <w:trHeight w:val="428"/>
        </w:trPr>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24"/>
                <w:szCs w:val="24"/>
                <w:color w:val="auto"/>
              </w:rPr>
            </w:pPr>
          </w:p>
        </w:tc>
      </w:tr>
      <w:tr>
        <w:trPr>
          <w:trHeight w:val="333"/>
        </w:trPr>
        <w:tc>
          <w:tcPr>
            <w:tcW w:w="65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860" w:type="dxa"/>
            <w:vAlign w:val="bottom"/>
          </w:tcPr>
          <w:p>
            <w:pPr>
              <w:spacing w:after="0"/>
              <w:rPr>
                <w:sz w:val="24"/>
                <w:szCs w:val="24"/>
                <w:color w:val="auto"/>
              </w:rPr>
            </w:pPr>
          </w:p>
        </w:tc>
      </w:tr>
      <w:tr>
        <w:trPr>
          <w:trHeight w:val="322"/>
        </w:trPr>
        <w:tc>
          <w:tcPr>
            <w:tcW w:w="658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47"/>
        </w:trPr>
        <w:tc>
          <w:tcPr>
            <w:tcW w:w="1180" w:type="dxa"/>
            <w:vAlign w:val="bottom"/>
            <w:tcBorders>
              <w:top w:val="single" w:sz="8" w:color="0000EE"/>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Prospectus Summary</w:t>
            </w:r>
          </w:p>
        </w:tc>
        <w:tc>
          <w:tcPr>
            <w:tcW w:w="80" w:type="dxa"/>
            <w:vAlign w:val="bottom"/>
            <w:tcBorders>
              <w:top w:val="single" w:sz="8" w:color="0000EE"/>
            </w:tcBorders>
          </w:tcPr>
          <w:p>
            <w:pPr>
              <w:spacing w:after="0"/>
              <w:rPr>
                <w:sz w:val="12"/>
                <w:szCs w:val="12"/>
                <w:color w:val="auto"/>
              </w:rPr>
            </w:pPr>
          </w:p>
        </w:tc>
        <w:tc>
          <w:tcPr>
            <w:tcW w:w="5320" w:type="dxa"/>
            <w:vAlign w:val="bottom"/>
            <w:gridSpan w:val="11"/>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70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5880" w:type="dxa"/>
            <w:vAlign w:val="bottom"/>
            <w:gridSpan w:val="1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147"/>
        </w:trPr>
        <w:tc>
          <w:tcPr>
            <w:tcW w:w="90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2080" w:type="dxa"/>
            <w:vAlign w:val="bottom"/>
            <w:tcBorders>
              <w:top w:val="single" w:sz="8" w:color="0000EE"/>
            </w:tcBorders>
            <w:gridSpan w:val="12"/>
          </w:tcPr>
          <w:p>
            <w:pPr>
              <w:spacing w:after="0"/>
              <w:rPr>
                <w:sz w:val="12"/>
                <w:szCs w:val="12"/>
                <w:color w:val="auto"/>
              </w:rPr>
            </w:pPr>
          </w:p>
        </w:tc>
        <w:tc>
          <w:tcPr>
            <w:tcW w:w="3600" w:type="dxa"/>
            <w:vAlign w:val="bottom"/>
            <w:gridSpan w:val="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110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147"/>
        </w:trPr>
        <w:tc>
          <w:tcPr>
            <w:tcW w:w="168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Description of Warrants</w:t>
            </w:r>
          </w:p>
        </w:tc>
        <w:tc>
          <w:tcPr>
            <w:tcW w:w="4900" w:type="dxa"/>
            <w:vAlign w:val="bottom"/>
            <w:gridSpan w:val="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r>
      <w:tr>
        <w:trPr>
          <w:trHeight w:val="20"/>
        </w:trPr>
        <w:tc>
          <w:tcPr>
            <w:tcW w:w="110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Legal Ownership of Securities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7"/>
        </w:trPr>
        <w:tc>
          <w:tcPr>
            <w:tcW w:w="1320" w:type="dxa"/>
            <w:vAlign w:val="bottom"/>
            <w:tcBorders>
              <w:top w:val="single" w:sz="8" w:color="0000EE"/>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7"/>
              </w:rPr>
              <w:t>Selling Securityholders</w:t>
            </w:r>
          </w:p>
        </w:tc>
        <w:tc>
          <w:tcPr>
            <w:tcW w:w="360" w:type="dxa"/>
            <w:vAlign w:val="bottom"/>
            <w:tcBorders>
              <w:top w:val="single" w:sz="8" w:color="0000EE"/>
            </w:tcBorders>
            <w:gridSpan w:val="2"/>
          </w:tcPr>
          <w:p>
            <w:pPr>
              <w:spacing w:after="0"/>
              <w:rPr>
                <w:sz w:val="12"/>
                <w:szCs w:val="12"/>
                <w:color w:val="auto"/>
              </w:rPr>
            </w:pPr>
          </w:p>
        </w:tc>
        <w:tc>
          <w:tcPr>
            <w:tcW w:w="4900" w:type="dxa"/>
            <w:vAlign w:val="bottom"/>
            <w:gridSpan w:val="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7"/>
        </w:trPr>
        <w:tc>
          <w:tcPr>
            <w:tcW w:w="110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5480" w:type="dxa"/>
            <w:vAlign w:val="bottom"/>
            <w:gridSpan w:val="13"/>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r>
      <w:tr>
        <w:trPr>
          <w:trHeight w:val="147"/>
        </w:trPr>
        <w:tc>
          <w:tcPr>
            <w:tcW w:w="7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5800" w:type="dxa"/>
            <w:vAlign w:val="bottom"/>
            <w:gridSpan w:val="1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420" w:type="dxa"/>
            <w:vAlign w:val="bottom"/>
            <w:shd w:val="clear" w:color="auto" w:fill="0000EE"/>
          </w:tcPr>
          <w:p>
            <w:pPr>
              <w:spacing w:after="0" w:line="20" w:lineRule="exact"/>
              <w:rPr>
                <w:sz w:val="1"/>
                <w:szCs w:val="1"/>
                <w:color w:val="auto"/>
              </w:rPr>
            </w:pPr>
          </w:p>
        </w:tc>
        <w:tc>
          <w:tcPr>
            <w:tcW w:w="2420" w:type="dxa"/>
            <w:vAlign w:val="bottom"/>
            <w:gridSpan w:val="1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58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2200" w:type="dxa"/>
            <w:vAlign w:val="bottom"/>
            <w:gridSpan w:val="1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284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8"/>
              </w:rPr>
              <w:t>Incorporation of Certain Information By Reference</w:t>
            </w:r>
          </w:p>
        </w:tc>
        <w:tc>
          <w:tcPr>
            <w:tcW w:w="3740" w:type="dxa"/>
            <w:vAlign w:val="bottom"/>
            <w:gridSpan w:val="3"/>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ABOUT THIS PROSPECTUS SUPPLEMENT</w:t>
      </w:r>
    </w:p>
    <w:p>
      <w:pPr>
        <w:spacing w:after="0" w:line="174" w:lineRule="exact"/>
        <w:rPr>
          <w:sz w:val="20"/>
          <w:szCs w:val="20"/>
          <w:color w:val="auto"/>
        </w:rPr>
      </w:pPr>
    </w:p>
    <w:p>
      <w:pPr>
        <w:ind w:left="260" w:right="439" w:firstLine="340"/>
        <w:spacing w:after="0" w:line="258"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this offering of Class A common stock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some of which may not apply to this offering.</w:t>
      </w:r>
    </w:p>
    <w:p>
      <w:pPr>
        <w:spacing w:after="0" w:line="140" w:lineRule="exact"/>
        <w:rPr>
          <w:sz w:val="20"/>
          <w:szCs w:val="20"/>
          <w:color w:val="auto"/>
        </w:rPr>
      </w:pPr>
    </w:p>
    <w:p>
      <w:pPr>
        <w:ind w:left="260" w:right="299" w:firstLine="340"/>
        <w:spacing w:after="0" w:line="255"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44" w:lineRule="exact"/>
        <w:rPr>
          <w:sz w:val="20"/>
          <w:szCs w:val="20"/>
          <w:color w:val="auto"/>
        </w:rPr>
      </w:pPr>
    </w:p>
    <w:p>
      <w:pPr>
        <w:ind w:left="260" w:right="339" w:firstLine="340"/>
        <w:spacing w:after="0" w:line="251"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any information other than that contained or incorporated by reference in this prospectus supplement, the accompanying prospectus or in any free writing prospectus that we have authorized for use in connection with this offering. We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Class A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titled “Where You Can Find More Information” and “Incorporation of Certain Information by Reference” in this prospectus supplement and in the accompanying prospectus.</w:t>
      </w:r>
    </w:p>
    <w:p>
      <w:pPr>
        <w:spacing w:after="0" w:line="146" w:lineRule="exact"/>
        <w:rPr>
          <w:sz w:val="20"/>
          <w:szCs w:val="20"/>
          <w:color w:val="auto"/>
        </w:rPr>
      </w:pPr>
    </w:p>
    <w:p>
      <w:pPr>
        <w:ind w:left="260" w:right="339" w:firstLine="340"/>
        <w:spacing w:after="0" w:line="252" w:lineRule="auto"/>
        <w:rPr>
          <w:sz w:val="20"/>
          <w:szCs w:val="20"/>
          <w:color w:val="auto"/>
        </w:rPr>
      </w:pPr>
      <w:r>
        <w:rPr>
          <w:rFonts w:ascii="Times New Roman" w:cs="Times New Roman" w:eastAsia="Times New Roman" w:hAnsi="Times New Roman"/>
          <w:sz w:val="14"/>
          <w:szCs w:val="14"/>
          <w:color w:val="auto"/>
        </w:rPr>
        <w:t>We and the underwriters are offering to sell, and seeking offers to buy, shares of our Class A common stock only in jurisdictions in which offers and sales are permitted. The distribution of this prospectus supplement and the accompanying prospectus and the offering of the Class A common stock in certain jurisdictions may be restricted by law. Persons outside the United States who come into possession of this prospectus supplement and the accompanying prospectus must inform themselves about, and observe any restrictions relating to, the offering of the Class A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46" w:lineRule="exact"/>
        <w:rPr>
          <w:sz w:val="20"/>
          <w:szCs w:val="20"/>
          <w:color w:val="auto"/>
        </w:rPr>
      </w:pPr>
    </w:p>
    <w:p>
      <w:pPr>
        <w:ind w:left="260" w:right="279" w:firstLine="340"/>
        <w:spacing w:after="0" w:line="232" w:lineRule="auto"/>
        <w:rPr>
          <w:sz w:val="20"/>
          <w:szCs w:val="20"/>
          <w:color w:val="auto"/>
        </w:rPr>
      </w:pPr>
      <w:r>
        <w:rPr>
          <w:rFonts w:ascii="Times New Roman" w:cs="Times New Roman" w:eastAsia="Times New Roman" w:hAnsi="Times New Roman"/>
          <w:sz w:val="14"/>
          <w:szCs w:val="14"/>
          <w:color w:val="auto"/>
        </w:rPr>
        <w:t xml:space="preserve">As used in this prospectus supplement, unless the context otherwise requires, references to “Xometry,” “we,” “us,” “our” and the “Company” refer to Xometry, Inc. 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but such references should not be construed as any indication that their respective owners will not assert, to the fullest extent under applicable law, their rights thereto.</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15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170" cy="3215005"/>
                    </a:xfrm>
                    <a:prstGeom prst="rect">
                      <a:avLst/>
                    </a:prstGeom>
                    <a:noFill/>
                  </pic:spPr>
                </pic:pic>
              </a:graphicData>
            </a:graphic>
          </wp:anchor>
        </w:drawing>
        <w:t>PROSPECTUS SUPPLEMENT SUMMARY</w:t>
      </w:r>
    </w:p>
    <w:p>
      <w:pPr>
        <w:spacing w:after="0" w:line="172" w:lineRule="exact"/>
        <w:rPr>
          <w:sz w:val="20"/>
          <w:szCs w:val="20"/>
          <w:color w:val="auto"/>
        </w:rPr>
      </w:pPr>
    </w:p>
    <w:p>
      <w:pPr>
        <w:ind w:left="400" w:right="599" w:firstLine="328"/>
        <w:spacing w:after="0" w:line="253"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or incorporated by reference in this prospectus supplement. This summary does not contain all of the information you should consider before investing in our Class A common stock. Before you decide to invest in our Class A common stock, you should carefully read the prospectus supplement and the accompanying prospectus and any related free writing prospectus, including the section titled “Risk Factors” contained in this prospectus supplement, as well as the information included in any free writing prospectus that we have authorized for use in connection with this offering. You should also carefully read the information incorporated by reference into this prospectus supplement and the accompanying prospectus, including our consolidated financial statements, and the exhibits to the registration statement of which this prospectus supplement and the accompanying prospectus are a part.</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1" w:lineRule="exact"/>
        <w:rPr>
          <w:sz w:val="20"/>
          <w:szCs w:val="20"/>
          <w:color w:val="auto"/>
        </w:rPr>
      </w:pPr>
    </w:p>
    <w:p>
      <w:pPr>
        <w:ind w:left="400" w:right="479" w:firstLine="328"/>
        <w:spacing w:after="0" w:line="252" w:lineRule="auto"/>
        <w:rPr>
          <w:sz w:val="20"/>
          <w:szCs w:val="20"/>
          <w:color w:val="auto"/>
        </w:rPr>
      </w:pPr>
      <w:r>
        <w:rPr>
          <w:rFonts w:ascii="Times New Roman" w:cs="Times New Roman" w:eastAsia="Times New Roman" w:hAnsi="Times New Roman"/>
          <w:sz w:val="14"/>
          <w:szCs w:val="14"/>
          <w:color w:val="auto"/>
        </w:rPr>
        <w:t>Xometry, Inc.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The platform is designed to digitize and modernize the sourcing, pricing, and execution of manufacturing work across a broad range of processes, materials and industries, enabling more efficient matching of manufacturing demand with available production capacity. In addition,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ind w:left="400" w:right="539" w:firstLine="328"/>
        <w:spacing w:after="0" w:line="258" w:lineRule="auto"/>
        <w:rPr>
          <w:sz w:val="20"/>
          <w:szCs w:val="20"/>
          <w:color w:val="auto"/>
        </w:rPr>
      </w:pPr>
      <w:r>
        <w:rPr>
          <w:rFonts w:ascii="Times New Roman" w:cs="Times New Roman" w:eastAsia="Times New Roman" w:hAnsi="Times New Roman"/>
          <w:sz w:val="14"/>
          <w:szCs w:val="14"/>
          <w:color w:val="auto"/>
        </w:rPr>
        <w:t>We were incorporated in the State of Delaware in May 2013. Our principal executive offices are located at 6116 Executive Blvd, Suite 800, North Bethesda, MD and our telephone number is (240) 335-7914. Our website address is www.xometry.com. The information contained on, or accessible through, our website is not a part of or incorporated by reference into this prospectus supplement. We have included our website in this prospectus supplement solely as an inactive textual reference.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457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170" cy="4457065"/>
                    </a:xfrm>
                    <a:prstGeom prst="rect">
                      <a:avLst/>
                    </a:prstGeom>
                    <a:noFill/>
                  </pic:spPr>
                </pic:pic>
              </a:graphicData>
            </a:graphic>
          </wp:anchor>
        </w:drawing>
        <w:t>THE OFFERING</w:t>
      </w:r>
    </w:p>
    <w:p>
      <w:pPr>
        <w:sectPr>
          <w:pgSz w:w="11900" w:h="16838" w:orient="portrait"/>
          <w:cols w:equalWidth="0" w:num="1">
            <w:col w:w="9019"/>
          </w:cols>
          <w:pgMar w:left="1440" w:top="383" w:right="1440" w:bottom="1440" w:gutter="0" w:footer="0" w:header="0"/>
        </w:sect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Class A common stock offered by us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2,647,059 shares of our Class A common stock.</w:t>
      </w:r>
    </w:p>
    <w:p>
      <w:pPr>
        <w:spacing w:after="0" w:line="200" w:lineRule="exact"/>
        <w:rPr>
          <w:sz w:val="20"/>
          <w:szCs w:val="20"/>
          <w:color w:val="auto"/>
        </w:rPr>
      </w:pPr>
    </w:p>
    <w:p>
      <w:pPr>
        <w:sectPr>
          <w:pgSz w:w="11900" w:h="16838" w:orient="portrait"/>
          <w:cols w:equalWidth="0" w:num="2">
            <w:col w:w="2800" w:space="720"/>
            <w:col w:w="5499"/>
          </w:cols>
          <w:pgMar w:left="1440" w:top="383" w:right="1440" w:bottom="1440" w:gutter="0" w:footer="0" w:header="0"/>
          <w:type w:val="continuous"/>
        </w:sectPr>
      </w:pP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Option to purchase additional shares</w:t>
      </w:r>
    </w:p>
    <w:p>
      <w:pPr>
        <w:spacing w:after="0" w:line="20" w:lineRule="exact"/>
        <w:rPr>
          <w:sz w:val="20"/>
          <w:szCs w:val="20"/>
          <w:color w:val="auto"/>
        </w:rPr>
      </w:pPr>
      <w:r>
        <w:rPr>
          <w:sz w:val="20"/>
          <w:szCs w:val="20"/>
          <w:color w:val="auto"/>
        </w:rPr>
        <w:br w:type="column"/>
      </w:r>
    </w:p>
    <w:p>
      <w:pPr>
        <w:jc w:val="both"/>
        <w:ind w:right="479"/>
        <w:spacing w:after="0" w:line="263" w:lineRule="auto"/>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397,058 shares of our Class A common stock from us. This option is exercisable, in whole or in part, for a period of 30 days following the date of this prospectus supplement.</w:t>
      </w:r>
    </w:p>
    <w:p>
      <w:pPr>
        <w:spacing w:after="0" w:line="156" w:lineRule="exact"/>
        <w:rPr>
          <w:sz w:val="20"/>
          <w:szCs w:val="20"/>
          <w:color w:val="auto"/>
        </w:rPr>
      </w:pPr>
    </w:p>
    <w:p>
      <w:pPr>
        <w:sectPr>
          <w:pgSz w:w="11900" w:h="16838" w:orient="portrait"/>
          <w:cols w:equalWidth="0" w:num="2">
            <w:col w:w="2800" w:space="720"/>
            <w:col w:w="5499"/>
          </w:cols>
          <w:pgMar w:left="1440" w:top="383" w:right="1440" w:bottom="1440" w:gutter="0" w:footer="0" w:header="0"/>
          <w:type w:val="continuous"/>
        </w:sectPr>
      </w:pPr>
    </w:p>
    <w:p>
      <w:pPr>
        <w:ind w:left="460" w:right="20" w:hanging="60"/>
        <w:spacing w:after="0" w:line="322" w:lineRule="auto"/>
        <w:rPr>
          <w:sz w:val="20"/>
          <w:szCs w:val="20"/>
          <w:color w:val="auto"/>
        </w:rPr>
      </w:pPr>
      <w:r>
        <w:rPr>
          <w:rFonts w:ascii="Times New Roman" w:cs="Times New Roman" w:eastAsia="Times New Roman" w:hAnsi="Times New Roman"/>
          <w:sz w:val="13"/>
          <w:szCs w:val="13"/>
          <w:b w:val="1"/>
          <w:bCs w:val="1"/>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ind w:right="519"/>
        <w:spacing w:after="0" w:line="278" w:lineRule="auto"/>
        <w:rPr>
          <w:sz w:val="20"/>
          <w:szCs w:val="20"/>
          <w:color w:val="auto"/>
        </w:rPr>
      </w:pPr>
      <w:r>
        <w:rPr>
          <w:rFonts w:ascii="Times New Roman" w:cs="Times New Roman" w:eastAsia="Times New Roman" w:hAnsi="Times New Roman"/>
          <w:sz w:val="14"/>
          <w:szCs w:val="14"/>
          <w:color w:val="auto"/>
        </w:rPr>
        <w:t>53,412,278 shares of our Class A common stock (or 53,809,336 shares if the underwriters exercise their option to purchase additional shares in full).</w:t>
      </w:r>
    </w:p>
    <w:p>
      <w:pPr>
        <w:spacing w:after="0" w:line="156" w:lineRule="exact"/>
        <w:rPr>
          <w:sz w:val="20"/>
          <w:szCs w:val="20"/>
          <w:color w:val="auto"/>
        </w:rPr>
      </w:pPr>
    </w:p>
    <w:p>
      <w:pPr>
        <w:sectPr>
          <w:pgSz w:w="11900" w:h="16838" w:orient="portrait"/>
          <w:cols w:equalWidth="0" w:num="2">
            <w:col w:w="2800" w:space="720"/>
            <w:col w:w="5499"/>
          </w:cols>
          <w:pgMar w:left="1440" w:top="383" w:right="1440"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right="419"/>
        <w:spacing w:after="0" w:line="284" w:lineRule="auto"/>
        <w:rPr>
          <w:sz w:val="20"/>
          <w:szCs w:val="20"/>
          <w:color w:val="auto"/>
        </w:rPr>
      </w:pPr>
      <w:r>
        <w:rPr>
          <w:rFonts w:ascii="Times New Roman" w:cs="Times New Roman" w:eastAsia="Times New Roman" w:hAnsi="Times New Roman"/>
          <w:sz w:val="13"/>
          <w:szCs w:val="13"/>
          <w:color w:val="auto"/>
        </w:rPr>
        <w:t>We estimate that our net proceeds from this offering will be approximately $215.2 million, or approximately $247.6 million if the underwriters’ option to purchase additional shares of our Class A common stock from us is exercised in full, in each case, after deducting underwriting discounts and commissions and estimated offering expenses payable by us.</w:t>
      </w:r>
    </w:p>
    <w:p>
      <w:pPr>
        <w:spacing w:after="0" w:line="146" w:lineRule="exact"/>
        <w:rPr>
          <w:sz w:val="20"/>
          <w:szCs w:val="20"/>
          <w:color w:val="auto"/>
        </w:rPr>
      </w:pPr>
    </w:p>
    <w:p>
      <w:pPr>
        <w:sectPr>
          <w:pgSz w:w="11900" w:h="16838" w:orient="portrait"/>
          <w:cols w:equalWidth="0" w:num="2">
            <w:col w:w="2800" w:space="720"/>
            <w:col w:w="5499"/>
          </w:cols>
          <w:pgMar w:left="1440" w:top="383" w:right="1440" w:bottom="1440" w:gutter="0" w:footer="0" w:header="0"/>
          <w:type w:val="continuous"/>
        </w:sectPr>
      </w:pPr>
    </w:p>
    <w:p>
      <w:pPr>
        <w:ind w:left="3520" w:right="659"/>
        <w:spacing w:after="0" w:line="258"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for working capital and general corporate purposes, including, but not limited to, general and administrative matters, repayment of debt, capital expenditures and acquisitions of other businesses or assets. See “Use of Proceeds” for additional information.</w:t>
      </w:r>
    </w:p>
    <w:p>
      <w:pPr>
        <w:sectPr>
          <w:pgSz w:w="11900" w:h="16838" w:orient="portrait"/>
          <w:cols w:equalWidth="0" w:num="1">
            <w:col w:w="9019"/>
          </w:cols>
          <w:pgMar w:left="1440" w:top="383" w:right="1440" w:bottom="1440" w:gutter="0" w:footer="0" w:header="0"/>
          <w:type w:val="continuous"/>
        </w:sectPr>
      </w:pP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519"/>
        <w:spacing w:after="0" w:line="258" w:lineRule="auto"/>
        <w:rPr>
          <w:sz w:val="20"/>
          <w:szCs w:val="20"/>
          <w:color w:val="auto"/>
        </w:rPr>
      </w:pPr>
      <w:r>
        <w:rPr>
          <w:rFonts w:ascii="Times New Roman" w:cs="Times New Roman" w:eastAsia="Times New Roman" w:hAnsi="Times New Roman"/>
          <w:sz w:val="14"/>
          <w:szCs w:val="14"/>
          <w:color w:val="auto"/>
        </w:rPr>
        <w:t>See “Risk Factors” beginning on page S-4 of this prospectus supplement and other information included and incorporated by reference in this prospectus supplement and the accompanying prospectus for a discussion of factors that you should carefully consider before deciding to invest in our Class A common stock.</w:t>
      </w:r>
    </w:p>
    <w:p>
      <w:pPr>
        <w:spacing w:after="0" w:line="159" w:lineRule="exact"/>
        <w:rPr>
          <w:sz w:val="20"/>
          <w:szCs w:val="20"/>
          <w:color w:val="auto"/>
        </w:rPr>
      </w:pPr>
    </w:p>
    <w:p>
      <w:pPr>
        <w:sectPr>
          <w:pgSz w:w="11900" w:h="16838" w:orient="portrait"/>
          <w:cols w:equalWidth="0" w:num="2">
            <w:col w:w="2800" w:space="720"/>
            <w:col w:w="5499"/>
          </w:cols>
          <w:pgMar w:left="1440" w:top="383" w:right="1440"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3"/>
          <w:szCs w:val="13"/>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“XMTR”</w:t>
      </w:r>
    </w:p>
    <w:p>
      <w:pPr>
        <w:spacing w:after="0" w:line="194" w:lineRule="exact"/>
        <w:rPr>
          <w:sz w:val="20"/>
          <w:szCs w:val="20"/>
          <w:color w:val="auto"/>
        </w:rPr>
      </w:pPr>
    </w:p>
    <w:p>
      <w:pPr>
        <w:sectPr>
          <w:pgSz w:w="11900" w:h="16838" w:orient="portrait"/>
          <w:cols w:equalWidth="0" w:num="2">
            <w:col w:w="2800" w:space="720"/>
            <w:col w:w="5499"/>
          </w:cols>
          <w:pgMar w:left="1440" w:top="383" w:right="1440" w:bottom="1440" w:gutter="0" w:footer="0" w:header="0"/>
          <w:type w:val="continuous"/>
        </w:sectPr>
      </w:pPr>
    </w:p>
    <w:p>
      <w:pPr>
        <w:ind w:left="400" w:right="519" w:firstLine="328"/>
        <w:spacing w:after="0" w:line="278" w:lineRule="auto"/>
        <w:rPr>
          <w:sz w:val="20"/>
          <w:szCs w:val="20"/>
          <w:color w:val="auto"/>
        </w:rPr>
      </w:pPr>
      <w:r>
        <w:rPr>
          <w:rFonts w:ascii="Times New Roman" w:cs="Times New Roman" w:eastAsia="Times New Roman" w:hAnsi="Times New Roman"/>
          <w:sz w:val="14"/>
          <w:szCs w:val="14"/>
          <w:color w:val="auto"/>
        </w:rPr>
        <w:t>The number of shares of our Class A common stock to be outstanding immediately after this offering set forth above is based on 50,765,219 shares of our Class A common stock outstanding as of March 31, 2026, but excludes:</w:t>
      </w:r>
    </w:p>
    <w:p>
      <w:pPr>
        <w:spacing w:after="0" w:line="54" w:lineRule="exact"/>
        <w:rPr>
          <w:sz w:val="20"/>
          <w:szCs w:val="20"/>
          <w:color w:val="auto"/>
        </w:rPr>
      </w:pPr>
    </w:p>
    <w:p>
      <w:pPr>
        <w:jc w:val="both"/>
        <w:ind w:left="1120" w:right="619" w:hanging="316"/>
        <w:spacing w:after="0" w:line="263" w:lineRule="auto"/>
        <w:tabs>
          <w:tab w:leader="none" w:pos="1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1,242,975 shares of Class A common stock issuable upon the exercise of stock options outstanding as of March 31, 2026 under our 2021 Equity Incentive Plan, or 2021 Plan, our 2016 Equity Incentive Plan, or 2016 Plan, or the Nextline Manufacturing Corp. 2014 Stock Option Plan, or Nextline Plan, at a weighted-average exercise price of $12.55 per share;</w:t>
      </w:r>
    </w:p>
    <w:p>
      <w:pPr>
        <w:spacing w:after="0" w:line="63" w:lineRule="exact"/>
        <w:rPr>
          <w:rFonts w:ascii="Times New Roman" w:cs="Times New Roman" w:eastAsia="Times New Roman" w:hAnsi="Times New Roman"/>
          <w:sz w:val="14"/>
          <w:szCs w:val="14"/>
          <w:color w:val="auto"/>
        </w:rPr>
      </w:pPr>
    </w:p>
    <w:p>
      <w:pPr>
        <w:ind w:left="1120" w:right="639" w:hanging="316"/>
        <w:spacing w:after="0" w:line="278" w:lineRule="auto"/>
        <w:tabs>
          <w:tab w:leader="none" w:pos="1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3,199,910 shares of Class A common stock issuable upon the vesting and settlement of restricted stock units, or RSUs, outstanding under our 2021 Plan as of March 31, 2026;</w:t>
      </w:r>
    </w:p>
    <w:p>
      <w:pPr>
        <w:spacing w:after="0" w:line="53" w:lineRule="exact"/>
        <w:rPr>
          <w:rFonts w:ascii="Times New Roman" w:cs="Times New Roman" w:eastAsia="Times New Roman" w:hAnsi="Times New Roman"/>
          <w:sz w:val="14"/>
          <w:szCs w:val="14"/>
          <w:color w:val="auto"/>
        </w:rPr>
      </w:pPr>
    </w:p>
    <w:p>
      <w:pPr>
        <w:ind w:left="1120" w:right="619" w:hanging="316"/>
        <w:spacing w:after="0" w:line="278" w:lineRule="auto"/>
        <w:tabs>
          <w:tab w:leader="none" w:pos="1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582,639 shares of Class A common stock issuable upon the vesting and settlement of performance restricted stock units, or PRSUs, outstanding under our 2021 Plan as of March 31, 2026;</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383" w:right="1440" w:bottom="1440" w:gutter="0" w:footer="0" w:header="0"/>
          <w:type w:val="continuous"/>
        </w:sectPr>
      </w:pPr>
    </w:p>
    <w:bookmarkStart w:id="5" w:name="page6"/>
    <w:bookmarkEnd w:id="5"/>
    <w:p>
      <w:pPr>
        <w:ind w:left="1120" w:hanging="316"/>
        <w:spacing w:after="0"/>
        <w:tabs>
          <w:tab w:leader="none" w:pos="1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1489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1489710"/>
                    </a:xfrm>
                    <a:prstGeom prst="rect">
                      <a:avLst/>
                    </a:prstGeom>
                    <a:noFill/>
                  </pic:spPr>
                </pic:pic>
              </a:graphicData>
            </a:graphic>
          </wp:anchor>
        </w:drawing>
        <w:t>8,735,774 shares of Class A reserved for future issuances under our 2021 Plan as of March 31, 2026;</w:t>
      </w:r>
    </w:p>
    <w:p>
      <w:pPr>
        <w:spacing w:after="0" w:line="99" w:lineRule="exact"/>
        <w:rPr>
          <w:rFonts w:ascii="Times New Roman" w:cs="Times New Roman" w:eastAsia="Times New Roman" w:hAnsi="Times New Roman"/>
          <w:sz w:val="14"/>
          <w:szCs w:val="14"/>
          <w:color w:val="auto"/>
        </w:rPr>
      </w:pPr>
    </w:p>
    <w:p>
      <w:pPr>
        <w:ind w:left="1120" w:right="1199" w:hanging="316"/>
        <w:spacing w:after="0" w:line="278" w:lineRule="auto"/>
        <w:tabs>
          <w:tab w:leader="none" w:pos="1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60,397 shares of our Class A common stock that we have reserved for future issuance and may donate to fund our social, environmental and governance initiatives;</w:t>
      </w:r>
    </w:p>
    <w:p>
      <w:pPr>
        <w:spacing w:after="0" w:line="53"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Class A common stock reserved for issuance upon conversion of outstanding convertible senior notes; and</w:t>
      </w:r>
    </w:p>
    <w:p>
      <w:pPr>
        <w:spacing w:after="0" w:line="99" w:lineRule="exact"/>
        <w:rPr>
          <w:rFonts w:ascii="Times New Roman" w:cs="Times New Roman" w:eastAsia="Times New Roman" w:hAnsi="Times New Roman"/>
          <w:sz w:val="14"/>
          <w:szCs w:val="14"/>
          <w:color w:val="auto"/>
        </w:rPr>
      </w:pPr>
    </w:p>
    <w:p>
      <w:pPr>
        <w:ind w:left="1120" w:right="679" w:hanging="316"/>
        <w:spacing w:after="0" w:line="278" w:lineRule="auto"/>
        <w:tabs>
          <w:tab w:leader="none" w:pos="1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1,475,311 shares of our Class A common stock reserved for issuance upon conversion of Class B common stock outstanding as of March 31, 2026.</w:t>
      </w:r>
    </w:p>
    <w:p>
      <w:pPr>
        <w:spacing w:after="0" w:line="127" w:lineRule="exact"/>
        <w:rPr>
          <w:sz w:val="20"/>
          <w:szCs w:val="20"/>
          <w:color w:val="auto"/>
        </w:rPr>
      </w:pPr>
    </w:p>
    <w:p>
      <w:pPr>
        <w:ind w:left="400" w:right="459" w:firstLine="328"/>
        <w:spacing w:after="0" w:line="293" w:lineRule="auto"/>
        <w:rPr>
          <w:sz w:val="20"/>
          <w:szCs w:val="20"/>
          <w:color w:val="auto"/>
        </w:rPr>
      </w:pPr>
      <w:r>
        <w:rPr>
          <w:rFonts w:ascii="Times New Roman" w:cs="Times New Roman" w:eastAsia="Times New Roman" w:hAnsi="Times New Roman"/>
          <w:sz w:val="13"/>
          <w:szCs w:val="13"/>
          <w:color w:val="auto"/>
        </w:rPr>
        <w:t>Unless otherwise indicated, all information in this prospectus supplement assumes no exercise by the underwriters of their option to purchase up to an additional 397,058 shares of our Class A common stock, no exercise of the outstanding stock options summarized above, no vesting or settlement of the outstanding restricted stock units summarized above, and no conversion of outstanding senior convertible notes described above.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38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RISK FACTORS</w:t>
      </w:r>
    </w:p>
    <w:p>
      <w:pPr>
        <w:spacing w:after="0" w:line="172" w:lineRule="exact"/>
        <w:rPr>
          <w:sz w:val="20"/>
          <w:szCs w:val="20"/>
          <w:color w:val="auto"/>
        </w:rPr>
      </w:pPr>
    </w:p>
    <w:p>
      <w:pPr>
        <w:ind w:left="260" w:right="359" w:firstLine="340"/>
        <w:spacing w:after="0" w:line="252"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Before making an investment decision, you should carefully consider the risks described below and in our most recent Annual Report on Form 10-K and Quarterly Report on Form 10-Q, as updated or superseded by the risks and uncertainties described in our subsequent filings under the Exchange Act, each of which is incorporated by reference into this prospectus supplement and the accompanying prospectus, and all of the other information in this prospectus supplement and the accompanying prospectus, including our consolidated financial statements and related notes incorporated by reference in this prospectus supplement and the accompanying prospectus. If any of these risks is realized, our business, financial condition, results of operations and prospects could be harmed. In that event, the trading price of our Class A common stock could decline, and you could lose part or all of your investment. Additional risks and uncertainties that are not yet identified or that we think are immaterial may also harm our business, operating results and financial condition and could result in a complete loss of your investment.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to us from this offering and may not use them effectively.</w:t>
      </w:r>
    </w:p>
    <w:p>
      <w:pPr>
        <w:spacing w:after="0" w:line="91"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We will have broad discretion in the application of the net proceeds to us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trading price of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shares of Class A common stock in this offering, you will experience immediate and substantial dilution of your investment.</w:t>
      </w:r>
    </w:p>
    <w:p>
      <w:pPr>
        <w:spacing w:after="0" w:line="91" w:lineRule="exact"/>
        <w:rPr>
          <w:sz w:val="20"/>
          <w:szCs w:val="20"/>
          <w:color w:val="auto"/>
        </w:rPr>
      </w:pPr>
    </w:p>
    <w:p>
      <w:pPr>
        <w:ind w:left="260" w:right="279" w:firstLine="340"/>
        <w:spacing w:after="0" w:line="251" w:lineRule="auto"/>
        <w:rPr>
          <w:sz w:val="20"/>
          <w:szCs w:val="20"/>
          <w:color w:val="auto"/>
        </w:rPr>
      </w:pPr>
      <w:r>
        <w:rPr>
          <w:rFonts w:ascii="Times New Roman" w:cs="Times New Roman" w:eastAsia="Times New Roman" w:hAnsi="Times New Roman"/>
          <w:sz w:val="14"/>
          <w:szCs w:val="14"/>
          <w:color w:val="auto"/>
        </w:rPr>
        <w:t>The price of our Class A common stock in this offering may be higher than the net tangible book value per share of our Class A common stock. Therefore, if you purchase shares of our Class A common stock in this offering, you may pay a price per share that substantially exceeds our net tangible book value per share. Based on the public offering price of $85.00 per share, our as adjusted net tangible book value as of March 31, 2026 would have been $207.0 million, or $3.77 per share, representing an immediate increase in the net tangible book value per share of $3.93 to existing stockholders and an immediate dilution of $81.23 in net tangible book value per share to investors purchasing Class A common stock in this offering, representing the difference between our as adjusted net tangible book value per share after giving effect to this offering and the public offering price. To the extent outstanding stock options are exercised or outstanding restricted stock units vest and settle, there will be further dilution to new investors. In addition, to the extent we need to raise additional capital in the future and issue additional shares of Class A common stock or securities convertible or exchangeable for our Class A common stock, our then-existing stockholders may experience dilution, and the new securities may have rights senior to those of our Class A common stock offered in this offering.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Investors in this offering may experience future dilution.</w:t>
      </w:r>
    </w:p>
    <w:p>
      <w:pPr>
        <w:spacing w:after="0" w:line="91" w:lineRule="exact"/>
        <w:rPr>
          <w:sz w:val="20"/>
          <w:szCs w:val="20"/>
          <w:color w:val="auto"/>
        </w:rPr>
      </w:pPr>
    </w:p>
    <w:p>
      <w:pPr>
        <w:jc w:val="both"/>
        <w:ind w:left="260" w:right="399" w:firstLine="340"/>
        <w:spacing w:after="0" w:line="263"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our Class A common stock or other securities convertible into, or exchangeable for, our Class A common stock at prices that may not be the same as the price per share in this offering. We cannot assure you that we will be able to sell shares of our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37" w:right="1440" w:bottom="1440" w:gutter="0" w:footer="0" w:header="0"/>
        </w:sectPr>
      </w:pPr>
    </w:p>
    <w:bookmarkStart w:id="7" w:name="page8"/>
    <w:bookmarkEnd w:id="7"/>
    <w:p>
      <w:pPr>
        <w:ind w:left="260" w:right="279"/>
        <w:spacing w:after="0" w:line="29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Class A common stock or other related securities in any other offering at a price per share that is equal to or greater than the price per share paid by investors in this offering. If the price per share at which we sell additional shares of our Class A common stock or related securities in future transactions is less than the price per share in this offering, investors who purchase our Class A common stock in this offering will suffer dilution in their investment.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Class A common stock so any returns will be limited to the value of our stock.</w:t>
      </w:r>
    </w:p>
    <w:p>
      <w:pPr>
        <w:spacing w:after="0" w:line="91" w:lineRule="exact"/>
        <w:rPr>
          <w:sz w:val="20"/>
          <w:szCs w:val="20"/>
          <w:color w:val="auto"/>
        </w:rPr>
      </w:pPr>
    </w:p>
    <w:p>
      <w:pPr>
        <w:jc w:val="both"/>
        <w:ind w:left="260" w:right="439" w:firstLine="340"/>
        <w:spacing w:after="0" w:line="263" w:lineRule="auto"/>
        <w:rPr>
          <w:sz w:val="20"/>
          <w:szCs w:val="20"/>
          <w:color w:val="auto"/>
        </w:rPr>
      </w:pPr>
      <w:r>
        <w:rPr>
          <w:rFonts w:ascii="Times New Roman" w:cs="Times New Roman" w:eastAsia="Times New Roman" w:hAnsi="Times New Roman"/>
          <w:sz w:val="14"/>
          <w:szCs w:val="14"/>
          <w:color w:val="auto"/>
        </w:rPr>
        <w:t>We have never declared or paid any cash dividend on our capital stock. We currently anticipate that we will retain all available funds and future earnings, if any, to fund the development and expansion of our business, and we do not anticipate paying any cash dividends in the foreseeable future. Any return to stockholders will therefore be limited to the appreciation of their stock.</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and the value of our Class A common stock may decline.</w:t>
      </w:r>
    </w:p>
    <w:p>
      <w:pPr>
        <w:spacing w:after="0" w:line="91" w:lineRule="exact"/>
        <w:rPr>
          <w:sz w:val="20"/>
          <w:szCs w:val="20"/>
          <w:color w:val="auto"/>
        </w:rPr>
      </w:pPr>
    </w:p>
    <w:p>
      <w:pPr>
        <w:ind w:left="260" w:right="319" w:firstLine="340"/>
        <w:spacing w:after="0" w:line="278" w:lineRule="auto"/>
        <w:rPr>
          <w:sz w:val="20"/>
          <w:szCs w:val="20"/>
          <w:color w:val="auto"/>
        </w:rPr>
      </w:pPr>
      <w:r>
        <w:rPr>
          <w:rFonts w:ascii="Times New Roman" w:cs="Times New Roman" w:eastAsia="Times New Roman" w:hAnsi="Times New Roman"/>
          <w:sz w:val="14"/>
          <w:szCs w:val="14"/>
          <w:color w:val="auto"/>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54" w:lineRule="exact"/>
        <w:rPr>
          <w:sz w:val="20"/>
          <w:szCs w:val="20"/>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 or financial condition;</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variance in our financial performance from expectations of securities analysts;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pricing model;</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projected operating and financial results;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business;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business developments, acquisitions, or new offerings;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involvement in any litigation;</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by us or our stockholders;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results of operations meet previously announced guidance or the expectations of securities analysts or investors;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data breaches, disruptions or other incidents involving our platform, marketplace or products or services;</w:t>
      </w:r>
    </w:p>
    <w:p>
      <w:pPr>
        <w:spacing w:after="0" w:line="99" w:lineRule="exact"/>
        <w:rPr>
          <w:rFonts w:ascii="Times New Roman" w:cs="Times New Roman" w:eastAsia="Times New Roman" w:hAnsi="Times New Roman"/>
          <w:sz w:val="14"/>
          <w:szCs w:val="14"/>
          <w:color w:val="auto"/>
        </w:rPr>
      </w:pPr>
    </w:p>
    <w:p>
      <w:pPr>
        <w:ind w:left="1000" w:right="899" w:hanging="326"/>
        <w:spacing w:after="0" w:line="278"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proprietary rights or our solutions, or third-party intellectual or proprietary rights;</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key personnel;</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volume of our Class A common stock;</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anticipated future size and growth rate of our market; and</w:t>
      </w:r>
    </w:p>
    <w:p>
      <w:pPr>
        <w:spacing w:after="0" w:line="99" w:lineRule="exact"/>
        <w:rPr>
          <w:rFonts w:ascii="Times New Roman" w:cs="Times New Roman" w:eastAsia="Times New Roman" w:hAnsi="Times New Roman"/>
          <w:sz w:val="14"/>
          <w:szCs w:val="14"/>
          <w:color w:val="auto"/>
        </w:rPr>
      </w:pPr>
    </w:p>
    <w:p>
      <w:pPr>
        <w:ind w:left="1000" w:right="499" w:hanging="326"/>
        <w:spacing w:after="0" w:line="263"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spacing w:after="0" w:line="137" w:lineRule="exact"/>
        <w:rPr>
          <w:sz w:val="20"/>
          <w:szCs w:val="20"/>
          <w:color w:val="auto"/>
        </w:rPr>
      </w:pPr>
    </w:p>
    <w:p>
      <w:pPr>
        <w:ind w:left="260" w:right="459" w:firstLine="340"/>
        <w:spacing w:after="0" w:line="278" w:lineRule="auto"/>
        <w:rPr>
          <w:sz w:val="20"/>
          <w:szCs w:val="20"/>
          <w:color w:val="auto"/>
        </w:rPr>
      </w:pPr>
      <w:r>
        <w:rPr>
          <w:rFonts w:ascii="Times New Roman" w:cs="Times New Roman" w:eastAsia="Times New Roman" w:hAnsi="Times New Roman"/>
          <w:sz w:val="14"/>
          <w:szCs w:val="14"/>
          <w:color w:val="auto"/>
        </w:rPr>
        <w:t>The market for technology stocks and the stock market in general have recently experienced significant price and volume fluctuations that have affected and continue to affect the market prices of equity securities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39" w:right="1440" w:bottom="1440" w:gutter="0" w:footer="0" w:header="0"/>
        </w:sectPr>
      </w:pPr>
    </w:p>
    <w:bookmarkStart w:id="8" w:name="page9"/>
    <w:bookmarkEnd w:id="8"/>
    <w:p>
      <w:pPr>
        <w:ind w:left="26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sale of a substantial number of shares of our Class A common stock may cause the price of our Class A common stock to decline.</w:t>
      </w:r>
    </w:p>
    <w:p>
      <w:pPr>
        <w:spacing w:after="0" w:line="91" w:lineRule="exact"/>
        <w:rPr>
          <w:sz w:val="20"/>
          <w:szCs w:val="20"/>
          <w:color w:val="auto"/>
        </w:rPr>
      </w:pPr>
    </w:p>
    <w:p>
      <w:pPr>
        <w:ind w:left="260" w:right="359" w:firstLine="340"/>
        <w:spacing w:after="0" w:line="263"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37" w:lineRule="exact"/>
        <w:rPr>
          <w:sz w:val="20"/>
          <w:szCs w:val="20"/>
          <w:color w:val="auto"/>
        </w:rPr>
      </w:pPr>
    </w:p>
    <w:p>
      <w:pPr>
        <w:ind w:left="260" w:right="339" w:firstLine="340"/>
        <w:spacing w:after="0" w:line="258" w:lineRule="auto"/>
        <w:rPr>
          <w:sz w:val="20"/>
          <w:szCs w:val="20"/>
          <w:color w:val="auto"/>
        </w:rPr>
      </w:pPr>
      <w:r>
        <w:rPr>
          <w:rFonts w:ascii="Times New Roman" w:cs="Times New Roman" w:eastAsia="Times New Roman" w:hAnsi="Times New Roman"/>
          <w:sz w:val="14"/>
          <w:szCs w:val="14"/>
          <w:color w:val="auto"/>
        </w:rPr>
        <w:t>We cannot predict what effect, if any, sales of our shares in the public market or the availability of shares for sale will have on the market price of our Class A common stock. However, future sales of substantial amounts of our Class A common stock in the public market, including shares issued upon exercise of outstanding options or vesting and settlement of outstanding RSUs and PRSUs, or the perception that such sales may occur, could adversely affect the market price of our Class A common stock.</w:t>
      </w:r>
    </w:p>
    <w:p>
      <w:pPr>
        <w:spacing w:after="0" w:line="140" w:lineRule="exact"/>
        <w:rPr>
          <w:sz w:val="20"/>
          <w:szCs w:val="20"/>
          <w:color w:val="auto"/>
        </w:rPr>
      </w:pPr>
    </w:p>
    <w:p>
      <w:pPr>
        <w:ind w:left="260" w:right="319" w:firstLine="340"/>
        <w:spacing w:after="0" w:line="258" w:lineRule="auto"/>
        <w:rPr>
          <w:sz w:val="20"/>
          <w:szCs w:val="20"/>
          <w:color w:val="auto"/>
        </w:rPr>
      </w:pPr>
      <w:r>
        <w:rPr>
          <w:rFonts w:ascii="Times New Roman" w:cs="Times New Roman" w:eastAsia="Times New Roman" w:hAnsi="Times New Roman"/>
          <w:sz w:val="14"/>
          <w:szCs w:val="14"/>
          <w:color w:val="auto"/>
        </w:rPr>
        <w:t>In addition, J.P. Morgan Securities LLC and Goldman Sachs &amp; Co. LLC may, in their sole discretion, release all or some portion of the shares subject to the lock-up agreements associated with this offering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9"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SPECIAL NOTE REGARDING FORWARD-LOOKING STATEMENTS</w:t>
      </w:r>
    </w:p>
    <w:p>
      <w:pPr>
        <w:spacing w:after="0" w:line="174" w:lineRule="exact"/>
        <w:rPr>
          <w:sz w:val="20"/>
          <w:szCs w:val="20"/>
          <w:color w:val="auto"/>
        </w:rPr>
      </w:pPr>
    </w:p>
    <w:p>
      <w:pPr>
        <w:ind w:left="260" w:right="399" w:firstLine="340"/>
        <w:spacing w:after="0" w:line="263" w:lineRule="auto"/>
        <w:rPr>
          <w:sz w:val="20"/>
          <w:szCs w:val="20"/>
          <w:color w:val="auto"/>
        </w:rPr>
      </w:pPr>
      <w:r>
        <w:rPr>
          <w:rFonts w:ascii="Times New Roman" w:cs="Times New Roman" w:eastAsia="Times New Roman" w:hAnsi="Times New Roman"/>
          <w:sz w:val="14"/>
          <w:szCs w:val="14"/>
          <w:color w:val="auto"/>
        </w:rPr>
        <w:t>This prospectus supplement and accompanying prospectus, and the information incorporated by reference herein and therein contain forward-looking statements within the meaning of Section 27A of the Securities Act, and Section 21E of the Securities Exchange Act of 1934, as amended (the “Exchange Act”), which statements involve substantial risks and uncertainties.</w:t>
      </w:r>
    </w:p>
    <w:p>
      <w:pPr>
        <w:spacing w:after="0" w:line="137" w:lineRule="exact"/>
        <w:rPr>
          <w:sz w:val="20"/>
          <w:szCs w:val="20"/>
          <w:color w:val="auto"/>
        </w:rPr>
      </w:pPr>
    </w:p>
    <w:p>
      <w:pPr>
        <w:ind w:left="260" w:right="339" w:firstLine="340"/>
        <w:spacing w:after="0" w:line="254" w:lineRule="auto"/>
        <w:rPr>
          <w:sz w:val="20"/>
          <w:szCs w:val="20"/>
          <w:color w:val="auto"/>
        </w:rPr>
      </w:pPr>
      <w:r>
        <w:rPr>
          <w:rFonts w:ascii="Times New Roman" w:cs="Times New Roman" w:eastAsia="Times New Roman" w:hAnsi="Times New Roman"/>
          <w:sz w:val="14"/>
          <w:szCs w:val="14"/>
          <w:color w:val="auto"/>
        </w:rPr>
        <w:t>All statements, other than statements of historical fact, contained in this prospectus supplement and the accompanying prospectus, and the information incorporated by reference herein and therein, including statements regarding our strategy, future operations, future financial position, future revenue, projected costs, prospects, plans, objectives of management and projections of market opportunity,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but are not limited to, statements concerning the following:</w:t>
      </w:r>
    </w:p>
    <w:p>
      <w:pPr>
        <w:spacing w:after="0" w:line="71" w:lineRule="exact"/>
        <w:rPr>
          <w:sz w:val="20"/>
          <w:szCs w:val="20"/>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revenue, expenses and other operating results;</w:t>
      </w:r>
    </w:p>
    <w:p>
      <w:pPr>
        <w:spacing w:after="0" w:line="99" w:lineRule="exact"/>
        <w:rPr>
          <w:rFonts w:ascii="Times New Roman" w:cs="Times New Roman" w:eastAsia="Times New Roman" w:hAnsi="Times New Roman"/>
          <w:sz w:val="14"/>
          <w:szCs w:val="14"/>
          <w:color w:val="auto"/>
        </w:rPr>
      </w:pPr>
    </w:p>
    <w:p>
      <w:pPr>
        <w:ind w:left="1000" w:right="839" w:hanging="326"/>
        <w:spacing w:after="0" w:line="278" w:lineRule="auto"/>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growth of our business, including our ability to effectively manage or sustain our growth and to achieve or sustain profitability;</w:t>
      </w:r>
    </w:p>
    <w:p>
      <w:pPr>
        <w:spacing w:after="0" w:line="53" w:lineRule="exact"/>
        <w:rPr>
          <w:rFonts w:ascii="Times New Roman" w:cs="Times New Roman" w:eastAsia="Times New Roman" w:hAnsi="Times New Roman"/>
          <w:sz w:val="14"/>
          <w:szCs w:val="14"/>
          <w:color w:val="auto"/>
        </w:rPr>
      </w:pPr>
    </w:p>
    <w:p>
      <w:pPr>
        <w:ind w:left="1000" w:right="319" w:hanging="326"/>
        <w:spacing w:after="0" w:line="263" w:lineRule="auto"/>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inflation, interest rates, recessionary factors, foreign exchange rate volatility, tariffs and other trade barriers, domestic and global geopolitical uncertainties, public health crises, supply-chain disruptions or other macroeconomic factors, which may lead to periods of global economic uncertainty;</w:t>
      </w:r>
    </w:p>
    <w:p>
      <w:pPr>
        <w:spacing w:after="0" w:line="6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investments in our business, our anticipated capital expenditures and our estimates regarding our capital requirements;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buyers and suppliers and successfully engage new and existing buyers and suppliers;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success of our sales and marketing efforts, and our ability to promote our brand;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key personnel and our ability to identify, recruit and retain skilled personnel;</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including any international expansion;</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or other proprietary rights and any costs associated therewith;</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costs and expenses, which may be impacted by changes in tariff policies and inflationary pressures;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growth rates of the markets in which we compete; and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use of proceeds from this offering.</w:t>
      </w:r>
    </w:p>
    <w:p>
      <w:pPr>
        <w:spacing w:after="0" w:line="172"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prospectus supplement and the documents incorporated herein by reference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this prospectus supplement and in our Annual Report on Form 10-K for the year ended December 31, 2025,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7" w:right="1440" w:bottom="1440" w:gutter="0" w:footer="0" w:header="0"/>
        </w:sectPr>
      </w:pPr>
    </w:p>
    <w:bookmarkStart w:id="10" w:name="page11"/>
    <w:bookmarkEnd w:id="10"/>
    <w:p>
      <w:pPr>
        <w:ind w:left="260" w:right="339"/>
        <w:spacing w:after="0" w:line="31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supplement and the documents incorporated herein by reference. The results, events and circumstances reflected in the forward-looking statements may not be achieved or occur, and actual results, events or circumstances could differ materially from those described in the forward-looking statements.</w:t>
      </w:r>
    </w:p>
    <w:p>
      <w:pPr>
        <w:spacing w:after="0" w:line="103" w:lineRule="exact"/>
        <w:rPr>
          <w:sz w:val="20"/>
          <w:szCs w:val="20"/>
          <w:color w:val="auto"/>
        </w:rPr>
      </w:pPr>
    </w:p>
    <w:p>
      <w:pPr>
        <w:ind w:left="260" w:right="539" w:firstLine="340"/>
        <w:spacing w:after="0" w:line="255" w:lineRule="auto"/>
        <w:rPr>
          <w:sz w:val="20"/>
          <w:szCs w:val="20"/>
          <w:color w:val="auto"/>
        </w:rPr>
      </w:pPr>
      <w:r>
        <w:rPr>
          <w:rFonts w:ascii="Times New Roman" w:cs="Times New Roman" w:eastAsia="Times New Roman" w:hAnsi="Times New Roman"/>
          <w:sz w:val="14"/>
          <w:szCs w:val="14"/>
          <w:color w:val="auto"/>
        </w:rPr>
        <w:t>In addition, statements made in this prospectus supplement and the documents incorporated herein by reference that “we believe” and similar statements reflect our beliefs and opinions on the relevant subject. These statements are based on information available to us as of the date on which such statements are made.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4" w:lineRule="exact"/>
        <w:rPr>
          <w:sz w:val="20"/>
          <w:szCs w:val="20"/>
          <w:color w:val="auto"/>
        </w:rPr>
      </w:pPr>
    </w:p>
    <w:p>
      <w:pPr>
        <w:jc w:val="both"/>
        <w:ind w:left="260" w:right="399" w:firstLine="340"/>
        <w:spacing w:after="0" w:line="254" w:lineRule="auto"/>
        <w:rPr>
          <w:sz w:val="20"/>
          <w:szCs w:val="20"/>
          <w:color w:val="auto"/>
        </w:rPr>
      </w:pPr>
      <w:r>
        <w:rPr>
          <w:rFonts w:ascii="Times New Roman" w:cs="Times New Roman" w:eastAsia="Times New Roman" w:hAnsi="Times New Roman"/>
          <w:sz w:val="14"/>
          <w:szCs w:val="14"/>
          <w:color w:val="auto"/>
        </w:rPr>
        <w:t>The forward-looking statements made in this prospectus supplement and the documents incorporated herein by reference relate only to events as of the date on which the statements are made. We undertake no obligation to update any forward-looking statements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PROCEEDS</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We estimate that the net proceeds from our issuance and sale of shares of our Class A common stock in this offering will be approximately</w:t>
      </w:r>
    </w:p>
    <w:p>
      <w:pPr>
        <w:spacing w:after="0" w:line="21" w:lineRule="exact"/>
        <w:rPr>
          <w:sz w:val="20"/>
          <w:szCs w:val="20"/>
          <w:color w:val="auto"/>
        </w:rPr>
      </w:pPr>
    </w:p>
    <w:p>
      <w:pPr>
        <w:ind w:left="260" w:right="379"/>
        <w:spacing w:after="0" w:line="256" w:lineRule="auto"/>
        <w:rPr>
          <w:sz w:val="20"/>
          <w:szCs w:val="20"/>
          <w:color w:val="auto"/>
        </w:rPr>
      </w:pPr>
      <w:r>
        <w:rPr>
          <w:rFonts w:ascii="Times New Roman" w:cs="Times New Roman" w:eastAsia="Times New Roman" w:hAnsi="Times New Roman"/>
          <w:sz w:val="14"/>
          <w:szCs w:val="14"/>
          <w:color w:val="auto"/>
        </w:rPr>
        <w:t>$215.2 million, or approximately $247.6 million if the underwriters exercise their option to purchase additional shares of our Class A common stock in full, in each case, after deducting underwriting discounts and commissions and estimated offering expenses payable by us.</w:t>
      </w:r>
    </w:p>
    <w:p>
      <w:pPr>
        <w:spacing w:after="0" w:line="141" w:lineRule="exact"/>
        <w:rPr>
          <w:sz w:val="20"/>
          <w:szCs w:val="20"/>
          <w:color w:val="auto"/>
        </w:rPr>
      </w:pPr>
    </w:p>
    <w:p>
      <w:pPr>
        <w:ind w:left="260" w:right="439" w:firstLine="340"/>
        <w:spacing w:after="0" w:line="258"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for working capital and general corporate purposes, including, but not limited to, general and administrative matters, repayment of debt, capital expenditures and acquisitions of other businesses or assets. Pending the use of net proceeds as described above, we intend to invest the net proceeds in short-term, investment-grade, interest bearing instruments in accordance with our investment policy.</w:t>
      </w:r>
    </w:p>
    <w:p>
      <w:pPr>
        <w:spacing w:after="0" w:line="140" w:lineRule="exact"/>
        <w:rPr>
          <w:sz w:val="20"/>
          <w:szCs w:val="20"/>
          <w:color w:val="auto"/>
        </w:rPr>
      </w:pPr>
    </w:p>
    <w:p>
      <w:pPr>
        <w:ind w:left="260" w:right="499" w:firstLine="340"/>
        <w:spacing w:after="0" w:line="255" w:lineRule="auto"/>
        <w:rPr>
          <w:sz w:val="20"/>
          <w:szCs w:val="20"/>
          <w:color w:val="auto"/>
        </w:rPr>
      </w:pPr>
      <w:r>
        <w:rPr>
          <w:rFonts w:ascii="Times New Roman" w:cs="Times New Roman" w:eastAsia="Times New Roman" w:hAnsi="Times New Roman"/>
          <w:sz w:val="14"/>
          <w:szCs w:val="14"/>
          <w:color w:val="auto"/>
        </w:rPr>
        <w:t>The amounts and timing of our actual expenditures will depend on numerous factors, including the factors described in the section titled “Risk Factors” in this prospectus supplement and the accompanying prospectus, including the information incorporated by reference herein and therein, as well as the amount of cash used in our operations and any unforeseen cash needs.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DILUTION</w:t>
      </w:r>
    </w:p>
    <w:p>
      <w:pPr>
        <w:spacing w:after="0" w:line="174" w:lineRule="exact"/>
        <w:rPr>
          <w:sz w:val="20"/>
          <w:szCs w:val="20"/>
          <w:color w:val="auto"/>
        </w:rPr>
      </w:pPr>
    </w:p>
    <w:p>
      <w:pPr>
        <w:ind w:left="260" w:right="299" w:firstLine="340"/>
        <w:spacing w:after="0" w:line="263" w:lineRule="auto"/>
        <w:rPr>
          <w:sz w:val="20"/>
          <w:szCs w:val="20"/>
          <w:color w:val="auto"/>
        </w:rPr>
      </w:pPr>
      <w:r>
        <w:rPr>
          <w:rFonts w:ascii="Times New Roman" w:cs="Times New Roman" w:eastAsia="Times New Roman" w:hAnsi="Times New Roman"/>
          <w:sz w:val="14"/>
          <w:szCs w:val="14"/>
          <w:color w:val="auto"/>
        </w:rPr>
        <w:t>If you invest in our Class A common stock, your interest will be diluted to the extent of the difference between the amount per share paid by purchasers of shares of Class A common stock in this public offering and the as adjusted net tangible book value per share of our Class A common stock immediately after this offering.</w:t>
      </w:r>
    </w:p>
    <w:p>
      <w:pPr>
        <w:spacing w:after="0" w:line="137" w:lineRule="exact"/>
        <w:rPr>
          <w:sz w:val="20"/>
          <w:szCs w:val="20"/>
          <w:color w:val="auto"/>
        </w:rPr>
      </w:pPr>
    </w:p>
    <w:p>
      <w:pPr>
        <w:ind w:left="260" w:right="339" w:firstLine="340"/>
        <w:spacing w:after="0" w:line="263" w:lineRule="auto"/>
        <w:rPr>
          <w:sz w:val="20"/>
          <w:szCs w:val="20"/>
          <w:color w:val="auto"/>
        </w:rPr>
      </w:pPr>
      <w:r>
        <w:rPr>
          <w:rFonts w:ascii="Times New Roman" w:cs="Times New Roman" w:eastAsia="Times New Roman" w:hAnsi="Times New Roman"/>
          <w:sz w:val="14"/>
          <w:szCs w:val="14"/>
          <w:color w:val="auto"/>
        </w:rPr>
        <w:t>As of March 31, 2026, we had a historical net tangible book value of $(8.1) million, or $(0.16) per share of Class A common stock. Our historical net tangible book value per share represents total tangible assets less total liabilities, divided by the number of shares of Class A common stock outstanding.</w:t>
      </w:r>
    </w:p>
    <w:p>
      <w:pPr>
        <w:spacing w:after="0" w:line="137"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After giving effect to the sale by us of 2,647,059 shares of Class A common stock in this offering at the public offering price of $85.00 per share, and after deducting underwriting discounts and commissions and estimated offering expenses payable by us, our as adjusted net tangible book value as of March 31, 2026 would have been approximately $207.0 million, or approximately $3.77 per share. This amount represents an immediate increase in our net tangible book value of approximately $3.93 per share to our existing stockholders and an immediate dilution in our net tangible book value of approximately $81.23 per share to investors purchasing Class A common stock in this offering. We determine dilution by subtracting our as adjusted net tangible book value per share after this offering from the amount of cash paid by an investor for a share of Class A common stock in this offering. The following table illustrates this dilution on a per share basis: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16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 per share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85.00</w:t>
            </w:r>
          </w:p>
        </w:tc>
      </w:tr>
      <w:tr>
        <w:trPr>
          <w:trHeight w:val="167"/>
        </w:trPr>
        <w:tc>
          <w:tcPr>
            <w:tcW w:w="5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Historical net tangible book value per share as of March 31, 2026</w:t>
            </w: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$(0.16)</w:t>
            </w:r>
          </w:p>
        </w:tc>
        <w:tc>
          <w:tcPr>
            <w:tcW w:w="360" w:type="dxa"/>
            <w:vAlign w:val="bottom"/>
          </w:tcPr>
          <w:p>
            <w:pPr>
              <w:spacing w:after="0"/>
              <w:rPr>
                <w:sz w:val="14"/>
                <w:szCs w:val="14"/>
                <w:color w:val="auto"/>
              </w:rPr>
            </w:pPr>
          </w:p>
        </w:tc>
      </w:tr>
      <w:tr>
        <w:trPr>
          <w:trHeight w:val="152"/>
        </w:trPr>
        <w:tc>
          <w:tcPr>
            <w:tcW w:w="5760" w:type="dxa"/>
            <w:vAlign w:val="bottom"/>
            <w:shd w:val="clear" w:color="auto" w:fill="CCEEFF"/>
          </w:tcPr>
          <w:p>
            <w:pPr>
              <w:ind w:left="560"/>
              <w:spacing w:after="0" w:line="152" w:lineRule="exact"/>
              <w:rPr>
                <w:sz w:val="20"/>
                <w:szCs w:val="20"/>
                <w:color w:val="auto"/>
              </w:rPr>
            </w:pPr>
            <w:r>
              <w:rPr>
                <w:rFonts w:ascii="Times New Roman" w:cs="Times New Roman" w:eastAsia="Times New Roman" w:hAnsi="Times New Roman"/>
                <w:sz w:val="14"/>
                <w:szCs w:val="14"/>
                <w:color w:val="auto"/>
              </w:rPr>
              <w:t>Increase in net tangible book value per share attributable to investors purchasing shares in</w:t>
            </w: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81"/>
        </w:trPr>
        <w:tc>
          <w:tcPr>
            <w:tcW w:w="5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this offering</w:t>
            </w:r>
          </w:p>
        </w:tc>
        <w:tc>
          <w:tcPr>
            <w:tcW w:w="1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$ 3.93</w:t>
            </w:r>
          </w:p>
        </w:tc>
        <w:tc>
          <w:tcPr>
            <w:tcW w:w="360" w:type="dxa"/>
            <w:vAlign w:val="bottom"/>
            <w:shd w:val="clear" w:color="auto" w:fill="CCEEFF"/>
          </w:tcPr>
          <w:p>
            <w:pPr>
              <w:spacing w:after="0"/>
              <w:rPr>
                <w:sz w:val="15"/>
                <w:szCs w:val="15"/>
                <w:color w:val="auto"/>
              </w:rPr>
            </w:pPr>
          </w:p>
        </w:tc>
      </w:tr>
      <w:tr>
        <w:trPr>
          <w:trHeight w:val="167"/>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this offering</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6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net tangible book value per share to investors purchasing shares in this offering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81.23</w:t>
            </w:r>
          </w:p>
        </w:tc>
      </w:tr>
    </w:tbl>
    <w:p>
      <w:pPr>
        <w:spacing w:after="0" w:line="152" w:lineRule="exact"/>
        <w:rPr>
          <w:sz w:val="20"/>
          <w:szCs w:val="20"/>
          <w:color w:val="auto"/>
        </w:rPr>
      </w:pPr>
    </w:p>
    <w:p>
      <w:pPr>
        <w:ind w:left="260" w:right="279" w:firstLine="340"/>
        <w:spacing w:after="0" w:line="258" w:lineRule="auto"/>
        <w:rPr>
          <w:sz w:val="20"/>
          <w:szCs w:val="20"/>
          <w:color w:val="auto"/>
        </w:rPr>
      </w:pPr>
      <w:r>
        <w:rPr>
          <w:rFonts w:ascii="Times New Roman" w:cs="Times New Roman" w:eastAsia="Times New Roman" w:hAnsi="Times New Roman"/>
          <w:sz w:val="14"/>
          <w:szCs w:val="14"/>
          <w:color w:val="auto"/>
        </w:rPr>
        <w:t>If the underwriters exercise in full their option to purchase up to 397,058 additional shares of Class A common stock at the public offering price of $85.00 per share, the as adjusted net tangible book value per share after this offering would be approximately $4.33, representing an increase in net tangible book value of approximately $4.49 per share to our existing stockholders and immediate dilution in net tangible book value of approximately $80.67 per share to new investors purchasing our Class A common stock in this offering at the public offering price.</w:t>
      </w:r>
    </w:p>
    <w:p>
      <w:pPr>
        <w:spacing w:after="0" w:line="140" w:lineRule="exact"/>
        <w:rPr>
          <w:sz w:val="20"/>
          <w:szCs w:val="20"/>
          <w:color w:val="auto"/>
        </w:rPr>
      </w:pPr>
    </w:p>
    <w:p>
      <w:pPr>
        <w:ind w:left="260" w:right="439" w:firstLine="340"/>
        <w:spacing w:after="0" w:line="278" w:lineRule="auto"/>
        <w:rPr>
          <w:sz w:val="20"/>
          <w:szCs w:val="20"/>
          <w:color w:val="auto"/>
        </w:rPr>
      </w:pPr>
      <w:r>
        <w:rPr>
          <w:rFonts w:ascii="Times New Roman" w:cs="Times New Roman" w:eastAsia="Times New Roman" w:hAnsi="Times New Roman"/>
          <w:sz w:val="14"/>
          <w:szCs w:val="14"/>
          <w:color w:val="auto"/>
        </w:rPr>
        <w:t>The above table and calculations (other than net tangible book value calculations) are based on 50,765,219 shares of our Class A common stock outstanding as of March 31, 2026, and excludes:</w:t>
      </w:r>
    </w:p>
    <w:p>
      <w:pPr>
        <w:spacing w:after="0" w:line="54" w:lineRule="exact"/>
        <w:rPr>
          <w:sz w:val="20"/>
          <w:szCs w:val="20"/>
          <w:color w:val="auto"/>
        </w:rPr>
      </w:pPr>
    </w:p>
    <w:p>
      <w:pPr>
        <w:ind w:left="1000" w:right="419" w:hanging="326"/>
        <w:spacing w:after="0" w:line="278"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1,242,975 shares of Class A common stock issuable upon the exercise of stock options outstanding as of March 31, 2026 under our 2021 Plan, our 2016 Plan or our Nextline Plan, at a weighted-average exercise price of $12.55 per share;</w:t>
      </w:r>
    </w:p>
    <w:p>
      <w:pPr>
        <w:spacing w:after="0" w:line="53" w:lineRule="exact"/>
        <w:rPr>
          <w:rFonts w:ascii="Times New Roman" w:cs="Times New Roman" w:eastAsia="Times New Roman" w:hAnsi="Times New Roman"/>
          <w:sz w:val="14"/>
          <w:szCs w:val="14"/>
          <w:color w:val="auto"/>
        </w:rPr>
      </w:pPr>
    </w:p>
    <w:p>
      <w:pPr>
        <w:ind w:left="1000" w:right="679" w:hanging="326"/>
        <w:spacing w:after="0" w:line="278"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3,199,910 shares of Class A common stock issuable upon the vesting and settlement of RSUs outstanding under our 2021 Plan as of March 31, 2026;</w:t>
      </w:r>
    </w:p>
    <w:p>
      <w:pPr>
        <w:spacing w:after="0" w:line="53" w:lineRule="exact"/>
        <w:rPr>
          <w:rFonts w:ascii="Times New Roman" w:cs="Times New Roman" w:eastAsia="Times New Roman" w:hAnsi="Times New Roman"/>
          <w:sz w:val="14"/>
          <w:szCs w:val="14"/>
          <w:color w:val="auto"/>
        </w:rPr>
      </w:pPr>
    </w:p>
    <w:p>
      <w:pPr>
        <w:ind w:left="1000" w:right="719" w:hanging="326"/>
        <w:spacing w:after="0" w:line="278"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582,639 shares of Class A common stock issuable upon the vesting and settlement of PRSUs outstanding under our 2021 Plan as of March 31, 2026;</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8,735,774 shares of Class A reserved for future issuances under our 2021 Plan as of March 31, 2026;</w:t>
      </w:r>
    </w:p>
    <w:p>
      <w:pPr>
        <w:spacing w:after="0" w:line="99" w:lineRule="exact"/>
        <w:rPr>
          <w:rFonts w:ascii="Times New Roman" w:cs="Times New Roman" w:eastAsia="Times New Roman" w:hAnsi="Times New Roman"/>
          <w:sz w:val="14"/>
          <w:szCs w:val="14"/>
          <w:color w:val="auto"/>
        </w:rPr>
      </w:pPr>
    </w:p>
    <w:p>
      <w:pPr>
        <w:ind w:left="1000" w:right="479" w:hanging="326"/>
        <w:spacing w:after="0" w:line="278"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60,397 shares of our Class A common stock that we have reserved for future issuance and may donate to fund our social, environmental and governance initiatives;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7" w:right="1440" w:bottom="1440" w:gutter="0" w:footer="0" w:header="0"/>
        </w:sectPr>
      </w:pPr>
    </w:p>
    <w:bookmarkStart w:id="13" w:name="page14"/>
    <w:bookmarkEnd w:id="13"/>
    <w:p>
      <w:pPr>
        <w:ind w:left="1000" w:hanging="326"/>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shares of Class A common stock reserved for issuance upon conversion of outstanding convertible senior notes; and</w:t>
      </w:r>
    </w:p>
    <w:p>
      <w:pPr>
        <w:spacing w:after="0" w:line="99" w:lineRule="exact"/>
        <w:rPr>
          <w:rFonts w:ascii="Times New Roman" w:cs="Times New Roman" w:eastAsia="Times New Roman" w:hAnsi="Times New Roman"/>
          <w:sz w:val="14"/>
          <w:szCs w:val="14"/>
          <w:color w:val="auto"/>
        </w:rPr>
      </w:pPr>
    </w:p>
    <w:p>
      <w:pPr>
        <w:ind w:left="1000" w:right="799" w:hanging="326"/>
        <w:spacing w:after="0" w:line="278"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1,475,311 shares of our Class A common stock reserved for issuance upon conversion of Class B common stock outstanding as of March 31, 2026.</w:t>
      </w:r>
    </w:p>
    <w:p>
      <w:pPr>
        <w:spacing w:after="0" w:line="127" w:lineRule="exact"/>
        <w:rPr>
          <w:sz w:val="20"/>
          <w:szCs w:val="20"/>
          <w:color w:val="auto"/>
        </w:rPr>
      </w:pPr>
    </w:p>
    <w:p>
      <w:pPr>
        <w:ind w:left="260" w:right="399" w:firstLine="340"/>
        <w:spacing w:after="0" w:line="263" w:lineRule="auto"/>
        <w:rPr>
          <w:sz w:val="20"/>
          <w:szCs w:val="20"/>
          <w:color w:val="auto"/>
        </w:rPr>
      </w:pPr>
      <w:r>
        <w:rPr>
          <w:rFonts w:ascii="Times New Roman" w:cs="Times New Roman" w:eastAsia="Times New Roman" w:hAnsi="Times New Roman"/>
          <w:sz w:val="14"/>
          <w:szCs w:val="14"/>
          <w:color w:val="auto"/>
        </w:rPr>
        <w:t>To the extent that any outstanding options are exercised, outstanding RSUs or PRSUs vest or settle, or new options or restricted stock units are issued under our stock-based compensation plans, or we issue additional shares of Class A common stock in the future, there will be further dilution to investors participating in this offering.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9"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MATERIAL U.S. FEDERAL INCOME TAX CONSEQUENCES TO NON-U.S. HOLDERS</w:t>
      </w:r>
    </w:p>
    <w:p>
      <w:pPr>
        <w:spacing w:after="0" w:line="174"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so as to result in U.S. federal income tax consequences different from those discussed below.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44" w:lineRule="exact"/>
        <w:rPr>
          <w:sz w:val="20"/>
          <w:szCs w:val="20"/>
          <w:color w:val="auto"/>
        </w:rPr>
      </w:pPr>
    </w:p>
    <w:p>
      <w:pPr>
        <w:ind w:left="260" w:right="319" w:firstLine="340"/>
        <w:spacing w:after="0" w:line="255" w:lineRule="auto"/>
        <w:rPr>
          <w:sz w:val="20"/>
          <w:szCs w:val="20"/>
          <w:color w:val="auto"/>
        </w:rPr>
      </w:pPr>
      <w:r>
        <w:rPr>
          <w:rFonts w:ascii="Times New Roman" w:cs="Times New Roman" w:eastAsia="Times New Roman" w:hAnsi="Times New Roman"/>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any minimum tax provisions or the special tax accounting rules under Section 451(b) of the Code. In addition, it does not address consequences relevant to Non-U.S. Holders subject to special rules, including, without limitation:</w:t>
      </w:r>
    </w:p>
    <w:p>
      <w:pPr>
        <w:spacing w:after="0" w:line="71" w:lineRule="exact"/>
        <w:rPr>
          <w:sz w:val="20"/>
          <w:szCs w:val="20"/>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99" w:lineRule="exact"/>
        <w:rPr>
          <w:rFonts w:ascii="Times New Roman" w:cs="Times New Roman" w:eastAsia="Times New Roman" w:hAnsi="Times New Roman"/>
          <w:sz w:val="14"/>
          <w:szCs w:val="14"/>
          <w:color w:val="auto"/>
        </w:rPr>
      </w:pPr>
    </w:p>
    <w:p>
      <w:pPr>
        <w:ind w:left="1000" w:right="899" w:hanging="326"/>
        <w:spacing w:after="0" w:line="278"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Class A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9" w:lineRule="exact"/>
        <w:rPr>
          <w:rFonts w:ascii="Times New Roman" w:cs="Times New Roman" w:eastAsia="Times New Roman" w:hAnsi="Times New Roman"/>
          <w:sz w:val="14"/>
          <w:szCs w:val="14"/>
          <w:color w:val="auto"/>
        </w:rPr>
      </w:pPr>
    </w:p>
    <w:p>
      <w:pPr>
        <w:ind w:left="1000" w:right="299" w:hanging="326"/>
        <w:spacing w:after="0" w:line="278"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(and investors therein);</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99" w:lineRule="exact"/>
        <w:rPr>
          <w:rFonts w:ascii="Times New Roman" w:cs="Times New Roman" w:eastAsia="Times New Roman" w:hAnsi="Times New Roman"/>
          <w:sz w:val="14"/>
          <w:szCs w:val="14"/>
          <w:color w:val="auto"/>
        </w:rPr>
      </w:pPr>
    </w:p>
    <w:p>
      <w:pPr>
        <w:ind w:left="1000" w:right="1019" w:hanging="326"/>
        <w:spacing w:after="0" w:line="278"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Class A common stock pursuant to the exercise of any employee stock option or otherwise as compensation;</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are deemed to own, shares of our Class B common stock;</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(actually or constructively) more than 5% of our Class A common stock;</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99" w:lineRule="exact"/>
        <w:rPr>
          <w:rFonts w:ascii="Times New Roman" w:cs="Times New Roman" w:eastAsia="Times New Roman" w:hAnsi="Times New Roman"/>
          <w:sz w:val="14"/>
          <w:szCs w:val="14"/>
          <w:color w:val="auto"/>
        </w:rPr>
      </w:pPr>
    </w:p>
    <w:p>
      <w:pPr>
        <w:ind w:left="1000" w:right="339" w:hanging="326"/>
        <w:spacing w:after="0" w:line="278"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27" w:lineRule="exact"/>
        <w:rPr>
          <w:sz w:val="20"/>
          <w:szCs w:val="20"/>
          <w:color w:val="auto"/>
        </w:rPr>
      </w:pPr>
    </w:p>
    <w:p>
      <w:pPr>
        <w:ind w:left="260" w:right="299" w:firstLine="340"/>
        <w:spacing w:after="0" w:line="258" w:lineRule="auto"/>
        <w:rPr>
          <w:sz w:val="20"/>
          <w:szCs w:val="20"/>
          <w:color w:val="auto"/>
        </w:rPr>
      </w:pPr>
      <w:r>
        <w:rPr>
          <w:rFonts w:ascii="Times New Roman" w:cs="Times New Roman" w:eastAsia="Times New Roman" w:hAnsi="Times New Roman"/>
          <w:sz w:val="14"/>
          <w:szCs w:val="14"/>
          <w:color w:val="auto"/>
        </w:rPr>
        <w:t>If an entity or arrangement, domestic or foreign, that is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37" w:right="1440" w:bottom="1440" w:gutter="0" w:footer="0" w:header="0"/>
        </w:sectPr>
      </w:pPr>
    </w:p>
    <w:bookmarkStart w:id="15" w:name="page16"/>
    <w:bookmarkEnd w:id="15"/>
    <w:p>
      <w:pPr>
        <w:ind w:left="260" w:right="359" w:firstLine="340"/>
        <w:spacing w:after="0" w:line="281"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Definition of a Non-U.S. Holder</w:t>
      </w:r>
    </w:p>
    <w:p>
      <w:pPr>
        <w:spacing w:after="0" w:line="91" w:lineRule="exact"/>
        <w:rPr>
          <w:sz w:val="20"/>
          <w:szCs w:val="20"/>
          <w:color w:val="auto"/>
        </w:rPr>
      </w:pPr>
    </w:p>
    <w:p>
      <w:pPr>
        <w:ind w:left="260" w:right="379" w:firstLine="340"/>
        <w:spacing w:after="0" w:line="263"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64" w:lineRule="exact"/>
        <w:rPr>
          <w:sz w:val="20"/>
          <w:szCs w:val="20"/>
          <w:color w:val="auto"/>
        </w:rPr>
      </w:pPr>
    </w:p>
    <w:p>
      <w:pPr>
        <w:ind w:left="1000" w:hanging="326"/>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9" w:lineRule="exact"/>
        <w:rPr>
          <w:rFonts w:ascii="Times New Roman" w:cs="Times New Roman" w:eastAsia="Times New Roman" w:hAnsi="Times New Roman"/>
          <w:sz w:val="14"/>
          <w:szCs w:val="14"/>
          <w:color w:val="auto"/>
        </w:rPr>
      </w:pPr>
    </w:p>
    <w:p>
      <w:pPr>
        <w:jc w:val="both"/>
        <w:ind w:left="1000" w:right="319" w:hanging="326"/>
        <w:spacing w:after="0" w:line="263"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do not anticipate declaring or paying any cash dividends for the foreseeable future. However, if we do make distributions of cash or property</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our Class A common stock, such distributions will constitute dividends for U.S. federal income tax purposes to the extent paid from our current or</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earnings and profits, as determined under U.S. federal income tax principles. Distributions in excess of our current and accumulated</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earnings and profits will constitute a tax-free return of capital and first be applied against and reduce a Non-U.S. Holder’s adjusted tax basis in its</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Class A common stock, but not below zero. Any excess will be treated as capital gain and will be treated as described under the subsection titled “—Sale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or Other Taxable Disposition” below.</w:t>
      </w:r>
    </w:p>
    <w:p>
      <w:pPr>
        <w:spacing w:after="0" w:line="157" w:lineRule="exact"/>
        <w:rPr>
          <w:sz w:val="20"/>
          <w:szCs w:val="20"/>
          <w:color w:val="auto"/>
        </w:rPr>
      </w:pPr>
    </w:p>
    <w:p>
      <w:pPr>
        <w:ind w:left="260" w:right="339" w:firstLine="340"/>
        <w:spacing w:after="0" w:line="254" w:lineRule="auto"/>
        <w:rPr>
          <w:sz w:val="20"/>
          <w:szCs w:val="20"/>
          <w:color w:val="auto"/>
        </w:rPr>
      </w:pPr>
      <w:r>
        <w:rPr>
          <w:rFonts w:ascii="Times New Roman" w:cs="Times New Roman" w:eastAsia="Times New Roman" w:hAnsi="Times New Roman"/>
          <w:sz w:val="14"/>
          <w:szCs w:val="14"/>
          <w:color w:val="auto"/>
        </w:rPr>
        <w:t>Subject to the discussion below regarding effectively connected income, dividends paid to a Non-U.S. Holder generally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treaties.</w:t>
      </w:r>
    </w:p>
    <w:p>
      <w:pPr>
        <w:spacing w:after="0" w:line="143" w:lineRule="exact"/>
        <w:rPr>
          <w:sz w:val="20"/>
          <w:szCs w:val="20"/>
          <w:color w:val="auto"/>
        </w:rPr>
      </w:pPr>
    </w:p>
    <w:p>
      <w:pPr>
        <w:ind w:left="260" w:right="279" w:firstLine="340"/>
        <w:spacing w:after="0" w:line="254"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7" w:right="1440" w:bottom="1440" w:gutter="0" w:footer="0" w:header="0"/>
        </w:sectPr>
      </w:pPr>
    </w:p>
    <w:bookmarkStart w:id="16" w:name="page17"/>
    <w:bookmarkEnd w:id="16"/>
    <w:p>
      <w:pPr>
        <w:ind w:left="260" w:right="41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income tax on a net income basis at the individual rates or corporate rate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91" w:lineRule="exact"/>
        <w:rPr>
          <w:sz w:val="20"/>
          <w:szCs w:val="20"/>
          <w:color w:val="auto"/>
        </w:rPr>
      </w:pPr>
    </w:p>
    <w:p>
      <w:pPr>
        <w:ind w:left="260" w:right="599" w:firstLine="340"/>
        <w:spacing w:after="0" w:line="278" w:lineRule="auto"/>
        <w:rPr>
          <w:sz w:val="20"/>
          <w:szCs w:val="20"/>
          <w:color w:val="auto"/>
        </w:rPr>
      </w:pPr>
      <w:r>
        <w:rPr>
          <w:rFonts w:ascii="Times New Roman" w:cs="Times New Roman" w:eastAsia="Times New Roman" w:hAnsi="Times New Roman"/>
          <w:sz w:val="14"/>
          <w:szCs w:val="14"/>
          <w:color w:val="auto"/>
        </w:rPr>
        <w:t>Subject to the discussion below regarding backup withholding, a Non-U.S. Holder generally will not be subject to U.S. federal income tax or withholding tax on any gain realized upon the sale or other taxable disposition of our Class A common stock unless:</w:t>
      </w:r>
    </w:p>
    <w:p>
      <w:pPr>
        <w:spacing w:after="0" w:line="54" w:lineRule="exact"/>
        <w:rPr>
          <w:sz w:val="20"/>
          <w:szCs w:val="20"/>
          <w:color w:val="auto"/>
        </w:rPr>
      </w:pPr>
    </w:p>
    <w:p>
      <w:pPr>
        <w:ind w:left="1000" w:right="319" w:hanging="326"/>
        <w:spacing w:after="0" w:line="263"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63" w:lineRule="exact"/>
        <w:rPr>
          <w:rFonts w:ascii="Times New Roman" w:cs="Times New Roman" w:eastAsia="Times New Roman" w:hAnsi="Times New Roman"/>
          <w:sz w:val="14"/>
          <w:szCs w:val="14"/>
          <w:color w:val="auto"/>
        </w:rPr>
      </w:pPr>
    </w:p>
    <w:p>
      <w:pPr>
        <w:ind w:left="1000" w:right="619" w:hanging="326"/>
        <w:spacing w:after="0" w:line="278"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53" w:lineRule="exact"/>
        <w:rPr>
          <w:rFonts w:ascii="Times New Roman" w:cs="Times New Roman" w:eastAsia="Times New Roman" w:hAnsi="Times New Roman"/>
          <w:sz w:val="14"/>
          <w:szCs w:val="14"/>
          <w:color w:val="auto"/>
        </w:rPr>
      </w:pPr>
    </w:p>
    <w:p>
      <w:pPr>
        <w:ind w:left="1000" w:right="659" w:hanging="326"/>
        <w:spacing w:after="0" w:line="278"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U.S. real property interest (“USRPI”) by reason of our status as a U.S. real property holding corporation (“USRPHC”) for U.S. federal income tax purposes.</w:t>
      </w:r>
    </w:p>
    <w:p>
      <w:pPr>
        <w:spacing w:after="0" w:line="127" w:lineRule="exact"/>
        <w:rPr>
          <w:sz w:val="20"/>
          <w:szCs w:val="20"/>
          <w:color w:val="auto"/>
        </w:rPr>
      </w:pPr>
    </w:p>
    <w:p>
      <w:pPr>
        <w:jc w:val="both"/>
        <w:ind w:left="260" w:right="279" w:firstLine="340"/>
        <w:spacing w:after="0" w:line="258"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at regular U.S. federal income tax rates on the net gain recognized, generally in the same manner as if it were a U.S. person, unless an applicable income tax treaty provides otherwise. A Non-U.S. Holder that is a corporation also may be subject to a branch profits tax at a rate of 30% (or such lower rate specified by an applicable income tax treaty) on such effectively connected gain, as adjusted for certain items.</w:t>
      </w:r>
    </w:p>
    <w:p>
      <w:pPr>
        <w:spacing w:after="0" w:line="140" w:lineRule="exact"/>
        <w:rPr>
          <w:sz w:val="20"/>
          <w:szCs w:val="20"/>
          <w:color w:val="auto"/>
        </w:rPr>
      </w:pPr>
    </w:p>
    <w:p>
      <w:pPr>
        <w:ind w:left="260" w:right="419" w:firstLine="340"/>
        <w:spacing w:after="0" w:line="258"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flat rate of 30% (or such lower rate specified by an applicable income tax treaty) on gain realized upon the sale or other taxable disposition of our Class A common stock, which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40" w:lineRule="exact"/>
        <w:rPr>
          <w:sz w:val="20"/>
          <w:szCs w:val="20"/>
          <w:color w:val="auto"/>
        </w:rPr>
      </w:pPr>
    </w:p>
    <w:p>
      <w:pPr>
        <w:ind w:left="260" w:right="319" w:firstLine="340"/>
        <w:spacing w:after="0" w:line="255" w:lineRule="auto"/>
        <w:rPr>
          <w:sz w:val="20"/>
          <w:szCs w:val="20"/>
          <w:color w:val="auto"/>
        </w:rPr>
      </w:pPr>
      <w:r>
        <w:rPr>
          <w:rFonts w:ascii="Times New Roman" w:cs="Times New Roman" w:eastAsia="Times New Roman" w:hAnsi="Times New Roman"/>
          <w:sz w:val="14"/>
          <w:szCs w:val="14"/>
          <w:color w:val="auto"/>
        </w:rPr>
        <w:t>With respect to the third bullet point above, we would be a USRPHC if the fair market value of our U.S. real property interests equaled or exceeded 50% of the sum of the fair market value of our worldwide real property interests plus our other assets used or held for use in a trade or business.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1" w:lineRule="exact"/>
        <w:rPr>
          <w:sz w:val="20"/>
          <w:szCs w:val="20"/>
          <w:color w:val="auto"/>
        </w:rPr>
      </w:pPr>
    </w:p>
    <w:p>
      <w:pPr>
        <w:ind w:left="260" w:right="279" w:firstLine="340"/>
        <w:spacing w:after="0" w:line="274" w:lineRule="auto"/>
        <w:rPr>
          <w:sz w:val="20"/>
          <w:szCs w:val="20"/>
          <w:color w:val="auto"/>
        </w:rPr>
      </w:pPr>
      <w:r>
        <w:rPr>
          <w:rFonts w:ascii="Times New Roman" w:cs="Times New Roman" w:eastAsia="Times New Roman" w:hAnsi="Times New Roman"/>
          <w:sz w:val="13"/>
          <w:szCs w:val="13"/>
          <w:color w:val="auto"/>
        </w:rPr>
        <w:t>Payments of dividends on our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9" w:right="1440" w:bottom="1440" w:gutter="0" w:footer="0" w:header="0"/>
        </w:sectPr>
      </w:pPr>
    </w:p>
    <w:bookmarkStart w:id="17" w:name="page18"/>
    <w:bookmarkEnd w:id="17"/>
    <w:p>
      <w:pPr>
        <w:ind w:left="260" w:right="399" w:firstLine="34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Copies of information returns that are filed with the IRS may also be made available under the provisions of an applicable treaty or agreement to the tax authorities of the country in which the Non-U.S. Holder resides or is established.</w:t>
      </w:r>
    </w:p>
    <w:p>
      <w:pPr>
        <w:spacing w:after="0" w:line="127" w:lineRule="exact"/>
        <w:rPr>
          <w:sz w:val="20"/>
          <w:szCs w:val="20"/>
          <w:color w:val="auto"/>
        </w:rPr>
      </w:pPr>
    </w:p>
    <w:p>
      <w:pPr>
        <w:ind w:left="260" w:right="519" w:firstLine="340"/>
        <w:spacing w:after="0" w:line="278"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91" w:lineRule="exact"/>
        <w:rPr>
          <w:sz w:val="20"/>
          <w:szCs w:val="20"/>
          <w:color w:val="auto"/>
        </w:rPr>
      </w:pPr>
    </w:p>
    <w:p>
      <w:pPr>
        <w:ind w:left="260" w:right="359" w:firstLine="340"/>
        <w:spacing w:after="0" w:line="270" w:lineRule="auto"/>
        <w:rPr>
          <w:sz w:val="20"/>
          <w:szCs w:val="20"/>
          <w:color w:val="auto"/>
        </w:rPr>
      </w:pPr>
      <w:r>
        <w:rPr>
          <w:rFonts w:ascii="Times New Roman" w:cs="Times New Roman" w:eastAsia="Times New Roman" w:hAnsi="Times New Roman"/>
          <w:sz w:val="13"/>
          <w:szCs w:val="13"/>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specifically defined for purposes of FATCA), unless (i) the foreign financial institution undertakes certain diligence and reporting obligations, (ii) the non-financial foreign entity either certifies it does not have any “substantial United States owners” (as specifically defined for purposes of FATCA)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w:t>
      </w:r>
    </w:p>
    <w:p>
      <w:pPr>
        <w:spacing w:after="0" w:line="2" w:lineRule="exact"/>
        <w:rPr>
          <w:sz w:val="20"/>
          <w:szCs w:val="20"/>
          <w:color w:val="auto"/>
        </w:rPr>
      </w:pPr>
    </w:p>
    <w:p>
      <w:pPr>
        <w:ind w:left="260" w:right="359" w:hanging="2"/>
        <w:spacing w:after="0" w:line="250" w:lineRule="auto"/>
        <w:tabs>
          <w:tab w:leader="none" w:pos="42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it must enter into an agreement with the U.S. Department of the Treasury requiring, among other things, that it undertake to identify accounts held by certain “specified United States persons” or “United States owned foreign entities” (each as specifically defined for purposes of FATCA),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6"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Under applicable Treasury Regulations and administrative guidance, withholding under FATCA generally applies to payments of dividends on our Class A common stock. Although the Code provides that FATCA withholding generally also will apply to payments of gross proceeds from the sale or other disposition of our Class A common stock, proposed Treasury Regulations have been released that, if finalized in their present form, would eliminate the FATCA withholding of 30% applicable to gross proceeds from sales or other dispositions of our Class A common stock (other than amounts treated as dividends). The preamble to the proposed Treasury Regulations states that taxpayers generally may rely on them until final Treasury Regulations are issued.</w:t>
      </w:r>
    </w:p>
    <w:p>
      <w:pPr>
        <w:spacing w:after="0" w:line="143" w:lineRule="exact"/>
        <w:rPr>
          <w:sz w:val="20"/>
          <w:szCs w:val="20"/>
          <w:color w:val="auto"/>
        </w:rPr>
      </w:pPr>
    </w:p>
    <w:p>
      <w:pPr>
        <w:ind w:left="260" w:right="359" w:firstLine="340"/>
        <w:spacing w:after="0" w:line="278"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Class A common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3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UNDERWRITING</w:t>
      </w:r>
    </w:p>
    <w:p>
      <w:pPr>
        <w:spacing w:after="0" w:line="174" w:lineRule="exact"/>
        <w:rPr>
          <w:sz w:val="20"/>
          <w:szCs w:val="20"/>
          <w:color w:val="auto"/>
        </w:rPr>
      </w:pPr>
    </w:p>
    <w:p>
      <w:pPr>
        <w:ind w:left="260" w:right="399" w:firstLine="340"/>
        <w:spacing w:after="0" w:line="280" w:lineRule="auto"/>
        <w:rPr>
          <w:sz w:val="20"/>
          <w:szCs w:val="20"/>
          <w:color w:val="auto"/>
        </w:rPr>
      </w:pPr>
      <w:r>
        <w:rPr>
          <w:rFonts w:ascii="Times New Roman" w:cs="Times New Roman" w:eastAsia="Times New Roman" w:hAnsi="Times New Roman"/>
          <w:sz w:val="13"/>
          <w:szCs w:val="13"/>
          <w:color w:val="auto"/>
        </w:rPr>
        <w:t>We are offering the shares of Class A common stock described in this prospectus through a number of underwriters. J.P. Morgan Securities LLC and Goldman Sachs &amp; Co.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38" w:lineRule="exact"/>
        <w:rPr>
          <w:sz w:val="20"/>
          <w:szCs w:val="20"/>
          <w:color w:val="auto"/>
        </w:rPr>
      </w:pPr>
    </w:p>
    <w:tbl>
      <w:tblPr>
        <w:tblLayout w:type="fixed"/>
        <w:tblInd w:w="1620" w:type="dxa"/>
        <w:tblCellMar>
          <w:top w:w="0" w:type="dxa"/>
          <w:left w:w="0" w:type="dxa"/>
          <w:bottom w:w="0" w:type="dxa"/>
          <w:right w:w="0" w:type="dxa"/>
        </w:tblCellMar>
      </w:tblPr>
      <w:tr>
        <w:trPr>
          <w:trHeight w:val="12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4680" w:type="dxa"/>
            <w:vAlign w:val="bottom"/>
            <w:vMerge w:val="restart"/>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3"/>
        </w:trPr>
        <w:tc>
          <w:tcPr>
            <w:tcW w:w="280" w:type="dxa"/>
            <w:vAlign w:val="bottom"/>
            <w:tcBorders>
              <w:bottom w:val="single" w:sz="8" w:color="auto"/>
            </w:tcBorders>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800" w:type="dxa"/>
            <w:vAlign w:val="bottom"/>
            <w:gridSpan w:val="2"/>
          </w:tcPr>
          <w:p>
            <w:pPr>
              <w:jc w:val="right"/>
              <w:ind w:right="280"/>
              <w:spacing w:after="0" w:line="123"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47"/>
        </w:trPr>
        <w:tc>
          <w:tcPr>
            <w:tcW w:w="496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J.P. Morgan Securities LLC</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976,103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976,103</w:t>
            </w:r>
          </w:p>
        </w:tc>
        <w:tc>
          <w:tcPr>
            <w:tcW w:w="0" w:type="dxa"/>
            <w:vAlign w:val="bottom"/>
          </w:tcPr>
          <w:p>
            <w:pPr>
              <w:spacing w:after="0"/>
              <w:rPr>
                <w:sz w:val="1"/>
                <w:szCs w:val="1"/>
                <w:color w:val="auto"/>
              </w:rPr>
            </w:pPr>
          </w:p>
        </w:tc>
      </w:tr>
      <w:tr>
        <w:trPr>
          <w:trHeight w:val="167"/>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Blair &amp; Company, L.L.C</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248,162</w:t>
            </w:r>
          </w:p>
        </w:tc>
        <w:tc>
          <w:tcPr>
            <w:tcW w:w="0" w:type="dxa"/>
            <w:vAlign w:val="bottom"/>
          </w:tcPr>
          <w:p>
            <w:pPr>
              <w:spacing w:after="0"/>
              <w:rPr>
                <w:sz w:val="1"/>
                <w:szCs w:val="1"/>
                <w:color w:val="auto"/>
              </w:rPr>
            </w:pPr>
          </w:p>
        </w:tc>
      </w:tr>
      <w:tr>
        <w:trPr>
          <w:trHeight w:val="167"/>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Citizens JPM Securities, LLC</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198,529</w:t>
            </w:r>
          </w:p>
        </w:tc>
        <w:tc>
          <w:tcPr>
            <w:tcW w:w="0" w:type="dxa"/>
            <w:vAlign w:val="bottom"/>
          </w:tcPr>
          <w:p>
            <w:pPr>
              <w:spacing w:after="0"/>
              <w:rPr>
                <w:sz w:val="1"/>
                <w:szCs w:val="1"/>
                <w:color w:val="auto"/>
              </w:rPr>
            </w:pPr>
          </w:p>
        </w:tc>
      </w:tr>
      <w:tr>
        <w:trPr>
          <w:trHeight w:val="167"/>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Cantor Fitzgerald &amp; Co.</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124,081</w:t>
            </w:r>
          </w:p>
        </w:tc>
        <w:tc>
          <w:tcPr>
            <w:tcW w:w="0" w:type="dxa"/>
            <w:vAlign w:val="bottom"/>
          </w:tcPr>
          <w:p>
            <w:pPr>
              <w:spacing w:after="0"/>
              <w:rPr>
                <w:sz w:val="1"/>
                <w:szCs w:val="1"/>
                <w:color w:val="auto"/>
              </w:rPr>
            </w:pPr>
          </w:p>
        </w:tc>
      </w:tr>
      <w:tr>
        <w:trPr>
          <w:trHeight w:val="167"/>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Craig-Hallum Capital Group LLC</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124,081</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2,647,059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260" w:right="319" w:firstLine="340"/>
        <w:spacing w:after="0" w:line="258" w:lineRule="auto"/>
        <w:rPr>
          <w:sz w:val="20"/>
          <w:szCs w:val="20"/>
          <w:color w:val="auto"/>
        </w:rPr>
      </w:pPr>
      <w:r>
        <w:rPr>
          <w:rFonts w:ascii="Times New Roman" w:cs="Times New Roman" w:eastAsia="Times New Roman" w:hAnsi="Times New Roman"/>
          <w:sz w:val="14"/>
          <w:szCs w:val="14"/>
          <w:color w:val="auto"/>
        </w:rPr>
        <w:t>The underwriters are committed to purchase all the shares of Class A common stock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40" w:lineRule="exact"/>
        <w:rPr>
          <w:sz w:val="20"/>
          <w:szCs w:val="20"/>
          <w:color w:val="auto"/>
        </w:rPr>
      </w:pPr>
    </w:p>
    <w:p>
      <w:pPr>
        <w:ind w:left="260" w:right="319" w:firstLine="340"/>
        <w:spacing w:after="0" w:line="258" w:lineRule="auto"/>
        <w:rPr>
          <w:sz w:val="20"/>
          <w:szCs w:val="20"/>
          <w:color w:val="auto"/>
        </w:rPr>
      </w:pPr>
      <w:r>
        <w:rPr>
          <w:rFonts w:ascii="Times New Roman" w:cs="Times New Roman" w:eastAsia="Times New Roman" w:hAnsi="Times New Roman"/>
          <w:sz w:val="14"/>
          <w:szCs w:val="14"/>
          <w:color w:val="auto"/>
        </w:rPr>
        <w:t>The underwriters propose to offer the shares of Class A common stock directly to the public at the initial public offering price set forth on the cover page of this prospectus and to certain dealers at that price less a concession not in excess of $2.04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40"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color w:val="auto"/>
        </w:rPr>
        <w:t>The underwriters have an option to buy up to 397,058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44" w:lineRule="exact"/>
        <w:rPr>
          <w:sz w:val="20"/>
          <w:szCs w:val="20"/>
          <w:color w:val="auto"/>
        </w:rPr>
      </w:pPr>
    </w:p>
    <w:p>
      <w:pPr>
        <w:jc w:val="both"/>
        <w:ind w:left="260" w:right="399" w:firstLine="340"/>
        <w:spacing w:after="0" w:line="293" w:lineRule="auto"/>
        <w:rPr>
          <w:sz w:val="20"/>
          <w:szCs w:val="20"/>
          <w:color w:val="auto"/>
        </w:rPr>
      </w:pPr>
      <w:r>
        <w:rPr>
          <w:rFonts w:ascii="Times New Roman" w:cs="Times New Roman" w:eastAsia="Times New Roman" w:hAnsi="Times New Roman"/>
          <w:sz w:val="13"/>
          <w:szCs w:val="13"/>
          <w:color w:val="auto"/>
        </w:rPr>
        <w:t>The underwriting fee is equal to the public offering price per share of Class A common stock less the amount paid by the underwriters to us per share of Class A common stock. The underwriting fee is $3.40 per share. The following table shows the per share and total underwriting discounts and commissions to be paid to the underwriters assuming both no exercise and full exercise of the underwriters’ option to purchase additional shares.</w:t>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2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Without option</w:t>
            </w:r>
          </w:p>
        </w:tc>
        <w:tc>
          <w:tcPr>
            <w:tcW w:w="300" w:type="dxa"/>
            <w:vAlign w:val="bottom"/>
          </w:tcPr>
          <w:p>
            <w:pPr>
              <w:spacing w:after="0"/>
              <w:rPr>
                <w:sz w:val="11"/>
                <w:szCs w:val="11"/>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With full option</w:t>
            </w:r>
          </w:p>
        </w:tc>
      </w:tr>
      <w:tr>
        <w:trPr>
          <w:trHeight w:val="114"/>
        </w:trPr>
        <w:tc>
          <w:tcPr>
            <w:tcW w:w="2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to purchase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to purchase</w:t>
            </w:r>
          </w:p>
        </w:tc>
      </w:tr>
      <w:tr>
        <w:trPr>
          <w:trHeight w:val="114"/>
        </w:trPr>
        <w:tc>
          <w:tcPr>
            <w:tcW w:w="2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20" w:type="dxa"/>
            <w:vAlign w:val="bottom"/>
            <w:gridSpan w:val="3"/>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additional shares</w:t>
            </w:r>
          </w:p>
        </w:tc>
        <w:tc>
          <w:tcPr>
            <w:tcW w:w="300" w:type="dxa"/>
            <w:vAlign w:val="bottom"/>
          </w:tcPr>
          <w:p>
            <w:pPr>
              <w:spacing w:after="0"/>
              <w:rPr>
                <w:sz w:val="9"/>
                <w:szCs w:val="9"/>
                <w:color w:val="auto"/>
              </w:rPr>
            </w:pPr>
          </w:p>
        </w:tc>
        <w:tc>
          <w:tcPr>
            <w:tcW w:w="860" w:type="dxa"/>
            <w:vAlign w:val="bottom"/>
            <w:gridSpan w:val="3"/>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additional shares</w:t>
            </w:r>
          </w:p>
        </w:tc>
      </w:tr>
      <w:tr>
        <w:trPr>
          <w:trHeight w:val="134"/>
        </w:trPr>
        <w:tc>
          <w:tcPr>
            <w:tcW w:w="23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exercise</w:t>
            </w:r>
          </w:p>
        </w:tc>
      </w:tr>
      <w:tr>
        <w:trPr>
          <w:trHeight w:val="157"/>
        </w:trPr>
        <w:tc>
          <w:tcPr>
            <w:tcW w:w="23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Share</w:t>
            </w:r>
          </w:p>
        </w:tc>
        <w:tc>
          <w:tcPr>
            <w:tcW w:w="1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3.40</w:t>
            </w:r>
          </w:p>
        </w:tc>
        <w:tc>
          <w:tcPr>
            <w:tcW w:w="3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3.40</w:t>
            </w:r>
          </w:p>
        </w:tc>
        <w:tc>
          <w:tcPr>
            <w:tcW w:w="60" w:type="dxa"/>
            <w:vAlign w:val="bottom"/>
            <w:tcBorders>
              <w:top w:val="single" w:sz="8" w:color="CCEEFF"/>
            </w:tcBorders>
            <w:shd w:val="clear" w:color="auto" w:fill="CCEEFF"/>
          </w:tcPr>
          <w:p>
            <w:pPr>
              <w:spacing w:after="0"/>
              <w:rPr>
                <w:sz w:val="13"/>
                <w:szCs w:val="13"/>
                <w:color w:val="auto"/>
              </w:rPr>
            </w:pPr>
          </w:p>
        </w:tc>
      </w:tr>
      <w:tr>
        <w:trPr>
          <w:trHeight w:val="18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9,000,001</w:t>
            </w:r>
          </w:p>
        </w:tc>
        <w:tc>
          <w:tcPr>
            <w:tcW w:w="3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10,349,998</w:t>
            </w:r>
          </w:p>
        </w:tc>
      </w:tr>
    </w:tbl>
    <w:p>
      <w:pPr>
        <w:spacing w:after="0" w:line="137" w:lineRule="exact"/>
        <w:rPr>
          <w:sz w:val="20"/>
          <w:szCs w:val="20"/>
          <w:color w:val="auto"/>
        </w:rPr>
      </w:pPr>
    </w:p>
    <w:p>
      <w:pPr>
        <w:ind w:left="260" w:right="359" w:firstLine="340"/>
        <w:spacing w:after="0" w:line="278" w:lineRule="auto"/>
        <w:rPr>
          <w:sz w:val="20"/>
          <w:szCs w:val="20"/>
          <w:color w:val="auto"/>
        </w:rPr>
      </w:pPr>
      <w:r>
        <w:rPr>
          <w:rFonts w:ascii="Times New Roman" w:cs="Times New Roman" w:eastAsia="Times New Roman" w:hAnsi="Times New Roman"/>
          <w:sz w:val="14"/>
          <w:szCs w:val="14"/>
          <w:color w:val="auto"/>
        </w:rPr>
        <w:t>We estimate that the total expenses of this offering, including registration, filing and listing fees, printing fees and legal and accounting expenses, but excluding the underwriting discounts and commissions, will be approximately $850,000.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37" w:right="1440" w:bottom="1440" w:gutter="0" w:footer="0" w:header="0"/>
        </w:sectPr>
      </w:pPr>
    </w:p>
    <w:bookmarkStart w:id="19" w:name="page20"/>
    <w:bookmarkEnd w:id="19"/>
    <w:p>
      <w:pPr>
        <w:ind w:left="260" w:right="359" w:firstLine="340"/>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0"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color w:val="auto"/>
        </w:rPr>
        <w:t>One of our directors has indicated an interest in purchasing up to $5.0 million of the shares being offered in this offering. Any such purchase would be made at the public offering price. Such director has provided an indication of interest only and is not obligated to purchase any of our shares of Class A common stock in this offering, nor are we obligated to sell any of our shares of Class A common stock in this offering to such director. The underwriters will receive the same discount on shares of Class A common stock purchased by such director as they will from any other shares of Class A common stock sold to the public in this offering.</w:t>
      </w:r>
    </w:p>
    <w:p>
      <w:pPr>
        <w:spacing w:after="0" w:line="144" w:lineRule="exact"/>
        <w:rPr>
          <w:sz w:val="20"/>
          <w:szCs w:val="20"/>
          <w:color w:val="auto"/>
        </w:rPr>
      </w:pPr>
    </w:p>
    <w:p>
      <w:pPr>
        <w:ind w:left="260" w:right="299" w:firstLine="340"/>
        <w:spacing w:after="0" w:line="251" w:lineRule="auto"/>
        <w:rPr>
          <w:sz w:val="20"/>
          <w:szCs w:val="20"/>
          <w:color w:val="auto"/>
        </w:rPr>
      </w:pPr>
      <w:r>
        <w:rPr>
          <w:rFonts w:ascii="Times New Roman" w:cs="Times New Roman" w:eastAsia="Times New Roman" w:hAnsi="Times New Roman"/>
          <w:sz w:val="14"/>
          <w:szCs w:val="14"/>
          <w:color w:val="auto"/>
        </w:rPr>
        <w:t>We have agreed that we will not, and will not publicly disclose the intention to, (i) offer, sell, contract to sell, pledge, grant any option to purchase, make any short sale, lend or otherwise transfer or dispose of, directly or indirectly, or file with or confidentially submit to the Securities and Exchange Commission a registration statement under the Securities Act relating to, any of our securities that are substantially similar to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including, for the avoidance of doubt, our Class B common stock, $0.000001 par value per share (the “Class B Common Stock”) (collectively, for the purposes of this paragraph, the “Securities”) or (ii) enter into any hedging, swap or other agreement that transfers, in whole or in part, any of the economic consequences of ownership of the shares of our Class A common stock or any Securities, whether any such transactions described in clause (i) or (ii) above is to be settled by delivery of our Class A common stock or any Securities, in cash or otherwise, in each case without the prior written consent of J.P. Morgan Securities LLC and Goldman Sachs &amp; Co. LLC for a period of 45 days after the date of this prospectus, other than the shares of our Class A common stock to be sold in this offering.</w:t>
      </w:r>
    </w:p>
    <w:p>
      <w:pPr>
        <w:spacing w:after="0" w:line="146" w:lineRule="exact"/>
        <w:rPr>
          <w:sz w:val="20"/>
          <w:szCs w:val="20"/>
          <w:color w:val="auto"/>
        </w:rPr>
      </w:pPr>
    </w:p>
    <w:p>
      <w:pPr>
        <w:ind w:left="260" w:right="279" w:firstLine="340"/>
        <w:spacing w:after="0" w:line="269" w:lineRule="auto"/>
        <w:rPr>
          <w:sz w:val="20"/>
          <w:szCs w:val="20"/>
          <w:color w:val="auto"/>
        </w:rPr>
      </w:pPr>
      <w:r>
        <w:rPr>
          <w:rFonts w:ascii="Times New Roman" w:cs="Times New Roman" w:eastAsia="Times New Roman" w:hAnsi="Times New Roman"/>
          <w:sz w:val="13"/>
          <w:szCs w:val="13"/>
          <w:color w:val="auto"/>
        </w:rPr>
        <w:t>The restrictions on our actions, as described above, do not apply to certain transactions, including (i) the issuance by us of shares of our Class A common stock upon the exercise of options or the settlement of restricted stock units (including any “net” or “cashless” exercises or settlements) outstanding on the date of the underwriting agreement and described in this prospectus or upon the exercise of warrants or the conversion or exchange of convertible or exchangeable securities outstanding on the date of the underwriting agreement (including our outstanding Class B common stock, 1.00% Convertible Senior Notes due 2027 and 0.75% Convertible Senior Notes due 2030), provided that recipients who are also members of our board of directors or executive officers will enter into a lock-up agreement with the underwriters; (ii) the grant of options to purchase or issuance by us of shares of Class A common stock or securities convertible into, exchangeable for or that represent the right to receive shares of Class A common stock, in each case pursuant to the Company’s equity plans described in this prospectus, provided that recipients who are also members of our board of directors or executive officers will enter into a lock-up agreement with the underwriters; (iii) the issuance by us of up to 10% of the outstanding shares of our Class A common stock or securities convertible into, exchangeable for or that represent the right to receive Class A common stock in connection with</w:t>
      </w:r>
    </w:p>
    <w:p>
      <w:pPr>
        <w:spacing w:after="0" w:line="5" w:lineRule="exact"/>
        <w:rPr>
          <w:sz w:val="20"/>
          <w:szCs w:val="20"/>
          <w:color w:val="auto"/>
        </w:rPr>
      </w:pPr>
    </w:p>
    <w:p>
      <w:pPr>
        <w:ind w:left="260" w:right="299" w:hanging="2"/>
        <w:spacing w:after="0" w:line="267" w:lineRule="auto"/>
        <w:tabs>
          <w:tab w:leader="none" w:pos="456"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 (y) our joint ventures, commercial relationships and other strategic relationships, provided that such recipients will enter into a lock-up agreement with the underwriters; (iv) the issuance of shares of Class A common stock in charitable contributions pursuant to the program approved by our board of directors as described in our Annual Report on Form 10-K for the year ended December 31, 2025, provided that such recipients will enter into a lock-up agreement with the underwriters; (v) the filing of any registration statement(s) on Form S-8 relating to the securities granted or to be granted pursuant to</w:t>
      </w:r>
    </w:p>
    <w:p>
      <w:pPr>
        <w:spacing w:after="0" w:line="1" w:lineRule="exact"/>
        <w:rPr>
          <w:rFonts w:ascii="Times New Roman" w:cs="Times New Roman" w:eastAsia="Times New Roman" w:hAnsi="Times New Roman"/>
          <w:sz w:val="13"/>
          <w:szCs w:val="13"/>
          <w:color w:val="auto"/>
        </w:rPr>
      </w:pPr>
    </w:p>
    <w:p>
      <w:pPr>
        <w:ind w:left="420" w:hanging="16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equity plans that are described in this prospectus or (ii) any assumed employee benefit plan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20" w:name="page21"/>
    <w:bookmarkEnd w:id="20"/>
    <w:p>
      <w:pPr>
        <w:ind w:left="260" w:right="77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contemplated by (iii); or (vi) the consummation of the transactions contemplated by, or termination of, capped call confirmations entered into in connection with our 0.75% Convertible Senior Notes due 2030.</w:t>
      </w:r>
    </w:p>
    <w:p>
      <w:pPr>
        <w:spacing w:after="0" w:line="127" w:lineRule="exact"/>
        <w:rPr>
          <w:sz w:val="20"/>
          <w:szCs w:val="20"/>
          <w:color w:val="auto"/>
        </w:rPr>
      </w:pPr>
    </w:p>
    <w:p>
      <w:pPr>
        <w:ind w:left="260" w:right="279" w:firstLine="340"/>
        <w:spacing w:after="0" w:line="271" w:lineRule="auto"/>
        <w:rPr>
          <w:sz w:val="20"/>
          <w:szCs w:val="20"/>
          <w:color w:val="auto"/>
        </w:rPr>
      </w:pPr>
      <w:r>
        <w:rPr>
          <w:rFonts w:ascii="Times New Roman" w:cs="Times New Roman" w:eastAsia="Times New Roman" w:hAnsi="Times New Roman"/>
          <w:sz w:val="13"/>
          <w:szCs w:val="13"/>
          <w:color w:val="auto"/>
        </w:rPr>
        <w:t>Our directors and executive officers (such persons, the “lock-up parties”) have entered into lock-up agreements with the underwriters prior to the commencement of this offering pursuant to which each lock-up party, with limited exceptions, for a period of 45 days after the date of this prospectus (such period, the “restricted period”), may not (and may not cause any of their direct or indirect affiliates to), without the prior written consent of J.P. Morgan Securities LLC and Goldman Sachs &amp; Co. LLC,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(such options, warrants, stock appreciation rights or other securities, collectively, the “derivative instruments”), including without limitation any such shares of Class A common stock or derivative instruments now owned or hereafter acquired by the lock-up party (collectively, the “lock-up securities”),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our Class A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w:t>
      </w:r>
    </w:p>
    <w:p>
      <w:pPr>
        <w:spacing w:after="0" w:line="132" w:lineRule="exact"/>
        <w:rPr>
          <w:sz w:val="20"/>
          <w:szCs w:val="20"/>
          <w:color w:val="auto"/>
        </w:rPr>
      </w:pPr>
    </w:p>
    <w:p>
      <w:pPr>
        <w:ind w:left="260" w:right="579" w:firstLine="340"/>
        <w:spacing w:after="0" w:line="278"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w:t>
      </w:r>
    </w:p>
    <w:p>
      <w:pPr>
        <w:spacing w:after="0" w:line="54" w:lineRule="exact"/>
        <w:rPr>
          <w:sz w:val="20"/>
          <w:szCs w:val="20"/>
          <w:color w:val="auto"/>
        </w:rPr>
      </w:pPr>
    </w:p>
    <w:p>
      <w:pPr>
        <w:ind w:left="1000" w:right="319" w:hanging="326"/>
        <w:spacing w:after="0" w:line="258"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shares as a bona fide gift or gifts or for bona fide estate planning purposed, provided that the donee or donees thereof agree to be bound in writing by the lock-up restrictions, and provided further that any Section 16(a) filing required pursuant to the Exchange Act shall clearly state that such transfer is a bona fide gift and that such shares remain subject to the restrictions set forth in the lock-up agreement;</w:t>
      </w:r>
    </w:p>
    <w:p>
      <w:pPr>
        <w:spacing w:after="0" w:line="67" w:lineRule="exact"/>
        <w:rPr>
          <w:rFonts w:ascii="Times New Roman" w:cs="Times New Roman" w:eastAsia="Times New Roman" w:hAnsi="Times New Roman"/>
          <w:sz w:val="14"/>
          <w:szCs w:val="14"/>
          <w:color w:val="auto"/>
        </w:rPr>
      </w:pPr>
    </w:p>
    <w:p>
      <w:pPr>
        <w:ind w:left="1000" w:right="359" w:hanging="326"/>
        <w:spacing w:after="0" w:line="255"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shares to any trust for the direct or indirect benefit of the lock-up party or an immediate family member, provided that the trustee of the trust agrees to be bound in writing by the lock-up restrictions, provided further that any such transfer shall not involve a disposition for value, and provided further than no filing under Section 16(a) of the Exchange Act, reporting such transfer, shall be required or shall be voluntarily made during the lock-up period (other than any required Form 5 filing after the end of the calendar year in which such transaction occurs);</w:t>
      </w:r>
    </w:p>
    <w:p>
      <w:pPr>
        <w:spacing w:after="0" w:line="71" w:lineRule="exact"/>
        <w:rPr>
          <w:rFonts w:ascii="Times New Roman" w:cs="Times New Roman" w:eastAsia="Times New Roman" w:hAnsi="Times New Roman"/>
          <w:sz w:val="14"/>
          <w:szCs w:val="14"/>
          <w:color w:val="auto"/>
        </w:rPr>
      </w:pPr>
    </w:p>
    <w:p>
      <w:pPr>
        <w:ind w:left="1000" w:right="279" w:hanging="326"/>
        <w:spacing w:after="0" w:line="254"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shares upon death or by will, testamentary document or intestate succession, provided that the transferee agrees to be bound in writing by the lock-up restrictions, provided further that any such transfer shall not involve a disposition for value, and provided further that no filing under Section 16(a) of the Exchange Act, reporting such transfer shall be voluntarily made during the lock-up period and if a report under Section 16(a) of the Exchange Act is required to be filed during the lock-up period, such report shall include a statement to the effect that (A) such transfer relates to the circumstances described in this bullet, and (B) the shares received are subject to a lock-up agreement with the underwriters;</w:t>
      </w:r>
    </w:p>
    <w:p>
      <w:pPr>
        <w:spacing w:after="0" w:line="70" w:lineRule="exact"/>
        <w:rPr>
          <w:rFonts w:ascii="Times New Roman" w:cs="Times New Roman" w:eastAsia="Times New Roman" w:hAnsi="Times New Roman"/>
          <w:sz w:val="14"/>
          <w:szCs w:val="14"/>
          <w:color w:val="auto"/>
        </w:rPr>
      </w:pPr>
    </w:p>
    <w:p>
      <w:pPr>
        <w:ind w:left="1000" w:right="399" w:hanging="326"/>
        <w:spacing w:after="0" w:line="263"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shares in connection with a sale of shares acquired in open market transactions after the date of this prospectus, provided that it shall be a condition to the transfer that no filing under Section 16(a) of the Exchange Act, reporting such transfer, shall be required or shall be voluntarily made during the lock-up period;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9" w:right="1440" w:bottom="1440" w:gutter="0" w:footer="0" w:header="0"/>
        </w:sectPr>
      </w:pPr>
    </w:p>
    <w:bookmarkStart w:id="21" w:name="page22"/>
    <w:bookmarkEnd w:id="21"/>
    <w:p>
      <w:pPr>
        <w:ind w:left="1000" w:right="299" w:hanging="326"/>
        <w:spacing w:after="0" w:line="251"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transfer of shares to the Company in connection with the exercise of options or the vesting or settlement of restricted stock units or other equity awards, including in connection with “net” or “cashless” exercises or in the open market pursuant to a “sell-to-cover” transaction, for the payment of tax withholdings or remittance payments due as a result of the exercise of any such options or vesting or settlement of such restricted stock units or other equity awards in all such cases, (A) pursuant to equity awards granted under a stock incentive plan or other equity award plan that is described herein and (B) provided that any shares of Class A common stock received upon such exercise, vesting or settlement, in each case, that are not transferred to cover any such tax obligations shall be subject to the terms of the lock-up agreement, provided further, (1) that no filing under Section 16(a) of the Exchange Act shall be required or shall be voluntarily made during the lock-up period in connection with an option exercise described in this bullet unless such option would otherwise expire pursuant to its terms within the lock-up period and (2) that any filing under Section 16(a) of the Exchange Act that occurs during the lock-up period, or any other public filing or disclosure of such transfer shall clearly indicate in the footnotes thereto that such transfer relates to the circumstances described in this bullet;</w:t>
      </w:r>
    </w:p>
    <w:p>
      <w:pPr>
        <w:spacing w:after="0" w:line="73" w:lineRule="exact"/>
        <w:rPr>
          <w:rFonts w:ascii="Times New Roman" w:cs="Times New Roman" w:eastAsia="Times New Roman" w:hAnsi="Times New Roman"/>
          <w:sz w:val="14"/>
          <w:szCs w:val="14"/>
          <w:color w:val="auto"/>
        </w:rPr>
      </w:pPr>
    </w:p>
    <w:p>
      <w:pPr>
        <w:ind w:left="1000" w:right="499" w:hanging="326"/>
        <w:spacing w:after="0" w:line="279" w:lineRule="auto"/>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lock-up party is a partnership, limited liability company, corporation, trust or other business entity, transfers (A) to another corporation, partnership, limited liability company, trust or other business entity that is an affiliate (within the meaning set forth in Rule</w:t>
      </w:r>
    </w:p>
    <w:p>
      <w:pPr>
        <w:ind w:left="10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405 as promulgated by the SEC under the Securities Act of 1933, as amended and including such party’s subsidiaries) of the lock-up party,</w:t>
      </w:r>
    </w:p>
    <w:p>
      <w:pPr>
        <w:spacing w:after="0" w:line="17" w:lineRule="exact"/>
        <w:rPr>
          <w:rFonts w:ascii="Times New Roman" w:cs="Times New Roman" w:eastAsia="Times New Roman" w:hAnsi="Times New Roman"/>
          <w:sz w:val="13"/>
          <w:szCs w:val="13"/>
          <w:color w:val="auto"/>
        </w:rPr>
      </w:pPr>
    </w:p>
    <w:p>
      <w:pPr>
        <w:ind w:left="1000" w:right="2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to any investment fund or other entity controlling, controlled by, managing or managed by or under common control with the lock-up party or affiliates thereof (including, for the avoidance of doubt, where the lock-up party is a partnership) or (C) as part of a distribution, transfer or disposition by the lock-up party to its stockholders, limited partners, general partners, limited liability company members or other equityholders or to the estate of any such stockholders, limited partners, general partners, limited liability company members or equityholders; provided that the transferee or distributee agrees to be bound in writing by the restrictions set forth herein; provided further that any such transfer shall not involve a disposition for value; and provided further that no filing under Section 16(a) of the Exchange Act, reporting such transfer, shall be required or shall be voluntarily made during the lock-up period;</w:t>
      </w:r>
    </w:p>
    <w:p>
      <w:pPr>
        <w:spacing w:after="0" w:line="75" w:lineRule="exact"/>
        <w:rPr>
          <w:rFonts w:ascii="Times New Roman" w:cs="Times New Roman" w:eastAsia="Times New Roman" w:hAnsi="Times New Roman"/>
          <w:sz w:val="13"/>
          <w:szCs w:val="13"/>
          <w:color w:val="auto"/>
        </w:rPr>
      </w:pPr>
    </w:p>
    <w:p>
      <w:pPr>
        <w:ind w:left="1000" w:right="419" w:hanging="326"/>
        <w:spacing w:after="0" w:line="258"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operation of law, such as pursuant to a qualified domestic order or in connection with a divorce settlement; provided that the transferee agrees to be bound in writing by the lock-up restrictions; and provided further that any filings under Section 16(a) of the Exchange Act, or any other public filing or disclosure of such transfer by or on behalf of the lock-up party, shall clearly indicate in the footnotes thereto that such transfer relates to the circumstances described in this bullet;</w:t>
      </w:r>
    </w:p>
    <w:p>
      <w:pPr>
        <w:spacing w:after="0" w:line="67" w:lineRule="exact"/>
        <w:rPr>
          <w:rFonts w:ascii="Times New Roman" w:cs="Times New Roman" w:eastAsia="Times New Roman" w:hAnsi="Times New Roman"/>
          <w:sz w:val="14"/>
          <w:szCs w:val="14"/>
          <w:color w:val="auto"/>
        </w:rPr>
      </w:pPr>
    </w:p>
    <w:p>
      <w:pPr>
        <w:ind w:left="1000" w:right="279" w:hanging="326"/>
        <w:spacing w:after="0" w:line="255"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the Company, in connection with the repurchase of shares of Class A common stock issued pursuant to an employee benefit plan or stock plan disclosed herein or pursuant to the agreements pursuant to which such shares were issued as disclosed herein, in each case, upon termination of the lock-up party’s relationship with the Company; provided that any filings under Section 16(a) of the Exchange Act, or any other public filing or disclosure of such transfer by or on behalf of the lock-up party, shall clearly indicate in the footnotes thereto that such transfer relates to the circumstances described in this bullet;</w:t>
      </w:r>
    </w:p>
    <w:p>
      <w:pPr>
        <w:spacing w:after="0" w:line="71" w:lineRule="exact"/>
        <w:rPr>
          <w:rFonts w:ascii="Times New Roman" w:cs="Times New Roman" w:eastAsia="Times New Roman" w:hAnsi="Times New Roman"/>
          <w:sz w:val="14"/>
          <w:szCs w:val="14"/>
          <w:color w:val="auto"/>
        </w:rPr>
      </w:pPr>
    </w:p>
    <w:p>
      <w:pPr>
        <w:ind w:left="1000" w:right="299" w:hanging="326"/>
        <w:spacing w:after="0" w:line="253"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pursuant to a bona fide third-party tender offer, merger, consolidation or other similar transaction made to all holders of the Company’s capital stock and approved by the board of directors of the Company, and the result of which is that any “person” (as defined in Rules 13(d)(3) of the Exchange Act), or group of persons, becomes the beneficial owners (as defined in Rules 13d-3 and 13d-5 of the Exchange Act) of at least 50% of total voting power of the voting stock of the Company or the surviving entity (a “Change of Control Transaction”); provided that in the event of a Change of Control Transaction is not completed, the lock-up party’s shares shall remain subject to the lock-up provisions; provided, further that so long as the locked-up party’s shares are not transferred, sold or tendered, such shares shall remain subject to the lock-up provisions;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9" w:right="1440" w:bottom="1440" w:gutter="0" w:footer="0" w:header="0"/>
        </w:sectPr>
      </w:pPr>
    </w:p>
    <w:bookmarkStart w:id="22" w:name="page23"/>
    <w:bookmarkEnd w:id="22"/>
    <w:p>
      <w:pPr>
        <w:ind w:left="1000" w:hanging="326"/>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transfers with the prior written consent of J.P. Morgan Securities LLC and Goldman Sachs &amp; Co. LLC; and</w:t>
      </w:r>
    </w:p>
    <w:p>
      <w:pPr>
        <w:spacing w:after="0" w:line="99" w:lineRule="exact"/>
        <w:rPr>
          <w:rFonts w:ascii="Times New Roman" w:cs="Times New Roman" w:eastAsia="Times New Roman" w:hAnsi="Times New Roman"/>
          <w:sz w:val="14"/>
          <w:szCs w:val="14"/>
          <w:color w:val="auto"/>
        </w:rPr>
      </w:pPr>
    </w:p>
    <w:p>
      <w:pPr>
        <w:ind w:left="1000" w:right="279" w:hanging="326"/>
        <w:spacing w:after="0" w:line="258"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a written plan meeting the requirements of Rule 10b5-1 under the Exchange Act that was established prior to the date hereof; provided that, any filing under Section 16(a) of the Exchange Act that occurs during the lock-up period, or any other public filing or disclosure of such transfer by or on behalf of the lock-up party, shall clearly indicate in the footnotes thereto that such transfer relates to the circumstances described in this bullet.</w:t>
      </w:r>
    </w:p>
    <w:p>
      <w:pPr>
        <w:spacing w:after="0" w:line="140" w:lineRule="exact"/>
        <w:rPr>
          <w:sz w:val="20"/>
          <w:szCs w:val="20"/>
          <w:color w:val="auto"/>
        </w:rPr>
      </w:pPr>
    </w:p>
    <w:p>
      <w:pPr>
        <w:ind w:left="260" w:right="659" w:firstLine="340"/>
        <w:spacing w:after="0" w:line="278" w:lineRule="auto"/>
        <w:rPr>
          <w:sz w:val="20"/>
          <w:szCs w:val="20"/>
          <w:color w:val="auto"/>
        </w:rPr>
      </w:pPr>
      <w:r>
        <w:rPr>
          <w:rFonts w:ascii="Times New Roman" w:cs="Times New Roman" w:eastAsia="Times New Roman" w:hAnsi="Times New Roman"/>
          <w:sz w:val="14"/>
          <w:szCs w:val="14"/>
          <w:color w:val="auto"/>
        </w:rPr>
        <w:t>J.P. Morgan Securities LLC and Goldman Sachs &amp; Co. LLC, in their sole discretion, may release the securities subject to any of the lock-up agreements with the underwriters described above, in whole or in part at any time.</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“XMTR”.</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which involves making bids for, purchasing and selling</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shares of Class A common stock in the open market for the purpose of preventing or retarding a decline in the market price of the common stock while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offering is in progress. These stabilizing transactions may include making short sales of Class A common stock, which involves the sale by the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underwriters of a greater number of shares of Class A common stock than they are required to purchase in this offering, and purchasing shares of</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Class A common stock on the open market to cover positions created by short sales. Short sales may be “covered” shorts, which are short positions in an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amount not greater than the underwriters’ option to purchase additional shares referred to above, or may be “naked” shorts, which are short positions in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excess of that amount. The underwriters may close out any covered short position either by exercising their option to purchase additional shares, in</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whole or in part, or by purchasing shares in the open market. In making this determination, the underwriters will consider, among other things, the price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of shares available for purchase in the open market compared to the price at which the underwriters may purchase shares through the option to purchase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additional shares. A naked short position is more likely to be created if the underwriters are concerned that there may be downward pressure on the price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of the common stock in the open market that could adversely affect investors who purchase in this offering. To the extent that the underwriters create a</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naked short position, they will purchase shares in the open market to cover the position.</w:t>
      </w:r>
    </w:p>
    <w:p>
      <w:pPr>
        <w:spacing w:after="0" w:line="157" w:lineRule="exact"/>
        <w:rPr>
          <w:sz w:val="20"/>
          <w:szCs w:val="20"/>
          <w:color w:val="auto"/>
        </w:rPr>
      </w:pPr>
    </w:p>
    <w:p>
      <w:pPr>
        <w:ind w:left="260" w:right="679" w:firstLine="340"/>
        <w:spacing w:after="0" w:line="258"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40" w:lineRule="exact"/>
        <w:rPr>
          <w:sz w:val="20"/>
          <w:szCs w:val="20"/>
          <w:color w:val="auto"/>
        </w:rPr>
      </w:pPr>
    </w:p>
    <w:p>
      <w:pPr>
        <w:ind w:left="260" w:right="279" w:firstLine="340"/>
        <w:spacing w:after="0" w:line="258"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40" w:lineRule="exact"/>
        <w:rPr>
          <w:sz w:val="20"/>
          <w:szCs w:val="20"/>
          <w:color w:val="auto"/>
        </w:rPr>
      </w:pPr>
    </w:p>
    <w:p>
      <w:pPr>
        <w:ind w:left="260" w:right="319" w:firstLine="340"/>
        <w:spacing w:after="0" w:line="254" w:lineRule="auto"/>
        <w:rPr>
          <w:sz w:val="20"/>
          <w:szCs w:val="20"/>
          <w:color w:val="auto"/>
        </w:rPr>
      </w:pPr>
      <w:r>
        <w:rPr>
          <w:rFonts w:ascii="Times New Roman" w:cs="Times New Roman" w:eastAsia="Times New Roman" w:hAnsi="Times New Roman"/>
          <w:sz w:val="14"/>
          <w:szCs w:val="14"/>
          <w:color w:val="auto"/>
        </w:rPr>
        <w:t>In addition, in connection with this offering certain of the underwriters (and selling group members) may engage in passive market making transactions in our Class A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Class A common stock during a specified period and must be discontinued when such limit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39" w:right="1440" w:bottom="1440" w:gutter="0" w:footer="0" w:header="0"/>
        </w:sectPr>
      </w:pPr>
    </w:p>
    <w:bookmarkStart w:id="23" w:name="page24"/>
    <w:bookmarkEnd w:id="23"/>
    <w:p>
      <w:pPr>
        <w:ind w:left="260" w:right="39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is reached. Passive market making may cause the price of our Class A common stock to be higher than the price that otherwise would exist in the open market in the absence of these transactions. If passive market making is commenced, it may be discontinued at any time.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4" w:lineRule="exact"/>
        <w:rPr>
          <w:sz w:val="20"/>
          <w:szCs w:val="20"/>
          <w:color w:val="auto"/>
        </w:rPr>
      </w:pPr>
    </w:p>
    <w:p>
      <w:pPr>
        <w:ind w:left="260" w:right="339" w:firstLine="340"/>
        <w:spacing w:after="0" w:line="255" w:lineRule="auto"/>
        <w:rPr>
          <w:sz w:val="20"/>
          <w:szCs w:val="20"/>
          <w:color w:val="auto"/>
        </w:rPr>
      </w:pPr>
      <w:r>
        <w:rPr>
          <w:rFonts w:ascii="Times New Roman" w:cs="Times New Roman" w:eastAsia="Times New Roman" w:hAnsi="Times New Roman"/>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1" w:lineRule="exact"/>
        <w:rPr>
          <w:sz w:val="20"/>
          <w:szCs w:val="20"/>
          <w:color w:val="auto"/>
        </w:rPr>
      </w:pPr>
    </w:p>
    <w:p>
      <w:pPr>
        <w:ind w:left="260" w:right="579" w:firstLine="340"/>
        <w:spacing w:after="0" w:line="258" w:lineRule="auto"/>
        <w:rPr>
          <w:sz w:val="20"/>
          <w:szCs w:val="20"/>
          <w:color w:val="auto"/>
        </w:rPr>
      </w:pPr>
      <w:r>
        <w:rPr>
          <w:rFonts w:ascii="Times New Roman" w:cs="Times New Roman" w:eastAsia="Times New Roman" w:hAnsi="Times New Roman"/>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40" w:lineRule="exact"/>
        <w:rPr>
          <w:sz w:val="20"/>
          <w:szCs w:val="20"/>
          <w:color w:val="auto"/>
        </w:rPr>
      </w:pPr>
    </w:p>
    <w:p>
      <w:pPr>
        <w:ind w:left="260" w:right="439" w:firstLine="340"/>
        <w:spacing w:after="0" w:line="284"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5" w:lineRule="exact"/>
        <w:rPr>
          <w:sz w:val="20"/>
          <w:szCs w:val="20"/>
          <w:color w:val="auto"/>
        </w:rPr>
      </w:pPr>
    </w:p>
    <w:p>
      <w:pPr>
        <w:ind w:left="260" w:right="339" w:firstLine="340"/>
        <w:spacing w:after="0" w:line="278"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European Economic Area</w:t>
      </w:r>
    </w:p>
    <w:p>
      <w:pPr>
        <w:spacing w:after="0" w:line="91" w:lineRule="exact"/>
        <w:rPr>
          <w:sz w:val="20"/>
          <w:szCs w:val="20"/>
          <w:color w:val="auto"/>
        </w:rPr>
      </w:pPr>
    </w:p>
    <w:p>
      <w:pPr>
        <w:jc w:val="center"/>
        <w:ind w:left="260" w:right="379"/>
        <w:spacing w:after="0" w:line="263"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39" w:right="1440"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Relevant State, all in accordance with the Prospectus Regulation, except that the shares may be offered to the public in that Relevant State at any time:</w:t>
      </w:r>
    </w:p>
    <w:p>
      <w:pPr>
        <w:spacing w:after="0" w:line="99" w:lineRule="exact"/>
        <w:rPr>
          <w:sz w:val="20"/>
          <w:szCs w:val="20"/>
          <w:color w:val="auto"/>
        </w:rPr>
      </w:pPr>
    </w:p>
    <w:p>
      <w:pPr>
        <w:ind w:left="1000" w:hanging="409"/>
        <w:spacing w:after="0"/>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99" w:lineRule="exact"/>
        <w:rPr>
          <w:rFonts w:ascii="Times New Roman" w:cs="Times New Roman" w:eastAsia="Times New Roman" w:hAnsi="Times New Roman"/>
          <w:sz w:val="14"/>
          <w:szCs w:val="14"/>
          <w:color w:val="auto"/>
        </w:rPr>
      </w:pPr>
    </w:p>
    <w:p>
      <w:pPr>
        <w:ind w:left="1000" w:right="379" w:hanging="409"/>
        <w:spacing w:after="0" w:line="278"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53" w:lineRule="exact"/>
        <w:rPr>
          <w:rFonts w:ascii="Times New Roman" w:cs="Times New Roman" w:eastAsia="Times New Roman" w:hAnsi="Times New Roman"/>
          <w:sz w:val="14"/>
          <w:szCs w:val="14"/>
          <w:color w:val="auto"/>
        </w:rPr>
      </w:pPr>
    </w:p>
    <w:p>
      <w:pPr>
        <w:ind w:left="1000" w:hanging="409"/>
        <w:spacing w:after="0"/>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0" w:lineRule="exact"/>
        <w:rPr>
          <w:sz w:val="20"/>
          <w:szCs w:val="20"/>
          <w:color w:val="auto"/>
        </w:rPr>
      </w:pPr>
    </w:p>
    <w:p>
      <w:pPr>
        <w:ind w:left="260" w:right="419" w:firstLine="3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shall require us or any underwriter to publish a prospectus pursuant to Article 3 of the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supplement a prospectus pursuant to Article 23 of the Prospectus Regulation or publish an Annex IX document pursuant to Article 1(4) of the Prospectus Regulation.</w:t>
      </w:r>
    </w:p>
    <w:p>
      <w:pPr>
        <w:spacing w:after="0" w:line="135" w:lineRule="exact"/>
        <w:rPr>
          <w:sz w:val="20"/>
          <w:szCs w:val="20"/>
          <w:color w:val="auto"/>
        </w:rPr>
      </w:pPr>
    </w:p>
    <w:p>
      <w:pPr>
        <w:ind w:left="260" w:right="339" w:firstLine="340"/>
        <w:spacing w:after="0" w:line="263"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1" w:lineRule="exact"/>
        <w:rPr>
          <w:sz w:val="20"/>
          <w:szCs w:val="20"/>
          <w:color w:val="auto"/>
        </w:rPr>
      </w:pPr>
    </w:p>
    <w:p>
      <w:pPr>
        <w:ind w:left="260" w:right="359" w:firstLine="340"/>
        <w:spacing w:after="0" w:line="278"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except that the shares may be offered to the public in the United Kingdom at any time:</w:t>
      </w:r>
    </w:p>
    <w:p>
      <w:pPr>
        <w:spacing w:after="0" w:line="54" w:lineRule="exact"/>
        <w:rPr>
          <w:sz w:val="20"/>
          <w:szCs w:val="20"/>
          <w:color w:val="auto"/>
        </w:rPr>
      </w:pPr>
    </w:p>
    <w:p>
      <w:pPr>
        <w:jc w:val="both"/>
        <w:ind w:left="1000" w:right="299" w:hanging="409"/>
        <w:spacing w:after="0" w:line="293" w:lineRule="auto"/>
        <w:tabs>
          <w:tab w:leader="none" w:pos="10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spacing w:after="0" w:line="45" w:lineRule="exact"/>
        <w:rPr>
          <w:rFonts w:ascii="Times New Roman" w:cs="Times New Roman" w:eastAsia="Times New Roman" w:hAnsi="Times New Roman"/>
          <w:sz w:val="13"/>
          <w:szCs w:val="13"/>
          <w:color w:val="auto"/>
        </w:rPr>
      </w:pPr>
    </w:p>
    <w:p>
      <w:pPr>
        <w:ind w:left="1000" w:hanging="409"/>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in paragraph 15 of Schedule 1 of the POATR;</w:t>
      </w:r>
    </w:p>
    <w:p>
      <w:pPr>
        <w:spacing w:after="0" w:line="99" w:lineRule="exact"/>
        <w:rPr>
          <w:rFonts w:ascii="Times New Roman" w:cs="Times New Roman" w:eastAsia="Times New Roman" w:hAnsi="Times New Roman"/>
          <w:sz w:val="14"/>
          <w:szCs w:val="14"/>
          <w:color w:val="auto"/>
        </w:rPr>
      </w:pPr>
    </w:p>
    <w:p>
      <w:pPr>
        <w:ind w:left="1000" w:right="339" w:hanging="409"/>
        <w:spacing w:after="0" w:line="278" w:lineRule="auto"/>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in paragraph 15 of Schedule 1 of the POATR), subject to obtaining the prior consent of the underwriters for any such offer; or</w:t>
      </w:r>
    </w:p>
    <w:p>
      <w:pPr>
        <w:spacing w:after="0" w:line="53" w:lineRule="exact"/>
        <w:rPr>
          <w:rFonts w:ascii="Times New Roman" w:cs="Times New Roman" w:eastAsia="Times New Roman" w:hAnsi="Times New Roman"/>
          <w:sz w:val="14"/>
          <w:szCs w:val="14"/>
          <w:color w:val="auto"/>
        </w:rPr>
      </w:pPr>
    </w:p>
    <w:p>
      <w:pPr>
        <w:ind w:left="1000" w:hanging="409"/>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2" w:lineRule="exact"/>
        <w:rPr>
          <w:sz w:val="20"/>
          <w:szCs w:val="20"/>
          <w:color w:val="auto"/>
        </w:rPr>
      </w:pPr>
    </w:p>
    <w:p>
      <w:pPr>
        <w:ind w:left="260" w:right="319" w:firstLine="340"/>
        <w:spacing w:after="0" w:line="25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spacing w:after="0" w:line="140" w:lineRule="exact"/>
        <w:rPr>
          <w:sz w:val="20"/>
          <w:szCs w:val="20"/>
          <w:color w:val="auto"/>
        </w:rPr>
      </w:pPr>
    </w:p>
    <w:p>
      <w:pPr>
        <w:ind w:left="260" w:right="319" w:firstLine="340"/>
        <w:spacing w:after="0" w:line="254" w:lineRule="auto"/>
        <w:rPr>
          <w:sz w:val="20"/>
          <w:szCs w:val="20"/>
          <w:color w:val="auto"/>
        </w:rPr>
      </w:pPr>
      <w:r>
        <w:rPr>
          <w:rFonts w:ascii="Times New Roman" w:cs="Times New Roman" w:eastAsia="Times New Roman" w:hAnsi="Times New Roman"/>
          <w:sz w:val="14"/>
          <w:szCs w:val="14"/>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9" w:right="1440"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Notice to Prospective Investors in Ireland</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Each underwriter has represented and agreed that:</w:t>
      </w:r>
    </w:p>
    <w:p>
      <w:pPr>
        <w:spacing w:after="0" w:line="99" w:lineRule="exact"/>
        <w:rPr>
          <w:sz w:val="20"/>
          <w:szCs w:val="20"/>
          <w:color w:val="auto"/>
        </w:rPr>
      </w:pPr>
    </w:p>
    <w:p>
      <w:pPr>
        <w:ind w:left="1000" w:right="319" w:hanging="409"/>
        <w:spacing w:after="0" w:line="258"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underwrite the issue of, or place, the shares otherwise than in conformity with the provisions of the European Communities (Markets in Financial Instruments) Regulations 2007 (Nos. 1 to 3) (as amended, the “MiFID Regulations”) including, without limitation, Regulations 7 (Authorisation) and 152 (Restrictions on advertising) thereof, any codes of conduct made under the MiFID Regulations, and the provisions of the Investor Compensation Act 1998 (as amended);</w:t>
      </w:r>
    </w:p>
    <w:p>
      <w:pPr>
        <w:spacing w:after="0" w:line="67" w:lineRule="exact"/>
        <w:rPr>
          <w:rFonts w:ascii="Times New Roman" w:cs="Times New Roman" w:eastAsia="Times New Roman" w:hAnsi="Times New Roman"/>
          <w:sz w:val="14"/>
          <w:szCs w:val="14"/>
          <w:color w:val="auto"/>
        </w:rPr>
      </w:pPr>
    </w:p>
    <w:p>
      <w:pPr>
        <w:ind w:left="1000" w:right="359" w:hanging="409"/>
        <w:spacing w:after="0" w:line="263"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underwrite the issue of, or place, the shares otherwise in conformity with the provisions of the Companies Act 2014 (as amended, the “Companies Act”), the Central Bank Acts 1942-2019 (as amended) and any codes of practice made under Section 117(1) of the Central Bank Act 1989 (as amended);</w:t>
      </w:r>
    </w:p>
    <w:p>
      <w:pPr>
        <w:spacing w:after="0" w:line="63" w:lineRule="exact"/>
        <w:rPr>
          <w:rFonts w:ascii="Times New Roman" w:cs="Times New Roman" w:eastAsia="Times New Roman" w:hAnsi="Times New Roman"/>
          <w:sz w:val="14"/>
          <w:szCs w:val="14"/>
          <w:color w:val="auto"/>
        </w:rPr>
      </w:pPr>
    </w:p>
    <w:p>
      <w:pPr>
        <w:ind w:left="1000" w:right="499" w:hanging="409"/>
        <w:spacing w:after="0" w:line="263"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underwrite the issue of, or place, or do anything in Ireland with respect to the Class A common stock otherwise than in conformity with the provisions of the Prospectus Regulation, the European Union (Prospectus) Regulations 2019 (as amended) and any rules and guidance issued by the Central Bank under Section 1363 of the Companies Act; and</w:t>
      </w:r>
    </w:p>
    <w:p>
      <w:pPr>
        <w:spacing w:after="0" w:line="63" w:lineRule="exact"/>
        <w:rPr>
          <w:rFonts w:ascii="Times New Roman" w:cs="Times New Roman" w:eastAsia="Times New Roman" w:hAnsi="Times New Roman"/>
          <w:sz w:val="14"/>
          <w:szCs w:val="14"/>
          <w:color w:val="auto"/>
        </w:rPr>
      </w:pPr>
    </w:p>
    <w:p>
      <w:pPr>
        <w:jc w:val="both"/>
        <w:ind w:left="1000" w:right="379" w:hanging="409"/>
        <w:spacing w:after="0" w:line="263"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underwrite the issue of, place or otherwise act in Ireland in respect of, the shares otherwise than in conformity with the Market Abuse Regulatiaon (EU 596/2014) (as amended) and any rules and guidance issued by the Central Bank of Ireland under Section 1370 of the Irish Companies Act (as amended).</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91" w:lineRule="exact"/>
        <w:rPr>
          <w:sz w:val="20"/>
          <w:szCs w:val="20"/>
          <w:color w:val="auto"/>
        </w:rPr>
      </w:pPr>
    </w:p>
    <w:p>
      <w:pPr>
        <w:ind w:left="260" w:right="539" w:firstLine="340"/>
        <w:spacing w:after="0" w:line="263" w:lineRule="auto"/>
        <w:rPr>
          <w:sz w:val="20"/>
          <w:szCs w:val="20"/>
          <w:color w:val="auto"/>
        </w:rPr>
      </w:pPr>
      <w:r>
        <w:rPr>
          <w:rFonts w:ascii="Times New Roman" w:cs="Times New Roman" w:eastAsia="Times New Roman" w:hAnsi="Times New Roman"/>
          <w:sz w:val="14"/>
          <w:szCs w:val="14"/>
          <w:color w:val="auto"/>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64" w:lineRule="exact"/>
        <w:rPr>
          <w:sz w:val="20"/>
          <w:szCs w:val="20"/>
          <w:color w:val="auto"/>
        </w:rPr>
      </w:pPr>
    </w:p>
    <w:p>
      <w:pPr>
        <w:ind w:left="1000" w:hanging="409"/>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 or</w:t>
      </w:r>
    </w:p>
    <w:p>
      <w:pPr>
        <w:spacing w:after="0" w:line="99" w:lineRule="exact"/>
        <w:rPr>
          <w:rFonts w:ascii="Times New Roman" w:cs="Times New Roman" w:eastAsia="Times New Roman" w:hAnsi="Times New Roman"/>
          <w:sz w:val="14"/>
          <w:szCs w:val="14"/>
          <w:color w:val="auto"/>
        </w:rPr>
      </w:pPr>
    </w:p>
    <w:p>
      <w:pPr>
        <w:ind w:left="1000" w:hanging="409"/>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provided that no such offer of shares shall require the Company or any investment bank to publish a prospectus pursuant to Article 35 FinSA.</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shares have not been and will not be listed or admitted to trading on a trading venue in Switzerland.</w:t>
      </w:r>
    </w:p>
    <w:p>
      <w:pPr>
        <w:spacing w:after="0" w:line="172" w:lineRule="exact"/>
        <w:rPr>
          <w:sz w:val="20"/>
          <w:szCs w:val="20"/>
          <w:color w:val="auto"/>
        </w:rPr>
      </w:pPr>
    </w:p>
    <w:p>
      <w:pPr>
        <w:jc w:val="both"/>
        <w:ind w:left="260" w:right="659" w:firstLine="340"/>
        <w:spacing w:after="0" w:line="263"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This prospectus supplement:</w:t>
      </w:r>
    </w:p>
    <w:p>
      <w:pPr>
        <w:spacing w:after="0" w:line="99" w:lineRule="exact"/>
        <w:rPr>
          <w:sz w:val="20"/>
          <w:szCs w:val="20"/>
          <w:color w:val="auto"/>
        </w:rPr>
      </w:pPr>
    </w:p>
    <w:p>
      <w:pPr>
        <w:ind w:left="1000" w:right="639" w:hanging="326"/>
        <w:spacing w:after="0" w:line="278"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53" w:lineRule="exact"/>
        <w:rPr>
          <w:rFonts w:ascii="Times New Roman" w:cs="Times New Roman" w:eastAsia="Times New Roman" w:hAnsi="Times New Roman"/>
          <w:sz w:val="14"/>
          <w:szCs w:val="14"/>
          <w:color w:val="auto"/>
        </w:rPr>
      </w:pPr>
    </w:p>
    <w:p>
      <w:pPr>
        <w:ind w:left="1000" w:right="299" w:hanging="326"/>
        <w:spacing w:after="0" w:line="263"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7" w:right="1440" w:bottom="1440" w:gutter="0" w:footer="0" w:header="0"/>
        </w:sectPr>
      </w:pPr>
    </w:p>
    <w:bookmarkStart w:id="26" w:name="page27"/>
    <w:bookmarkEnd w:id="26"/>
    <w:p>
      <w:pPr>
        <w:ind w:left="1000" w:right="559" w:hanging="326"/>
        <w:spacing w:after="0" w:line="278" w:lineRule="auto"/>
        <w:tabs>
          <w:tab w:leader="none" w:pos="1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may only be provided in Australia to select investors who are able to demonstrate that they fall within one or more of the categories of investors, available under section 708 of the Corporations Act (“Exempt Investors”).</w:t>
      </w:r>
    </w:p>
    <w:p>
      <w:pPr>
        <w:spacing w:after="0" w:line="127" w:lineRule="exact"/>
        <w:rPr>
          <w:sz w:val="20"/>
          <w:szCs w:val="20"/>
          <w:color w:val="auto"/>
        </w:rPr>
      </w:pPr>
    </w:p>
    <w:p>
      <w:pPr>
        <w:ind w:left="260" w:right="279" w:firstLine="340"/>
        <w:spacing w:after="0" w:line="284" w:lineRule="auto"/>
        <w:rPr>
          <w:sz w:val="20"/>
          <w:szCs w:val="20"/>
          <w:color w:val="auto"/>
        </w:rPr>
      </w:pPr>
      <w:r>
        <w:rPr>
          <w:rFonts w:ascii="Times New Roman" w:cs="Times New Roman" w:eastAsia="Times New Roman" w:hAnsi="Times New Roman"/>
          <w:sz w:val="13"/>
          <w:szCs w:val="13"/>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5" w:lineRule="exact"/>
        <w:rPr>
          <w:sz w:val="20"/>
          <w:szCs w:val="20"/>
          <w:color w:val="auto"/>
        </w:rPr>
      </w:pPr>
    </w:p>
    <w:p>
      <w:pPr>
        <w:ind w:left="260" w:right="359" w:firstLine="340"/>
        <w:spacing w:after="0" w:line="254" w:lineRule="auto"/>
        <w:rPr>
          <w:sz w:val="20"/>
          <w:szCs w:val="20"/>
          <w:color w:val="auto"/>
        </w:rPr>
      </w:pPr>
      <w:r>
        <w:rPr>
          <w:rFonts w:ascii="Times New Roman" w:cs="Times New Roman" w:eastAsia="Times New Roman" w:hAnsi="Times New Roman"/>
          <w:sz w:val="14"/>
          <w:szCs w:val="14"/>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Japan</w:t>
      </w:r>
    </w:p>
    <w:p>
      <w:pPr>
        <w:spacing w:after="0" w:line="91"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1" w:lineRule="exact"/>
        <w:rPr>
          <w:sz w:val="20"/>
          <w:szCs w:val="20"/>
          <w:color w:val="auto"/>
        </w:rPr>
      </w:pPr>
    </w:p>
    <w:p>
      <w:pPr>
        <w:ind w:left="260" w:right="299" w:firstLine="340"/>
        <w:spacing w:after="0" w:line="274" w:lineRule="auto"/>
        <w:rPr>
          <w:sz w:val="20"/>
          <w:szCs w:val="20"/>
          <w:color w:val="auto"/>
        </w:rPr>
      </w:pPr>
      <w:r>
        <w:rPr>
          <w:rFonts w:ascii="Times New Roman" w:cs="Times New Roman" w:eastAsia="Times New Roman" w:hAnsi="Times New Roman"/>
          <w:sz w:val="13"/>
          <w:szCs w:val="13"/>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91"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registered as a prospectus with the Monetary Authority of Singapore. Accordingly, no shares have been or will be offered or sold and no shares have been or will be made the subject of an invitation for subscription or purchase, and no prospectus supplement or any other document or material in connection with the offer or sale, or invitation for subscription or purchase, of the shares, has been or will be circulated or distributed, whether directly or indirectly, to any person in Singapore other than (i) to an institutional investor (as defined in Section 4A of the Securities and Futures Act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39" w:right="1440" w:bottom="1440" w:gutter="0" w:footer="0" w:header="0"/>
        </w:sectPr>
      </w:pPr>
    </w:p>
    <w:bookmarkStart w:id="27" w:name="page28"/>
    <w:bookmarkEnd w:id="27"/>
    <w:p>
      <w:pPr>
        <w:ind w:left="260" w:right="65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China</w:t>
      </w:r>
    </w:p>
    <w:p>
      <w:pPr>
        <w:spacing w:after="0" w:line="91"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color w:val="auto"/>
        </w:rPr>
        <w:t>This prospectus supplement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Saudi Arabia</w:t>
      </w:r>
    </w:p>
    <w:p>
      <w:pPr>
        <w:spacing w:after="0" w:line="91"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Qatar</w:t>
      </w:r>
    </w:p>
    <w:p>
      <w:pPr>
        <w:spacing w:after="0" w:line="91" w:lineRule="exact"/>
        <w:rPr>
          <w:sz w:val="20"/>
          <w:szCs w:val="20"/>
          <w:color w:val="auto"/>
        </w:rPr>
      </w:pPr>
    </w:p>
    <w:p>
      <w:pPr>
        <w:ind w:left="260" w:right="339" w:firstLine="340"/>
        <w:spacing w:after="0" w:line="284" w:lineRule="auto"/>
        <w:rPr>
          <w:sz w:val="20"/>
          <w:szCs w:val="20"/>
          <w:color w:val="auto"/>
        </w:rPr>
      </w:pPr>
      <w:r>
        <w:rPr>
          <w:rFonts w:ascii="Times New Roman" w:cs="Times New Roman" w:eastAsia="Times New Roman" w:hAnsi="Times New Roman"/>
          <w:sz w:val="13"/>
          <w:szCs w:val="13"/>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 (“DIFC”)</w:t>
      </w:r>
    </w:p>
    <w:p>
      <w:pPr>
        <w:spacing w:after="0" w:line="9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44" w:lineRule="exact"/>
        <w:rPr>
          <w:sz w:val="20"/>
          <w:szCs w:val="20"/>
          <w:color w:val="auto"/>
        </w:rPr>
      </w:pPr>
    </w:p>
    <w:p>
      <w:pPr>
        <w:ind w:left="260" w:right="499" w:firstLine="340"/>
        <w:spacing w:after="0" w:line="263" w:lineRule="auto"/>
        <w:rPr>
          <w:sz w:val="20"/>
          <w:szCs w:val="20"/>
          <w:color w:val="auto"/>
        </w:rPr>
      </w:pPr>
      <w:r>
        <w:rPr>
          <w:rFonts w:ascii="Times New Roman" w:cs="Times New Roman" w:eastAsia="Times New Roman" w:hAnsi="Times New Roman"/>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Arab Emirates</w:t>
      </w:r>
    </w:p>
    <w:p>
      <w:pPr>
        <w:spacing w:after="0" w:line="91" w:lineRule="exact"/>
        <w:rPr>
          <w:sz w:val="20"/>
          <w:szCs w:val="20"/>
          <w:color w:val="auto"/>
        </w:rPr>
      </w:pPr>
    </w:p>
    <w:p>
      <w:pPr>
        <w:ind w:left="260" w:right="599" w:firstLine="340"/>
        <w:spacing w:after="0" w:line="278" w:lineRule="auto"/>
        <w:rPr>
          <w:sz w:val="20"/>
          <w:szCs w:val="20"/>
          <w:color w:val="auto"/>
        </w:rPr>
      </w:pPr>
      <w:r>
        <w:rPr>
          <w:rFonts w:ascii="Times New Roman" w:cs="Times New Roman" w:eastAsia="Times New Roman" w:hAnsi="Times New Roman"/>
          <w:sz w:val="14"/>
          <w:szCs w:val="14"/>
          <w:color w:val="auto"/>
        </w:rPr>
        <w:t>The shares have not been, and are not being, publicly offered, sold, promoted or advertised in the United Arab Emirates (including the Dubai International Financial Centre) other than in compliance with the laws of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39" w:right="1440" w:bottom="1440" w:gutter="0" w:footer="0" w:header="0"/>
        </w:sectPr>
      </w:pPr>
    </w:p>
    <w:bookmarkStart w:id="28" w:name="page29"/>
    <w:bookmarkEnd w:id="28"/>
    <w:p>
      <w:pPr>
        <w:ind w:left="260" w:right="4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(DFSA).</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Israel</w:t>
      </w:r>
    </w:p>
    <w:p>
      <w:pPr>
        <w:spacing w:after="0" w:line="91" w:lineRule="exact"/>
        <w:rPr>
          <w:sz w:val="20"/>
          <w:szCs w:val="20"/>
          <w:color w:val="auto"/>
        </w:rPr>
      </w:pPr>
    </w:p>
    <w:p>
      <w:pPr>
        <w:ind w:left="260" w:right="339" w:firstLine="340"/>
        <w:spacing w:after="0" w:line="258" w:lineRule="auto"/>
        <w:rPr>
          <w:sz w:val="20"/>
          <w:szCs w:val="20"/>
          <w:color w:val="auto"/>
        </w:rPr>
      </w:pPr>
      <w:r>
        <w:rPr>
          <w:rFonts w:ascii="Times New Roman" w:cs="Times New Roman" w:eastAsia="Times New Roman" w:hAnsi="Times New Roman"/>
          <w:sz w:val="14"/>
          <w:szCs w:val="14"/>
          <w:color w:val="auto"/>
        </w:rPr>
        <w:t>This document does not constitute a prospectus under the Israeli Securities Law, 5728-1968, and has not been filed with or approved by the Israel Securities Authority. In Israel, this prospectus is being distributed only to, and is directed only at, qualified investors listed in the first addendum, or the Addendum, to the Israeli Securities Law. Qualified investors may be required to submit written confirmation that they fall within the scope of the Addendum.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39"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MATTERS</w:t>
      </w:r>
    </w:p>
    <w:p>
      <w:pPr>
        <w:spacing w:after="0" w:line="174" w:lineRule="exact"/>
        <w:rPr>
          <w:sz w:val="20"/>
          <w:szCs w:val="20"/>
          <w:color w:val="auto"/>
        </w:rPr>
      </w:pPr>
    </w:p>
    <w:p>
      <w:pPr>
        <w:ind w:left="260" w:right="719" w:firstLine="340"/>
        <w:spacing w:after="0" w:line="318" w:lineRule="auto"/>
        <w:rPr>
          <w:sz w:val="20"/>
          <w:szCs w:val="20"/>
          <w:color w:val="auto"/>
        </w:rPr>
      </w:pPr>
      <w:r>
        <w:rPr>
          <w:rFonts w:ascii="Times New Roman" w:cs="Times New Roman" w:eastAsia="Times New Roman" w:hAnsi="Times New Roman"/>
          <w:sz w:val="13"/>
          <w:szCs w:val="13"/>
          <w:color w:val="auto"/>
        </w:rPr>
        <w:t>Certain legal matters in connection with the shares of common stock offered hereby will be passed upon for us by Cooley LLP, Boston, Massachusetts. Davis Polk &amp; Wardwell LLP, Redwood City, California, has acted as counsel to the underwriters in connection with this offering.</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260" w:right="539" w:firstLine="340"/>
        <w:spacing w:after="0" w:line="258" w:lineRule="auto"/>
        <w:rPr>
          <w:sz w:val="20"/>
          <w:szCs w:val="20"/>
          <w:color w:val="auto"/>
        </w:rPr>
      </w:pPr>
      <w:r>
        <w:rPr>
          <w:rFonts w:ascii="Times New Roman" w:cs="Times New Roman" w:eastAsia="Times New Roman" w:hAnsi="Times New Roman"/>
          <w:sz w:val="14"/>
          <w:szCs w:val="14"/>
          <w:color w:val="auto"/>
        </w:rPr>
        <w:t>The financial statements of Xometry, Inc. incorporated by reference in this prospectus supplement, and the effectiveness of Xometry,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40" w:lineRule="exact"/>
        <w:rPr>
          <w:sz w:val="20"/>
          <w:szCs w:val="20"/>
          <w:color w:val="auto"/>
        </w:rPr>
      </w:pPr>
    </w:p>
    <w:p>
      <w:pPr>
        <w:ind w:left="260" w:right="479" w:firstLine="340"/>
        <w:spacing w:after="0" w:line="293" w:lineRule="auto"/>
        <w:rPr>
          <w:sz w:val="20"/>
          <w:szCs w:val="20"/>
          <w:color w:val="auto"/>
        </w:rPr>
      </w:pPr>
      <w:r>
        <w:rPr>
          <w:rFonts w:ascii="Times New Roman" w:cs="Times New Roman" w:eastAsia="Times New Roman" w:hAnsi="Times New Roman"/>
          <w:sz w:val="13"/>
          <w:szCs w:val="13"/>
          <w:color w:val="auto"/>
        </w:rPr>
        <w:t>The consolidated financial statements of Xometry, Inc. as of and for the fiscal year ended December 31, 2024, incorporated by reference in this prospectus supplement have been audited by KPMG LLP, an independent registered public accounting firm, as stated in their report. Such financial statements are incorporated by reference in reliance upon the report of such firm, given their authority as experts in accounting and auditing.</w:t>
      </w:r>
    </w:p>
    <w:p>
      <w:pPr>
        <w:spacing w:after="0" w:line="119" w:lineRule="exact"/>
        <w:rPr>
          <w:sz w:val="20"/>
          <w:szCs w:val="20"/>
          <w:color w:val="auto"/>
        </w:rPr>
      </w:pPr>
    </w:p>
    <w:p>
      <w:pPr>
        <w:jc w:val="both"/>
        <w:ind w:left="260" w:right="359" w:firstLine="340"/>
        <w:spacing w:after="0" w:line="263" w:lineRule="auto"/>
        <w:rPr>
          <w:sz w:val="20"/>
          <w:szCs w:val="20"/>
          <w:color w:val="auto"/>
        </w:rPr>
      </w:pPr>
      <w:r>
        <w:rPr>
          <w:rFonts w:ascii="Times New Roman" w:cs="Times New Roman" w:eastAsia="Times New Roman" w:hAnsi="Times New Roman"/>
          <w:sz w:val="14"/>
          <w:szCs w:val="14"/>
          <w:color w:val="auto"/>
        </w:rPr>
        <w:t>Xometry, Inc. has agreed to indemnify and hold KPMG LLP harmless against and from any and all legal costs and expenses incurred by KPMG LLP in successful defense of any legal action or proceeding that arises as a result of KPMG LLP’s consent to the incorporation by reference of its audit report on Xometry, Inc.’s past financial statements incorporated by reference in this registration statement.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260" w:right="319" w:firstLine="340"/>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on Form S-3 we filed with the SEC under the Securities Act and do not contain all of the information set forth in the registration statement and the exhibits thereto.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therein. For further information with respect to us and the Class A common stock we are offering under this prospectus supplement, we refer you to the registration statement and the exhibits and schedules filed as a part of the registration statement.</w:t>
      </w:r>
    </w:p>
    <w:p>
      <w:pPr>
        <w:spacing w:after="0" w:line="143" w:lineRule="exact"/>
        <w:rPr>
          <w:sz w:val="20"/>
          <w:szCs w:val="20"/>
          <w:color w:val="auto"/>
        </w:rPr>
      </w:pPr>
    </w:p>
    <w:p>
      <w:pPr>
        <w:ind w:left="260" w:right="399" w:firstLine="340"/>
        <w:spacing w:after="0" w:line="263"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w:t>
      </w:r>
    </w:p>
    <w:p>
      <w:pPr>
        <w:spacing w:after="0" w:line="137" w:lineRule="exact"/>
        <w:rPr>
          <w:sz w:val="20"/>
          <w:szCs w:val="20"/>
          <w:color w:val="auto"/>
        </w:rPr>
      </w:pPr>
    </w:p>
    <w:p>
      <w:pPr>
        <w:ind w:left="260" w:right="639" w:firstLine="340"/>
        <w:spacing w:after="0" w:line="263" w:lineRule="auto"/>
        <w:rPr>
          <w:sz w:val="20"/>
          <w:szCs w:val="20"/>
          <w:color w:val="auto"/>
        </w:rPr>
      </w:pPr>
      <w:r>
        <w:rPr>
          <w:rFonts w:ascii="Times New Roman" w:cs="Times New Roman" w:eastAsia="Times New Roman" w:hAnsi="Times New Roman"/>
          <w:sz w:val="14"/>
          <w:szCs w:val="14"/>
          <w:color w:val="auto"/>
        </w:rPr>
        <w:t>Copies of certain information filed by us with the SEC are also available on our website at www.xometry.com. Information contained in or accessible through our website does not constitute a part of this prospectus supplement or the accompanying prospectus and is not incorporated by reference into this prospectus supplement or the accompanying prospectus.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4" w:lineRule="exact"/>
        <w:rPr>
          <w:sz w:val="20"/>
          <w:szCs w:val="20"/>
          <w:color w:val="auto"/>
        </w:rPr>
      </w:pPr>
    </w:p>
    <w:p>
      <w:pPr>
        <w:ind w:left="260" w:right="679" w:firstLine="340"/>
        <w:spacing w:after="0" w:line="26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instead of having to repeat the information in this prospectus supplement or the accompanying prospectus. The information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37" w:right="1440" w:bottom="1440" w:gutter="0" w:footer="0" w:header="0"/>
        </w:sectPr>
      </w:pPr>
    </w:p>
    <w:bookmarkStart w:id="30" w:name="page31"/>
    <w:bookmarkEnd w:id="30"/>
    <w:p>
      <w:pPr>
        <w:ind w:left="260" w:right="39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incorporated by reference is considered to be part of this prospectus supplement and the accompanying prospectus, and later information that we file with the SEC (Commission File No. 001-40546) will automatically update and supersede this information. We incorporate by reference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after the filing and concurrent effectiveness of the registration statement but prior to the termination of all offerings covered by this prospectus supplement:</w:t>
      </w:r>
    </w:p>
    <w:p>
      <w:pPr>
        <w:spacing w:after="0" w:line="58" w:lineRule="exact"/>
        <w:rPr>
          <w:sz w:val="20"/>
          <w:szCs w:val="20"/>
          <w:color w:val="auto"/>
        </w:rPr>
      </w:pPr>
    </w:p>
    <w:p>
      <w:pPr>
        <w:ind w:left="1000" w:hanging="326"/>
        <w:spacing w:after="0"/>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24, 2026;</w:t>
      </w:r>
    </w:p>
    <w:p>
      <w:pPr>
        <w:spacing w:after="0" w:line="99" w:lineRule="exact"/>
        <w:rPr>
          <w:rFonts w:ascii="Times New Roman" w:cs="Times New Roman" w:eastAsia="Times New Roman" w:hAnsi="Times New Roman"/>
          <w:sz w:val="14"/>
          <w:szCs w:val="14"/>
          <w:color w:val="auto"/>
        </w:rPr>
      </w:pPr>
    </w:p>
    <w:p>
      <w:pPr>
        <w:ind w:left="1000" w:right="359" w:hanging="326"/>
        <w:spacing w:after="0" w:line="278"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Definitive Proxy Statement on </w:t>
      </w:r>
      <w:hyperlink r:id="rId40">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29, 2026;</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fiscal quarter ended March 31, 2026, filed with the SEC on </w:t>
      </w:r>
      <w:hyperlink r:id="rId41">
        <w:r>
          <w:rPr>
            <w:rFonts w:ascii="Times New Roman" w:cs="Times New Roman" w:eastAsia="Times New Roman" w:hAnsi="Times New Roman"/>
            <w:sz w:val="14"/>
            <w:szCs w:val="14"/>
            <w:u w:val="single" w:color="auto"/>
            <w:color w:val="0000EE"/>
          </w:rPr>
          <w:t>May 7, 2026</w:t>
        </w:r>
      </w:hyperlink>
      <w:r>
        <w:rPr>
          <w:rFonts w:ascii="Times New Roman" w:cs="Times New Roman" w:eastAsia="Times New Roman" w:hAnsi="Times New Roman"/>
          <w:sz w:val="14"/>
          <w:szCs w:val="14"/>
          <w:color w:val="auto"/>
        </w:rPr>
        <w:t>;</w:t>
      </w:r>
    </w:p>
    <w:p>
      <w:pPr>
        <w:spacing w:after="0" w:line="99" w:lineRule="exact"/>
        <w:rPr>
          <w:rFonts w:ascii="Times New Roman" w:cs="Times New Roman" w:eastAsia="Times New Roman" w:hAnsi="Times New Roman"/>
          <w:sz w:val="14"/>
          <w:szCs w:val="14"/>
          <w:color w:val="auto"/>
        </w:rPr>
      </w:pPr>
    </w:p>
    <w:p>
      <w:pPr>
        <w:ind w:left="1000" w:right="319" w:hanging="326"/>
        <w:spacing w:after="0" w:line="278"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42">
        <w:r>
          <w:rPr>
            <w:rFonts w:ascii="Times New Roman" w:cs="Times New Roman" w:eastAsia="Times New Roman" w:hAnsi="Times New Roman"/>
            <w:sz w:val="14"/>
            <w:szCs w:val="14"/>
            <w:u w:val="single" w:color="auto"/>
            <w:color w:val="0000EE"/>
          </w:rPr>
          <w:t>February 24, 2026</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May 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4">
        <w:r>
          <w:rPr>
            <w:rFonts w:ascii="Times New Roman" w:cs="Times New Roman" w:eastAsia="Times New Roman" w:hAnsi="Times New Roman"/>
            <w:sz w:val="14"/>
            <w:szCs w:val="14"/>
            <w:u w:val="single" w:color="auto"/>
            <w:color w:val="0000EE"/>
          </w:rPr>
          <w:t>May 21, 2026</w:t>
        </w:r>
      </w:hyperlink>
      <w:r>
        <w:rPr>
          <w:rFonts w:ascii="Times New Roman" w:cs="Times New Roman" w:eastAsia="Times New Roman" w:hAnsi="Times New Roman"/>
          <w:sz w:val="14"/>
          <w:szCs w:val="14"/>
          <w:color w:val="auto"/>
        </w:rPr>
        <w:t>, to the extent the information in such reports is filed and not furnished; and</w:t>
      </w:r>
    </w:p>
    <w:p>
      <w:pPr>
        <w:spacing w:after="0" w:line="53" w:lineRule="exact"/>
        <w:rPr>
          <w:rFonts w:ascii="Times New Roman" w:cs="Times New Roman" w:eastAsia="Times New Roman" w:hAnsi="Times New Roman"/>
          <w:sz w:val="14"/>
          <w:szCs w:val="14"/>
          <w:color w:val="auto"/>
        </w:rPr>
      </w:pPr>
    </w:p>
    <w:p>
      <w:pPr>
        <w:ind w:left="1000" w:right="419" w:hanging="326"/>
        <w:spacing w:after="0" w:line="263"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contained in </w:t>
      </w:r>
      <w:hyperlink r:id="rId45">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2021, filed with the SEC on March 18, 2022, and any amendment or report filed with the SEC for the purpose of updating such description.</w:t>
      </w:r>
    </w:p>
    <w:p>
      <w:pPr>
        <w:spacing w:after="0" w:line="137" w:lineRule="exact"/>
        <w:rPr>
          <w:rFonts w:ascii="Times New Roman" w:cs="Times New Roman" w:eastAsia="Times New Roman" w:hAnsi="Times New Roman"/>
          <w:sz w:val="14"/>
          <w:szCs w:val="14"/>
          <w:color w:val="auto"/>
        </w:rPr>
      </w:pPr>
    </w:p>
    <w:p>
      <w:pPr>
        <w:ind w:left="260" w:right="319" w:firstLine="340"/>
        <w:spacing w:after="0" w:line="255"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supplement or the underlying prospectus is delivered, without charge upon the written or oral request, a copy of any or all of the documents that are incorporated by reference into this prospectus supplement but not delivered with the prospectus, including exhibits that are specifically incorporated by reference into such documents. You should direct any requests for documents to Xometry, Inc., Attn: Secretary, 6116 Executive Boulevard, Suite 800, North Bethesda, Maryland 20852, and our telephone number is (240) 335-7914.</w:t>
      </w:r>
    </w:p>
    <w:p>
      <w:pPr>
        <w:spacing w:after="0" w:line="144" w:lineRule="exact"/>
        <w:rPr>
          <w:rFonts w:ascii="Times New Roman" w:cs="Times New Roman" w:eastAsia="Times New Roman" w:hAnsi="Times New Roman"/>
          <w:sz w:val="14"/>
          <w:szCs w:val="14"/>
          <w:color w:val="auto"/>
        </w:rPr>
      </w:pPr>
    </w:p>
    <w:p>
      <w:pPr>
        <w:jc w:val="both"/>
        <w:ind w:left="260" w:right="299" w:firstLine="340"/>
        <w:spacing w:after="0" w:line="263"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8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9019"/>
          </w:cols>
          <w:pgMar w:left="1440" w:top="239" w:right="1440"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133350</wp:posOffset>
            </wp:positionV>
            <wp:extent cx="1348105" cy="297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48105"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84" w:lineRule="exact"/>
        <w:rPr>
          <w:sz w:val="20"/>
          <w:szCs w:val="20"/>
          <w:color w:val="auto"/>
        </w:rPr>
      </w:pPr>
    </w:p>
    <w:p>
      <w:pPr>
        <w:jc w:val="both"/>
        <w:ind w:left="260" w:right="319" w:firstLine="340"/>
        <w:spacing w:after="0" w:line="293" w:lineRule="auto"/>
        <w:rPr>
          <w:sz w:val="20"/>
          <w:szCs w:val="20"/>
          <w:color w:val="auto"/>
        </w:rPr>
      </w:pPr>
      <w:r>
        <w:rPr>
          <w:rFonts w:ascii="Times New Roman" w:cs="Times New Roman" w:eastAsia="Times New Roman" w:hAnsi="Times New Roman"/>
          <w:sz w:val="13"/>
          <w:szCs w:val="13"/>
          <w:color w:val="auto"/>
        </w:rPr>
        <w:t>From time to time, we or selling securityholders may offer and sell any combination of shares of the securities described in this prospectus, either individually or in combination with other securities in one or more offerings. We or selling securityholders may also offer securities as may be issuable upon conversion, redemption, repurchase, exchange or exercise of any securities registered hereunder, including any applicable anti-dilution provisions.</w:t>
      </w:r>
    </w:p>
    <w:p>
      <w:pPr>
        <w:spacing w:after="0" w:line="119" w:lineRule="exact"/>
        <w:rPr>
          <w:sz w:val="20"/>
          <w:szCs w:val="20"/>
          <w:color w:val="auto"/>
        </w:rPr>
      </w:pPr>
    </w:p>
    <w:p>
      <w:pPr>
        <w:ind w:left="260" w:right="279" w:firstLine="340"/>
        <w:spacing w:after="0" w:line="263"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Each time we or selling securityholders offer securities pursuant to this prospectus, we will specify in an accompanying prospectus supplement the terms of the securities being offered. We may also authorize one or more free writing prospectuses to be provided to you in connection with these offerings.</w:t>
      </w:r>
    </w:p>
    <w:p>
      <w:pPr>
        <w:spacing w:after="0" w:line="137" w:lineRule="exact"/>
        <w:rPr>
          <w:sz w:val="20"/>
          <w:szCs w:val="20"/>
          <w:color w:val="auto"/>
        </w:rPr>
      </w:pPr>
    </w:p>
    <w:p>
      <w:pPr>
        <w:ind w:left="260" w:right="359" w:firstLine="340"/>
        <w:spacing w:after="0" w:line="263" w:lineRule="auto"/>
        <w:rPr>
          <w:sz w:val="20"/>
          <w:szCs w:val="20"/>
          <w:color w:val="auto"/>
        </w:rPr>
      </w:pPr>
      <w:r>
        <w:rPr>
          <w:rFonts w:ascii="Times New Roman" w:cs="Times New Roman" w:eastAsia="Times New Roman" w:hAnsi="Times New Roman"/>
          <w:sz w:val="14"/>
          <w:szCs w:val="14"/>
          <w:color w:val="auto"/>
        </w:rPr>
        <w:t>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This prospectus may not be used to consummate a sale of any securities unless accompanied by a prospectus supplement.</w:t>
      </w:r>
    </w:p>
    <w:p>
      <w:pPr>
        <w:spacing w:after="0" w:line="172" w:lineRule="exact"/>
        <w:rPr>
          <w:sz w:val="20"/>
          <w:szCs w:val="20"/>
          <w:color w:val="auto"/>
        </w:rPr>
      </w:pPr>
    </w:p>
    <w:p>
      <w:pPr>
        <w:ind w:left="260" w:right="439" w:firstLine="340"/>
        <w:spacing w:after="0" w:line="258" w:lineRule="auto"/>
        <w:rPr>
          <w:sz w:val="20"/>
          <w:szCs w:val="20"/>
          <w:color w:val="auto"/>
        </w:rPr>
      </w:pPr>
      <w:r>
        <w:rPr>
          <w:rFonts w:ascii="Times New Roman" w:cs="Times New Roman" w:eastAsia="Times New Roman" w:hAnsi="Times New Roman"/>
          <w:sz w:val="14"/>
          <w:szCs w:val="14"/>
          <w:color w:val="auto"/>
        </w:rPr>
        <w:t>Our Class A common stock is traded on the Nasdaq Global Select Market under the symbol “XMTR.” On May 29, 2026, the last reported sale price of our Class A common stock was $95.29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214" w:lineRule="exact"/>
        <w:rPr>
          <w:sz w:val="20"/>
          <w:szCs w:val="20"/>
          <w:color w:val="auto"/>
        </w:rPr>
      </w:pPr>
    </w:p>
    <w:p>
      <w:pPr>
        <w:ind w:left="260" w:right="359" w:firstLine="340"/>
        <w:spacing w:after="0"/>
        <w:rPr>
          <w:sz w:val="20"/>
          <w:szCs w:val="20"/>
          <w:color w:val="auto"/>
        </w:rPr>
      </w:pPr>
      <w:r>
        <w:rPr>
          <w:rFonts w:ascii="Times New Roman" w:cs="Times New Roman" w:eastAsia="Times New Roman" w:hAnsi="Times New Roman"/>
          <w:sz w:val="17"/>
          <w:szCs w:val="17"/>
          <w:b w:val="1"/>
          <w:bCs w:val="1"/>
          <w:i w:val="1"/>
          <w:i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i w:val="1"/>
          <w:iCs w:val="1"/>
          <w:color w:val="auto"/>
        </w:rPr>
        <w:t>” on page 5 of this prospectus and in any applicable prospectus supplement and related free writing prospectus we have authorized for use in connection with a specific offering, and under similar headings in the other documents that are incorporated by reference into this prospectus.</w:t>
      </w:r>
    </w:p>
    <w:p>
      <w:pPr>
        <w:spacing w:after="0" w:line="144" w:lineRule="exact"/>
        <w:rPr>
          <w:sz w:val="20"/>
          <w:szCs w:val="20"/>
          <w:color w:val="auto"/>
        </w:rPr>
      </w:pPr>
    </w:p>
    <w:p>
      <w:pPr>
        <w:ind w:left="260" w:right="339" w:firstLine="340"/>
        <w:spacing w:after="0" w:line="277" w:lineRule="auto"/>
        <w:rPr>
          <w:sz w:val="20"/>
          <w:szCs w:val="20"/>
          <w:color w:val="auto"/>
        </w:rPr>
      </w:pPr>
      <w:r>
        <w:rPr>
          <w:rFonts w:ascii="Times New Roman" w:cs="Times New Roman" w:eastAsia="Times New Roman" w:hAnsi="Times New Roman"/>
          <w:sz w:val="13"/>
          <w:szCs w:val="13"/>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158115</wp:posOffset>
            </wp:positionV>
            <wp:extent cx="11366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389" w:lineRule="exact"/>
        <w:rPr>
          <w:sz w:val="20"/>
          <w:szCs w:val="20"/>
          <w:color w:val="auto"/>
        </w:rPr>
      </w:pPr>
    </w:p>
    <w:p>
      <w:pPr>
        <w:ind w:left="260" w:right="379" w:firstLine="340"/>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161290</wp:posOffset>
            </wp:positionV>
            <wp:extent cx="11366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1, 2026.</w:t>
      </w:r>
    </w:p>
    <w:p>
      <w:pPr>
        <w:sectPr>
          <w:pgSz w:w="11900" w:h="16838" w:orient="portrait"/>
          <w:cols w:equalWidth="0" w:num="1">
            <w:col w:w="9019"/>
          </w:cols>
          <w:pgMar w:left="1440" w:top="237" w:right="1440" w:bottom="1440" w:gutter="0" w:footer="0" w:header="0"/>
        </w:sectPr>
      </w:pPr>
    </w:p>
    <w:bookmarkStart w:id="32" w:name="page33"/>
    <w:bookmarkEnd w:id="32"/>
    <w:tbl>
      <w:tblPr>
        <w:tblLayout w:type="fixed"/>
        <w:tblInd w:w="260" w:type="dxa"/>
        <w:tblCellMar>
          <w:top w:w="0" w:type="dxa"/>
          <w:left w:w="0" w:type="dxa"/>
          <w:bottom w:w="0" w:type="dxa"/>
          <w:right w:w="0" w:type="dxa"/>
        </w:tblCellMar>
      </w:tblPr>
      <w:tr>
        <w:trPr>
          <w:trHeight w:val="184"/>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0" w:type="dxa"/>
            <w:vAlign w:val="bottom"/>
          </w:tcPr>
          <w:p>
            <w:pPr>
              <w:jc w:val="right"/>
              <w:ind w:right="339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22"/>
        </w:trPr>
        <w:tc>
          <w:tcPr>
            <w:tcW w:w="32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147"/>
        </w:trPr>
        <w:tc>
          <w:tcPr>
            <w:tcW w:w="118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7"/>
              </w:rPr>
              <w:t>Prospectus Summary</w:t>
            </w:r>
          </w:p>
        </w:tc>
        <w:tc>
          <w:tcPr>
            <w:tcW w:w="80" w:type="dxa"/>
            <w:vAlign w:val="bottom"/>
            <w:tcBorders>
              <w:top w:val="single" w:sz="8" w:color="0000EE"/>
            </w:tcBorders>
          </w:tcPr>
          <w:p>
            <w:pPr>
              <w:spacing w:after="0"/>
              <w:rPr>
                <w:sz w:val="12"/>
                <w:szCs w:val="12"/>
                <w:color w:val="auto"/>
              </w:rPr>
            </w:pPr>
          </w:p>
        </w:tc>
        <w:tc>
          <w:tcPr>
            <w:tcW w:w="1980" w:type="dxa"/>
            <w:vAlign w:val="bottom"/>
            <w:gridSpan w:val="7"/>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147"/>
        </w:trPr>
        <w:tc>
          <w:tcPr>
            <w:tcW w:w="70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2540" w:type="dxa"/>
            <w:vAlign w:val="bottom"/>
            <w:gridSpan w:val="12"/>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147"/>
        </w:trPr>
        <w:tc>
          <w:tcPr>
            <w:tcW w:w="32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147"/>
        </w:trPr>
        <w:tc>
          <w:tcPr>
            <w:tcW w:w="90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6"/>
              </w:rPr>
              <w:t>Use of Proceeds</w:t>
            </w:r>
          </w:p>
        </w:tc>
        <w:tc>
          <w:tcPr>
            <w:tcW w:w="2080" w:type="dxa"/>
            <w:vAlign w:val="bottom"/>
            <w:tcBorders>
              <w:top w:val="single" w:sz="8" w:color="0000EE"/>
            </w:tcBorders>
            <w:gridSpan w:val="9"/>
          </w:tcPr>
          <w:p>
            <w:pPr>
              <w:spacing w:after="0"/>
              <w:rPr>
                <w:sz w:val="12"/>
                <w:szCs w:val="12"/>
                <w:color w:val="auto"/>
              </w:rPr>
            </w:pPr>
          </w:p>
        </w:tc>
        <w:tc>
          <w:tcPr>
            <w:tcW w:w="260" w:type="dxa"/>
            <w:vAlign w:val="bottom"/>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7"/>
        </w:trPr>
        <w:tc>
          <w:tcPr>
            <w:tcW w:w="32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47"/>
        </w:trPr>
        <w:tc>
          <w:tcPr>
            <w:tcW w:w="32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147"/>
        </w:trPr>
        <w:tc>
          <w:tcPr>
            <w:tcW w:w="168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Description of Warrants</w:t>
            </w:r>
          </w:p>
        </w:tc>
        <w:tc>
          <w:tcPr>
            <w:tcW w:w="1560" w:type="dxa"/>
            <w:vAlign w:val="bottom"/>
            <w:gridSpan w:val="4"/>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47"/>
        </w:trPr>
        <w:tc>
          <w:tcPr>
            <w:tcW w:w="32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Legal Ownership of Securities</w:t>
            </w: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7"/>
        </w:trPr>
        <w:tc>
          <w:tcPr>
            <w:tcW w:w="1320" w:type="dxa"/>
            <w:vAlign w:val="bottom"/>
            <w:tcBorders>
              <w:top w:val="single" w:sz="8" w:color="0000EE"/>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Selling Securityholders</w:t>
            </w:r>
          </w:p>
        </w:tc>
        <w:tc>
          <w:tcPr>
            <w:tcW w:w="360" w:type="dxa"/>
            <w:vAlign w:val="bottom"/>
            <w:tcBorders>
              <w:top w:val="single" w:sz="8" w:color="0000EE"/>
            </w:tcBorders>
            <w:gridSpan w:val="2"/>
          </w:tcPr>
          <w:p>
            <w:pPr>
              <w:spacing w:after="0"/>
              <w:rPr>
                <w:sz w:val="12"/>
                <w:szCs w:val="12"/>
                <w:color w:val="auto"/>
              </w:rPr>
            </w:pPr>
          </w:p>
        </w:tc>
        <w:tc>
          <w:tcPr>
            <w:tcW w:w="1560" w:type="dxa"/>
            <w:vAlign w:val="bottom"/>
            <w:gridSpan w:val="4"/>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7"/>
        </w:trPr>
        <w:tc>
          <w:tcPr>
            <w:tcW w:w="11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Plan of Distribution</w:t>
            </w:r>
          </w:p>
        </w:tc>
        <w:tc>
          <w:tcPr>
            <w:tcW w:w="2140" w:type="dxa"/>
            <w:vAlign w:val="bottom"/>
            <w:gridSpan w:val="9"/>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r>
      <w:tr>
        <w:trPr>
          <w:trHeight w:val="147"/>
        </w:trPr>
        <w:tc>
          <w:tcPr>
            <w:tcW w:w="78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2460" w:type="dxa"/>
            <w:vAlign w:val="bottom"/>
            <w:gridSpan w:val="11"/>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147"/>
        </w:trPr>
        <w:tc>
          <w:tcPr>
            <w:tcW w:w="32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420" w:type="dxa"/>
            <w:vAlign w:val="bottom"/>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47"/>
        </w:trPr>
        <w:tc>
          <w:tcPr>
            <w:tcW w:w="324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2200" w:type="dxa"/>
            <w:vAlign w:val="bottom"/>
            <w:gridSpan w:val="11"/>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47"/>
        </w:trPr>
        <w:tc>
          <w:tcPr>
            <w:tcW w:w="284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Incorporation of Certain Information By Reference</w:t>
            </w:r>
          </w:p>
        </w:tc>
        <w:tc>
          <w:tcPr>
            <w:tcW w:w="400" w:type="dxa"/>
            <w:vAlign w:val="bottom"/>
            <w:gridSpan w:val="2"/>
          </w:tcPr>
          <w:p>
            <w:pPr>
              <w:spacing w:after="0"/>
              <w:rPr>
                <w:sz w:val="12"/>
                <w:szCs w:val="12"/>
                <w:color w:val="auto"/>
              </w:rPr>
            </w:pPr>
          </w:p>
        </w:tc>
        <w:tc>
          <w:tcPr>
            <w:tcW w:w="5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ABOUT THIS PROSPECTUS</w:t>
      </w:r>
    </w:p>
    <w:p>
      <w:pPr>
        <w:spacing w:after="0" w:line="174" w:lineRule="exact"/>
        <w:rPr>
          <w:sz w:val="20"/>
          <w:szCs w:val="20"/>
          <w:color w:val="auto"/>
        </w:rPr>
      </w:pPr>
    </w:p>
    <w:p>
      <w:pPr>
        <w:ind w:left="260" w:right="319" w:firstLine="340"/>
        <w:spacing w:after="0" w:line="255" w:lineRule="auto"/>
        <w:rPr>
          <w:sz w:val="20"/>
          <w:szCs w:val="20"/>
          <w:color w:val="auto"/>
        </w:rPr>
      </w:pPr>
      <w:r>
        <w:rPr>
          <w:rFonts w:ascii="Times New Roman" w:cs="Times New Roman" w:eastAsia="Times New Roman" w:hAnsi="Times New Roman"/>
          <w:sz w:val="14"/>
          <w:szCs w:val="14"/>
          <w:color w:val="auto"/>
        </w:rPr>
        <w:t>This prospectus is a part of an automatic registration statement on Form S-3 that we filed with the U.S. Securities and Exchange Commission (the “SEC”), utilizing a “shelf” registration process as a “well-known seasoned issuer,” as defined in Rule 405 under the Securities Act of 1933, as amended (the “Securities Act”). Under this shelf registration process, we or selling securityholders may offer and sell from time to time in one or more offerings, any combination of the securities described in this prospectus. No limit exists on the aggregate number or amount of securities we or selling securityholders may sell pursuant to the registration statement of which this prospectus is a part.</w:t>
      </w:r>
    </w:p>
    <w:p>
      <w:pPr>
        <w:spacing w:after="0" w:line="144"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or selling securityholders may offer. Each time we or selling securityholders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w:t>
      </w:r>
    </w:p>
    <w:p>
      <w:pPr>
        <w:spacing w:after="0" w:line="144" w:lineRule="exact"/>
        <w:rPr>
          <w:sz w:val="20"/>
          <w:szCs w:val="20"/>
          <w:color w:val="auto"/>
        </w:rPr>
      </w:pPr>
    </w:p>
    <w:p>
      <w:pPr>
        <w:jc w:val="both"/>
        <w:ind w:left="260" w:right="539" w:firstLine="340"/>
        <w:spacing w:after="0" w:line="263"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35" w:lineRule="exact"/>
        <w:rPr>
          <w:sz w:val="20"/>
          <w:szCs w:val="20"/>
          <w:color w:val="auto"/>
        </w:rPr>
      </w:pPr>
    </w:p>
    <w:p>
      <w:pPr>
        <w:jc w:val="both"/>
        <w:ind w:left="260" w:right="519" w:firstLine="340"/>
        <w:spacing w:after="0" w:line="281"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25"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43" w:lineRule="exact"/>
        <w:rPr>
          <w:sz w:val="20"/>
          <w:szCs w:val="20"/>
          <w:color w:val="auto"/>
        </w:rPr>
      </w:pPr>
    </w:p>
    <w:p>
      <w:pPr>
        <w:ind w:left="260" w:right="759" w:firstLine="340"/>
        <w:spacing w:after="0" w:line="258"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40" w:lineRule="exact"/>
        <w:rPr>
          <w:sz w:val="20"/>
          <w:szCs w:val="20"/>
          <w:color w:val="auto"/>
        </w:rPr>
      </w:pPr>
    </w:p>
    <w:p>
      <w:pPr>
        <w:ind w:left="260" w:right="299" w:firstLine="340"/>
        <w:spacing w:after="0" w:line="255"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44" w:lineRule="exact"/>
        <w:rPr>
          <w:sz w:val="20"/>
          <w:szCs w:val="20"/>
          <w:color w:val="auto"/>
        </w:rPr>
      </w:pPr>
    </w:p>
    <w:p>
      <w:pPr>
        <w:ind w:left="260" w:right="399" w:firstLine="340"/>
        <w:spacing w:after="0" w:line="232" w:lineRule="auto"/>
        <w:rPr>
          <w:sz w:val="20"/>
          <w:szCs w:val="20"/>
          <w:color w:val="auto"/>
        </w:rPr>
      </w:pPr>
      <w:r>
        <w:rPr>
          <w:rFonts w:ascii="Times New Roman" w:cs="Times New Roman" w:eastAsia="Times New Roman" w:hAnsi="Times New Roman"/>
          <w:sz w:val="14"/>
          <w:szCs w:val="14"/>
          <w:color w:val="auto"/>
        </w:rPr>
        <w:t xml:space="preserve">As used in this prospectus, unless the context otherwise requires, references to “Xometry,” “we,” “us,” “our” and the “Company” refer to Xometry, Inc.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but such references should not be construed as any indication that their respective owners will not assert, to the fullest extent under applicable law, their rights thereto.</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7"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827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02170" cy="4827270"/>
                    </a:xfrm>
                    <a:prstGeom prst="rect">
                      <a:avLst/>
                    </a:prstGeom>
                    <a:noFill/>
                  </pic:spPr>
                </pic:pic>
              </a:graphicData>
            </a:graphic>
          </wp:anchor>
        </w:drawing>
        <w:t>PROSPECTUS SUMMARY</w:t>
      </w:r>
    </w:p>
    <w:p>
      <w:pPr>
        <w:spacing w:after="0" w:line="174" w:lineRule="exact"/>
        <w:rPr>
          <w:sz w:val="20"/>
          <w:szCs w:val="20"/>
          <w:color w:val="auto"/>
        </w:rPr>
      </w:pPr>
    </w:p>
    <w:p>
      <w:pPr>
        <w:ind w:left="400" w:right="439" w:firstLine="328"/>
        <w:spacing w:after="0" w:line="253" w:lineRule="auto"/>
        <w:rPr>
          <w:sz w:val="20"/>
          <w:szCs w:val="20"/>
          <w:color w:val="auto"/>
        </w:rPr>
      </w:pPr>
      <w:r>
        <w:rPr>
          <w:rFonts w:ascii="Times New Roman" w:cs="Times New Roman" w:eastAsia="Times New Roman" w:hAnsi="Times New Roman"/>
          <w:sz w:val="14"/>
          <w:szCs w:val="14"/>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r>
        <w:rPr>
          <w:rFonts w:ascii="Times New Roman" w:cs="Times New Roman" w:eastAsia="Times New Roman" w:hAnsi="Times New Roman"/>
          <w:sz w:val="14"/>
          <w:szCs w:val="14"/>
          <w:b w:val="1"/>
          <w:bCs w:val="1"/>
          <w:color w:val="auto"/>
        </w:rPr>
        <w: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left="400" w:right="479" w:firstLine="328"/>
        <w:spacing w:after="0" w:line="252" w:lineRule="auto"/>
        <w:rPr>
          <w:sz w:val="20"/>
          <w:szCs w:val="20"/>
          <w:color w:val="auto"/>
        </w:rPr>
      </w:pPr>
      <w:r>
        <w:rPr>
          <w:rFonts w:ascii="Times New Roman" w:cs="Times New Roman" w:eastAsia="Times New Roman" w:hAnsi="Times New Roman"/>
          <w:sz w:val="14"/>
          <w:szCs w:val="14"/>
          <w:color w:val="auto"/>
        </w:rPr>
        <w:t>Xometry, Inc.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The platform is designed to digitize and modernize the sourcing, pricing, and execution of manufacturing work across a broad range of processes, materials and industries, enabling more efficient matching of manufacturing demand with available production capacity. In addition,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1" w:lineRule="exact"/>
        <w:rPr>
          <w:sz w:val="20"/>
          <w:szCs w:val="20"/>
          <w:color w:val="auto"/>
        </w:rPr>
      </w:pPr>
    </w:p>
    <w:p>
      <w:pPr>
        <w:jc w:val="both"/>
        <w:ind w:left="400" w:right="559" w:firstLine="328"/>
        <w:spacing w:after="0" w:line="258" w:lineRule="auto"/>
        <w:rPr>
          <w:sz w:val="20"/>
          <w:szCs w:val="20"/>
          <w:color w:val="auto"/>
        </w:rPr>
      </w:pPr>
      <w:r>
        <w:rPr>
          <w:rFonts w:ascii="Times New Roman" w:cs="Times New Roman" w:eastAsia="Times New Roman" w:hAnsi="Times New Roman"/>
          <w:sz w:val="14"/>
          <w:szCs w:val="14"/>
          <w:color w:val="auto"/>
        </w:rPr>
        <w:t>We were incorporated in the State of Delaware in May 2013. Our principal executive offices are located at 6116 Executive Blvd, Suite 800, North Bethesda, MD and our telephone number is (240) 335-7914. Our website address is www.xometry.com. The information contained on, or accessible through, our website is not a part of or incorporated by reference into this prospectus. We have included our website in this prospectus solely as an inactive textual reference.</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91" w:lineRule="exact"/>
        <w:rPr>
          <w:sz w:val="20"/>
          <w:szCs w:val="20"/>
          <w:color w:val="auto"/>
        </w:rPr>
      </w:pPr>
    </w:p>
    <w:p>
      <w:pPr>
        <w:ind w:left="400" w:right="439" w:firstLine="328"/>
        <w:spacing w:after="0" w:line="254" w:lineRule="auto"/>
        <w:rPr>
          <w:sz w:val="20"/>
          <w:szCs w:val="20"/>
          <w:color w:val="auto"/>
        </w:rPr>
      </w:pPr>
      <w:r>
        <w:rPr>
          <w:rFonts w:ascii="Times New Roman" w:cs="Times New Roman" w:eastAsia="Times New Roman" w:hAnsi="Times New Roman"/>
          <w:sz w:val="14"/>
          <w:szCs w:val="14"/>
          <w:color w:val="auto"/>
        </w:rPr>
        <w:t>We or selling securityholders may offer shares of our Class A common stock and preferred stock, various series of debt securities and/or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71" w:lineRule="exact"/>
        <w:rPr>
          <w:sz w:val="20"/>
          <w:szCs w:val="20"/>
          <w:color w:val="auto"/>
        </w:rPr>
      </w:pPr>
    </w:p>
    <w:p>
      <w:pPr>
        <w:ind w:left="1120" w:hanging="316"/>
        <w:spacing w:after="0"/>
        <w:tabs>
          <w:tab w:leader="none" w:pos="1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if applicable;</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if any;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383" w:right="1440" w:bottom="1440" w:gutter="0" w:footer="0" w:header="0"/>
        </w:sectPr>
      </w:pPr>
    </w:p>
    <w:bookmarkStart w:id="35" w:name="page36"/>
    <w:bookmarkEnd w:id="35"/>
    <w:p>
      <w:pPr>
        <w:ind w:left="1120" w:hanging="316"/>
        <w:spacing w:after="0"/>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867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02170" cy="4867275"/>
                    </a:xfrm>
                    <a:prstGeom prst="rect">
                      <a:avLst/>
                    </a:prstGeom>
                    <a:noFill/>
                  </pic:spPr>
                </pic:pic>
              </a:graphicData>
            </a:graphic>
          </wp:anchor>
        </w:drawing>
        <w:t>rates and times of payment of interest or dividends, if any;</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exchange or sinking fund terms, if any;</w:t>
      </w:r>
    </w:p>
    <w:p>
      <w:pPr>
        <w:spacing w:after="0" w:line="99" w:lineRule="exact"/>
        <w:rPr>
          <w:rFonts w:ascii="Times New Roman" w:cs="Times New Roman" w:eastAsia="Times New Roman" w:hAnsi="Times New Roman"/>
          <w:sz w:val="14"/>
          <w:szCs w:val="14"/>
          <w:color w:val="auto"/>
        </w:rPr>
      </w:pPr>
    </w:p>
    <w:p>
      <w:pPr>
        <w:ind w:left="1120" w:right="679" w:hanging="316"/>
        <w:spacing w:after="0" w:line="278" w:lineRule="auto"/>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53"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if applicable;</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U.S. federal income tax considerations.</w:t>
      </w:r>
    </w:p>
    <w:p>
      <w:pPr>
        <w:spacing w:after="0" w:line="172" w:lineRule="exact"/>
        <w:rPr>
          <w:sz w:val="20"/>
          <w:szCs w:val="20"/>
          <w:color w:val="auto"/>
        </w:rPr>
      </w:pPr>
    </w:p>
    <w:p>
      <w:pPr>
        <w:ind w:left="400" w:right="439" w:firstLine="328"/>
        <w:spacing w:after="0" w:line="258" w:lineRule="auto"/>
        <w:rPr>
          <w:sz w:val="20"/>
          <w:szCs w:val="20"/>
          <w:color w:val="auto"/>
        </w:rPr>
      </w:pPr>
      <w:r>
        <w:rPr>
          <w:rFonts w:ascii="Times New Roman" w:cs="Times New Roman" w:eastAsia="Times New Roman" w:hAnsi="Times New Roman"/>
          <w:sz w:val="14"/>
          <w:szCs w:val="14"/>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74" w:lineRule="exact"/>
        <w:rPr>
          <w:sz w:val="20"/>
          <w:szCs w:val="20"/>
          <w:color w:val="auto"/>
        </w:rPr>
      </w:pPr>
    </w:p>
    <w:p>
      <w:pPr>
        <w:ind w:left="400" w:right="439" w:firstLine="328"/>
        <w:spacing w:after="0" w:line="263" w:lineRule="auto"/>
        <w:rPr>
          <w:sz w:val="20"/>
          <w:szCs w:val="20"/>
          <w:color w:val="auto"/>
        </w:rPr>
      </w:pPr>
      <w:r>
        <w:rPr>
          <w:rFonts w:ascii="Times New Roman" w:cs="Times New Roman" w:eastAsia="Times New Roman" w:hAnsi="Times New Roman"/>
          <w:sz w:val="14"/>
          <w:szCs w:val="14"/>
          <w:color w:val="auto"/>
        </w:rPr>
        <w:t>We or selling securityholders may sell the securities directly to investors or through underwriters, dealers or agents. We, and our underwriters or agents, reserve the right to accept or reject all or part of any proposed purchase of securities. If we or selling securityholders do offer securities through underwriters or agents, we will include in the applicable prospectus supplement:</w:t>
      </w:r>
    </w:p>
    <w:p>
      <w:pPr>
        <w:spacing w:after="0" w:line="64" w:lineRule="exact"/>
        <w:rPr>
          <w:sz w:val="20"/>
          <w:szCs w:val="20"/>
          <w:color w:val="auto"/>
        </w:rPr>
      </w:pPr>
    </w:p>
    <w:p>
      <w:pPr>
        <w:ind w:left="1120" w:hanging="316"/>
        <w:spacing w:after="0"/>
        <w:tabs>
          <w:tab w:leader="none" w:pos="1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underwriters or agents;</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99" w:lineRule="exact"/>
        <w:rPr>
          <w:rFonts w:ascii="Times New Roman" w:cs="Times New Roman" w:eastAsia="Times New Roman" w:hAnsi="Times New Roman"/>
          <w:sz w:val="14"/>
          <w:szCs w:val="14"/>
          <w:color w:val="auto"/>
        </w:rPr>
      </w:pPr>
    </w:p>
    <w:p>
      <w:pPr>
        <w:ind w:left="1120" w:hanging="316"/>
        <w:spacing w:after="0"/>
        <w:tabs>
          <w:tab w:leader="none" w:pos="1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net proceeds to us.</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Class A </w:t>
      </w:r>
      <w:r>
        <w:rPr>
          <w:rFonts w:ascii="Times New Roman" w:cs="Times New Roman" w:eastAsia="Times New Roman" w:hAnsi="Times New Roman"/>
          <w:sz w:val="14"/>
          <w:szCs w:val="14"/>
          <w:b w:val="1"/>
          <w:bCs w:val="1"/>
          <w:color w:val="auto"/>
        </w:rPr>
        <w:t>Common Stock</w:t>
      </w:r>
    </w:p>
    <w:p>
      <w:pPr>
        <w:spacing w:after="0" w:line="91" w:lineRule="exact"/>
        <w:rPr>
          <w:sz w:val="20"/>
          <w:szCs w:val="20"/>
          <w:color w:val="auto"/>
        </w:rPr>
      </w:pPr>
    </w:p>
    <w:p>
      <w:pPr>
        <w:ind w:left="400" w:right="599" w:firstLine="328"/>
        <w:spacing w:after="0" w:line="255" w:lineRule="auto"/>
        <w:rPr>
          <w:sz w:val="20"/>
          <w:szCs w:val="20"/>
          <w:color w:val="auto"/>
        </w:rPr>
      </w:pPr>
      <w:r>
        <w:rPr>
          <w:rFonts w:ascii="Times New Roman" w:cs="Times New Roman" w:eastAsia="Times New Roman" w:hAnsi="Times New Roman"/>
          <w:sz w:val="14"/>
          <w:szCs w:val="14"/>
          <w:color w:val="auto"/>
        </w:rPr>
        <w:t>We may issue shares of our Class A common stock from time to time. Under our certificate of incorporation, our board of directors has the authority to issue up to 750,000,000 shares of Class A common stock, par value $0.000001 per share. Holders of our Class A common stock are entitled to one vote for each share held on all matters submitted to a vote of stockholders and do not have cumulative voting rights. Holders of Class A common stock are entitled to receive ratably any dividends as may be declared by our board of directors, subject to any preferential dividend rights of any series of preferred stock that we may designate and issue in the future.</w:t>
      </w:r>
    </w:p>
    <w:p>
      <w:pPr>
        <w:spacing w:after="0" w:line="144" w:lineRule="exact"/>
        <w:rPr>
          <w:sz w:val="20"/>
          <w:szCs w:val="20"/>
          <w:color w:val="auto"/>
        </w:rPr>
      </w:pPr>
    </w:p>
    <w:p>
      <w:pPr>
        <w:ind w:left="400" w:right="499" w:firstLine="328"/>
        <w:spacing w:after="0" w:line="254" w:lineRule="auto"/>
        <w:rPr>
          <w:sz w:val="20"/>
          <w:szCs w:val="20"/>
          <w:color w:val="auto"/>
        </w:rPr>
      </w:pPr>
      <w:r>
        <w:rPr>
          <w:rFonts w:ascii="Times New Roman" w:cs="Times New Roman" w:eastAsia="Times New Roman" w:hAnsi="Times New Roman"/>
          <w:sz w:val="14"/>
          <w:szCs w:val="14"/>
          <w:color w:val="auto"/>
        </w:rPr>
        <w:t>In the event of our liquidation, dissolution or winding up, the holders of Class A common stock are entitled to receive ratably our net assets available for distribution to stockholders after the payment of all debts and other liabilities and subject to the prior rights of any outstanding preferred stock. Holders of Class A common stock have no preemptive, subscription, redemption or conversion rights. There are no redemption or sinking fund provisions applicable to our Class A common stock. The rights, preferences and privileges of holders of Class A common stock are subject to and may be adversely affected by the rights of the holders of shares of any series of preferred stock that we may designate and issue in the future.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385" w:right="1440"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4536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02170" cy="4536440"/>
                    </a:xfrm>
                    <a:prstGeom prst="rect">
                      <a:avLst/>
                    </a:prstGeom>
                    <a:noFill/>
                  </pic:spPr>
                </pic:pic>
              </a:graphicData>
            </a:graphic>
          </wp:anchor>
        </w:drawing>
        <w:t>Preferred Stock</w:t>
      </w:r>
    </w:p>
    <w:p>
      <w:pPr>
        <w:spacing w:after="0" w:line="91" w:lineRule="exact"/>
        <w:rPr>
          <w:sz w:val="20"/>
          <w:szCs w:val="20"/>
          <w:color w:val="auto"/>
        </w:rPr>
      </w:pPr>
    </w:p>
    <w:p>
      <w:pPr>
        <w:ind w:left="400" w:right="439" w:firstLine="328"/>
        <w:spacing w:after="0" w:line="251" w:lineRule="auto"/>
        <w:rPr>
          <w:sz w:val="20"/>
          <w:szCs w:val="20"/>
          <w:color w:val="auto"/>
        </w:rPr>
      </w:pPr>
      <w:r>
        <w:rPr>
          <w:rFonts w:ascii="Times New Roman" w:cs="Times New Roman" w:eastAsia="Times New Roman" w:hAnsi="Times New Roman"/>
          <w:sz w:val="14"/>
          <w:szCs w:val="14"/>
          <w:color w:val="auto"/>
        </w:rPr>
        <w:t>We may issue shares of our preferred stock from time to time, in one or more series. Under our certificate of incorporation, our board of directors has the authority, without further action by the stockholders, to issue up to 50,000,000 shares of preferred stock, par value $0.000001 per share, in one or more series and determine the rights, preferences and limitations of the preferred stock, including voting rights, dividend rights and redemption and liquidation preferences. Satisfaction of any dividend preferences of outstanding shares of preferred stock would reduce the amount of funds available for the payment of dividends on shares of our Class A common stock. Holders of shares of preferred stock may be entitled to receive a preference payment in the event of any liquidation, dissolution or winding-up of our company before any payment is made to the holders of shares of our Class A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Class A common stock.</w:t>
      </w:r>
    </w:p>
    <w:p>
      <w:pPr>
        <w:spacing w:after="0" w:line="148" w:lineRule="exact"/>
        <w:rPr>
          <w:sz w:val="20"/>
          <w:szCs w:val="20"/>
          <w:color w:val="auto"/>
        </w:rPr>
      </w:pPr>
    </w:p>
    <w:p>
      <w:pPr>
        <w:ind w:left="400" w:right="459" w:firstLine="328"/>
        <w:spacing w:after="0" w:line="255" w:lineRule="auto"/>
        <w:rPr>
          <w:sz w:val="20"/>
          <w:szCs w:val="20"/>
          <w:color w:val="auto"/>
        </w:rPr>
      </w:pPr>
      <w:r>
        <w:rPr>
          <w:rFonts w:ascii="Times New Roman" w:cs="Times New Roman" w:eastAsia="Times New Roman" w:hAnsi="Times New Roman"/>
          <w:sz w:val="14"/>
          <w:szCs w:val="14"/>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Debt Securities</w:t>
      </w:r>
    </w:p>
    <w:p>
      <w:pPr>
        <w:spacing w:after="0" w:line="91" w:lineRule="exact"/>
        <w:rPr>
          <w:sz w:val="20"/>
          <w:szCs w:val="20"/>
          <w:color w:val="auto"/>
        </w:rPr>
      </w:pPr>
    </w:p>
    <w:p>
      <w:pPr>
        <w:ind w:left="400" w:right="559" w:firstLine="328"/>
        <w:spacing w:after="0" w:line="255"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Class A common stock or other securities. Conversion may be mandatory or at the holder’s option and would be at prescribed conversion rates.</w:t>
      </w:r>
    </w:p>
    <w:p>
      <w:pPr>
        <w:spacing w:after="0" w:line="144" w:lineRule="exact"/>
        <w:rPr>
          <w:sz w:val="20"/>
          <w:szCs w:val="20"/>
          <w:color w:val="auto"/>
        </w:rPr>
      </w:pPr>
    </w:p>
    <w:p>
      <w:pPr>
        <w:ind w:left="400" w:right="439" w:firstLine="328"/>
        <w:spacing w:after="0" w:line="253" w:lineRule="auto"/>
        <w:rPr>
          <w:sz w:val="20"/>
          <w:szCs w:val="20"/>
          <w:color w:val="auto"/>
        </w:rPr>
      </w:pPr>
      <w:r>
        <w:rPr>
          <w:rFonts w:ascii="Times New Roman" w:cs="Times New Roman" w:eastAsia="Times New Roman" w:hAnsi="Times New Roman"/>
          <w:sz w:val="14"/>
          <w:szCs w:val="14"/>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91" w:lineRule="exact"/>
        <w:rPr>
          <w:sz w:val="20"/>
          <w:szCs w:val="20"/>
          <w:color w:val="auto"/>
        </w:rPr>
      </w:pPr>
    </w:p>
    <w:p>
      <w:pPr>
        <w:ind w:left="400" w:right="459" w:firstLine="328"/>
        <w:spacing w:after="0" w:line="258" w:lineRule="auto"/>
        <w:rPr>
          <w:sz w:val="20"/>
          <w:szCs w:val="20"/>
          <w:color w:val="auto"/>
        </w:rPr>
      </w:pPr>
      <w:r>
        <w:rPr>
          <w:rFonts w:ascii="Times New Roman" w:cs="Times New Roman" w:eastAsia="Times New Roman" w:hAnsi="Times New Roman"/>
          <w:sz w:val="14"/>
          <w:szCs w:val="14"/>
          <w:color w:val="auto"/>
        </w:rPr>
        <w:t>We may issue warrants for the purchase of Class A common stock, preferred stock and/or debt securities in one or more series. We may issue warrants independently or together with Class A common stock, preferred stock and/ 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383" w:right="1440" w:bottom="1440" w:gutter="0" w:footer="0" w:header="0"/>
        </w:sectPr>
      </w:pPr>
    </w:p>
    <w:bookmarkStart w:id="37" w:name="page38"/>
    <w:bookmarkEnd w:id="37"/>
    <w:p>
      <w:pPr>
        <w:ind w:left="400" w:right="4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320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02170" cy="3320415"/>
                    </a:xfrm>
                    <a:prstGeom prst="rect">
                      <a:avLst/>
                    </a:prstGeom>
                    <a:noFill/>
                  </pic:spPr>
                </pic:pic>
              </a:graphicData>
            </a:graphic>
          </wp:anchor>
        </w:drawing>
        <w:t>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44" w:lineRule="exact"/>
        <w:rPr>
          <w:sz w:val="20"/>
          <w:szCs w:val="20"/>
          <w:color w:val="auto"/>
        </w:rPr>
      </w:pPr>
    </w:p>
    <w:p>
      <w:pPr>
        <w:jc w:val="both"/>
        <w:ind w:left="400" w:right="699" w:firstLine="328"/>
        <w:spacing w:after="0" w:line="263" w:lineRule="auto"/>
        <w:rPr>
          <w:sz w:val="20"/>
          <w:szCs w:val="20"/>
          <w:color w:val="auto"/>
        </w:rPr>
      </w:pPr>
      <w:r>
        <w:rPr>
          <w:rFonts w:ascii="Times New Roman" w:cs="Times New Roman" w:eastAsia="Times New Roman" w:hAnsi="Times New Roman"/>
          <w:sz w:val="14"/>
          <w:szCs w:val="14"/>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91" w:lineRule="exact"/>
        <w:rPr>
          <w:sz w:val="20"/>
          <w:szCs w:val="20"/>
          <w:color w:val="auto"/>
        </w:rPr>
      </w:pPr>
    </w:p>
    <w:p>
      <w:pPr>
        <w:ind w:left="400" w:right="759" w:firstLine="328"/>
        <w:spacing w:after="0" w:line="263" w:lineRule="auto"/>
        <w:rPr>
          <w:sz w:val="20"/>
          <w:szCs w:val="20"/>
          <w:color w:val="auto"/>
        </w:rPr>
      </w:pPr>
      <w:r>
        <w:rPr>
          <w:rFonts w:ascii="Times New Roman" w:cs="Times New Roman" w:eastAsia="Times New Roman" w:hAnsi="Times New Roman"/>
          <w:sz w:val="14"/>
          <w:szCs w:val="14"/>
          <w:color w:val="auto"/>
        </w:rPr>
        <w:t>Selling securityholders are persons or entities that, directly or indirectly, have acquired or will from time to time acquire from us, our securities. Information about selling securityholders, if any, will be set forth in a prospectus supplement. See “Selling Securityholders” in this prospectus.</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1" w:lineRule="exact"/>
        <w:rPr>
          <w:sz w:val="20"/>
          <w:szCs w:val="20"/>
          <w:color w:val="auto"/>
        </w:rPr>
      </w:pPr>
    </w:p>
    <w:p>
      <w:pPr>
        <w:ind w:left="400" w:right="459" w:firstLine="328"/>
        <w:spacing w:after="0" w:line="255" w:lineRule="auto"/>
        <w:rPr>
          <w:sz w:val="20"/>
          <w:szCs w:val="20"/>
          <w:color w:val="auto"/>
        </w:rPr>
      </w:pPr>
      <w:r>
        <w:rPr>
          <w:rFonts w:ascii="Times New Roman" w:cs="Times New Roman" w:eastAsia="Times New Roman" w:hAnsi="Times New Roman"/>
          <w:sz w:val="14"/>
          <w:szCs w:val="14"/>
          <w:color w:val="auto"/>
        </w:rPr>
        <w:t>Except as described in any applicable prospectus supplement or in any free writing prospectuses we have authorized for use in connection with a specific offering, we intend to use the net proceeds for working capital and general corporate purposes, including, but not limited to, general and administrative matters, repayment of debt, capital expenditures and acquisitions of other businesses or assets. See “Use of Proceeds” in this prospectus. Unless the applicable prospectus supplement provides otherwise, we will not receive any of the proceeds from the sale of our securities by selling securityholders.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91" w:lineRule="exact"/>
        <w:rPr>
          <w:sz w:val="20"/>
          <w:szCs w:val="20"/>
          <w:color w:val="auto"/>
        </w:rPr>
      </w:pPr>
    </w:p>
    <w:p>
      <w:pPr>
        <w:ind w:left="400" w:right="459" w:firstLine="328"/>
        <w:spacing w:after="0" w:line="263" w:lineRule="auto"/>
        <w:rPr>
          <w:sz w:val="20"/>
          <w:szCs w:val="20"/>
          <w:color w:val="auto"/>
        </w:rPr>
      </w:pPr>
      <w:r>
        <w:rPr>
          <w:rFonts w:ascii="Times New Roman" w:cs="Times New Roman" w:eastAsia="Times New Roman" w:hAnsi="Times New Roman"/>
          <w:sz w:val="14"/>
          <w:szCs w:val="14"/>
          <w:color w:val="auto"/>
        </w:rPr>
        <w:t>Our Class A common stock is traded on the Nasdaq Global Select Market under the symbol “XMTR.”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385"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RISK FACTORS</w:t>
      </w:r>
    </w:p>
    <w:p>
      <w:pPr>
        <w:spacing w:after="0" w:line="174" w:lineRule="exact"/>
        <w:rPr>
          <w:sz w:val="20"/>
          <w:szCs w:val="20"/>
          <w:color w:val="auto"/>
        </w:rPr>
      </w:pPr>
    </w:p>
    <w:p>
      <w:pPr>
        <w:ind w:left="260" w:right="299" w:firstLine="340"/>
        <w:spacing w:after="0" w:line="251"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Please also read carefully the section below titled “Special Note Regarding Forward-Looking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SPECIAL NOTE REGARDING FORWARD-LOOKING STATEMENTS</w:t>
      </w:r>
    </w:p>
    <w:p>
      <w:pPr>
        <w:spacing w:after="0" w:line="174" w:lineRule="exact"/>
        <w:rPr>
          <w:sz w:val="20"/>
          <w:szCs w:val="20"/>
          <w:color w:val="auto"/>
        </w:rPr>
      </w:pPr>
    </w:p>
    <w:p>
      <w:pPr>
        <w:ind w:left="260" w:right="299" w:firstLine="340"/>
        <w:spacing w:after="0" w:line="263" w:lineRule="auto"/>
        <w:rPr>
          <w:sz w:val="20"/>
          <w:szCs w:val="20"/>
          <w:color w:val="auto"/>
        </w:rPr>
      </w:pPr>
      <w:r>
        <w:rPr>
          <w:rFonts w:ascii="Times New Roman" w:cs="Times New Roman" w:eastAsia="Times New Roman" w:hAnsi="Times New Roman"/>
          <w:sz w:val="14"/>
          <w:szCs w:val="14"/>
          <w:color w:val="auto"/>
        </w:rPr>
        <w:t>This prospectus, each applicable prospectus supplement and the information incorporated by reference herein and therein contain forward-looking statements within the meaning of Section 27A of the Securities, and Section 21E of the Securities Exchange Act of 1934, as amended (the “Exchange Act”), which statements involve substantial risks and uncertainties.</w:t>
      </w:r>
    </w:p>
    <w:p>
      <w:pPr>
        <w:spacing w:after="0" w:line="137"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All statements, other than statements of historical fact, contained in this prospectus, the applicable prospectus supplement, and the information incorporated by reference herein and therein, including statements regarding our strategy, future operations, future financial position, future revenue, projected costs, prospects, plans, objectives of management and projections of market opportunity,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46" w:lineRule="exact"/>
        <w:rPr>
          <w:sz w:val="20"/>
          <w:szCs w:val="20"/>
          <w:color w:val="auto"/>
        </w:rPr>
      </w:pPr>
    </w:p>
    <w:p>
      <w:pPr>
        <w:ind w:left="260" w:right="359" w:firstLine="340"/>
        <w:spacing w:after="0" w:line="251" w:lineRule="auto"/>
        <w:rPr>
          <w:sz w:val="20"/>
          <w:szCs w:val="20"/>
          <w:color w:val="auto"/>
        </w:rPr>
      </w:pPr>
      <w:r>
        <w:rPr>
          <w:rFonts w:ascii="Times New Roman" w:cs="Times New Roman" w:eastAsia="Times New Roman" w:hAnsi="Times New Roman"/>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due to various factors, including, but not limited to, those set forth under the heading “Risk Factors” in this prospectus, any applicable prospectus supplement, the documents incorporated by reference therein or any free writing prospectus that we may authorize. In addition, our forward-looking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required by law, we undertake no obligation to update or revise any forward-looking statements to reflect new information or future events or developments.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7"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PROCEEDS</w:t>
      </w:r>
    </w:p>
    <w:p>
      <w:pPr>
        <w:spacing w:after="0" w:line="174" w:lineRule="exact"/>
        <w:rPr>
          <w:sz w:val="20"/>
          <w:szCs w:val="20"/>
          <w:color w:val="auto"/>
        </w:rPr>
      </w:pPr>
    </w:p>
    <w:p>
      <w:pPr>
        <w:ind w:left="260" w:right="259" w:firstLine="340"/>
        <w:spacing w:after="0" w:line="252" w:lineRule="auto"/>
        <w:rPr>
          <w:sz w:val="20"/>
          <w:szCs w:val="20"/>
          <w:color w:val="auto"/>
        </w:rPr>
      </w:pPr>
      <w:r>
        <w:rPr>
          <w:rFonts w:ascii="Times New Roman" w:cs="Times New Roman" w:eastAsia="Times New Roman" w:hAnsi="Times New Roman"/>
          <w:sz w:val="14"/>
          <w:szCs w:val="14"/>
          <w:color w:val="auto"/>
        </w:rPr>
        <w:t>Except as described in any prospectus supplement or in any related free writing prospectus that we may authorize to be provided to you in connection with a specific offering, we currently intend to use the net proceeds from the sale of securities under this prospectus for general corporate purposes, including but not limited to, general and administrative matters, repayment of debt, capital expenditures and acquisitions of other businesses or assets. As of the date of this prospectus, we cannot specify with certainty all of the particular uses of the net proceeds, if any, from the sale of securities under this prospectus. Accordingly, we will retain broad discretion over the use of such proceeds. We will set forth in the applicable prospectus supplement or free writing prospectus our intended use of the net proceeds received from the sale of any securities sold pursuant to the prospectus supplement or free writing prospectus. Pending the use of the net proceeds as described above, we intend to invest the net proceeds in investment-grade, interest-bearing instruments.</w:t>
      </w:r>
    </w:p>
    <w:p>
      <w:pPr>
        <w:spacing w:after="0" w:line="146" w:lineRule="exact"/>
        <w:rPr>
          <w:sz w:val="20"/>
          <w:szCs w:val="20"/>
          <w:color w:val="auto"/>
        </w:rPr>
      </w:pPr>
    </w:p>
    <w:p>
      <w:pPr>
        <w:ind w:left="260" w:right="339" w:firstLine="340"/>
        <w:spacing w:after="0" w:line="278" w:lineRule="auto"/>
        <w:rPr>
          <w:sz w:val="20"/>
          <w:szCs w:val="20"/>
          <w:color w:val="auto"/>
        </w:rPr>
      </w:pPr>
      <w:r>
        <w:rPr>
          <w:rFonts w:ascii="Times New Roman" w:cs="Times New Roman" w:eastAsia="Times New Roman" w:hAnsi="Times New Roman"/>
          <w:sz w:val="14"/>
          <w:szCs w:val="14"/>
          <w:color w:val="auto"/>
        </w:rPr>
        <w:t>Unless the applicable prospectus supplement provides otherwise, we will not receive any of the proceeds from the sale of our securities by selling securityholders.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7"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CAPITAL STOCK</w:t>
      </w:r>
    </w:p>
    <w:p>
      <w:pPr>
        <w:spacing w:after="0" w:line="174" w:lineRule="exact"/>
        <w:rPr>
          <w:sz w:val="20"/>
          <w:szCs w:val="20"/>
          <w:color w:val="auto"/>
        </w:rPr>
      </w:pPr>
    </w:p>
    <w:p>
      <w:pPr>
        <w:ind w:left="260" w:right="419" w:firstLine="340"/>
        <w:spacing w:after="0" w:line="284" w:lineRule="auto"/>
        <w:rPr>
          <w:sz w:val="20"/>
          <w:szCs w:val="20"/>
          <w:color w:val="auto"/>
        </w:rPr>
      </w:pPr>
      <w:r>
        <w:rPr>
          <w:rFonts w:ascii="Times New Roman" w:cs="Times New Roman" w:eastAsia="Times New Roman" w:hAnsi="Times New Roman"/>
          <w:sz w:val="13"/>
          <w:szCs w:val="13"/>
          <w:color w:val="auto"/>
        </w:rPr>
        <w:t>The following description summarizes selected information regarding our capital stock, as well as provisions of; (i) our amended and restated certificate of incorporation; (ii) our amended and restated bylaws; and (iii) the general Corporation Law of the State of Delaware (the “DGCL”). The following summary is qualified in its entirety by, and should be read in conjunction with, the amended and restated certificate of incorporation and the amended and restated bylaws, which are filed as exhibits to our most recent Annual Report on Form 10-K and are incorporated by reference herein.</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jc w:val="both"/>
        <w:ind w:left="260" w:right="479" w:firstLine="340"/>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authorized capital stock consists of 805,000,000 shares, all with a par value of $0.000001 per share, of which:</w:t>
      </w:r>
    </w:p>
    <w:p>
      <w:pPr>
        <w:spacing w:after="0" w:line="99" w:lineRule="exact"/>
        <w:rPr>
          <w:sz w:val="20"/>
          <w:szCs w:val="20"/>
          <w:color w:val="auto"/>
        </w:rPr>
      </w:pPr>
    </w:p>
    <w:p>
      <w:pPr>
        <w:ind w:left="1000" w:hanging="326"/>
        <w:spacing w:after="0"/>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750,000,000 shares are designated Class A common stock;</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 shares are designated Class B common stock; and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 shares are designated preferred stock</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Class A Common Stock and Class B Common Stock</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1" w:lineRule="exact"/>
        <w:rPr>
          <w:sz w:val="20"/>
          <w:szCs w:val="20"/>
          <w:color w:val="auto"/>
        </w:rPr>
      </w:pPr>
    </w:p>
    <w:p>
      <w:pPr>
        <w:ind w:left="260" w:right="299" w:firstLine="340"/>
        <w:spacing w:after="0" w:line="252" w:lineRule="auto"/>
        <w:rPr>
          <w:sz w:val="20"/>
          <w:szCs w:val="20"/>
          <w:color w:val="auto"/>
        </w:rPr>
      </w:pPr>
      <w:r>
        <w:rPr>
          <w:rFonts w:ascii="Times New Roman" w:cs="Times New Roman" w:eastAsia="Times New Roman" w:hAnsi="Times New Roman"/>
          <w:sz w:val="14"/>
          <w:szCs w:val="14"/>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vote together as a single class on all matters (including the election of directors) submitted to a vote of stockholders. The affirmative vote of holders of at least 66 2/3% of the voting power of all of the then-outstanding shares of capital stock, voting as a single class, are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 Our amended and restated certificate of incorporation does not provide for cumulative voting for the election of directors.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Economic Rights</w:t>
      </w:r>
    </w:p>
    <w:p>
      <w:pPr>
        <w:spacing w:after="0" w:line="91" w:lineRule="exact"/>
        <w:rPr>
          <w:sz w:val="20"/>
          <w:szCs w:val="20"/>
          <w:color w:val="auto"/>
        </w:rPr>
      </w:pPr>
    </w:p>
    <w:p>
      <w:pPr>
        <w:ind w:left="260" w:right="319" w:firstLine="340"/>
        <w:spacing w:after="0" w:line="263" w:lineRule="auto"/>
        <w:rPr>
          <w:sz w:val="20"/>
          <w:szCs w:val="20"/>
          <w:color w:val="auto"/>
        </w:rPr>
      </w:pPr>
      <w:r>
        <w:rPr>
          <w:rFonts w:ascii="Times New Roman" w:cs="Times New Roman" w:eastAsia="Times New Roman" w:hAnsi="Times New Roman"/>
          <w:sz w:val="14"/>
          <w:szCs w:val="14"/>
          <w:color w:val="auto"/>
        </w:rPr>
        <w:t>Except as otherwise expressly provided in our certificate of incorporation or required by applicable law, all shares of Class A common stock and Class B common stock have the same rights and privileges and rank equally, share ratably and be identical in all respects for all matters, including those described below.</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Dividends and Distributions</w:t>
      </w:r>
    </w:p>
    <w:p>
      <w:pPr>
        <w:spacing w:after="0" w:line="91" w:lineRule="exact"/>
        <w:rPr>
          <w:sz w:val="20"/>
          <w:szCs w:val="20"/>
          <w:color w:val="auto"/>
        </w:rPr>
      </w:pPr>
    </w:p>
    <w:p>
      <w:pPr>
        <w:jc w:val="both"/>
        <w:ind w:left="260" w:right="379" w:firstLine="340"/>
        <w:spacing w:after="0" w:line="258"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outstanding at the time, the holders of Class A common stock and Class B common stock are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7" w:right="1440"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Liquidation Rights</w:t>
      </w:r>
    </w:p>
    <w:p>
      <w:pPr>
        <w:spacing w:after="0" w:line="91" w:lineRule="exact"/>
        <w:rPr>
          <w:sz w:val="20"/>
          <w:szCs w:val="20"/>
          <w:color w:val="auto"/>
        </w:rPr>
      </w:pPr>
    </w:p>
    <w:p>
      <w:pPr>
        <w:ind w:left="260" w:right="319" w:firstLine="340"/>
        <w:spacing w:after="0" w:line="258" w:lineRule="auto"/>
        <w:rPr>
          <w:sz w:val="20"/>
          <w:szCs w:val="20"/>
          <w:color w:val="auto"/>
        </w:rPr>
      </w:pPr>
      <w:r>
        <w:rPr>
          <w:rFonts w:ascii="Times New Roman" w:cs="Times New Roman" w:eastAsia="Times New Roman" w:hAnsi="Times New Roman"/>
          <w:sz w:val="14"/>
          <w:szCs w:val="14"/>
          <w:color w:val="auto"/>
        </w:rPr>
        <w:t>On our liquidation, dissolution or winding-up, the holders of Class A common stock and Class B common stock are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Change of Control Transactions</w:t>
      </w:r>
    </w:p>
    <w:p>
      <w:pPr>
        <w:spacing w:after="0" w:line="91" w:lineRule="exact"/>
        <w:rPr>
          <w:sz w:val="20"/>
          <w:szCs w:val="20"/>
          <w:color w:val="auto"/>
        </w:rPr>
      </w:pPr>
    </w:p>
    <w:p>
      <w:pPr>
        <w:ind w:left="260" w:right="279" w:firstLine="340"/>
        <w:spacing w:after="0" w:line="272" w:lineRule="auto"/>
        <w:rPr>
          <w:sz w:val="20"/>
          <w:szCs w:val="20"/>
          <w:color w:val="auto"/>
        </w:rPr>
      </w:pPr>
      <w:r>
        <w:rPr>
          <w:rFonts w:ascii="Times New Roman" w:cs="Times New Roman" w:eastAsia="Times New Roman" w:hAnsi="Times New Roman"/>
          <w:sz w:val="13"/>
          <w:szCs w:val="13"/>
          <w:color w:val="auto"/>
        </w:rPr>
        <w:t>The holders of Class A common stock and Class B common stock are treated equally and identically 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 of determining whether holders of common stock are treated equally and identically.</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Subdivisions and Combinations</w:t>
      </w:r>
    </w:p>
    <w:p>
      <w:pPr>
        <w:spacing w:after="0" w:line="91" w:lineRule="exact"/>
        <w:rPr>
          <w:sz w:val="20"/>
          <w:szCs w:val="20"/>
          <w:color w:val="auto"/>
        </w:rPr>
      </w:pPr>
    </w:p>
    <w:p>
      <w:pPr>
        <w:ind w:left="260" w:right="419" w:firstLine="340"/>
        <w:spacing w:after="0" w:line="278" w:lineRule="auto"/>
        <w:rPr>
          <w:sz w:val="20"/>
          <w:szCs w:val="20"/>
          <w:color w:val="auto"/>
        </w:rPr>
      </w:pPr>
      <w:r>
        <w:rPr>
          <w:rFonts w:ascii="Times New Roman" w:cs="Times New Roman" w:eastAsia="Times New Roman" w:hAnsi="Times New Roman"/>
          <w:sz w:val="14"/>
          <w:szCs w:val="14"/>
          <w:color w:val="auto"/>
        </w:rPr>
        <w:t>If we subdivide or combine in any manner outstanding shares of Class A common stock or Class B common stock, the outstanding shares of the other classes will be subdivided or combined in the same manner.</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91" w:lineRule="exact"/>
        <w:rPr>
          <w:sz w:val="20"/>
          <w:szCs w:val="20"/>
          <w:color w:val="auto"/>
        </w:rPr>
      </w:pPr>
    </w:p>
    <w:p>
      <w:pPr>
        <w:ind w:left="260" w:right="579" w:firstLine="340"/>
        <w:spacing w:after="0" w:line="278" w:lineRule="auto"/>
        <w:rPr>
          <w:sz w:val="20"/>
          <w:szCs w:val="20"/>
          <w:color w:val="auto"/>
        </w:rPr>
      </w:pPr>
      <w:r>
        <w:rPr>
          <w:rFonts w:ascii="Times New Roman" w:cs="Times New Roman" w:eastAsia="Times New Roman" w:hAnsi="Times New Roman"/>
          <w:sz w:val="14"/>
          <w:szCs w:val="14"/>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1" w:lineRule="exact"/>
        <w:rPr>
          <w:sz w:val="20"/>
          <w:szCs w:val="20"/>
          <w:color w:val="auto"/>
        </w:rPr>
      </w:pPr>
    </w:p>
    <w:p>
      <w:pPr>
        <w:ind w:left="260" w:right="439" w:firstLine="340"/>
        <w:spacing w:after="0" w:line="284" w:lineRule="auto"/>
        <w:rPr>
          <w:sz w:val="20"/>
          <w:szCs w:val="20"/>
          <w:color w:val="auto"/>
        </w:rPr>
      </w:pPr>
      <w:r>
        <w:rPr>
          <w:rFonts w:ascii="Times New Roman" w:cs="Times New Roman" w:eastAsia="Times New Roman" w:hAnsi="Times New Roman"/>
          <w:sz w:val="13"/>
          <w:szCs w:val="13"/>
          <w:color w:val="auto"/>
        </w:rPr>
        <w:t>Each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Any holder’s shares of Class B common stock will convert automatically into Class A common stock, on a one-to-one basis, upon the following:</w:t>
      </w:r>
    </w:p>
    <w:p>
      <w:pPr>
        <w:spacing w:after="0" w:line="21" w:lineRule="exact"/>
        <w:rPr>
          <w:sz w:val="20"/>
          <w:szCs w:val="20"/>
          <w:color w:val="auto"/>
        </w:rPr>
      </w:pPr>
    </w:p>
    <w:p>
      <w:pPr>
        <w:ind w:left="260" w:right="399" w:hanging="2"/>
        <w:spacing w:after="0" w:line="267" w:lineRule="auto"/>
        <w:tabs>
          <w:tab w:leader="none" w:pos="45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 or transfer of such share of Class B common stock; (2) the death or incapacity of the Class B common stockholder; (3) such holder’s departure from our board of directors; and (4) on the final conversion date, defined as the earlier of (a) the seventh anniversary of our initial public offering; or</w:t>
      </w: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the date specified by vote of the holders of a majority of the outstanding shares of Class B common stock.</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Once transferred and converted into Class A common stock, the Class B common stock may not be reissued.</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7" w:right="1440"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Preferred Stock</w:t>
      </w:r>
    </w:p>
    <w:p>
      <w:pPr>
        <w:spacing w:after="0" w:line="9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Certificate of Incorporation and Bylaws</w:t>
      </w:r>
    </w:p>
    <w:p>
      <w:pPr>
        <w:spacing w:after="0" w:line="91" w:lineRule="exact"/>
        <w:rPr>
          <w:sz w:val="20"/>
          <w:szCs w:val="20"/>
          <w:color w:val="auto"/>
        </w:rPr>
      </w:pPr>
    </w:p>
    <w:p>
      <w:pPr>
        <w:ind w:left="260" w:right="279" w:firstLine="340"/>
        <w:spacing w:after="0" w:line="254" w:lineRule="auto"/>
        <w:rPr>
          <w:sz w:val="20"/>
          <w:szCs w:val="20"/>
          <w:color w:val="auto"/>
        </w:rPr>
      </w:pPr>
      <w:r>
        <w:rPr>
          <w:rFonts w:ascii="Times New Roman" w:cs="Times New Roman" w:eastAsia="Times New Roman" w:hAnsi="Times New Roman"/>
          <w:sz w:val="14"/>
          <w:szCs w:val="14"/>
          <w:color w:val="auto"/>
        </w:rPr>
        <w:t>Because our stockholders do not have cumulative voting rights, stockholders holding a majority of the voting power of our shares of common stock may elect all of our directors. Our amended and restated certificate of incorporation and amended and restated bylaws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establish an advance notice procedure for stockholder proposals to be brought before an annual meeting of our stockholders, including proposed nominations of persons for election to our board of directors.</w:t>
      </w:r>
    </w:p>
    <w:p>
      <w:pPr>
        <w:spacing w:after="0" w:line="143" w:lineRule="exact"/>
        <w:rPr>
          <w:sz w:val="20"/>
          <w:szCs w:val="20"/>
          <w:color w:val="auto"/>
        </w:rPr>
      </w:pPr>
    </w:p>
    <w:p>
      <w:pPr>
        <w:ind w:left="260" w:right="679" w:firstLine="340"/>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further provides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137" w:lineRule="exact"/>
        <w:rPr>
          <w:sz w:val="20"/>
          <w:szCs w:val="20"/>
          <w:color w:val="auto"/>
        </w:rPr>
      </w:pPr>
    </w:p>
    <w:p>
      <w:pPr>
        <w:ind w:left="260" w:right="379" w:firstLine="340"/>
        <w:spacing w:after="0" w:line="278" w:lineRule="auto"/>
        <w:rPr>
          <w:sz w:val="20"/>
          <w:szCs w:val="20"/>
          <w:color w:val="auto"/>
        </w:rPr>
      </w:pPr>
      <w:r>
        <w:rPr>
          <w:rFonts w:ascii="Times New Roman" w:cs="Times New Roman" w:eastAsia="Times New Roman" w:hAnsi="Times New Roman"/>
          <w:sz w:val="14"/>
          <w:szCs w:val="14"/>
          <w:color w:val="auto"/>
        </w:rPr>
        <w:t>In accordance with our amended and restated certificate of incorporation our board of directors is divided into three classes with staggered three-year terms.</w:t>
      </w:r>
    </w:p>
    <w:p>
      <w:pPr>
        <w:spacing w:after="0" w:line="127" w:lineRule="exact"/>
        <w:rPr>
          <w:sz w:val="20"/>
          <w:szCs w:val="20"/>
          <w:color w:val="auto"/>
        </w:rPr>
      </w:pPr>
    </w:p>
    <w:p>
      <w:pPr>
        <w:ind w:left="260" w:right="359" w:firstLine="340"/>
        <w:spacing w:after="0" w:line="258" w:lineRule="auto"/>
        <w:rPr>
          <w:sz w:val="20"/>
          <w:szCs w:val="20"/>
          <w:color w:val="auto"/>
        </w:rPr>
      </w:pPr>
      <w:r>
        <w:rPr>
          <w:rFonts w:ascii="Times New Roman" w:cs="Times New Roman" w:eastAsia="Times New Roman" w:hAnsi="Times New Roman"/>
          <w:sz w:val="14"/>
          <w:szCs w:val="14"/>
          <w:color w:val="auto"/>
        </w:rPr>
        <w:t>The foregoing provisions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0" w:lineRule="exact"/>
        <w:rPr>
          <w:sz w:val="20"/>
          <w:szCs w:val="20"/>
          <w:color w:val="auto"/>
        </w:rPr>
      </w:pPr>
    </w:p>
    <w:p>
      <w:pPr>
        <w:ind w:left="260" w:right="359" w:firstLine="340"/>
        <w:spacing w:after="0" w:line="275" w:lineRule="auto"/>
        <w:rPr>
          <w:sz w:val="20"/>
          <w:szCs w:val="20"/>
          <w:color w:val="auto"/>
        </w:rPr>
      </w:pPr>
      <w:r>
        <w:rPr>
          <w:rFonts w:ascii="Times New Roman" w:cs="Times New Roman" w:eastAsia="Times New Roman" w:hAnsi="Times New Roman"/>
          <w:sz w:val="13"/>
          <w:szCs w:val="13"/>
          <w:color w:val="auto"/>
        </w:rPr>
        <w:t>These provisions, including the dual-class structure of our common stock,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203 of the DGCL</w:t>
      </w:r>
    </w:p>
    <w:p>
      <w:pPr>
        <w:spacing w:after="0" w:line="91" w:lineRule="exact"/>
        <w:rPr>
          <w:sz w:val="20"/>
          <w:szCs w:val="20"/>
          <w:color w:val="auto"/>
        </w:rPr>
      </w:pPr>
    </w:p>
    <w:p>
      <w:pPr>
        <w:ind w:left="260" w:right="299" w:firstLine="340"/>
        <w:spacing w:after="0" w:line="293" w:lineRule="auto"/>
        <w:rPr>
          <w:sz w:val="20"/>
          <w:szCs w:val="20"/>
          <w:color w:val="auto"/>
        </w:rPr>
      </w:pPr>
      <w:r>
        <w:rPr>
          <w:rFonts w:ascii="Times New Roman" w:cs="Times New Roman" w:eastAsia="Times New Roman" w:hAnsi="Times New Roman"/>
          <w:sz w:val="13"/>
          <w:szCs w:val="13"/>
          <w:color w:val="auto"/>
        </w:rPr>
        <w:t>At any time when we have a class of voting stock that is either listed on a national securities exchange or held of record by more than 2,000 stockholders, we will be subject to Section 203 of the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91" w:lineRule="exact"/>
        <w:rPr>
          <w:sz w:val="20"/>
          <w:szCs w:val="20"/>
          <w:color w:val="auto"/>
        </w:rPr>
      </w:pPr>
    </w:p>
    <w:p>
      <w:pPr>
        <w:ind w:left="260" w:right="379" w:firstLine="340"/>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is the exclusive forum for resolving any complaint asserting a cause of action arising under the Securities Act rule that such a provision is inapplicable for a particular claim or action or that such provision is unenforceable.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1" w:lineRule="exact"/>
        <w:rPr>
          <w:sz w:val="20"/>
          <w:szCs w:val="20"/>
          <w:color w:val="auto"/>
        </w:rPr>
      </w:pPr>
    </w:p>
    <w:p>
      <w:pPr>
        <w:ind w:left="260" w:right="499" w:firstLine="340"/>
        <w:spacing w:after="0" w:line="263"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 with offices at 150 Royall Street, Canton, Massachusetts 02021. The transfer agent for any series of preferred stock that we may offer under this prospectus will be named and described in the prospectus supplement for that series.</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Listing on Nasdaq</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“XMTR.”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7"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DEBT SECURITIES</w:t>
      </w:r>
    </w:p>
    <w:p>
      <w:pPr>
        <w:spacing w:after="0" w:line="174" w:lineRule="exact"/>
        <w:rPr>
          <w:sz w:val="20"/>
          <w:szCs w:val="20"/>
          <w:color w:val="auto"/>
        </w:rPr>
      </w:pPr>
    </w:p>
    <w:p>
      <w:pPr>
        <w:ind w:left="260" w:right="359" w:firstLine="340"/>
        <w:spacing w:after="0" w:line="255"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4" w:lineRule="exact"/>
        <w:rPr>
          <w:sz w:val="20"/>
          <w:szCs w:val="20"/>
          <w:color w:val="auto"/>
        </w:rPr>
      </w:pPr>
    </w:p>
    <w:p>
      <w:pPr>
        <w:ind w:left="260" w:right="299" w:firstLine="340"/>
        <w:spacing w:after="0" w:line="255"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4" w:lineRule="exact"/>
        <w:rPr>
          <w:sz w:val="20"/>
          <w:szCs w:val="20"/>
          <w:color w:val="auto"/>
        </w:rPr>
      </w:pPr>
    </w:p>
    <w:p>
      <w:pPr>
        <w:jc w:val="both"/>
        <w:ind w:left="260" w:right="279" w:firstLine="340"/>
        <w:spacing w:after="0" w:line="258"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260" w:right="419" w:firstLine="340"/>
        <w:spacing w:after="0" w:line="284" w:lineRule="auto"/>
        <w:rPr>
          <w:sz w:val="20"/>
          <w:szCs w:val="20"/>
          <w:color w:val="auto"/>
        </w:rPr>
      </w:pPr>
      <w:r>
        <w:rPr>
          <w:rFonts w:ascii="Times New Roman" w:cs="Times New Roman" w:eastAsia="Times New Roman" w:hAnsi="Times New Roman"/>
          <w:sz w:val="13"/>
          <w:szCs w:val="13"/>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5" w:lineRule="exact"/>
        <w:rPr>
          <w:sz w:val="20"/>
          <w:szCs w:val="20"/>
          <w:color w:val="auto"/>
        </w:rPr>
      </w:pPr>
    </w:p>
    <w:p>
      <w:pPr>
        <w:ind w:left="260" w:right="439" w:firstLine="340"/>
        <w:spacing w:after="0" w:line="255"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9" w:lineRule="exact"/>
        <w:rPr>
          <w:sz w:val="20"/>
          <w:szCs w:val="20"/>
          <w:color w:val="auto"/>
        </w:rPr>
      </w:pPr>
    </w:p>
    <w:p>
      <w:pPr>
        <w:ind w:left="1000" w:hanging="32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9" w:lineRule="exact"/>
        <w:rPr>
          <w:rFonts w:ascii="Times New Roman" w:cs="Times New Roman" w:eastAsia="Times New Roman" w:hAnsi="Times New Roman"/>
          <w:sz w:val="14"/>
          <w:szCs w:val="14"/>
          <w:color w:val="auto"/>
        </w:rPr>
      </w:pPr>
    </w:p>
    <w:p>
      <w:pPr>
        <w:ind w:left="1000" w:right="559" w:hanging="326"/>
        <w:spacing w:after="0" w:line="278" w:lineRule="auto"/>
        <w:tabs>
          <w:tab w:leader="none" w:pos="10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7" w:right="1440" w:bottom="1440" w:gutter="0" w:footer="0" w:header="0"/>
        </w:sectPr>
      </w:pPr>
    </w:p>
    <w:bookmarkStart w:id="46" w:name="page47"/>
    <w:bookmarkEnd w:id="46"/>
    <w:p>
      <w:pPr>
        <w:ind w:left="1020" w:right="51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54" w:lineRule="exact"/>
        <w:rPr>
          <w:sz w:val="20"/>
          <w:szCs w:val="20"/>
          <w:color w:val="auto"/>
        </w:rPr>
      </w:pPr>
    </w:p>
    <w:p>
      <w:pPr>
        <w:ind w:left="1000" w:right="459" w:hanging="326"/>
        <w:spacing w:after="0" w:line="27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4"/>
          <w:szCs w:val="14"/>
          <w:color w:val="auto"/>
        </w:rPr>
      </w:pPr>
    </w:p>
    <w:p>
      <w:pPr>
        <w:ind w:left="1000" w:right="399" w:hanging="326"/>
        <w:spacing w:after="0" w:line="318" w:lineRule="auto"/>
        <w:tabs>
          <w:tab w:leader="none" w:pos="10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0" w:lineRule="exact"/>
        <w:rPr>
          <w:rFonts w:ascii="Times New Roman" w:cs="Times New Roman" w:eastAsia="Times New Roman" w:hAnsi="Times New Roman"/>
          <w:sz w:val="13"/>
          <w:szCs w:val="13"/>
          <w:color w:val="auto"/>
        </w:rPr>
      </w:pPr>
    </w:p>
    <w:p>
      <w:pPr>
        <w:ind w:left="1000" w:hanging="326"/>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9" w:lineRule="exact"/>
        <w:rPr>
          <w:rFonts w:ascii="Times New Roman" w:cs="Times New Roman" w:eastAsia="Times New Roman" w:hAnsi="Times New Roman"/>
          <w:sz w:val="14"/>
          <w:szCs w:val="14"/>
          <w:color w:val="auto"/>
        </w:rPr>
      </w:pPr>
    </w:p>
    <w:p>
      <w:pPr>
        <w:ind w:left="1000" w:right="419" w:hanging="326"/>
        <w:spacing w:after="0" w:line="263"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63" w:lineRule="exact"/>
        <w:rPr>
          <w:rFonts w:ascii="Times New Roman" w:cs="Times New Roman" w:eastAsia="Times New Roman" w:hAnsi="Times New Roman"/>
          <w:sz w:val="14"/>
          <w:szCs w:val="14"/>
          <w:color w:val="auto"/>
        </w:rPr>
      </w:pPr>
    </w:p>
    <w:p>
      <w:pPr>
        <w:ind w:left="1000" w:right="279" w:hanging="326"/>
        <w:spacing w:after="0" w:line="263"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3" w:lineRule="exact"/>
        <w:rPr>
          <w:rFonts w:ascii="Times New Roman" w:cs="Times New Roman" w:eastAsia="Times New Roman" w:hAnsi="Times New Roman"/>
          <w:sz w:val="14"/>
          <w:szCs w:val="14"/>
          <w:color w:val="auto"/>
        </w:rPr>
      </w:pPr>
    </w:p>
    <w:p>
      <w:pPr>
        <w:ind w:left="1000" w:right="579" w:hanging="326"/>
        <w:spacing w:after="0" w:line="27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4"/>
          <w:szCs w:val="14"/>
          <w:color w:val="auto"/>
        </w:rPr>
      </w:pPr>
    </w:p>
    <w:p>
      <w:pPr>
        <w:ind w:left="1000" w:right="619" w:hanging="326"/>
        <w:spacing w:after="0" w:line="263"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3" w:lineRule="exact"/>
        <w:rPr>
          <w:rFonts w:ascii="Times New Roman" w:cs="Times New Roman" w:eastAsia="Times New Roman" w:hAnsi="Times New Roman"/>
          <w:sz w:val="14"/>
          <w:szCs w:val="14"/>
          <w:color w:val="auto"/>
        </w:rPr>
      </w:pPr>
    </w:p>
    <w:p>
      <w:pPr>
        <w:ind w:left="1000" w:right="439" w:hanging="326"/>
        <w:spacing w:after="0" w:line="263"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3" w:lineRule="exact"/>
        <w:rPr>
          <w:rFonts w:ascii="Times New Roman" w:cs="Times New Roman" w:eastAsia="Times New Roman" w:hAnsi="Times New Roman"/>
          <w:sz w:val="14"/>
          <w:szCs w:val="14"/>
          <w:color w:val="auto"/>
        </w:rPr>
      </w:pPr>
    </w:p>
    <w:p>
      <w:pPr>
        <w:ind w:left="1000" w:right="279" w:hanging="326"/>
        <w:spacing w:after="0" w:line="25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7" w:lineRule="exact"/>
        <w:rPr>
          <w:rFonts w:ascii="Times New Roman" w:cs="Times New Roman" w:eastAsia="Times New Roman" w:hAnsi="Times New Roman"/>
          <w:sz w:val="14"/>
          <w:szCs w:val="14"/>
          <w:color w:val="auto"/>
        </w:rPr>
      </w:pPr>
    </w:p>
    <w:p>
      <w:pPr>
        <w:ind w:left="1000" w:right="499" w:hanging="326"/>
        <w:spacing w:after="0" w:line="27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4"/>
          <w:szCs w:val="14"/>
          <w:color w:val="auto"/>
        </w:rPr>
      </w:pPr>
    </w:p>
    <w:p>
      <w:pPr>
        <w:ind w:left="1000" w:right="1059" w:hanging="326"/>
        <w:spacing w:after="0" w:line="27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53" w:lineRule="exact"/>
        <w:rPr>
          <w:rFonts w:ascii="Times New Roman" w:cs="Times New Roman" w:eastAsia="Times New Roman" w:hAnsi="Times New Roman"/>
          <w:sz w:val="14"/>
          <w:szCs w:val="14"/>
          <w:color w:val="auto"/>
        </w:rPr>
      </w:pPr>
    </w:p>
    <w:p>
      <w:pPr>
        <w:ind w:left="1000" w:right="579" w:hanging="326"/>
        <w:spacing w:after="0" w:line="27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99" w:lineRule="exact"/>
        <w:rPr>
          <w:rFonts w:ascii="Times New Roman" w:cs="Times New Roman" w:eastAsia="Times New Roman" w:hAnsi="Times New Roman"/>
          <w:sz w:val="14"/>
          <w:szCs w:val="14"/>
          <w:color w:val="auto"/>
        </w:rPr>
      </w:pPr>
    </w:p>
    <w:p>
      <w:pPr>
        <w:ind w:left="1000" w:right="379" w:hanging="326"/>
        <w:spacing w:after="0" w:line="278" w:lineRule="auto"/>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4"/>
          <w:szCs w:val="14"/>
          <w:color w:val="auto"/>
        </w:rPr>
      </w:pPr>
    </w:p>
    <w:p>
      <w:pPr>
        <w:ind w:left="4440" w:right="379" w:hanging="3766"/>
        <w:spacing w:after="0" w:line="449" w:lineRule="auto"/>
        <w:tabs>
          <w:tab w:leader="none" w:pos="10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13</w:t>
      </w:r>
    </w:p>
    <w:p>
      <w:pPr>
        <w:sectPr>
          <w:pgSz w:w="11900" w:h="16838" w:orient="portrait"/>
          <w:cols w:equalWidth="0" w:num="1">
            <w:col w:w="9019"/>
          </w:cols>
          <w:pgMar w:left="1440" w:top="239" w:right="1440" w:bottom="1440" w:gutter="0" w:footer="0" w:header="0"/>
        </w:sectPr>
      </w:pPr>
    </w:p>
    <w:bookmarkStart w:id="47" w:name="page48"/>
    <w:bookmarkEnd w:id="47"/>
    <w:p>
      <w:pPr>
        <w:ind w:left="1000" w:right="339" w:hanging="326"/>
        <w:spacing w:after="0" w:line="278"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whether interest will be payable in cash or additional debt securities at our or the holders’ option and the terms and conditions upon which the election may be made;</w:t>
      </w:r>
    </w:p>
    <w:p>
      <w:pPr>
        <w:spacing w:after="0" w:line="53" w:lineRule="exact"/>
        <w:rPr>
          <w:rFonts w:ascii="Times New Roman" w:cs="Times New Roman" w:eastAsia="Times New Roman" w:hAnsi="Times New Roman"/>
          <w:sz w:val="14"/>
          <w:szCs w:val="14"/>
          <w:color w:val="auto"/>
        </w:rPr>
      </w:pPr>
    </w:p>
    <w:p>
      <w:pPr>
        <w:ind w:left="1000" w:right="359" w:hanging="326"/>
        <w:spacing w:after="0" w:line="278"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99" w:lineRule="exact"/>
        <w:rPr>
          <w:rFonts w:ascii="Times New Roman" w:cs="Times New Roman" w:eastAsia="Times New Roman" w:hAnsi="Times New Roman"/>
          <w:sz w:val="14"/>
          <w:szCs w:val="14"/>
          <w:color w:val="auto"/>
        </w:rPr>
      </w:pPr>
    </w:p>
    <w:p>
      <w:pPr>
        <w:ind w:left="1000" w:right="479" w:hanging="326"/>
        <w:spacing w:after="0" w:line="278" w:lineRule="auto"/>
        <w:tabs>
          <w:tab w:leader="none" w:pos="10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1" w:lineRule="exact"/>
        <w:rPr>
          <w:sz w:val="20"/>
          <w:szCs w:val="20"/>
          <w:color w:val="auto"/>
        </w:rPr>
      </w:pPr>
    </w:p>
    <w:p>
      <w:pPr>
        <w:ind w:left="260" w:right="399" w:firstLine="340"/>
        <w:spacing w:after="0" w:line="258"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1" w:lineRule="exact"/>
        <w:rPr>
          <w:sz w:val="20"/>
          <w:szCs w:val="20"/>
          <w:color w:val="auto"/>
        </w:rPr>
      </w:pPr>
    </w:p>
    <w:p>
      <w:pPr>
        <w:ind w:left="260" w:right="339" w:firstLine="340"/>
        <w:spacing w:after="0" w:line="25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1" w:lineRule="exact"/>
        <w:rPr>
          <w:sz w:val="20"/>
          <w:szCs w:val="20"/>
          <w:color w:val="auto"/>
        </w:rPr>
      </w:pPr>
    </w:p>
    <w:p>
      <w:pPr>
        <w:ind w:left="260" w:right="439" w:firstLine="340"/>
        <w:spacing w:after="0" w:line="27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4" w:lineRule="exact"/>
        <w:rPr>
          <w:sz w:val="20"/>
          <w:szCs w:val="20"/>
          <w:color w:val="auto"/>
        </w:rPr>
      </w:pPr>
    </w:p>
    <w:p>
      <w:pPr>
        <w:jc w:val="both"/>
        <w:ind w:left="1000" w:right="339" w:hanging="326"/>
        <w:spacing w:after="0" w:line="263" w:lineRule="auto"/>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63" w:lineRule="exact"/>
        <w:rPr>
          <w:rFonts w:ascii="Times New Roman" w:cs="Times New Roman" w:eastAsia="Times New Roman" w:hAnsi="Times New Roman"/>
          <w:sz w:val="14"/>
          <w:szCs w:val="14"/>
          <w:color w:val="auto"/>
        </w:rPr>
      </w:pPr>
    </w:p>
    <w:p>
      <w:pPr>
        <w:ind w:left="1000" w:right="339" w:hanging="326"/>
        <w:spacing w:after="0" w:line="258" w:lineRule="auto"/>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7" w:lineRule="exact"/>
        <w:rPr>
          <w:rFonts w:ascii="Times New Roman" w:cs="Times New Roman" w:eastAsia="Times New Roman" w:hAnsi="Times New Roman"/>
          <w:sz w:val="14"/>
          <w:szCs w:val="14"/>
          <w:color w:val="auto"/>
        </w:rPr>
      </w:pPr>
    </w:p>
    <w:p>
      <w:pPr>
        <w:ind w:left="1000" w:right="279" w:hanging="326"/>
        <w:spacing w:after="0" w:line="258" w:lineRule="auto"/>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7"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48" w:name="page49"/>
    <w:bookmarkEnd w:id="48"/>
    <w:p>
      <w:pPr>
        <w:ind w:left="260" w:right="279" w:firstLine="340"/>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3" w:lineRule="exact"/>
        <w:rPr>
          <w:sz w:val="20"/>
          <w:szCs w:val="20"/>
          <w:color w:val="auto"/>
        </w:rPr>
      </w:pPr>
    </w:p>
    <w:p>
      <w:pPr>
        <w:ind w:left="260" w:right="419" w:firstLine="340"/>
        <w:spacing w:after="0" w:line="263"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7" w:lineRule="exact"/>
        <w:rPr>
          <w:sz w:val="20"/>
          <w:szCs w:val="20"/>
          <w:color w:val="auto"/>
        </w:rPr>
      </w:pPr>
    </w:p>
    <w:p>
      <w:pPr>
        <w:ind w:left="260" w:right="379" w:firstLine="340"/>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1" w:lineRule="exact"/>
        <w:rPr>
          <w:sz w:val="20"/>
          <w:szCs w:val="20"/>
          <w:color w:val="auto"/>
        </w:rPr>
      </w:pPr>
    </w:p>
    <w:p>
      <w:pPr>
        <w:ind w:left="1000" w:hanging="326"/>
        <w:spacing w:after="0"/>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9" w:lineRule="exact"/>
        <w:rPr>
          <w:rFonts w:ascii="Times New Roman" w:cs="Times New Roman" w:eastAsia="Times New Roman" w:hAnsi="Times New Roman"/>
          <w:sz w:val="14"/>
          <w:szCs w:val="14"/>
          <w:color w:val="auto"/>
        </w:rPr>
      </w:pPr>
    </w:p>
    <w:p>
      <w:pPr>
        <w:ind w:left="1000" w:right="299" w:hanging="326"/>
        <w:spacing w:after="0" w:line="278"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27" w:lineRule="exact"/>
        <w:rPr>
          <w:sz w:val="20"/>
          <w:szCs w:val="20"/>
          <w:color w:val="auto"/>
        </w:rPr>
      </w:pPr>
    </w:p>
    <w:p>
      <w:pPr>
        <w:ind w:left="260" w:right="279" w:firstLine="340"/>
        <w:spacing w:after="0" w:line="278"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000" w:hanging="326"/>
        <w:spacing w:after="0"/>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99" w:lineRule="exact"/>
        <w:rPr>
          <w:rFonts w:ascii="Times New Roman" w:cs="Times New Roman" w:eastAsia="Times New Roman" w:hAnsi="Times New Roman"/>
          <w:sz w:val="14"/>
          <w:szCs w:val="14"/>
          <w:color w:val="auto"/>
        </w:rPr>
      </w:pPr>
    </w:p>
    <w:p>
      <w:pPr>
        <w:ind w:left="1000" w:right="279" w:hanging="326"/>
        <w:spacing w:after="0" w:line="278" w:lineRule="auto"/>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4"/>
          <w:szCs w:val="14"/>
          <w:color w:val="auto"/>
        </w:rPr>
      </w:pPr>
    </w:p>
    <w:p>
      <w:pPr>
        <w:ind w:left="1000" w:right="639" w:hanging="326"/>
        <w:spacing w:after="0" w:line="278" w:lineRule="auto"/>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7" w:lineRule="exact"/>
        <w:rPr>
          <w:sz w:val="20"/>
          <w:szCs w:val="20"/>
          <w:color w:val="auto"/>
        </w:rPr>
      </w:pPr>
    </w:p>
    <w:p>
      <w:pPr>
        <w:ind w:left="260" w:right="459" w:firstLine="340"/>
        <w:spacing w:after="0" w:line="278"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99" w:lineRule="exact"/>
        <w:rPr>
          <w:sz w:val="20"/>
          <w:szCs w:val="20"/>
          <w:color w:val="auto"/>
        </w:rPr>
      </w:pPr>
    </w:p>
    <w:p>
      <w:pPr>
        <w:ind w:left="4440" w:right="2459" w:hanging="3766"/>
        <w:spacing w:after="0" w:line="449" w:lineRule="auto"/>
        <w:tabs>
          <w:tab w:leader="none" w:pos="101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 15</w:t>
      </w:r>
    </w:p>
    <w:p>
      <w:pPr>
        <w:sectPr>
          <w:pgSz w:w="11900" w:h="16838" w:orient="portrait"/>
          <w:cols w:equalWidth="0" w:num="1">
            <w:col w:w="9019"/>
          </w:cols>
          <w:pgMar w:left="1440" w:top="239" w:right="1440" w:bottom="1440" w:gutter="0" w:footer="0" w:header="0"/>
        </w:sectPr>
      </w:pPr>
    </w:p>
    <w:bookmarkStart w:id="49" w:name="page50"/>
    <w:bookmarkEnd w:id="49"/>
    <w:p>
      <w:pPr>
        <w:ind w:left="1000" w:hanging="32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comply with the provisions described above under “Description of Debt Securities—Consolidation, Merger or Sale;”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9" w:lineRule="exact"/>
        <w:rPr>
          <w:rFonts w:ascii="Times New Roman" w:cs="Times New Roman" w:eastAsia="Times New Roman" w:hAnsi="Times New Roman"/>
          <w:sz w:val="14"/>
          <w:szCs w:val="14"/>
          <w:color w:val="auto"/>
        </w:rPr>
      </w:pPr>
    </w:p>
    <w:p>
      <w:pPr>
        <w:ind w:left="1000" w:right="399" w:hanging="326"/>
        <w:spacing w:after="0" w:line="258" w:lineRule="auto"/>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7" w:lineRule="exact"/>
        <w:rPr>
          <w:rFonts w:ascii="Times New Roman" w:cs="Times New Roman" w:eastAsia="Times New Roman" w:hAnsi="Times New Roman"/>
          <w:sz w:val="14"/>
          <w:szCs w:val="14"/>
          <w:color w:val="auto"/>
        </w:rPr>
      </w:pPr>
    </w:p>
    <w:p>
      <w:pPr>
        <w:ind w:left="1000" w:right="879" w:hanging="326"/>
        <w:spacing w:after="0" w:line="278" w:lineRule="auto"/>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99" w:lineRule="exact"/>
        <w:rPr>
          <w:rFonts w:ascii="Times New Roman" w:cs="Times New Roman" w:eastAsia="Times New Roman" w:hAnsi="Times New Roman"/>
          <w:sz w:val="14"/>
          <w:szCs w:val="14"/>
          <w:color w:val="auto"/>
        </w:rPr>
      </w:pPr>
    </w:p>
    <w:p>
      <w:pPr>
        <w:ind w:left="1000" w:right="379" w:hanging="326"/>
        <w:spacing w:after="0" w:line="263" w:lineRule="auto"/>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72" w:lineRule="exact"/>
        <w:rPr>
          <w:sz w:val="20"/>
          <w:szCs w:val="20"/>
          <w:color w:val="auto"/>
        </w:rPr>
      </w:pPr>
    </w:p>
    <w:p>
      <w:pPr>
        <w:ind w:left="260" w:right="279" w:firstLine="340"/>
        <w:spacing w:after="0" w:line="258"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7" w:lineRule="exact"/>
        <w:rPr>
          <w:sz w:val="20"/>
          <w:szCs w:val="20"/>
          <w:color w:val="auto"/>
        </w:rPr>
      </w:pPr>
    </w:p>
    <w:p>
      <w:pPr>
        <w:ind w:left="1000" w:hanging="326"/>
        <w:spacing w:after="0"/>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99" w:lineRule="exact"/>
        <w:rPr>
          <w:rFonts w:ascii="Times New Roman" w:cs="Times New Roman" w:eastAsia="Times New Roman" w:hAnsi="Times New Roman"/>
          <w:sz w:val="14"/>
          <w:szCs w:val="14"/>
          <w:color w:val="auto"/>
        </w:rPr>
      </w:pPr>
    </w:p>
    <w:p>
      <w:pPr>
        <w:ind w:left="1000" w:right="459" w:hanging="326"/>
        <w:spacing w:after="0" w:line="278" w:lineRule="auto"/>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4"/>
          <w:szCs w:val="14"/>
          <w:color w:val="auto"/>
        </w:rPr>
      </w:pPr>
    </w:p>
    <w:p>
      <w:pPr>
        <w:ind w:left="1000" w:right="499" w:hanging="326"/>
        <w:spacing w:after="0" w:line="278" w:lineRule="auto"/>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1" w:lineRule="exact"/>
        <w:rPr>
          <w:sz w:val="20"/>
          <w:szCs w:val="20"/>
          <w:color w:val="auto"/>
        </w:rPr>
      </w:pPr>
    </w:p>
    <w:p>
      <w:pPr>
        <w:ind w:left="260" w:right="479" w:firstLine="340"/>
        <w:spacing w:after="0" w:line="278"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50" w:name="page51"/>
    <w:bookmarkEnd w:id="50"/>
    <w:p>
      <w:pPr>
        <w:ind w:left="1000" w:hanging="326"/>
        <w:spacing w:after="0"/>
        <w:tabs>
          <w:tab w:leader="none" w:pos="10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compensate and indemnify the trustee; and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72" w:lineRule="exact"/>
        <w:rPr>
          <w:sz w:val="20"/>
          <w:szCs w:val="20"/>
          <w:color w:val="auto"/>
        </w:rPr>
      </w:pPr>
    </w:p>
    <w:p>
      <w:pPr>
        <w:ind w:left="260" w:right="759" w:firstLine="340"/>
        <w:spacing w:after="0" w:line="278"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1" w:lineRule="exact"/>
        <w:rPr>
          <w:sz w:val="20"/>
          <w:szCs w:val="20"/>
          <w:color w:val="auto"/>
        </w:rPr>
      </w:pPr>
    </w:p>
    <w:p>
      <w:pPr>
        <w:ind w:left="260" w:right="419" w:firstLine="340"/>
        <w:spacing w:after="0" w:line="254"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3" w:lineRule="exact"/>
        <w:rPr>
          <w:sz w:val="20"/>
          <w:szCs w:val="20"/>
          <w:color w:val="auto"/>
        </w:rPr>
      </w:pPr>
    </w:p>
    <w:p>
      <w:pPr>
        <w:ind w:left="260" w:right="339" w:firstLine="340"/>
        <w:spacing w:after="0" w:line="263"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7"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4" w:lineRule="exact"/>
        <w:rPr>
          <w:sz w:val="20"/>
          <w:szCs w:val="20"/>
          <w:color w:val="auto"/>
        </w:rPr>
      </w:pPr>
    </w:p>
    <w:p>
      <w:pPr>
        <w:ind w:left="260" w:right="519" w:firstLine="340"/>
        <w:spacing w:after="0" w:line="258"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9" w:lineRule="exact"/>
        <w:rPr>
          <w:sz w:val="20"/>
          <w:szCs w:val="20"/>
          <w:color w:val="auto"/>
        </w:rPr>
      </w:pPr>
    </w:p>
    <w:p>
      <w:pPr>
        <w:jc w:val="both"/>
        <w:ind w:left="1000" w:right="479" w:hanging="326"/>
        <w:spacing w:after="0" w:line="263" w:lineRule="auto"/>
        <w:tabs>
          <w:tab w:leader="none" w:pos="10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3" w:lineRule="exact"/>
        <w:rPr>
          <w:rFonts w:ascii="Times New Roman" w:cs="Times New Roman" w:eastAsia="Times New Roman" w:hAnsi="Times New Roman"/>
          <w:sz w:val="14"/>
          <w:szCs w:val="14"/>
          <w:color w:val="auto"/>
        </w:rPr>
      </w:pPr>
    </w:p>
    <w:p>
      <w:pPr>
        <w:ind w:left="1000" w:right="479" w:hanging="326"/>
        <w:spacing w:after="0" w:line="278" w:lineRule="auto"/>
        <w:tabs>
          <w:tab w:leader="none" w:pos="10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1" w:lineRule="exact"/>
        <w:rPr>
          <w:sz w:val="20"/>
          <w:szCs w:val="20"/>
          <w:color w:val="auto"/>
        </w:rPr>
      </w:pPr>
    </w:p>
    <w:p>
      <w:pPr>
        <w:ind w:left="260" w:right="279" w:firstLine="340"/>
        <w:spacing w:after="0" w:line="263"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51" w:name="page52"/>
    <w:bookmarkEnd w:id="51"/>
    <w:p>
      <w:pPr>
        <w:ind w:left="260" w:right="41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1" w:lineRule="exact"/>
        <w:rPr>
          <w:sz w:val="20"/>
          <w:szCs w:val="20"/>
          <w:color w:val="auto"/>
        </w:rPr>
      </w:pPr>
    </w:p>
    <w:p>
      <w:pPr>
        <w:jc w:val="both"/>
        <w:ind w:left="260" w:right="279" w:firstLine="340"/>
        <w:spacing w:after="0" w:line="263"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7" w:lineRule="exact"/>
        <w:rPr>
          <w:sz w:val="20"/>
          <w:szCs w:val="20"/>
          <w:color w:val="auto"/>
        </w:rPr>
      </w:pPr>
    </w:p>
    <w:p>
      <w:pPr>
        <w:ind w:left="260" w:right="279" w:firstLine="340"/>
        <w:spacing w:after="0" w:line="254"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3" w:lineRule="exact"/>
        <w:rPr>
          <w:sz w:val="20"/>
          <w:szCs w:val="20"/>
          <w:color w:val="auto"/>
        </w:rPr>
      </w:pPr>
    </w:p>
    <w:p>
      <w:pPr>
        <w:ind w:left="260" w:right="419" w:firstLine="340"/>
        <w:spacing w:after="0" w:line="263"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260" w:right="399" w:firstLine="340"/>
        <w:spacing w:after="0" w:line="278"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is applicable.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WARRANTS</w:t>
      </w:r>
    </w:p>
    <w:p>
      <w:pPr>
        <w:spacing w:after="0" w:line="174"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44" w:lineRule="exact"/>
        <w:rPr>
          <w:sz w:val="20"/>
          <w:szCs w:val="20"/>
          <w:color w:val="auto"/>
        </w:rPr>
      </w:pPr>
    </w:p>
    <w:p>
      <w:pPr>
        <w:ind w:left="260" w:right="339" w:firstLine="340"/>
        <w:spacing w:after="0" w:line="252" w:lineRule="auto"/>
        <w:rPr>
          <w:sz w:val="20"/>
          <w:szCs w:val="20"/>
          <w:color w:val="auto"/>
        </w:rPr>
      </w:pPr>
      <w:r>
        <w:rPr>
          <w:rFonts w:ascii="Times New Roman" w:cs="Times New Roman" w:eastAsia="Times New Roman" w:hAnsi="Times New Roman"/>
          <w:sz w:val="14"/>
          <w:szCs w:val="14"/>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relating to a series of warrants being offered, including:</w:t>
      </w:r>
    </w:p>
    <w:p>
      <w:pPr>
        <w:spacing w:after="0" w:line="99" w:lineRule="exact"/>
        <w:rPr>
          <w:sz w:val="20"/>
          <w:szCs w:val="20"/>
          <w:color w:val="auto"/>
        </w:rPr>
      </w:pPr>
    </w:p>
    <w:p>
      <w:pPr>
        <w:ind w:left="1000" w:hanging="326"/>
        <w:spacing w:after="0"/>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securities;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or prices and aggregate number of warrants offered;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for which the warrants may be purchased;</w:t>
      </w:r>
    </w:p>
    <w:p>
      <w:pPr>
        <w:spacing w:after="0" w:line="99" w:lineRule="exact"/>
        <w:rPr>
          <w:rFonts w:ascii="Times New Roman" w:cs="Times New Roman" w:eastAsia="Times New Roman" w:hAnsi="Times New Roman"/>
          <w:sz w:val="14"/>
          <w:szCs w:val="14"/>
          <w:color w:val="auto"/>
        </w:rPr>
      </w:pPr>
    </w:p>
    <w:p>
      <w:pPr>
        <w:ind w:left="1000" w:right="459" w:hanging="326"/>
        <w:spacing w:after="0" w:line="278" w:lineRule="auto"/>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9" w:lineRule="exact"/>
        <w:rPr>
          <w:rFonts w:ascii="Times New Roman" w:cs="Times New Roman" w:eastAsia="Times New Roman" w:hAnsi="Times New Roman"/>
          <w:sz w:val="14"/>
          <w:szCs w:val="14"/>
          <w:color w:val="auto"/>
        </w:rPr>
      </w:pPr>
    </w:p>
    <w:p>
      <w:pPr>
        <w:ind w:left="1000" w:right="279" w:hanging="326"/>
        <w:spacing w:after="0" w:line="278" w:lineRule="auto"/>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53" w:lineRule="exact"/>
        <w:rPr>
          <w:rFonts w:ascii="Times New Roman" w:cs="Times New Roman" w:eastAsia="Times New Roman" w:hAnsi="Times New Roman"/>
          <w:sz w:val="14"/>
          <w:szCs w:val="14"/>
          <w:color w:val="auto"/>
        </w:rPr>
      </w:pPr>
    </w:p>
    <w:p>
      <w:pPr>
        <w:ind w:left="1000" w:right="319" w:hanging="326"/>
        <w:spacing w:after="0" w:line="263" w:lineRule="auto"/>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6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7" w:right="1440" w:bottom="1440" w:gutter="0" w:footer="0" w:header="0"/>
        </w:sectPr>
      </w:pPr>
    </w:p>
    <w:bookmarkStart w:id="53" w:name="page54"/>
    <w:bookmarkEnd w:id="53"/>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terms of any rights to redeem or call the warrants;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force the exercise of the warrants;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consequences of holding or exercising the warrants;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72" w:lineRule="exact"/>
        <w:rPr>
          <w:sz w:val="20"/>
          <w:szCs w:val="20"/>
          <w:color w:val="auto"/>
        </w:rPr>
      </w:pPr>
    </w:p>
    <w:p>
      <w:pPr>
        <w:ind w:left="260" w:right="479" w:firstLine="340"/>
        <w:spacing w:after="0" w:line="278" w:lineRule="auto"/>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54" w:lineRule="exact"/>
        <w:rPr>
          <w:sz w:val="20"/>
          <w:szCs w:val="20"/>
          <w:color w:val="auto"/>
        </w:rPr>
      </w:pPr>
    </w:p>
    <w:p>
      <w:pPr>
        <w:ind w:left="1000" w:right="339" w:hanging="326"/>
        <w:spacing w:after="0" w:line="278" w:lineRule="auto"/>
        <w:tabs>
          <w:tab w:leader="none" w:pos="10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3" w:lineRule="exact"/>
        <w:rPr>
          <w:rFonts w:ascii="Times New Roman" w:cs="Times New Roman" w:eastAsia="Times New Roman" w:hAnsi="Times New Roman"/>
          <w:sz w:val="14"/>
          <w:szCs w:val="14"/>
          <w:color w:val="auto"/>
        </w:rPr>
      </w:pPr>
    </w:p>
    <w:p>
      <w:pPr>
        <w:ind w:left="1000" w:right="839" w:hanging="326"/>
        <w:spacing w:after="0" w:line="278" w:lineRule="auto"/>
        <w:tabs>
          <w:tab w:leader="none" w:pos="10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right to receive dividends, if any, or, payments upon our liquidation, dissolution or winding up or to exercise voting rights, if any.</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91" w:lineRule="exact"/>
        <w:rPr>
          <w:sz w:val="20"/>
          <w:szCs w:val="20"/>
          <w:color w:val="auto"/>
        </w:rPr>
      </w:pPr>
    </w:p>
    <w:p>
      <w:pPr>
        <w:ind w:left="260" w:right="299" w:firstLine="340"/>
        <w:spacing w:after="0" w:line="258"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40" w:lineRule="exact"/>
        <w:rPr>
          <w:sz w:val="20"/>
          <w:szCs w:val="20"/>
          <w:color w:val="auto"/>
        </w:rPr>
      </w:pPr>
    </w:p>
    <w:p>
      <w:pPr>
        <w:ind w:left="260" w:right="319" w:firstLine="340"/>
        <w:spacing w:after="0" w:line="255"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44"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jc w:val="both"/>
        <w:ind w:left="260" w:right="299" w:firstLine="340"/>
        <w:spacing w:after="0" w:line="318" w:lineRule="auto"/>
        <w:rPr>
          <w:sz w:val="20"/>
          <w:szCs w:val="20"/>
          <w:color w:val="auto"/>
        </w:rPr>
      </w:pPr>
      <w:r>
        <w:rPr>
          <w:rFonts w:ascii="Times New Roman" w:cs="Times New Roman" w:eastAsia="Times New Roman" w:hAnsi="Times New Roman"/>
          <w:sz w:val="13"/>
          <w:szCs w:val="13"/>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Enforceability of Rights by Holders of Warrants</w:t>
      </w:r>
    </w:p>
    <w:p>
      <w:pPr>
        <w:spacing w:after="0" w:line="91" w:lineRule="exact"/>
        <w:rPr>
          <w:sz w:val="20"/>
          <w:szCs w:val="20"/>
          <w:color w:val="auto"/>
        </w:rPr>
      </w:pPr>
    </w:p>
    <w:p>
      <w:pPr>
        <w:ind w:left="260" w:right="339" w:firstLine="340"/>
        <w:spacing w:after="0" w:line="254" w:lineRule="auto"/>
        <w:rPr>
          <w:sz w:val="20"/>
          <w:szCs w:val="20"/>
          <w:color w:val="auto"/>
        </w:rPr>
      </w:pPr>
      <w:r>
        <w:rPr>
          <w:rFonts w:ascii="Times New Roman" w:cs="Times New Roman" w:eastAsia="Times New Roman" w:hAnsi="Times New Roman"/>
          <w:sz w:val="14"/>
          <w:szCs w:val="14"/>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7"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OWNERSHIP OF SECURITIES</w:t>
      </w:r>
    </w:p>
    <w:p>
      <w:pPr>
        <w:spacing w:after="0" w:line="174" w:lineRule="exact"/>
        <w:rPr>
          <w:sz w:val="20"/>
          <w:szCs w:val="20"/>
          <w:color w:val="auto"/>
        </w:rPr>
      </w:pPr>
    </w:p>
    <w:p>
      <w:pPr>
        <w:ind w:left="260" w:right="299" w:firstLine="340"/>
        <w:spacing w:after="0" w:line="280" w:lineRule="auto"/>
        <w:rPr>
          <w:sz w:val="20"/>
          <w:szCs w:val="20"/>
          <w:color w:val="auto"/>
        </w:rPr>
      </w:pPr>
      <w:r>
        <w:rPr>
          <w:rFonts w:ascii="Times New Roman" w:cs="Times New Roman" w:eastAsia="Times New Roman" w:hAnsi="Times New Roman"/>
          <w:sz w:val="13"/>
          <w:szCs w:val="13"/>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91" w:lineRule="exact"/>
        <w:rPr>
          <w:sz w:val="20"/>
          <w:szCs w:val="20"/>
          <w:color w:val="auto"/>
        </w:rPr>
      </w:pPr>
    </w:p>
    <w:p>
      <w:pPr>
        <w:ind w:left="260" w:right="479" w:firstLine="340"/>
        <w:spacing w:after="0" w:line="258"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0" w:lineRule="exact"/>
        <w:rPr>
          <w:sz w:val="20"/>
          <w:szCs w:val="20"/>
          <w:color w:val="auto"/>
        </w:rPr>
      </w:pPr>
    </w:p>
    <w:p>
      <w:pPr>
        <w:ind w:left="260" w:right="299" w:firstLine="340"/>
        <w:spacing w:after="0" w:line="255"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4" w:lineRule="exact"/>
        <w:rPr>
          <w:sz w:val="20"/>
          <w:szCs w:val="20"/>
          <w:color w:val="auto"/>
        </w:rPr>
      </w:pPr>
    </w:p>
    <w:p>
      <w:pPr>
        <w:ind w:left="260" w:right="379" w:firstLine="340"/>
        <w:spacing w:after="0" w:line="263" w:lineRule="auto"/>
        <w:rPr>
          <w:sz w:val="20"/>
          <w:szCs w:val="20"/>
          <w:color w:val="auto"/>
        </w:rPr>
      </w:pPr>
      <w:r>
        <w:rPr>
          <w:rFonts w:ascii="Times New Roman" w:cs="Times New Roman" w:eastAsia="Times New Roman" w:hAnsi="Times New Roman"/>
          <w:sz w:val="14"/>
          <w:szCs w:val="14"/>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91" w:lineRule="exact"/>
        <w:rPr>
          <w:sz w:val="20"/>
          <w:szCs w:val="20"/>
          <w:color w:val="auto"/>
        </w:rPr>
      </w:pPr>
    </w:p>
    <w:p>
      <w:pPr>
        <w:ind w:left="260" w:right="299" w:firstLine="340"/>
        <w:spacing w:after="0" w:line="258" w:lineRule="auto"/>
        <w:rPr>
          <w:sz w:val="20"/>
          <w:szCs w:val="20"/>
          <w:color w:val="auto"/>
        </w:rPr>
      </w:pPr>
      <w:r>
        <w:rPr>
          <w:rFonts w:ascii="Times New Roman" w:cs="Times New Roman" w:eastAsia="Times New Roman" w:hAnsi="Times New Roman"/>
          <w:sz w:val="14"/>
          <w:szCs w:val="14"/>
          <w:color w:val="auto"/>
        </w:rPr>
        <w:t>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0" w:lineRule="exact"/>
        <w:rPr>
          <w:sz w:val="20"/>
          <w:szCs w:val="20"/>
          <w:color w:val="auto"/>
        </w:rPr>
      </w:pPr>
    </w:p>
    <w:p>
      <w:pPr>
        <w:ind w:left="260" w:right="339" w:firstLine="340"/>
        <w:spacing w:after="0" w:line="255"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91" w:lineRule="exact"/>
        <w:rPr>
          <w:sz w:val="20"/>
          <w:szCs w:val="20"/>
          <w:color w:val="auto"/>
        </w:rPr>
      </w:pPr>
    </w:p>
    <w:p>
      <w:pPr>
        <w:ind w:left="260" w:right="379" w:firstLine="340"/>
        <w:spacing w:after="0" w:line="258"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7" w:right="1440" w:bottom="1440" w:gutter="0" w:footer="0" w:header="0"/>
        </w:sectPr>
      </w:pPr>
    </w:p>
    <w:bookmarkStart w:id="56" w:name="page57"/>
    <w:bookmarkEnd w:id="56"/>
    <w:p>
      <w:pPr>
        <w:ind w:left="260" w:right="299" w:firstLine="340"/>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91" w:lineRule="exact"/>
        <w:rPr>
          <w:sz w:val="20"/>
          <w:szCs w:val="20"/>
          <w:color w:val="auto"/>
        </w:rPr>
      </w:pPr>
    </w:p>
    <w:p>
      <w:pPr>
        <w:ind w:left="260" w:right="359" w:firstLine="340"/>
        <w:spacing w:after="0" w:line="278"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54" w:lineRule="exact"/>
        <w:rPr>
          <w:sz w:val="20"/>
          <w:szCs w:val="20"/>
          <w:color w:val="auto"/>
        </w:rPr>
      </w:pPr>
    </w:p>
    <w:p>
      <w:pPr>
        <w:ind w:left="1000" w:hanging="326"/>
        <w:spacing w:after="0"/>
        <w:tabs>
          <w:tab w:leader="none" w:pos="10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9" w:lineRule="exact"/>
        <w:rPr>
          <w:rFonts w:ascii="Times New Roman" w:cs="Times New Roman" w:eastAsia="Times New Roman" w:hAnsi="Times New Roman"/>
          <w:sz w:val="14"/>
          <w:szCs w:val="14"/>
          <w:color w:val="auto"/>
        </w:rPr>
      </w:pPr>
    </w:p>
    <w:p>
      <w:pPr>
        <w:ind w:left="1000" w:right="459" w:hanging="326"/>
        <w:spacing w:after="0" w:line="278" w:lineRule="auto"/>
        <w:tabs>
          <w:tab w:leader="none" w:pos="10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4"/>
          <w:szCs w:val="14"/>
          <w:color w:val="auto"/>
        </w:rPr>
      </w:pPr>
    </w:p>
    <w:p>
      <w:pPr>
        <w:ind w:left="1000" w:right="359" w:hanging="326"/>
        <w:spacing w:after="0" w:line="278" w:lineRule="auto"/>
        <w:tabs>
          <w:tab w:leader="none" w:pos="10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1" w:lineRule="exact"/>
        <w:rPr>
          <w:sz w:val="20"/>
          <w:szCs w:val="20"/>
          <w:color w:val="auto"/>
        </w:rPr>
      </w:pPr>
    </w:p>
    <w:p>
      <w:pPr>
        <w:ind w:left="260" w:right="699" w:firstLine="340"/>
        <w:spacing w:after="0" w:line="278"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27" w:lineRule="exact"/>
        <w:rPr>
          <w:sz w:val="20"/>
          <w:szCs w:val="20"/>
          <w:color w:val="auto"/>
        </w:rPr>
      </w:pPr>
    </w:p>
    <w:p>
      <w:pPr>
        <w:ind w:left="260" w:right="579" w:firstLine="340"/>
        <w:spacing w:after="0" w:line="263"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37"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44" w:lineRule="exact"/>
        <w:rPr>
          <w:sz w:val="20"/>
          <w:szCs w:val="20"/>
          <w:color w:val="auto"/>
        </w:rPr>
      </w:pPr>
    </w:p>
    <w:p>
      <w:pPr>
        <w:ind w:left="260" w:right="359" w:firstLine="340"/>
        <w:spacing w:after="0" w:line="263"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37" w:lineRule="exact"/>
        <w:rPr>
          <w:sz w:val="20"/>
          <w:szCs w:val="20"/>
          <w:color w:val="auto"/>
        </w:rPr>
      </w:pPr>
    </w:p>
    <w:p>
      <w:pPr>
        <w:ind w:left="260" w:right="419" w:firstLine="340"/>
        <w:spacing w:after="0" w:line="278"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57" w:name="page58"/>
    <w:bookmarkEnd w:id="57"/>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We do not recognize an indirect holder as a holder of securities and instead deal only with the depositary that holds the global security.</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If securities are issued only as global securities, an investor should be aware of the following:</w:t>
      </w:r>
    </w:p>
    <w:p>
      <w:pPr>
        <w:spacing w:after="0" w:line="99" w:lineRule="exact"/>
        <w:rPr>
          <w:sz w:val="20"/>
          <w:szCs w:val="20"/>
          <w:color w:val="auto"/>
        </w:rPr>
      </w:pPr>
    </w:p>
    <w:p>
      <w:pPr>
        <w:ind w:left="1000" w:right="29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4"/>
          <w:szCs w:val="14"/>
          <w:color w:val="auto"/>
        </w:rPr>
      </w:pPr>
    </w:p>
    <w:p>
      <w:pPr>
        <w:ind w:left="1000" w:right="29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4"/>
          <w:szCs w:val="14"/>
          <w:color w:val="auto"/>
        </w:rPr>
      </w:pPr>
    </w:p>
    <w:p>
      <w:pPr>
        <w:ind w:left="1000" w:right="29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4"/>
          <w:szCs w:val="14"/>
          <w:color w:val="auto"/>
        </w:rPr>
      </w:pPr>
    </w:p>
    <w:p>
      <w:pPr>
        <w:ind w:left="1000" w:right="33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53" w:lineRule="exact"/>
        <w:rPr>
          <w:rFonts w:ascii="Times New Roman" w:cs="Times New Roman" w:eastAsia="Times New Roman" w:hAnsi="Times New Roman"/>
          <w:sz w:val="14"/>
          <w:szCs w:val="14"/>
          <w:color w:val="auto"/>
        </w:rPr>
      </w:pPr>
    </w:p>
    <w:p>
      <w:pPr>
        <w:ind w:left="1000" w:right="27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53" w:lineRule="exact"/>
        <w:rPr>
          <w:rFonts w:ascii="Times New Roman" w:cs="Times New Roman" w:eastAsia="Times New Roman" w:hAnsi="Times New Roman"/>
          <w:sz w:val="14"/>
          <w:szCs w:val="14"/>
          <w:color w:val="auto"/>
        </w:rPr>
      </w:pPr>
    </w:p>
    <w:p>
      <w:pPr>
        <w:ind w:left="1000" w:right="31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the global security;</w:t>
      </w:r>
    </w:p>
    <w:p>
      <w:pPr>
        <w:spacing w:after="0" w:line="53" w:lineRule="exact"/>
        <w:rPr>
          <w:rFonts w:ascii="Times New Roman" w:cs="Times New Roman" w:eastAsia="Times New Roman" w:hAnsi="Times New Roman"/>
          <w:sz w:val="14"/>
          <w:szCs w:val="14"/>
          <w:color w:val="auto"/>
        </w:rPr>
      </w:pPr>
    </w:p>
    <w:p>
      <w:pPr>
        <w:ind w:left="1000" w:right="45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53" w:lineRule="exact"/>
        <w:rPr>
          <w:rFonts w:ascii="Times New Roman" w:cs="Times New Roman" w:eastAsia="Times New Roman" w:hAnsi="Times New Roman"/>
          <w:sz w:val="14"/>
          <w:szCs w:val="14"/>
          <w:color w:val="auto"/>
        </w:rPr>
      </w:pPr>
    </w:p>
    <w:p>
      <w:pPr>
        <w:ind w:left="1000" w:right="49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53" w:lineRule="exact"/>
        <w:rPr>
          <w:rFonts w:ascii="Times New Roman" w:cs="Times New Roman" w:eastAsia="Times New Roman" w:hAnsi="Times New Roman"/>
          <w:sz w:val="14"/>
          <w:szCs w:val="14"/>
          <w:color w:val="auto"/>
        </w:rPr>
      </w:pPr>
    </w:p>
    <w:p>
      <w:pPr>
        <w:ind w:left="1000" w:right="459" w:hanging="326"/>
        <w:spacing w:after="0" w:line="278" w:lineRule="auto"/>
        <w:tabs>
          <w:tab w:leader="none" w:pos="10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27" w:lineRule="exact"/>
        <w:rPr>
          <w:sz w:val="20"/>
          <w:szCs w:val="20"/>
          <w:color w:val="auto"/>
        </w:rPr>
      </w:pPr>
    </w:p>
    <w:p>
      <w:pPr>
        <w:ind w:left="260" w:right="459" w:firstLine="340"/>
        <w:spacing w:after="0" w:line="278" w:lineRule="auto"/>
        <w:rPr>
          <w:sz w:val="20"/>
          <w:szCs w:val="20"/>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91" w:lineRule="exact"/>
        <w:rPr>
          <w:sz w:val="20"/>
          <w:szCs w:val="20"/>
          <w:color w:val="auto"/>
        </w:rPr>
      </w:pPr>
    </w:p>
    <w:p>
      <w:pPr>
        <w:ind w:left="260" w:right="439" w:firstLine="340"/>
        <w:spacing w:after="0" w:line="258"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40" w:lineRule="exact"/>
        <w:rPr>
          <w:sz w:val="20"/>
          <w:szCs w:val="20"/>
          <w:color w:val="auto"/>
        </w:rPr>
      </w:pPr>
    </w:p>
    <w:p>
      <w:pPr>
        <w:ind w:left="260" w:right="559" w:firstLine="340"/>
        <w:spacing w:after="0" w:line="278"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global security will terminate when the following special situations occur:</w:t>
      </w:r>
    </w:p>
    <w:p>
      <w:pPr>
        <w:spacing w:after="0" w:line="54" w:lineRule="exact"/>
        <w:rPr>
          <w:sz w:val="20"/>
          <w:szCs w:val="20"/>
          <w:color w:val="auto"/>
        </w:rPr>
      </w:pPr>
    </w:p>
    <w:p>
      <w:pPr>
        <w:ind w:left="1000" w:right="459" w:hanging="326"/>
        <w:spacing w:after="0" w:line="278" w:lineRule="auto"/>
        <w:tabs>
          <w:tab w:leader="none" w:pos="10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58" w:name="page59"/>
    <w:bookmarkEnd w:id="58"/>
    <w:p>
      <w:pPr>
        <w:ind w:left="260" w:right="419" w:firstLine="340"/>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SELLING SECURITYHOLDERS</w:t>
      </w:r>
    </w:p>
    <w:p>
      <w:pPr>
        <w:spacing w:after="0" w:line="174" w:lineRule="exact"/>
        <w:rPr>
          <w:sz w:val="20"/>
          <w:szCs w:val="20"/>
          <w:color w:val="auto"/>
        </w:rPr>
      </w:pPr>
    </w:p>
    <w:p>
      <w:pPr>
        <w:ind w:left="260" w:right="759" w:firstLine="340"/>
        <w:spacing w:after="0" w:line="278" w:lineRule="auto"/>
        <w:rPr>
          <w:sz w:val="20"/>
          <w:szCs w:val="20"/>
          <w:color w:val="auto"/>
        </w:rPr>
      </w:pPr>
      <w:r>
        <w:rPr>
          <w:rFonts w:ascii="Times New Roman" w:cs="Times New Roman" w:eastAsia="Times New Roman" w:hAnsi="Times New Roman"/>
          <w:sz w:val="14"/>
          <w:szCs w:val="14"/>
          <w:color w:val="auto"/>
        </w:rPr>
        <w:t>Information about selling securityholders, if applicable, will be set forth in a prospectus supplement, in a post-effective amendment to this registration statement, or in filings we make with the SEC under the Exchange Act that are incorporated by reference.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7"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PLAN OF DISTRIBUTION</w:t>
      </w:r>
    </w:p>
    <w:p>
      <w:pPr>
        <w:spacing w:after="0" w:line="174" w:lineRule="exact"/>
        <w:rPr>
          <w:sz w:val="20"/>
          <w:szCs w:val="20"/>
          <w:color w:val="auto"/>
        </w:rPr>
      </w:pPr>
    </w:p>
    <w:p>
      <w:pPr>
        <w:ind w:left="260" w:right="299" w:firstLine="340"/>
        <w:spacing w:after="0" w:line="255" w:lineRule="auto"/>
        <w:rPr>
          <w:sz w:val="20"/>
          <w:szCs w:val="20"/>
          <w:color w:val="auto"/>
        </w:rPr>
      </w:pPr>
      <w:r>
        <w:rPr>
          <w:rFonts w:ascii="Times New Roman" w:cs="Times New Roman" w:eastAsia="Times New Roman" w:hAnsi="Times New Roman"/>
          <w:sz w:val="14"/>
          <w:szCs w:val="14"/>
          <w:color w:val="auto"/>
        </w:rPr>
        <w:t>We or selling securityholders may sell the securities covered hereby from time to time pursuant to underwritten public offerings, direct sales to the public, “at the market” offerings, negotiated transactions, block trades or a combination of these methods. A distribution of these securities offered by this prospectus may also be effected through the issuance of derivative securities, including without limitation, warrants. We or selling securityholders may sell the securities to or through underwriters or dealers, through agents, or directly to one or more purchasers. We or selling securityholders may distribute securities from time to time in one or more transactions:</w:t>
      </w:r>
    </w:p>
    <w:p>
      <w:pPr>
        <w:spacing w:after="0" w:line="71" w:lineRule="exact"/>
        <w:rPr>
          <w:sz w:val="20"/>
          <w:szCs w:val="20"/>
          <w:color w:val="auto"/>
        </w:rPr>
      </w:pPr>
    </w:p>
    <w:p>
      <w:pPr>
        <w:ind w:left="1000" w:hanging="326"/>
        <w:spacing w:after="0"/>
        <w:tabs>
          <w:tab w:leader="none" w:pos="10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2" w:lineRule="exact"/>
        <w:rPr>
          <w:sz w:val="20"/>
          <w:szCs w:val="20"/>
          <w:color w:val="auto"/>
        </w:rPr>
      </w:pPr>
    </w:p>
    <w:p>
      <w:pPr>
        <w:ind w:left="260" w:right="319" w:firstLine="340"/>
        <w:spacing w:after="0" w:line="258" w:lineRule="auto"/>
        <w:rPr>
          <w:sz w:val="20"/>
          <w:szCs w:val="20"/>
          <w:color w:val="auto"/>
        </w:rPr>
      </w:pPr>
      <w:r>
        <w:rPr>
          <w:rFonts w:ascii="Times New Roman" w:cs="Times New Roman" w:eastAsia="Times New Roman" w:hAnsi="Times New Roman"/>
          <w:sz w:val="14"/>
          <w:szCs w:val="14"/>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67" w:lineRule="exact"/>
        <w:rPr>
          <w:sz w:val="20"/>
          <w:szCs w:val="20"/>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if any;</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the selling securityholders if any;</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w:t>
      </w:r>
    </w:p>
    <w:p>
      <w:pPr>
        <w:spacing w:after="0" w:line="99" w:lineRule="exact"/>
        <w:rPr>
          <w:rFonts w:ascii="Times New Roman" w:cs="Times New Roman" w:eastAsia="Times New Roman" w:hAnsi="Times New Roman"/>
          <w:sz w:val="14"/>
          <w:szCs w:val="14"/>
          <w:color w:val="auto"/>
        </w:rPr>
      </w:pPr>
    </w:p>
    <w:p>
      <w:pPr>
        <w:ind w:left="1000" w:right="579" w:hanging="326"/>
        <w:spacing w:after="0" w:line="278" w:lineRule="auto"/>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options to purchase additional shares or other options under which underwriters, dealers, agents or other purchasers may purchase additional securities from us or any selling securityholders;</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9"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72" w:lineRule="exact"/>
        <w:rPr>
          <w:sz w:val="20"/>
          <w:szCs w:val="20"/>
          <w:color w:val="auto"/>
        </w:rPr>
      </w:pPr>
    </w:p>
    <w:p>
      <w:pPr>
        <w:ind w:left="260" w:right="279" w:firstLine="340"/>
        <w:spacing w:after="0" w:line="258" w:lineRule="auto"/>
        <w:rPr>
          <w:sz w:val="20"/>
          <w:szCs w:val="20"/>
          <w:color w:val="auto"/>
        </w:rPr>
      </w:pPr>
      <w:r>
        <w:rPr>
          <w:rFonts w:ascii="Times New Roman" w:cs="Times New Roman" w:eastAsia="Times New Roman" w:hAnsi="Times New Roman"/>
          <w:sz w:val="14"/>
          <w:szCs w:val="14"/>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40" w:lineRule="exact"/>
        <w:rPr>
          <w:sz w:val="20"/>
          <w:szCs w:val="20"/>
          <w:color w:val="auto"/>
        </w:rPr>
      </w:pPr>
    </w:p>
    <w:p>
      <w:pPr>
        <w:ind w:left="260" w:right="319" w:firstLine="340"/>
        <w:spacing w:after="0" w:line="252" w:lineRule="auto"/>
        <w:rPr>
          <w:sz w:val="20"/>
          <w:szCs w:val="20"/>
          <w:color w:val="auto"/>
        </w:rPr>
      </w:pPr>
      <w:r>
        <w:rPr>
          <w:rFonts w:ascii="Times New Roman" w:cs="Times New Roman" w:eastAsia="Times New Roman" w:hAnsi="Times New Roman"/>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7" w:right="1440" w:bottom="1440" w:gutter="0" w:footer="0" w:header="0"/>
        </w:sectPr>
      </w:pPr>
    </w:p>
    <w:bookmarkStart w:id="61" w:name="page62"/>
    <w:bookmarkEnd w:id="61"/>
    <w:p>
      <w:pPr>
        <w:ind w:left="260" w:right="439" w:firstLine="340"/>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37" w:lineRule="exact"/>
        <w:rPr>
          <w:sz w:val="20"/>
          <w:szCs w:val="20"/>
          <w:color w:val="auto"/>
        </w:rPr>
      </w:pPr>
    </w:p>
    <w:p>
      <w:pPr>
        <w:ind w:left="260" w:right="299" w:firstLine="340"/>
        <w:spacing w:after="0" w:line="258"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0" w:lineRule="exact"/>
        <w:rPr>
          <w:sz w:val="20"/>
          <w:szCs w:val="20"/>
          <w:color w:val="auto"/>
        </w:rPr>
      </w:pPr>
    </w:p>
    <w:p>
      <w:pPr>
        <w:ind w:left="260" w:right="719" w:firstLine="340"/>
        <w:spacing w:after="0" w:line="263"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37" w:lineRule="exact"/>
        <w:rPr>
          <w:sz w:val="20"/>
          <w:szCs w:val="20"/>
          <w:color w:val="auto"/>
        </w:rPr>
      </w:pPr>
    </w:p>
    <w:p>
      <w:pPr>
        <w:ind w:left="260" w:right="339" w:firstLine="340"/>
        <w:spacing w:after="0" w:line="278" w:lineRule="auto"/>
        <w:rPr>
          <w:sz w:val="20"/>
          <w:szCs w:val="20"/>
          <w:color w:val="auto"/>
        </w:rPr>
      </w:pPr>
      <w:r>
        <w:rPr>
          <w:rFonts w:ascii="Times New Roman" w:cs="Times New Roman" w:eastAsia="Times New Roman" w:hAnsi="Times New Roman"/>
          <w:sz w:val="14"/>
          <w:szCs w:val="14"/>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27" w:lineRule="exact"/>
        <w:rPr>
          <w:sz w:val="20"/>
          <w:szCs w:val="20"/>
          <w:color w:val="auto"/>
        </w:rPr>
      </w:pPr>
    </w:p>
    <w:p>
      <w:pPr>
        <w:ind w:left="260" w:right="379" w:firstLine="340"/>
        <w:spacing w:after="0" w:line="254" w:lineRule="auto"/>
        <w:rPr>
          <w:sz w:val="20"/>
          <w:szCs w:val="20"/>
          <w:color w:val="auto"/>
        </w:rPr>
      </w:pPr>
      <w:r>
        <w:rPr>
          <w:rFonts w:ascii="Times New Roman" w:cs="Times New Roman" w:eastAsia="Times New Roman" w:hAnsi="Times New Roman"/>
          <w:sz w:val="14"/>
          <w:szCs w:val="14"/>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Class A common stock, which is listed on the Nasdaq Global Select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43"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46" w:lineRule="exact"/>
        <w:rPr>
          <w:sz w:val="20"/>
          <w:szCs w:val="20"/>
          <w:color w:val="auto"/>
        </w:rPr>
      </w:pPr>
    </w:p>
    <w:p>
      <w:pPr>
        <w:ind w:left="260" w:right="359" w:firstLine="340"/>
        <w:spacing w:after="0" w:line="275" w:lineRule="auto"/>
        <w:rPr>
          <w:sz w:val="20"/>
          <w:szCs w:val="20"/>
          <w:color w:val="auto"/>
        </w:rPr>
      </w:pPr>
      <w:r>
        <w:rPr>
          <w:rFonts w:ascii="Times New Roman" w:cs="Times New Roman" w:eastAsia="Times New Roman" w:hAnsi="Times New Roman"/>
          <w:sz w:val="13"/>
          <w:szCs w:val="13"/>
          <w:color w:val="auto"/>
        </w:rPr>
        <w:t>Any underwriters or agents who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MATTERS</w:t>
      </w:r>
    </w:p>
    <w:p>
      <w:pPr>
        <w:spacing w:after="0" w:line="174" w:lineRule="exact"/>
        <w:rPr>
          <w:sz w:val="20"/>
          <w:szCs w:val="20"/>
          <w:color w:val="auto"/>
        </w:rPr>
      </w:pPr>
    </w:p>
    <w:p>
      <w:pPr>
        <w:ind w:left="260" w:right="379" w:firstLine="340"/>
        <w:spacing w:after="0" w:line="26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certain legal matters in connection with the offering and the validity of the securities offered by this prospectus, and any supplement thereto, will be passed upon by Cooley LLP, Boston, Massachusetts. Additional legal matters may be passed upon for us or any underwriters, dealers or agents, by counsel that we will name in the applicable prospectus supplement.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260" w:right="379" w:firstLine="340"/>
        <w:spacing w:after="0" w:line="293" w:lineRule="auto"/>
        <w:rPr>
          <w:sz w:val="20"/>
          <w:szCs w:val="20"/>
          <w:color w:val="auto"/>
        </w:rPr>
      </w:pPr>
      <w:r>
        <w:rPr>
          <w:rFonts w:ascii="Times New Roman" w:cs="Times New Roman" w:eastAsia="Times New Roman" w:hAnsi="Times New Roman"/>
          <w:sz w:val="13"/>
          <w:szCs w:val="13"/>
          <w:color w:val="auto"/>
        </w:rPr>
        <w:t>The financial statements of Xometry, Inc. incorporated by reference in this Prospectus, and the effectiveness of Xometry,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9" w:lineRule="exact"/>
        <w:rPr>
          <w:sz w:val="20"/>
          <w:szCs w:val="20"/>
          <w:color w:val="auto"/>
        </w:rPr>
      </w:pPr>
    </w:p>
    <w:p>
      <w:pPr>
        <w:jc w:val="both"/>
        <w:ind w:left="260" w:right="419" w:firstLine="340"/>
        <w:spacing w:after="0" w:line="263" w:lineRule="auto"/>
        <w:rPr>
          <w:sz w:val="20"/>
          <w:szCs w:val="20"/>
          <w:color w:val="auto"/>
        </w:rPr>
      </w:pPr>
      <w:r>
        <w:rPr>
          <w:rFonts w:ascii="Times New Roman" w:cs="Times New Roman" w:eastAsia="Times New Roman" w:hAnsi="Times New Roman"/>
          <w:sz w:val="14"/>
          <w:szCs w:val="14"/>
          <w:color w:val="auto"/>
        </w:rPr>
        <w:t>The consolidated financial statements of Xometry, Inc. as of and for the fiscal year ended December 31, 2024, incorporated by reference in this Prospectus have been audited by KPMG LLP, an independent registered public accounting firm, as stated in their report. Such financial statements are incorporated by reference in reliance upon the report of such firm, given their authority as experts in accounting and auditing.</w:t>
      </w:r>
    </w:p>
    <w:p>
      <w:pPr>
        <w:spacing w:after="0" w:line="137" w:lineRule="exact"/>
        <w:rPr>
          <w:sz w:val="20"/>
          <w:szCs w:val="20"/>
          <w:color w:val="auto"/>
        </w:rPr>
      </w:pPr>
    </w:p>
    <w:p>
      <w:pPr>
        <w:jc w:val="both"/>
        <w:ind w:left="260" w:right="359" w:firstLine="340"/>
        <w:spacing w:after="0" w:line="263" w:lineRule="auto"/>
        <w:rPr>
          <w:sz w:val="20"/>
          <w:szCs w:val="20"/>
          <w:color w:val="auto"/>
        </w:rPr>
      </w:pPr>
      <w:r>
        <w:rPr>
          <w:rFonts w:ascii="Times New Roman" w:cs="Times New Roman" w:eastAsia="Times New Roman" w:hAnsi="Times New Roman"/>
          <w:sz w:val="14"/>
          <w:szCs w:val="14"/>
          <w:color w:val="auto"/>
        </w:rPr>
        <w:t>Xometry, Inc. has agreed to indemnify and hold KPMG LLP harmless against and from any and all legal costs and expenses incurred by KPMG LLP in successful defense of any legal action or proceeding that arises as a result of KPMG LLP’s consent to the incorporation by reference of its audit report on Xometry, Inc.’s past financial statements incorporated by reference in this registration statement.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or incorporated by reference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than the information contained in or incorporated by reference in this prospectus.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at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 xml:space="preserve">www.sec.gov </w:t>
      </w:r>
      <w:r>
        <w:rPr>
          <w:rFonts w:ascii="Times New Roman" w:cs="Times New Roman" w:eastAsia="Times New Roman" w:hAnsi="Times New Roman"/>
          <w:sz w:val="13"/>
          <w:szCs w:val="13"/>
          <w:color w:val="auto"/>
        </w:rPr>
        <w:t>that contains reports, proxy and information statements, and other information regarding issuers, such as us, that file electronically with the</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w:t>
      </w:r>
    </w:p>
    <w:p>
      <w:pPr>
        <w:spacing w:after="0" w:line="155" w:lineRule="exact"/>
        <w:rPr>
          <w:sz w:val="20"/>
          <w:szCs w:val="20"/>
          <w:color w:val="auto"/>
        </w:rPr>
      </w:pPr>
    </w:p>
    <w:p>
      <w:pPr>
        <w:ind w:left="260" w:right="299" w:firstLine="340"/>
        <w:spacing w:after="0" w:line="265" w:lineRule="auto"/>
        <w:rPr>
          <w:sz w:val="20"/>
          <w:szCs w:val="20"/>
          <w:color w:val="auto"/>
        </w:rPr>
      </w:pPr>
      <w:r>
        <w:rPr>
          <w:rFonts w:ascii="Times New Roman" w:cs="Times New Roman" w:eastAsia="Times New Roman" w:hAnsi="Times New Roman"/>
          <w:sz w:val="14"/>
          <w:szCs w:val="14"/>
          <w:color w:val="auto"/>
        </w:rPr>
        <w:t xml:space="preserve">Copies of certain information filed by us with the SEC are also available on our website at </w:t>
      </w:r>
      <w:r>
        <w:rPr>
          <w:rFonts w:ascii="Times New Roman" w:cs="Times New Roman" w:eastAsia="Times New Roman" w:hAnsi="Times New Roman"/>
          <w:sz w:val="14"/>
          <w:szCs w:val="14"/>
          <w:i w:val="1"/>
          <w:iCs w:val="1"/>
          <w:color w:val="auto"/>
        </w:rPr>
        <w:t>www.xometry.com</w:t>
      </w:r>
      <w:r>
        <w:rPr>
          <w:rFonts w:ascii="Times New Roman" w:cs="Times New Roman" w:eastAsia="Times New Roman" w:hAnsi="Times New Roman"/>
          <w:sz w:val="14"/>
          <w:szCs w:val="14"/>
          <w:color w:val="auto"/>
        </w:rPr>
        <w:t>. Information contained in or accessible through our website does not constitute a part of this prospectus and is not incorporated by reference in this prospectus. We have included our website address as an inactive textual reference only.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4" w:lineRule="exact"/>
        <w:rPr>
          <w:sz w:val="20"/>
          <w:szCs w:val="20"/>
          <w:color w:val="auto"/>
        </w:rPr>
      </w:pPr>
    </w:p>
    <w:p>
      <w:pPr>
        <w:ind w:left="260" w:right="319" w:firstLine="340"/>
        <w:spacing w:after="0" w:line="278"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7" w:right="1440" w:bottom="1440" w:gutter="0" w:footer="0" w:header="0"/>
        </w:sectPr>
      </w:pPr>
    </w:p>
    <w:bookmarkStart w:id="63" w:name="page64"/>
    <w:bookmarkEnd w:id="63"/>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documents incorporated by reference into this prospectus contain important information that you should read about us.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documents are incorporated by reference into this document:</w:t>
      </w:r>
    </w:p>
    <w:p>
      <w:pPr>
        <w:spacing w:after="0" w:line="99" w:lineRule="exact"/>
        <w:rPr>
          <w:sz w:val="20"/>
          <w:szCs w:val="20"/>
          <w:color w:val="auto"/>
        </w:rPr>
      </w:pPr>
    </w:p>
    <w:p>
      <w:pPr>
        <w:ind w:left="1000" w:hanging="326"/>
        <w:spacing w:after="0"/>
        <w:tabs>
          <w:tab w:leader="none" w:pos="10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24, 2026;</w:t>
      </w:r>
    </w:p>
    <w:p>
      <w:pPr>
        <w:spacing w:after="0" w:line="99" w:lineRule="exact"/>
        <w:rPr>
          <w:rFonts w:ascii="Times New Roman" w:cs="Times New Roman" w:eastAsia="Times New Roman" w:hAnsi="Times New Roman"/>
          <w:sz w:val="14"/>
          <w:szCs w:val="14"/>
          <w:color w:val="auto"/>
        </w:rPr>
      </w:pPr>
    </w:p>
    <w:p>
      <w:pPr>
        <w:ind w:left="1000" w:right="359" w:hanging="326"/>
        <w:spacing w:after="0" w:line="278" w:lineRule="auto"/>
        <w:tabs>
          <w:tab w:leader="none" w:pos="10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Definitive Proxy Statement on </w:t>
      </w:r>
      <w:hyperlink r:id="rId40">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29, 2026;</w:t>
      </w:r>
    </w:p>
    <w:p>
      <w:pPr>
        <w:spacing w:after="0" w:line="53" w:lineRule="exact"/>
        <w:rPr>
          <w:rFonts w:ascii="Times New Roman" w:cs="Times New Roman" w:eastAsia="Times New Roman" w:hAnsi="Times New Roman"/>
          <w:sz w:val="14"/>
          <w:szCs w:val="14"/>
          <w:color w:val="auto"/>
        </w:rPr>
      </w:pPr>
    </w:p>
    <w:p>
      <w:pPr>
        <w:ind w:left="1000" w:hanging="326"/>
        <w:spacing w:after="0"/>
        <w:tabs>
          <w:tab w:leader="none" w:pos="10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fiscal quarter ended March 31, 2026, filed with the SEC on </w:t>
      </w:r>
      <w:hyperlink r:id="rId41">
        <w:r>
          <w:rPr>
            <w:rFonts w:ascii="Times New Roman" w:cs="Times New Roman" w:eastAsia="Times New Roman" w:hAnsi="Times New Roman"/>
            <w:sz w:val="14"/>
            <w:szCs w:val="14"/>
            <w:u w:val="single" w:color="auto"/>
            <w:color w:val="0000EE"/>
          </w:rPr>
          <w:t>May 7, 2026</w:t>
        </w:r>
      </w:hyperlink>
      <w:r>
        <w:rPr>
          <w:rFonts w:ascii="Times New Roman" w:cs="Times New Roman" w:eastAsia="Times New Roman" w:hAnsi="Times New Roman"/>
          <w:sz w:val="14"/>
          <w:szCs w:val="14"/>
          <w:color w:val="auto"/>
        </w:rPr>
        <w:t>;</w:t>
      </w:r>
    </w:p>
    <w:p>
      <w:pPr>
        <w:spacing w:after="0" w:line="99" w:lineRule="exact"/>
        <w:rPr>
          <w:rFonts w:ascii="Times New Roman" w:cs="Times New Roman" w:eastAsia="Times New Roman" w:hAnsi="Times New Roman"/>
          <w:sz w:val="14"/>
          <w:szCs w:val="14"/>
          <w:color w:val="auto"/>
        </w:rPr>
      </w:pPr>
    </w:p>
    <w:p>
      <w:pPr>
        <w:ind w:left="1000" w:right="359" w:hanging="326"/>
        <w:spacing w:after="0" w:line="278" w:lineRule="auto"/>
        <w:tabs>
          <w:tab w:leader="none" w:pos="10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42">
        <w:r>
          <w:rPr>
            <w:rFonts w:ascii="Times New Roman" w:cs="Times New Roman" w:eastAsia="Times New Roman" w:hAnsi="Times New Roman"/>
            <w:sz w:val="14"/>
            <w:szCs w:val="14"/>
            <w:u w:val="single" w:color="auto"/>
            <w:color w:val="0000EE"/>
          </w:rPr>
          <w:t>February 24, 2026</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EE"/>
          </w:rPr>
          <w:t>May 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4">
        <w:r>
          <w:rPr>
            <w:rFonts w:ascii="Times New Roman" w:cs="Times New Roman" w:eastAsia="Times New Roman" w:hAnsi="Times New Roman"/>
            <w:sz w:val="14"/>
            <w:szCs w:val="14"/>
            <w:u w:val="single" w:color="auto"/>
            <w:color w:val="0000EE"/>
          </w:rPr>
          <w:t>May 21, 2026</w:t>
        </w:r>
      </w:hyperlink>
      <w:r>
        <w:rPr>
          <w:rFonts w:ascii="Times New Roman" w:cs="Times New Roman" w:eastAsia="Times New Roman" w:hAnsi="Times New Roman"/>
          <w:sz w:val="14"/>
          <w:szCs w:val="14"/>
          <w:color w:val="auto"/>
        </w:rPr>
        <w:t>, to the extent the information in such reports is filed and not furnished; and</w:t>
      </w:r>
    </w:p>
    <w:p>
      <w:pPr>
        <w:spacing w:after="0" w:line="53" w:lineRule="exact"/>
        <w:rPr>
          <w:rFonts w:ascii="Times New Roman" w:cs="Times New Roman" w:eastAsia="Times New Roman" w:hAnsi="Times New Roman"/>
          <w:sz w:val="14"/>
          <w:szCs w:val="14"/>
          <w:color w:val="auto"/>
        </w:rPr>
      </w:pPr>
    </w:p>
    <w:p>
      <w:pPr>
        <w:ind w:left="1000" w:right="419" w:hanging="326"/>
        <w:spacing w:after="0" w:line="263" w:lineRule="auto"/>
        <w:tabs>
          <w:tab w:leader="none" w:pos="10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common stock contained in </w:t>
      </w:r>
      <w:hyperlink r:id="rId45">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2021, filed with the SEC on March 18, 2022, and any amendment or report filed with the SEC for the purpose of updating such description.</w:t>
      </w:r>
    </w:p>
    <w:p>
      <w:pPr>
        <w:spacing w:after="0" w:line="137" w:lineRule="exact"/>
        <w:rPr>
          <w:rFonts w:ascii="Times New Roman" w:cs="Times New Roman" w:eastAsia="Times New Roman" w:hAnsi="Times New Roman"/>
          <w:sz w:val="14"/>
          <w:szCs w:val="14"/>
          <w:color w:val="auto"/>
        </w:rPr>
      </w:pPr>
    </w:p>
    <w:p>
      <w:pPr>
        <w:ind w:left="260" w:right="379" w:firstLine="340"/>
        <w:spacing w:after="0" w:line="255"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These documents include periodic reports, such as Annual Reports on Form 10-K, Quarterly Reports on Form 10-Q and Current Reports on Form 8-K, as well as proxy statements.</w:t>
      </w:r>
    </w:p>
    <w:p>
      <w:pPr>
        <w:spacing w:after="0" w:line="144" w:lineRule="exact"/>
        <w:rPr>
          <w:rFonts w:ascii="Times New Roman" w:cs="Times New Roman" w:eastAsia="Times New Roman" w:hAnsi="Times New Roman"/>
          <w:sz w:val="14"/>
          <w:szCs w:val="14"/>
          <w:color w:val="auto"/>
        </w:rPr>
      </w:pPr>
    </w:p>
    <w:p>
      <w:pPr>
        <w:ind w:left="260" w:right="339" w:firstLine="340"/>
        <w:spacing w:after="0" w:line="258"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Xometry, Inc., Attn: Secretary, 6116 Executive Boulevard, Suite 800, North Bethesda, Maryland 20852, and our telephone number is (240) 335-7914.</w:t>
      </w:r>
    </w:p>
    <w:p>
      <w:pPr>
        <w:spacing w:after="0" w:line="140" w:lineRule="exact"/>
        <w:rPr>
          <w:rFonts w:ascii="Times New Roman" w:cs="Times New Roman" w:eastAsia="Times New Roman" w:hAnsi="Times New Roman"/>
          <w:sz w:val="14"/>
          <w:szCs w:val="14"/>
          <w:color w:val="auto"/>
        </w:rPr>
      </w:pPr>
    </w:p>
    <w:p>
      <w:pPr>
        <w:ind w:left="260" w:right="319" w:firstLine="340"/>
        <w:spacing w:after="0" w:line="263" w:lineRule="auto"/>
        <w:rPr>
          <w:sz w:val="20"/>
          <w:szCs w:val="20"/>
          <w:color w:val="auto"/>
        </w:rPr>
      </w:pPr>
      <w:r>
        <w:rPr>
          <w:rFonts w:ascii="Times New Roman" w:cs="Times New Roman" w:eastAsia="Times New Roman" w:hAnsi="Times New Roman"/>
          <w:sz w:val="14"/>
          <w:szCs w:val="14"/>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8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1078230</wp:posOffset>
            </wp:positionH>
            <wp:positionV relativeFrom="page">
              <wp:posOffset>181610</wp:posOffset>
            </wp:positionV>
            <wp:extent cx="539242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392420" cy="13335"/>
                    </a:xfrm>
                    <a:prstGeom prst="rect">
                      <a:avLst/>
                    </a:prstGeom>
                    <a:noFill/>
                  </pic:spPr>
                </pic:pic>
              </a:graphicData>
            </a:graphic>
          </wp:anchor>
        </w:drawing>
        <w:drawing>
          <wp:anchor simplePos="0" relativeHeight="251657728" behindDoc="1" locked="0" layoutInCell="0" allowOverlap="1">
            <wp:simplePos x="0" y="0"/>
            <wp:positionH relativeFrom="page">
              <wp:posOffset>1078230</wp:posOffset>
            </wp:positionH>
            <wp:positionV relativeFrom="page">
              <wp:posOffset>220980</wp:posOffset>
            </wp:positionV>
            <wp:extent cx="539242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392420" cy="6350"/>
                    </a:xfrm>
                    <a:prstGeom prst="rect">
                      <a:avLst/>
                    </a:prstGeom>
                    <a:noFill/>
                  </pic:spPr>
                </pic:pic>
              </a:graphicData>
            </a:graphic>
          </wp:anchor>
        </w:drawing>
        <w:t>2,647,059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266700</wp:posOffset>
            </wp:positionV>
            <wp:extent cx="1863725" cy="416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186372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Xometry, Inc.</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1296035</wp:posOffset>
            </wp:positionV>
            <wp:extent cx="11366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182245</wp:posOffset>
            </wp:positionV>
            <wp:extent cx="11366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1366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ectPr>
          <w:pgSz w:w="11900" w:h="16838" w:orient="portrait"/>
          <w:cols w:equalWidth="0" w:num="1">
            <w:col w:w="9019"/>
          </w:cols>
          <w:pgMar w:left="1440" w:top="663" w:right="1440" w:bottom="1440" w:gutter="0" w:footer="0" w:header="0"/>
        </w:sectPr>
      </w:pP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185" w:lineRule="exact"/>
        <w:rPr>
          <w:sz w:val="20"/>
          <w:szCs w:val="20"/>
          <w:color w:val="auto"/>
        </w:rPr>
      </w:pPr>
    </w:p>
    <w:p>
      <w:pPr>
        <w:sectPr>
          <w:pgSz w:w="11900" w:h="16838" w:orient="portrait"/>
          <w:cols w:equalWidth="0" w:num="2">
            <w:col w:w="5400" w:space="720"/>
            <w:col w:w="2899"/>
          </w:cols>
          <w:pgMar w:left="1440" w:top="66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Book-Running Managers</w:t>
      </w:r>
    </w:p>
    <w:p>
      <w:pPr>
        <w:sectPr>
          <w:pgSz w:w="11900" w:h="16838" w:orient="portrait"/>
          <w:cols w:equalWidth="0" w:num="1">
            <w:col w:w="9019"/>
          </w:cols>
          <w:pgMar w:left="1440" w:top="663" w:right="1440" w:bottom="1440" w:gutter="0" w:footer="0" w:header="0"/>
          <w:type w:val="continuous"/>
        </w:sectPr>
      </w:pP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color w:val="auto"/>
        </w:rPr>
        <w:t>William Blair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Citizens Capital Markets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Cantor</w:t>
      </w:r>
    </w:p>
    <w:p>
      <w:pPr>
        <w:spacing w:after="0" w:line="182" w:lineRule="exact"/>
        <w:rPr>
          <w:sz w:val="20"/>
          <w:szCs w:val="20"/>
          <w:color w:val="auto"/>
        </w:rPr>
      </w:pPr>
    </w:p>
    <w:p>
      <w:pPr>
        <w:sectPr>
          <w:pgSz w:w="11900" w:h="16838" w:orient="portrait"/>
          <w:cols w:equalWidth="0" w:num="3">
            <w:col w:w="3220" w:space="720"/>
            <w:col w:w="3500" w:space="720"/>
            <w:col w:w="859"/>
          </w:cols>
          <w:pgMar w:left="1440" w:top="66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Co-Manager</w:t>
      </w:r>
    </w:p>
    <w:p>
      <w:pPr>
        <w:sectPr>
          <w:pgSz w:w="11900" w:h="16838" w:orient="portrait"/>
          <w:cols w:equalWidth="0" w:num="1">
            <w:col w:w="9019"/>
          </w:cols>
          <w:pgMar w:left="1440" w:top="663" w:right="1440"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Craig-Hallum</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337820</wp:posOffset>
            </wp:positionV>
            <wp:extent cx="539242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392420" cy="635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384175</wp:posOffset>
            </wp:positionV>
            <wp:extent cx="539242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5392420" cy="13335"/>
                    </a:xfrm>
                    <a:prstGeom prst="rect">
                      <a:avLst/>
                    </a:prstGeom>
                    <a:noFill/>
                  </pic:spPr>
                </pic:pic>
              </a:graphicData>
            </a:graphic>
          </wp:anchor>
        </w:drawing>
      </w:r>
    </w:p>
    <w:p>
      <w:pPr>
        <w:sectPr>
          <w:pgSz w:w="11900" w:h="16838" w:orient="portrait"/>
          <w:cols w:equalWidth="0" w:num="1">
            <w:col w:w="9019"/>
          </w:cols>
          <w:pgMar w:left="1440" w:top="663" w:right="1440" w:bottom="1440" w:gutter="0" w:footer="0" w:header="0"/>
          <w:type w:val="continuous"/>
        </w:sectPr>
      </w:pPr>
    </w:p>
    <w:bookmarkStart w:id="65" w:name="page66"/>
    <w:bookmarkEnd w:id="65"/>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Xometry,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1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64"/>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ind w:left="160"/>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9"/>
                <w:szCs w:val="9"/>
                <w:color w:val="auto"/>
              </w:rPr>
            </w:pPr>
          </w:p>
        </w:tc>
        <w:tc>
          <w:tcPr>
            <w:tcW w:w="900" w:type="dxa"/>
            <w:vAlign w:val="bottom"/>
            <w:shd w:val="clear" w:color="auto" w:fill="9ADAF6"/>
          </w:tcPr>
          <w:p>
            <w:pPr>
              <w:jc w:val="right"/>
              <w:spacing w:after="0" w:line="114" w:lineRule="exact"/>
              <w:rPr>
                <w:sz w:val="20"/>
                <w:szCs w:val="20"/>
                <w:color w:val="auto"/>
              </w:rPr>
            </w:pPr>
            <w:r>
              <w:rPr>
                <w:rFonts w:ascii="Arial" w:cs="Arial" w:eastAsia="Arial" w:hAnsi="Arial"/>
                <w:sz w:val="12"/>
                <w:szCs w:val="12"/>
                <w:b w:val="1"/>
                <w:bCs w:val="1"/>
                <w:color w:val="auto"/>
              </w:rPr>
              <w:t>Registered</w:t>
            </w: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9"/>
                <w:szCs w:val="9"/>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File</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Unsold</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3,044,117</w:t>
            </w:r>
          </w:p>
        </w:tc>
        <w:tc>
          <w:tcPr>
            <w:tcW w:w="20" w:type="dxa"/>
            <w:vAlign w:val="bottom"/>
          </w:tcPr>
          <w:p>
            <w:pPr>
              <w:spacing w:after="0"/>
              <w:rPr>
                <w:sz w:val="16"/>
                <w:szCs w:val="16"/>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$ 85.00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$ 35,733.37</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w w:val="98"/>
              </w:rPr>
              <w:t>258,749,945.00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w w:val="97"/>
              </w:rPr>
              <w:t>$0.000001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$ 35,733.37</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258,749,945.00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$ 35,733.37</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20" w:hanging="186"/>
        <w:spacing w:after="0" w:line="226" w:lineRule="auto"/>
        <w:tabs>
          <w:tab w:leader="none" w:pos="220" w:val="left"/>
        </w:tabs>
        <w:numPr>
          <w:ilvl w:val="0"/>
          <w:numId w:val="50"/>
        </w:numPr>
        <w:rPr>
          <w:rFonts w:ascii="Arial" w:cs="Arial" w:eastAsia="Arial" w:hAnsi="Arial"/>
          <w:sz w:val="21"/>
          <w:szCs w:val="21"/>
          <w:color w:val="auto"/>
          <w:vertAlign w:val="superscript"/>
        </w:rPr>
      </w:pPr>
      <w:r>
        <w:rPr>
          <w:rFonts w:ascii="Arial" w:cs="Arial" w:eastAsia="Arial" w:hAnsi="Arial"/>
          <w:sz w:val="17"/>
          <w:szCs w:val="17"/>
          <w:color w:val="auto"/>
        </w:rPr>
        <w:t>Calculated in accordance with Rule 457(r) under the Securities Act of 1933, as amended (the "Securities Act"). Payment of the registration fee at the time of filing of the registrant's Registration Statement on Form S-3 (File No. 333-282861) on June 1, 2026 was deferred pursuant to Rules 456(b) and 457(r) under the Securities Act and is paid herewith. (2) Includes 397,058 shares of Class A common stock that the underwriters have an option to purchase for 30 days after the date of the prospectus supplement to which this exhibit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494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0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217"/>
              <w:spacing w:after="0" w:line="18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0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1"/>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rPr>
              <w:t>Amount of</w:t>
            </w: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20"/>
              <w:spacing w:after="0" w:line="188"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9"/>
              </w:rPr>
              <w:t>Previously</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maximum aggregate offering price of the securities to which the prospectus relates is $258,749,945.00. The prospectus is a final prospectus for the</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1" w:right="239" w:bottom="7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Roman"/>
      <w:start w:val="1"/>
    </w:lvl>
  </w:abstractNum>
  <w:abstractNum w:abstractNumId="11">
    <w:nsid w:val="7C3DBD3D"/>
    <w:multiLevelType w:val="hybridMultilevel"/>
    <w:lvl w:ilvl="0">
      <w:lvlJc w:val="left"/>
      <w:lvlText w:val="(%1)"/>
      <w:numFmt w:val="lowerRoman"/>
      <w:start w:val="10"/>
    </w:lvl>
  </w:abstractNum>
  <w:abstractNum w:abstractNumId="12">
    <w:nsid w:val="737B8DDC"/>
    <w:multiLevelType w:val="hybridMultilevel"/>
    <w:lvl w:ilvl="0">
      <w:lvlJc w:val="left"/>
      <w:lvlText w:val="(%1)"/>
      <w:numFmt w:val="lowerRoman"/>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jpe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jpe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39" Type="http://schemas.openxmlformats.org/officeDocument/2006/relationships/hyperlink" Target="http://www.sec.gov/ix?doc=/Archives/edgar/data/1657573/000119312526066959/xmtr-20251231.htm" TargetMode="External"/><Relationship Id="rId40" Type="http://schemas.openxmlformats.org/officeDocument/2006/relationships/hyperlink" Target="http://www.sec.gov/ix?doc=/Archives/edgar/data/1657573/000119312526191498/xmtr-20260429.htm" TargetMode="External"/><Relationship Id="rId41" Type="http://schemas.openxmlformats.org/officeDocument/2006/relationships/hyperlink" Target="http://www.sec.gov/ix?doc=/Archives/edgar/data/1657573/000119312526211872/xmtr-20260331.htm" TargetMode="External"/><Relationship Id="rId42" Type="http://schemas.openxmlformats.org/officeDocument/2006/relationships/hyperlink" Target="http://www.sec.gov/ix?doc=/Archives/edgar/data/1657573/000119312526065196/xmtr-20260220.htm" TargetMode="External"/><Relationship Id="rId43" Type="http://schemas.openxmlformats.org/officeDocument/2006/relationships/hyperlink" Target="http://www.sec.gov/ix?doc=/Archives/edgar/data/1657573/000119312526214604/xmtr-20260506.htm" TargetMode="External"/><Relationship Id="rId44" Type="http://schemas.openxmlformats.org/officeDocument/2006/relationships/hyperlink" Target="http://www.sec.gov/ix?doc=/Archives/edgar/data/1657573/000119312526234396/xmtr-20260520.htm" TargetMode="External"/><Relationship Id="rId45" Type="http://schemas.openxmlformats.org/officeDocument/2006/relationships/hyperlink" Target="http://www.sec.gov/Archives/edgar/data/1657573/000095017022004158/xmtr-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2026-06-02T16:45:50Z</dcterms:created>
  <dcterms:modified xsi:type="dcterms:W3CDTF">2026-06-02T16:45:50Z</dcterms:modified>
</cp:coreProperties>
</file>