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22"/>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37"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On May 7, 2026, Xometry, Inc. (the “Company”) issued a press release announcing its first quarter financial results for the quarterly period ended March 31, 2026. A copy of the press release is furnished as Exhibit 99.1 to this report.</w:t>
      </w:r>
    </w:p>
    <w:p>
      <w:pPr>
        <w:spacing w:after="0" w:line="162"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306"/>
        </w:trPr>
        <w:tc>
          <w:tcPr>
            <w:tcW w:w="18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68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56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May 7, 2026.</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37"/>
        </w:trPr>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spacing w:after="0"/>
              <w:rPr>
                <w:sz w:val="20"/>
                <w:szCs w:val="20"/>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Record First Quarter 2026 Results</w:t>
      </w:r>
    </w:p>
    <w:p>
      <w:pPr>
        <w:spacing w:after="0" w:line="19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Q1 revenue increased 36% year-over-year to a record $205 million, driven by robust marketplace growth.</w:t>
      </w:r>
    </w:p>
    <w:p>
      <w:pPr>
        <w:spacing w:after="0" w:line="106" w:lineRule="exact"/>
        <w:rPr>
          <w:rFonts w:ascii="Times New Roman" w:cs="Times New Roman" w:eastAsia="Times New Roman" w:hAnsi="Times New Roman"/>
          <w:sz w:val="20"/>
          <w:szCs w:val="20"/>
          <w:color w:val="auto"/>
        </w:rPr>
      </w:pPr>
    </w:p>
    <w:p>
      <w:pPr>
        <w:ind w:left="1020" w:right="32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Q1 marketplace revenue growth accelerated to 40% year-over-year, driven by expanding networks of buyers and suppliers and increasing wallet share.</w:t>
      </w:r>
    </w:p>
    <w:p>
      <w:pPr>
        <w:spacing w:after="0" w:line="48" w:lineRule="exact"/>
        <w:rPr>
          <w:rFonts w:ascii="Times New Roman" w:cs="Times New Roman" w:eastAsia="Times New Roman" w:hAnsi="Times New Roman"/>
          <w:sz w:val="20"/>
          <w:szCs w:val="20"/>
          <w:color w:val="auto"/>
        </w:rPr>
      </w:pPr>
    </w:p>
    <w:p>
      <w:pPr>
        <w:ind w:left="1020" w:right="36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Q1 gross profit increased 39% year-over-year to a record $78.5 million, driven by strong marketplace growth and marketplace gross margin expansion.</w:t>
      </w:r>
    </w:p>
    <w:p>
      <w:pPr>
        <w:spacing w:after="0" w:line="48" w:lineRule="exact"/>
        <w:rPr>
          <w:rFonts w:ascii="Times New Roman" w:cs="Times New Roman" w:eastAsia="Times New Roman" w:hAnsi="Times New Roman"/>
          <w:sz w:val="20"/>
          <w:szCs w:val="20"/>
          <w:color w:val="auto"/>
        </w:rPr>
      </w:pPr>
    </w:p>
    <w:p>
      <w:pPr>
        <w:ind w:left="1020" w:right="86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Q1 Adjusted EBITDA improved $10.4 million year-over-year to Adjusted EBITDA of $10.5 million, driven by expanding marketplace gross margin and strong operating expense leverage.</w:t>
      </w:r>
    </w:p>
    <w:p>
      <w:pPr>
        <w:spacing w:after="0" w:line="48" w:lineRule="exact"/>
        <w:rPr>
          <w:rFonts w:ascii="Times New Roman" w:cs="Times New Roman" w:eastAsia="Times New Roman" w:hAnsi="Times New Roman"/>
          <w:sz w:val="20"/>
          <w:szCs w:val="20"/>
          <w:color w:val="auto"/>
        </w:rPr>
      </w:pPr>
    </w:p>
    <w:p>
      <w:pPr>
        <w:jc w:val="both"/>
        <w:ind w:left="1020" w:right="340" w:hanging="503"/>
        <w:spacing w:after="0" w:line="23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Announced a new strategic partnership with Siemens, to embed Xometry’s proprietary manufacturability, pricing, sourcing and execution intelligence directly within Siemens Xcelerator. Siemens is purchasing approximately $50 million of Xometry Class A common stock, underscoring its conviction that AI-powered intelligence will define the next generation of industrial software.</w:t>
      </w:r>
    </w:p>
    <w:p>
      <w:pPr>
        <w:spacing w:after="0" w:line="66" w:lineRule="exact"/>
        <w:rPr>
          <w:rFonts w:ascii="Times New Roman" w:cs="Times New Roman" w:eastAsia="Times New Roman" w:hAnsi="Times New Roman"/>
          <w:sz w:val="20"/>
          <w:szCs w:val="20"/>
          <w:color w:val="auto"/>
        </w:rPr>
      </w:pPr>
    </w:p>
    <w:p>
      <w:pPr>
        <w:ind w:left="1020" w:right="60" w:hanging="503"/>
        <w:spacing w:after="0" w:line="241"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Strong operating results were driven by consistent execution across growth initiatives: expanding buyer and supplier networks, driving deeper enterprise engagement, further expanding the marketplace platform, growing internationally, and enhancing services offerings.</w:t>
      </w:r>
    </w:p>
    <w:p>
      <w:pPr>
        <w:spacing w:after="0" w:line="303"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b w:val="1"/>
          <w:bCs w:val="1"/>
          <w:color w:val="auto"/>
        </w:rPr>
        <w:t>NORTH BETHESDA, MD., May 7, 2026 /Globe Newswire/</w:t>
      </w:r>
      <w:r>
        <w:rPr>
          <w:rFonts w:ascii="Arial" w:cs="Arial" w:eastAsia="Arial" w:hAnsi="Arial"/>
          <w:sz w:val="20"/>
          <w:szCs w:val="20"/>
          <w:color w:val="auto"/>
        </w:rPr>
        <w:t>-- Xometry, Inc. (NASDAQ: XMTR), the global AI-native marketplace</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connecting buyers and suppliers of custom manufacturing, today announced its financial results for the first quarter ended March 31, 2026.</w:t>
      </w:r>
    </w:p>
    <w:p>
      <w:pPr>
        <w:spacing w:after="0" w:line="143"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“In the first quarter, we delivered 36% revenue growth year-over-year, underscoring the strength of our marketplace innovation and expanding global network,” said Randy Altschuler, CEO at Xometry. “This quarter marks a significant acceleration of marketplace growth, driven by increasing wallet share and rapid adoption of our supply chain solutions.”</w:t>
      </w:r>
    </w:p>
    <w:p>
      <w:pPr>
        <w:spacing w:after="0" w:line="131"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color w:val="auto"/>
        </w:rPr>
        <w:t>“We delivered robust marketplace gross profit growth in Q1, which increased 53% year-over-year,” said James Miln, CFO at Xometry. “Our Adjusted EBITDA improved by $10.4 million year-over-year to $10.5 million, reflecting the strong leverage in our marketplace model. We expect to continue to deliver 20% annual incremental Adjusted EBITDA margins as we rapidly scale to $1 billion in revenue.”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Financial Highlights</w:t>
      </w:r>
    </w:p>
    <w:p>
      <w:pPr>
        <w:spacing w:after="0" w:line="9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revenue for the first quarter of 2026 was $205 million, an increase of 36% year-over-year.</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first quarter of 2026 was $191 million, an increase of 40% year-over-year.</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Active Buyers increased 20% from 71,454 as of March 31, 2025 to 85,581 as of March 31, 2026.</w:t>
      </w:r>
    </w:p>
    <w:p>
      <w:pPr>
        <w:spacing w:after="0" w:line="106" w:lineRule="exact"/>
        <w:rPr>
          <w:rFonts w:ascii="Times New Roman" w:cs="Times New Roman" w:eastAsia="Times New Roman" w:hAnsi="Times New Roman"/>
          <w:sz w:val="20"/>
          <w:szCs w:val="20"/>
          <w:color w:val="auto"/>
        </w:rPr>
      </w:pPr>
    </w:p>
    <w:p>
      <w:pPr>
        <w:ind w:left="1020" w:right="28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Accounts with Last Twelve-Months Spend of at least $50,000 increased 21% from 1,545 as of March 31, 2025 to 1,864 as of March 31, 2026.</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Services revenue for the first quarter of 2026 was $13.8 million, roughly flat quarter-over-quarter.</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for the first quarter of 2026 was $5.3 million.</w:t>
      </w:r>
    </w:p>
    <w:p>
      <w:pPr>
        <w:spacing w:after="0" w:line="106" w:lineRule="exact"/>
        <w:rPr>
          <w:rFonts w:ascii="Times New Roman" w:cs="Times New Roman" w:eastAsia="Times New Roman" w:hAnsi="Times New Roman"/>
          <w:sz w:val="20"/>
          <w:szCs w:val="20"/>
          <w:color w:val="auto"/>
        </w:rPr>
      </w:pPr>
    </w:p>
    <w:p>
      <w:pPr>
        <w:ind w:left="1020" w:right="44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for the first quarter of 2026 was $10.5 million, reflecting an improvement of $10.4 million year-over-year.</w:t>
      </w:r>
    </w:p>
    <w:p>
      <w:pPr>
        <w:spacing w:after="0" w:line="48" w:lineRule="exact"/>
        <w:rPr>
          <w:rFonts w:ascii="Times New Roman" w:cs="Times New Roman" w:eastAsia="Times New Roman" w:hAnsi="Times New Roman"/>
          <w:sz w:val="20"/>
          <w:szCs w:val="20"/>
          <w:color w:val="auto"/>
        </w:rPr>
      </w:pPr>
    </w:p>
    <w:p>
      <w:pPr>
        <w:ind w:left="1020" w:right="30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Non-GAAP net income for the first quarter of 2026 was $6.9 million, as compared to a Non-GAAP net loss of $2.5 million in the first quarter of 2025.</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ind w:left="1020" w:right="500" w:hanging="503"/>
        <w:spacing w:after="0" w:line="25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Cash, cash equivalents and marketable securities were $224 million as of March 31, 2026, an increase of $4.8 million from December 31, 2025 driven by $14.6 million of operating cash flow.</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Business Highlights:</w:t>
      </w:r>
    </w:p>
    <w:p>
      <w:pPr>
        <w:spacing w:after="0" w:line="177" w:lineRule="exact"/>
        <w:rPr>
          <w:sz w:val="20"/>
          <w:szCs w:val="20"/>
          <w:color w:val="auto"/>
        </w:rPr>
      </w:pPr>
    </w:p>
    <w:p>
      <w:pPr>
        <w:ind w:left="1020" w:right="120" w:hanging="503"/>
        <w:spacing w:after="0" w:line="233"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Xometry introduced a new enterprise machining lead time model into its Instant Quoting Engine, significantly enhancing its predictive intelligence. This deep learning model, trained on a dataset four times larger than previous versions, is designed to improve reliability and execution speed for enterprise buyers. The key results are superior prediction accuracy, expanded rapid delivery (including 1-day lead times), and enhanced operational throughput, leading to a reduction in standard lead time offerings. The model also incorporates critical factors such as specialized certifications, new materials and finishing options.</w:t>
      </w:r>
    </w:p>
    <w:p>
      <w:pPr>
        <w:spacing w:after="0" w:line="63" w:lineRule="exact"/>
        <w:rPr>
          <w:rFonts w:ascii="Times New Roman" w:cs="Times New Roman" w:eastAsia="Times New Roman" w:hAnsi="Times New Roman"/>
          <w:sz w:val="20"/>
          <w:szCs w:val="20"/>
          <w:color w:val="auto"/>
        </w:rPr>
      </w:pPr>
    </w:p>
    <w:p>
      <w:pPr>
        <w:jc w:val="both"/>
        <w:ind w:left="1020" w:right="160" w:hanging="503"/>
        <w:spacing w:after="0" w:line="241"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Xometry enhanced the dynamic pricing logic in its Instant Quoting Engine. Xometry's approach uses a "conversion rate model" that analyzes unique geometric features, quote configurations, and customer-specific historical data to construct a price-response function tailored for every individual quote and part.</w:t>
      </w:r>
    </w:p>
    <w:p>
      <w:pPr>
        <w:spacing w:after="0" w:line="170" w:lineRule="exact"/>
        <w:rPr>
          <w:rFonts w:ascii="Times New Roman" w:cs="Times New Roman" w:eastAsia="Times New Roman" w:hAnsi="Times New Roman"/>
          <w:sz w:val="20"/>
          <w:szCs w:val="20"/>
          <w:color w:val="auto"/>
        </w:rPr>
      </w:pPr>
    </w:p>
    <w:p>
      <w:pPr>
        <w:ind w:left="1020" w:right="20" w:hanging="503"/>
        <w:spacing w:after="0" w:line="233"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Xometry further improved its injection molding offering in the U.S. by introducing six new materials and three additional finishes to give buyers greater choice. These additions increase the selection of instant quoting injection-molded parts by over 15%. Xometry’s proprietary AI-powered platform manages the full lifecycle of injection molding needs from initial quoting to delivery to reordering in one of the largest custom manufacturing markets in the U.S. The platform enables a spectrum of injection molding options – from prototype and low-volume bridge tooling to high-volume, multi-cavity production tooling.</w:t>
      </w:r>
    </w:p>
    <w:p>
      <w:pPr>
        <w:spacing w:after="0" w:line="171" w:lineRule="exact"/>
        <w:rPr>
          <w:rFonts w:ascii="Times New Roman" w:cs="Times New Roman" w:eastAsia="Times New Roman" w:hAnsi="Times New Roman"/>
          <w:sz w:val="20"/>
          <w:szCs w:val="20"/>
          <w:color w:val="auto"/>
        </w:rPr>
      </w:pPr>
    </w:p>
    <w:p>
      <w:pPr>
        <w:ind w:left="1020" w:hanging="503"/>
        <w:spacing w:after="0" w:line="241"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Xometry simplified the reordering process for marketplace customers by introducing a "name your part" feature which enables customers to match their internal naming conventions and harmonizes their Xometry parts library and SKU structure with their internal systems.</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0" w:right="39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Financial Summary</w:t>
      </w:r>
    </w:p>
    <w:p>
      <w:pPr>
        <w:jc w:val="center"/>
        <w:spacing w:after="0" w:line="231" w:lineRule="auto"/>
        <w:rPr>
          <w:sz w:val="20"/>
          <w:szCs w:val="20"/>
          <w:color w:val="auto"/>
        </w:rPr>
      </w:pPr>
      <w:r>
        <w:rPr>
          <w:rFonts w:ascii="Arial" w:cs="Arial" w:eastAsia="Arial" w:hAnsi="Arial"/>
          <w:sz w:val="20"/>
          <w:szCs w:val="20"/>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600" w:type="dxa"/>
            <w:vAlign w:val="bottom"/>
            <w:gridSpan w:val="5"/>
          </w:tcPr>
          <w:p>
            <w:pPr>
              <w:jc w:val="right"/>
              <w:ind w:right="228"/>
              <w:spacing w:after="0"/>
              <w:rPr>
                <w:sz w:val="20"/>
                <w:szCs w:val="20"/>
                <w:color w:val="auto"/>
              </w:rPr>
            </w:pPr>
            <w:r>
              <w:rPr>
                <w:rFonts w:ascii="Arial" w:cs="Arial" w:eastAsia="Arial" w:hAnsi="Arial"/>
                <w:sz w:val="14"/>
                <w:szCs w:val="14"/>
                <w:b w:val="1"/>
                <w:bCs w:val="1"/>
                <w:color w:val="auto"/>
              </w:rPr>
              <w:t>For the Three Months</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Ended March 31,</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628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Consolidated</w:t>
            </w:r>
          </w:p>
        </w:tc>
        <w:tc>
          <w:tcPr>
            <w:tcW w:w="8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8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205,138</w:t>
            </w:r>
          </w:p>
        </w:tc>
        <w:tc>
          <w:tcPr>
            <w:tcW w:w="200" w:type="dxa"/>
            <w:vAlign w:val="bottom"/>
          </w:tcPr>
          <w:p>
            <w:pPr>
              <w:spacing w:after="0"/>
              <w:rPr>
                <w:sz w:val="14"/>
                <w:szCs w:val="14"/>
                <w:color w:val="auto"/>
              </w:rPr>
            </w:pPr>
          </w:p>
        </w:tc>
        <w:tc>
          <w:tcPr>
            <w:tcW w:w="980" w:type="dxa"/>
            <w:vAlign w:val="bottom"/>
            <w:gridSpan w:val="2"/>
          </w:tcPr>
          <w:p>
            <w:pPr>
              <w:jc w:val="right"/>
              <w:ind w:right="74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150,971</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36%</w:t>
            </w:r>
          </w:p>
        </w:tc>
        <w:tc>
          <w:tcPr>
            <w:tcW w:w="0" w:type="dxa"/>
            <w:vAlign w:val="bottom"/>
          </w:tcPr>
          <w:p>
            <w:pPr>
              <w:spacing w:after="0"/>
              <w:rPr>
                <w:sz w:val="1"/>
                <w:szCs w:val="1"/>
                <w:color w:val="auto"/>
              </w:rPr>
            </w:pPr>
          </w:p>
        </w:tc>
      </w:tr>
      <w:tr>
        <w:trPr>
          <w:trHeight w:val="162"/>
        </w:trPr>
        <w:tc>
          <w:tcPr>
            <w:tcW w:w="6280" w:type="dxa"/>
            <w:vAlign w:val="bottom"/>
            <w:shd w:val="clear" w:color="auto" w:fill="CFF0FC"/>
          </w:tcPr>
          <w:p>
            <w:pPr>
              <w:spacing w:after="0"/>
              <w:rPr>
                <w:sz w:val="20"/>
                <w:szCs w:val="20"/>
                <w:color w:val="auto"/>
              </w:rPr>
            </w:pPr>
            <w:r>
              <w:rPr>
                <w:rFonts w:ascii="Arial" w:cs="Arial" w:eastAsia="Arial" w:hAnsi="Arial"/>
                <w:sz w:val="14"/>
                <w:szCs w:val="14"/>
                <w:color w:val="auto"/>
              </w:rPr>
              <w:t>Gross profit</w:t>
            </w:r>
          </w:p>
        </w:tc>
        <w:tc>
          <w:tcPr>
            <w:tcW w:w="8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78,488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56,331</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39%</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8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(5,267)</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(15,078)</w:t>
            </w: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65%</w:t>
            </w:r>
          </w:p>
        </w:tc>
        <w:tc>
          <w:tcPr>
            <w:tcW w:w="0" w:type="dxa"/>
            <w:vAlign w:val="bottom"/>
          </w:tcPr>
          <w:p>
            <w:pPr>
              <w:spacing w:after="0"/>
              <w:rPr>
                <w:sz w:val="1"/>
                <w:szCs w:val="1"/>
                <w:color w:val="auto"/>
              </w:rPr>
            </w:pPr>
          </w:p>
        </w:tc>
      </w:tr>
      <w:tr>
        <w:trPr>
          <w:trHeight w:val="162"/>
        </w:trPr>
        <w:tc>
          <w:tcPr>
            <w:tcW w:w="6280" w:type="dxa"/>
            <w:vAlign w:val="bottom"/>
            <w:shd w:val="clear" w:color="auto" w:fill="CFF0FC"/>
          </w:tcPr>
          <w:p>
            <w:pPr>
              <w:spacing w:after="0"/>
              <w:rPr>
                <w:sz w:val="20"/>
                <w:szCs w:val="20"/>
                <w:color w:val="auto"/>
              </w:rPr>
            </w:pPr>
            <w:r>
              <w:rPr>
                <w:rFonts w:ascii="Arial" w:cs="Arial" w:eastAsia="Arial" w:hAnsi="Arial"/>
                <w:sz w:val="14"/>
                <w:szCs w:val="14"/>
                <w:color w:val="auto"/>
              </w:rPr>
              <w:t>EPS, basic and diluted, of Class A and Class B common stock</w:t>
            </w:r>
          </w:p>
        </w:tc>
        <w:tc>
          <w:tcPr>
            <w:tcW w:w="8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(0.10)</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(0.30)</w:t>
            </w:r>
          </w:p>
        </w:tc>
        <w:tc>
          <w:tcPr>
            <w:tcW w:w="15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67%</w:t>
            </w:r>
          </w:p>
        </w:tc>
        <w:tc>
          <w:tcPr>
            <w:tcW w:w="0" w:type="dxa"/>
            <w:vAlign w:val="bottom"/>
          </w:tcPr>
          <w:p>
            <w:pPr>
              <w:spacing w:after="0"/>
              <w:rPr>
                <w:sz w:val="1"/>
                <w:szCs w:val="1"/>
                <w:color w:val="auto"/>
              </w:rPr>
            </w:pP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(1)</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10,485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13,342%</w:t>
            </w:r>
          </w:p>
        </w:tc>
        <w:tc>
          <w:tcPr>
            <w:tcW w:w="0" w:type="dxa"/>
            <w:vAlign w:val="bottom"/>
          </w:tcPr>
          <w:p>
            <w:pPr>
              <w:spacing w:after="0"/>
              <w:rPr>
                <w:sz w:val="1"/>
                <w:szCs w:val="1"/>
                <w:color w:val="auto"/>
              </w:rPr>
            </w:pPr>
          </w:p>
        </w:tc>
      </w:tr>
      <w:tr>
        <w:trPr>
          <w:trHeight w:val="162"/>
        </w:trPr>
        <w:tc>
          <w:tcPr>
            <w:tcW w:w="6280" w:type="dxa"/>
            <w:vAlign w:val="bottom"/>
            <w:shd w:val="clear" w:color="auto" w:fill="CFF0FC"/>
          </w:tcPr>
          <w:p>
            <w:pPr>
              <w:spacing w:after="0" w:line="162" w:lineRule="exact"/>
              <w:rPr>
                <w:sz w:val="20"/>
                <w:szCs w:val="20"/>
                <w:color w:val="auto"/>
              </w:rPr>
            </w:pPr>
            <w:r>
              <w:rPr>
                <w:rFonts w:ascii="Arial" w:cs="Arial" w:eastAsia="Arial" w:hAnsi="Arial"/>
                <w:sz w:val="14"/>
                <w:szCs w:val="14"/>
                <w:color w:val="auto"/>
              </w:rPr>
              <w:t>Non-GAAP net income (loss)</w:t>
            </w:r>
            <w:r>
              <w:rPr>
                <w:rFonts w:ascii="Arial" w:cs="Arial" w:eastAsia="Arial" w:hAnsi="Arial"/>
                <w:sz w:val="18"/>
                <w:szCs w:val="18"/>
                <w:color w:val="auto"/>
                <w:vertAlign w:val="superscript"/>
              </w:rPr>
              <w:t>(1)</w:t>
            </w:r>
          </w:p>
        </w:tc>
        <w:tc>
          <w:tcPr>
            <w:tcW w:w="8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6,889</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(2,522)</w:t>
            </w:r>
          </w:p>
        </w:tc>
        <w:tc>
          <w:tcPr>
            <w:tcW w:w="1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4"/>
                <w:szCs w:val="14"/>
                <w:color w:val="auto"/>
              </w:rPr>
              <w:t>Non-GAAP EPS, basic</w:t>
            </w:r>
            <w:r>
              <w:rPr>
                <w:rFonts w:ascii="Arial" w:cs="Arial" w:eastAsia="Arial" w:hAnsi="Arial"/>
                <w:sz w:val="18"/>
                <w:szCs w:val="18"/>
                <w:color w:val="auto"/>
                <w:vertAlign w:val="superscript"/>
              </w:rPr>
              <w:t>(1)</w:t>
            </w:r>
            <w:r>
              <w:rPr>
                <w:rFonts w:ascii="Arial" w:cs="Arial" w:eastAsia="Arial" w:hAnsi="Arial"/>
                <w:sz w:val="14"/>
                <w:szCs w:val="14"/>
                <w:color w:val="auto"/>
              </w:rPr>
              <w:t>, of Class A and Class B common stock</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(0.05)</w:t>
            </w:r>
          </w:p>
        </w:tc>
        <w:tc>
          <w:tcPr>
            <w:tcW w:w="1540" w:type="dxa"/>
            <w:vAlign w:val="bottom"/>
          </w:tcPr>
          <w:p>
            <w:pPr>
              <w:jc w:val="center"/>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62"/>
        </w:trPr>
        <w:tc>
          <w:tcPr>
            <w:tcW w:w="6280" w:type="dxa"/>
            <w:vAlign w:val="bottom"/>
            <w:shd w:val="clear" w:color="auto" w:fill="CFF0FC"/>
          </w:tcPr>
          <w:p>
            <w:pPr>
              <w:spacing w:after="0" w:line="162" w:lineRule="exact"/>
              <w:rPr>
                <w:sz w:val="20"/>
                <w:szCs w:val="20"/>
                <w:color w:val="auto"/>
              </w:rPr>
            </w:pPr>
            <w:r>
              <w:rPr>
                <w:rFonts w:ascii="Arial" w:cs="Arial" w:eastAsia="Arial" w:hAnsi="Arial"/>
                <w:sz w:val="14"/>
                <w:szCs w:val="14"/>
                <w:color w:val="auto"/>
              </w:rPr>
              <w:t>Non-GAAP EPS, diluted</w:t>
            </w:r>
            <w:r>
              <w:rPr>
                <w:rFonts w:ascii="Arial" w:cs="Arial" w:eastAsia="Arial" w:hAnsi="Arial"/>
                <w:sz w:val="18"/>
                <w:szCs w:val="18"/>
                <w:color w:val="auto"/>
                <w:vertAlign w:val="superscript"/>
              </w:rPr>
              <w:t>(1)</w:t>
            </w:r>
            <w:r>
              <w:rPr>
                <w:rFonts w:ascii="Arial" w:cs="Arial" w:eastAsia="Arial" w:hAnsi="Arial"/>
                <w:sz w:val="14"/>
                <w:szCs w:val="14"/>
                <w:color w:val="auto"/>
              </w:rPr>
              <w:t>, of Class A and Class B common stock</w:t>
            </w:r>
          </w:p>
        </w:tc>
        <w:tc>
          <w:tcPr>
            <w:tcW w:w="8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(0.05)</w:t>
            </w:r>
          </w:p>
        </w:tc>
        <w:tc>
          <w:tcPr>
            <w:tcW w:w="1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324"/>
        </w:trPr>
        <w:tc>
          <w:tcPr>
            <w:tcW w:w="6280" w:type="dxa"/>
            <w:vAlign w:val="bottom"/>
          </w:tcPr>
          <w:p>
            <w:pPr>
              <w:spacing w:after="0"/>
              <w:rPr>
                <w:sz w:val="20"/>
                <w:szCs w:val="20"/>
                <w:color w:val="auto"/>
              </w:rPr>
            </w:pPr>
            <w:r>
              <w:rPr>
                <w:rFonts w:ascii="Arial" w:cs="Arial" w:eastAsia="Arial" w:hAnsi="Arial"/>
                <w:sz w:val="14"/>
                <w:szCs w:val="14"/>
                <w:b w:val="1"/>
                <w:bCs w:val="1"/>
                <w:color w:val="auto"/>
              </w:rPr>
              <w:t>Marketplace</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280" w:type="dxa"/>
            <w:vAlign w:val="bottom"/>
            <w:shd w:val="clear" w:color="auto" w:fill="CFF0FC"/>
          </w:tcPr>
          <w:p>
            <w:pPr>
              <w:spacing w:after="0"/>
              <w:rPr>
                <w:sz w:val="20"/>
                <w:szCs w:val="20"/>
                <w:color w:val="auto"/>
              </w:rPr>
            </w:pPr>
            <w:r>
              <w:rPr>
                <w:rFonts w:ascii="Arial" w:cs="Arial" w:eastAsia="Arial" w:hAnsi="Arial"/>
                <w:sz w:val="14"/>
                <w:szCs w:val="14"/>
                <w:color w:val="auto"/>
              </w:rPr>
              <w:t>Revenue</w:t>
            </w: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191,318</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7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136,353</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40%</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20"/>
                <w:szCs w:val="20"/>
                <w:color w:val="auto"/>
              </w:rPr>
            </w:pPr>
            <w:r>
              <w:rPr>
                <w:rFonts w:ascii="Arial" w:cs="Arial" w:eastAsia="Arial" w:hAnsi="Arial"/>
                <w:sz w:val="14"/>
                <w:szCs w:val="14"/>
                <w:color w:val="auto"/>
              </w:rPr>
              <w:t>Cost of revenue</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124,873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93,046</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34%</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880" w:type="dxa"/>
            <w:vAlign w:val="bottom"/>
            <w:tcBorders>
              <w:bottom w:val="single" w:sz="8" w:color="auto"/>
            </w:tcBorders>
            <w:shd w:val="clear" w:color="auto" w:fill="CFF0FC"/>
          </w:tcPr>
          <w:p>
            <w:pPr>
              <w:jc w:val="right"/>
              <w:ind w:right="72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66,445</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74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43,307</w:t>
            </w:r>
          </w:p>
        </w:tc>
        <w:tc>
          <w:tcPr>
            <w:tcW w:w="2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9"/>
              </w:rPr>
              <w:t>53%</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20"/>
                <w:szCs w:val="20"/>
                <w:color w:val="auto"/>
              </w:rPr>
            </w:pPr>
            <w:r>
              <w:rPr>
                <w:rFonts w:ascii="Arial" w:cs="Arial" w:eastAsia="Arial" w:hAnsi="Arial"/>
                <w:sz w:val="14"/>
                <w:szCs w:val="14"/>
                <w:color w:val="auto"/>
              </w:rPr>
              <w:t>Gross Margin</w:t>
            </w:r>
          </w:p>
        </w:tc>
        <w:tc>
          <w:tcPr>
            <w:tcW w:w="8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31.8%</w:t>
            </w:r>
          </w:p>
        </w:tc>
        <w:tc>
          <w:tcPr>
            <w:tcW w:w="1540" w:type="dxa"/>
            <w:vAlign w:val="bottom"/>
          </w:tcPr>
          <w:p>
            <w:pPr>
              <w:jc w:val="center"/>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34"/>
        </w:trPr>
        <w:tc>
          <w:tcPr>
            <w:tcW w:w="6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2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Services</w:t>
            </w:r>
          </w:p>
        </w:tc>
        <w:tc>
          <w:tcPr>
            <w:tcW w:w="8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8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13,820</w:t>
            </w:r>
          </w:p>
        </w:tc>
        <w:tc>
          <w:tcPr>
            <w:tcW w:w="200" w:type="dxa"/>
            <w:vAlign w:val="bottom"/>
          </w:tcPr>
          <w:p>
            <w:pPr>
              <w:spacing w:after="0"/>
              <w:rPr>
                <w:sz w:val="14"/>
                <w:szCs w:val="14"/>
                <w:color w:val="auto"/>
              </w:rPr>
            </w:pPr>
          </w:p>
        </w:tc>
        <w:tc>
          <w:tcPr>
            <w:tcW w:w="980" w:type="dxa"/>
            <w:vAlign w:val="bottom"/>
            <w:gridSpan w:val="2"/>
          </w:tcPr>
          <w:p>
            <w:pPr>
              <w:jc w:val="right"/>
              <w:ind w:right="74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14,618</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Cost of revenue</w:t>
            </w:r>
          </w:p>
        </w:tc>
        <w:tc>
          <w:tcPr>
            <w:tcW w:w="8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1,777</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1,594</w:t>
            </w:r>
          </w:p>
        </w:tc>
        <w:tc>
          <w:tcPr>
            <w:tcW w:w="280" w:type="dxa"/>
            <w:vAlign w:val="bottom"/>
            <w:tcBorders>
              <w:bottom w:val="single" w:sz="8" w:color="CFF0FC"/>
            </w:tcBorders>
            <w:shd w:val="clear" w:color="auto" w:fill="CFF0FC"/>
          </w:tcPr>
          <w:p>
            <w:pPr>
              <w:spacing w:after="0"/>
              <w:rPr>
                <w:sz w:val="14"/>
                <w:szCs w:val="14"/>
                <w:color w:val="auto"/>
              </w:rPr>
            </w:pPr>
          </w:p>
        </w:tc>
        <w:tc>
          <w:tcPr>
            <w:tcW w:w="15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w w:val="99"/>
              </w:rPr>
              <w:t>11%</w:t>
            </w:r>
          </w:p>
        </w:tc>
        <w:tc>
          <w:tcPr>
            <w:tcW w:w="0" w:type="dxa"/>
            <w:vAlign w:val="bottom"/>
          </w:tcPr>
          <w:p>
            <w:pPr>
              <w:spacing w:after="0"/>
              <w:rPr>
                <w:sz w:val="1"/>
                <w:szCs w:val="1"/>
                <w:color w:val="auto"/>
              </w:rPr>
            </w:pPr>
          </w:p>
        </w:tc>
      </w:tr>
      <w:tr>
        <w:trPr>
          <w:trHeight w:val="156"/>
        </w:trPr>
        <w:tc>
          <w:tcPr>
            <w:tcW w:w="6280" w:type="dxa"/>
            <w:vAlign w:val="bottom"/>
          </w:tcPr>
          <w:p>
            <w:pPr>
              <w:spacing w:after="0" w:line="155" w:lineRule="exact"/>
              <w:rPr>
                <w:sz w:val="20"/>
                <w:szCs w:val="20"/>
                <w:color w:val="auto"/>
              </w:rPr>
            </w:pPr>
            <w:r>
              <w:rPr>
                <w:rFonts w:ascii="Arial" w:cs="Arial" w:eastAsia="Arial" w:hAnsi="Arial"/>
                <w:sz w:val="14"/>
                <w:szCs w:val="14"/>
                <w:color w:val="auto"/>
              </w:rPr>
              <w:t>Gross Profit</w:t>
            </w:r>
          </w:p>
        </w:tc>
        <w:tc>
          <w:tcPr>
            <w:tcW w:w="880" w:type="dxa"/>
            <w:vAlign w:val="bottom"/>
            <w:tcBorders>
              <w:bottom w:val="single" w:sz="8" w:color="auto"/>
            </w:tcBorders>
          </w:tcPr>
          <w:p>
            <w:pPr>
              <w:jc w:val="right"/>
              <w:ind w:right="72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12,043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74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13,024</w:t>
            </w:r>
          </w:p>
        </w:tc>
        <w:tc>
          <w:tcPr>
            <w:tcW w:w="280" w:type="dxa"/>
            <w:vAlign w:val="bottom"/>
          </w:tcPr>
          <w:p>
            <w:pPr>
              <w:spacing w:after="0"/>
              <w:rPr>
                <w:sz w:val="13"/>
                <w:szCs w:val="13"/>
                <w:color w:val="auto"/>
              </w:rPr>
            </w:pPr>
          </w:p>
        </w:tc>
        <w:tc>
          <w:tcPr>
            <w:tcW w:w="1540" w:type="dxa"/>
            <w:vAlign w:val="bottom"/>
          </w:tcPr>
          <w:p>
            <w:pPr>
              <w:jc w:val="center"/>
              <w:spacing w:after="0" w:line="155"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Gross Margin</w:t>
            </w:r>
          </w:p>
        </w:tc>
        <w:tc>
          <w:tcPr>
            <w:tcW w:w="8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line="143" w:lineRule="exact"/>
              <w:rPr>
                <w:sz w:val="20"/>
                <w:szCs w:val="20"/>
                <w:color w:val="auto"/>
              </w:rPr>
            </w:pPr>
            <w:r>
              <w:rPr>
                <w:rFonts w:ascii="Arial" w:cs="Arial" w:eastAsia="Arial" w:hAnsi="Arial"/>
                <w:sz w:val="14"/>
                <w:szCs w:val="14"/>
                <w:color w:val="auto"/>
              </w:rPr>
              <w:t>87.1%</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0"/>
              <w:spacing w:after="0" w:line="143" w:lineRule="exact"/>
              <w:rPr>
                <w:sz w:val="20"/>
                <w:szCs w:val="20"/>
                <w:color w:val="auto"/>
              </w:rPr>
            </w:pPr>
            <w:r>
              <w:rPr>
                <w:rFonts w:ascii="Arial" w:cs="Arial" w:eastAsia="Arial" w:hAnsi="Arial"/>
                <w:sz w:val="14"/>
                <w:szCs w:val="14"/>
                <w:color w:val="auto"/>
              </w:rPr>
              <w:t>89.1%</w:t>
            </w:r>
          </w:p>
        </w:tc>
        <w:tc>
          <w:tcPr>
            <w:tcW w:w="154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-779780</wp:posOffset>
            </wp:positionV>
            <wp:extent cx="93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-762635</wp:posOffset>
            </wp:positionV>
            <wp:extent cx="93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-779780</wp:posOffset>
            </wp:positionV>
            <wp:extent cx="946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-762635</wp:posOffset>
            </wp:positionV>
            <wp:extent cx="94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-239395</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-239395</wp:posOffset>
            </wp:positionV>
            <wp:extent cx="94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79" w:lineRule="exact"/>
        <w:rPr>
          <w:sz w:val="20"/>
          <w:szCs w:val="20"/>
          <w:color w:val="auto"/>
        </w:rPr>
      </w:pPr>
    </w:p>
    <w:p>
      <w:pPr>
        <w:ind w:left="380" w:right="160" w:hanging="372"/>
        <w:spacing w:after="0" w:line="285"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non-GAAP financial measures, and the reasons why we believe these non-GAAP financial measures are useful, are described below and reconciled to their most directly comparable GAAP measures in the accompanying tables.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6"/>
                <w:szCs w:val="16"/>
                <w:b w:val="1"/>
                <w:bCs w:val="1"/>
                <w:color w:val="auto"/>
              </w:rPr>
              <w:t>As of March 31,</w:t>
            </w:r>
          </w:p>
        </w:tc>
        <w:tc>
          <w:tcPr>
            <w:tcW w:w="5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68"/>
        </w:trPr>
        <w:tc>
          <w:tcPr>
            <w:tcW w:w="6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619"/>
              <w:spacing w:after="0" w:line="168"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r>
      <w:tr>
        <w:trPr>
          <w:trHeight w:val="203"/>
        </w:trPr>
        <w:tc>
          <w:tcPr>
            <w:tcW w:w="70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2026</w:t>
            </w:r>
          </w:p>
        </w:tc>
        <w:tc>
          <w:tcPr>
            <w:tcW w:w="17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2025</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8"/>
              </w:rPr>
              <w:t>Change</w:t>
            </w:r>
          </w:p>
        </w:tc>
      </w:tr>
      <w:tr>
        <w:trPr>
          <w:trHeight w:val="183"/>
        </w:trPr>
        <w:tc>
          <w:tcPr>
            <w:tcW w:w="616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89"/>
        </w:trPr>
        <w:tc>
          <w:tcPr>
            <w:tcW w:w="7080" w:type="dxa"/>
            <w:vAlign w:val="bottom"/>
            <w:gridSpan w:val="2"/>
            <w:shd w:val="clear" w:color="auto" w:fill="CFF0FC"/>
          </w:tcPr>
          <w:p>
            <w:pPr>
              <w:spacing w:after="0" w:line="189" w:lineRule="exact"/>
              <w:rPr>
                <w:sz w:val="20"/>
                <w:szCs w:val="20"/>
                <w:color w:val="auto"/>
              </w:rPr>
            </w:pPr>
            <w:r>
              <w:rPr>
                <w:rFonts w:ascii="Arial" w:cs="Arial" w:eastAsia="Arial" w:hAnsi="Arial"/>
                <w:sz w:val="16"/>
                <w:szCs w:val="16"/>
                <w:color w:val="auto"/>
              </w:rPr>
              <w:t>Active Buyers</w:t>
            </w:r>
            <w:r>
              <w:rPr>
                <w:rFonts w:ascii="Arial" w:cs="Arial" w:eastAsia="Arial" w:hAnsi="Arial"/>
                <w:sz w:val="21"/>
                <w:szCs w:val="21"/>
                <w:color w:val="auto"/>
                <w:vertAlign w:val="superscript"/>
              </w:rPr>
              <w:t>(3)</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85,581</w:t>
            </w: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71,454</w:t>
            </w:r>
          </w:p>
        </w:tc>
        <w:tc>
          <w:tcPr>
            <w:tcW w:w="160" w:type="dxa"/>
            <w:vAlign w:val="bottom"/>
            <w:shd w:val="clear" w:color="auto" w:fill="CFF0FC"/>
          </w:tcPr>
          <w:p>
            <w:pPr>
              <w:spacing w:after="0"/>
              <w:rPr>
                <w:sz w:val="16"/>
                <w:szCs w:val="16"/>
                <w:color w:val="auto"/>
              </w:rPr>
            </w:pPr>
          </w:p>
        </w:tc>
        <w:tc>
          <w:tcPr>
            <w:tcW w:w="17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20%</w:t>
            </w:r>
          </w:p>
        </w:tc>
      </w:tr>
      <w:tr>
        <w:trPr>
          <w:trHeight w:val="189"/>
        </w:trPr>
        <w:tc>
          <w:tcPr>
            <w:tcW w:w="7080" w:type="dxa"/>
            <w:vAlign w:val="bottom"/>
            <w:gridSpan w:val="2"/>
          </w:tcPr>
          <w:p>
            <w:pPr>
              <w:spacing w:after="0" w:line="189" w:lineRule="exact"/>
              <w:rPr>
                <w:sz w:val="20"/>
                <w:szCs w:val="20"/>
                <w:color w:val="auto"/>
              </w:rPr>
            </w:pPr>
            <w:r>
              <w:rPr>
                <w:rFonts w:ascii="Arial" w:cs="Arial" w:eastAsia="Arial" w:hAnsi="Arial"/>
                <w:sz w:val="16"/>
                <w:szCs w:val="16"/>
                <w:color w:val="auto"/>
              </w:rPr>
              <w:t>Percentage of Revenue from Existing Accounts</w:t>
            </w:r>
            <w:r>
              <w:rPr>
                <w:rFonts w:ascii="Arial" w:cs="Arial" w:eastAsia="Arial" w:hAnsi="Arial"/>
                <w:sz w:val="21"/>
                <w:szCs w:val="21"/>
                <w:color w:val="auto"/>
                <w:vertAlign w:val="superscript"/>
              </w:rPr>
              <w:t>(3)</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98%</w:t>
            </w:r>
          </w:p>
        </w:tc>
        <w:tc>
          <w:tcPr>
            <w:tcW w:w="92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7080" w:type="dxa"/>
            <w:vAlign w:val="bottom"/>
            <w:gridSpan w:val="2"/>
            <w:shd w:val="clear" w:color="auto" w:fill="CFF0FC"/>
          </w:tcPr>
          <w:p>
            <w:pPr>
              <w:spacing w:after="0" w:line="189" w:lineRule="exact"/>
              <w:rPr>
                <w:sz w:val="20"/>
                <w:szCs w:val="20"/>
                <w:color w:val="auto"/>
              </w:rPr>
            </w:pPr>
            <w:r>
              <w:rPr>
                <w:rFonts w:ascii="Arial" w:cs="Arial" w:eastAsia="Arial" w:hAnsi="Arial"/>
                <w:sz w:val="16"/>
                <w:szCs w:val="16"/>
                <w:color w:val="auto"/>
              </w:rPr>
              <w:t>Accounts with Last Twelve-Months Spend of at Least $50,000</w:t>
            </w:r>
            <w:r>
              <w:rPr>
                <w:rFonts w:ascii="Arial" w:cs="Arial" w:eastAsia="Arial" w:hAnsi="Arial"/>
                <w:sz w:val="21"/>
                <w:szCs w:val="21"/>
                <w:color w:val="auto"/>
                <w:vertAlign w:val="superscript"/>
              </w:rPr>
              <w:t>(3)</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w:t>
            </w: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1,545</w:t>
            </w:r>
          </w:p>
        </w:tc>
        <w:tc>
          <w:tcPr>
            <w:tcW w:w="160" w:type="dxa"/>
            <w:vAlign w:val="bottom"/>
            <w:shd w:val="clear" w:color="auto" w:fill="CFF0FC"/>
          </w:tcPr>
          <w:p>
            <w:pPr>
              <w:spacing w:after="0"/>
              <w:rPr>
                <w:sz w:val="16"/>
                <w:szCs w:val="16"/>
                <w:color w:val="auto"/>
              </w:rPr>
            </w:pPr>
          </w:p>
        </w:tc>
        <w:tc>
          <w:tcPr>
            <w:tcW w:w="17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21%</w:t>
            </w:r>
          </w:p>
        </w:tc>
      </w:tr>
    </w:tbl>
    <w:p>
      <w:pPr>
        <w:spacing w:after="0" w:line="112"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key operating metrics are for Marketplace. See “Key Terms for our Key Metrics and Non-GAAP Financial Measures” below for definitions of these metrics.</w:t>
      </w:r>
    </w:p>
    <w:p>
      <w:pPr>
        <w:spacing w:after="0" w:line="15" w:lineRule="exact"/>
        <w:rPr>
          <w:rFonts w:ascii="Arial" w:cs="Arial" w:eastAsia="Arial" w:hAnsi="Arial"/>
          <w:sz w:val="14"/>
          <w:szCs w:val="14"/>
          <w:color w:val="auto"/>
        </w:rPr>
      </w:pPr>
    </w:p>
    <w:p>
      <w:pPr>
        <w:ind w:left="380" w:right="300" w:hanging="372"/>
        <w:spacing w:after="0" w:line="324"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Amounts shown for Active Buyers and Accounts with Last Twelve-Months Spend of at Least $50,000 are as of March 31, 2026 and 2025, and Percentage of Revenue from Existing Accounts is presented for the quarters ended March 31, 2026 and 2025.</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Q2 2026</w:t>
            </w: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43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99"/>
              <w:spacing w:after="0" w:line="183" w:lineRule="exact"/>
              <w:rPr>
                <w:sz w:val="20"/>
                <w:szCs w:val="20"/>
                <w:color w:val="auto"/>
              </w:rPr>
            </w:pPr>
            <w:r>
              <w:rPr>
                <w:rFonts w:ascii="Arial" w:cs="Arial" w:eastAsia="Arial" w:hAnsi="Arial"/>
                <w:sz w:val="16"/>
                <w:szCs w:val="16"/>
                <w:b w:val="1"/>
                <w:bCs w:val="1"/>
                <w:color w:val="auto"/>
              </w:rPr>
              <w:t>(in millions)</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3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Low</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jc w:val="right"/>
              <w:ind w:right="619"/>
              <w:spacing w:after="0" w:line="183" w:lineRule="exact"/>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15"/>
                <w:szCs w:val="15"/>
                <w:color w:val="auto"/>
              </w:rPr>
            </w:pPr>
          </w:p>
        </w:tc>
      </w:tr>
      <w:tr>
        <w:trPr>
          <w:trHeight w:val="18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4280" w:type="dxa"/>
            <w:vAlign w:val="bottom"/>
            <w:gridSpan w:val="2"/>
            <w:shd w:val="clear" w:color="auto" w:fill="CFF0FC"/>
          </w:tcPr>
          <w:p>
            <w:pPr>
              <w:jc w:val="right"/>
              <w:ind w:right="10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214</w:t>
            </w:r>
          </w:p>
        </w:tc>
        <w:tc>
          <w:tcPr>
            <w:tcW w:w="6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FF0FC"/>
          </w:tcPr>
          <w:p>
            <w:pPr>
              <w:spacing w:after="0"/>
              <w:rPr>
                <w:sz w:val="16"/>
                <w:szCs w:val="16"/>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6"/>
                <w:szCs w:val="16"/>
                <w:color w:val="auto"/>
              </w:rPr>
              <w:t>Adjusted EBITDA</w:t>
            </w:r>
          </w:p>
        </w:tc>
        <w:tc>
          <w:tcPr>
            <w:tcW w:w="4280" w:type="dxa"/>
            <w:vAlign w:val="bottom"/>
            <w:gridSpan w:val="2"/>
          </w:tcPr>
          <w:p>
            <w:pPr>
              <w:jc w:val="right"/>
              <w:ind w:right="101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r>
    </w:tbl>
    <w:p>
      <w:pPr>
        <w:spacing w:after="0" w:line="61" w:lineRule="exact"/>
        <w:rPr>
          <w:sz w:val="20"/>
          <w:szCs w:val="20"/>
          <w:color w:val="auto"/>
        </w:rPr>
      </w:pPr>
    </w:p>
    <w:p>
      <w:pPr>
        <w:ind w:left="1020" w:right="360" w:hanging="503"/>
        <w:spacing w:after="0" w:line="256" w:lineRule="auto"/>
        <w:tabs>
          <w:tab w:leader="none" w:pos="1020" w:val="left"/>
        </w:tabs>
        <w:numPr>
          <w:ilvl w:val="0"/>
          <w:numId w:val="8"/>
        </w:numPr>
        <w:rPr>
          <w:rFonts w:ascii="Times New Roman" w:cs="Times New Roman" w:eastAsia="Times New Roman" w:hAnsi="Times New Roman"/>
          <w:sz w:val="20"/>
          <w:szCs w:val="20"/>
          <w:color w:val="1D1C1D"/>
        </w:rPr>
      </w:pPr>
      <w:r>
        <w:rPr>
          <w:rFonts w:ascii="Arial" w:cs="Arial" w:eastAsia="Arial" w:hAnsi="Arial"/>
          <w:sz w:val="20"/>
          <w:szCs w:val="20"/>
          <w:color w:val="1D1C1D"/>
        </w:rPr>
        <w:t>For Q2 2026, we expect revenue of $214-$216 million, representing 32-33% growth year-over-year driven by 35-36% marketplace growth.</w:t>
      </w:r>
    </w:p>
    <w:p>
      <w:pPr>
        <w:spacing w:after="0" w:line="48" w:lineRule="exact"/>
        <w:rPr>
          <w:rFonts w:ascii="Times New Roman" w:cs="Times New Roman" w:eastAsia="Times New Roman" w:hAnsi="Times New Roman"/>
          <w:sz w:val="20"/>
          <w:szCs w:val="20"/>
          <w:color w:val="1D1C1D"/>
        </w:rPr>
      </w:pPr>
    </w:p>
    <w:p>
      <w:pPr>
        <w:ind w:left="1020" w:right="40" w:hanging="503"/>
        <w:spacing w:after="0" w:line="256" w:lineRule="auto"/>
        <w:tabs>
          <w:tab w:leader="none" w:pos="1020" w:val="left"/>
        </w:tabs>
        <w:numPr>
          <w:ilvl w:val="0"/>
          <w:numId w:val="8"/>
        </w:numPr>
        <w:rPr>
          <w:rFonts w:ascii="Times New Roman" w:cs="Times New Roman" w:eastAsia="Times New Roman" w:hAnsi="Times New Roman"/>
          <w:sz w:val="20"/>
          <w:szCs w:val="20"/>
          <w:color w:val="1D1C1D"/>
        </w:rPr>
      </w:pPr>
      <w:r>
        <w:rPr>
          <w:rFonts w:ascii="Arial" w:cs="Arial" w:eastAsia="Arial" w:hAnsi="Arial"/>
          <w:sz w:val="20"/>
          <w:szCs w:val="20"/>
          <w:color w:val="1D1C1D"/>
        </w:rPr>
        <w:t>For Q2 2026, we expect Adjusted EBITDA of $11-$12 million, an improvement from Adjusted EBITDA of $3.9 million in Q2 2025.</w:t>
      </w:r>
    </w:p>
    <w:p>
      <w:pPr>
        <w:spacing w:after="0" w:line="48" w:lineRule="exact"/>
        <w:rPr>
          <w:rFonts w:ascii="Times New Roman" w:cs="Times New Roman" w:eastAsia="Times New Roman" w:hAnsi="Times New Roman"/>
          <w:sz w:val="20"/>
          <w:szCs w:val="20"/>
          <w:color w:val="1D1C1D"/>
        </w:rPr>
      </w:pPr>
    </w:p>
    <w:p>
      <w:pPr>
        <w:ind w:left="1020" w:right="340" w:hanging="503"/>
        <w:spacing w:after="0" w:line="256" w:lineRule="auto"/>
        <w:tabs>
          <w:tab w:leader="none" w:pos="1020" w:val="left"/>
        </w:tabs>
        <w:numPr>
          <w:ilvl w:val="0"/>
          <w:numId w:val="8"/>
        </w:numPr>
        <w:rPr>
          <w:rFonts w:ascii="Times New Roman" w:cs="Times New Roman" w:eastAsia="Times New Roman" w:hAnsi="Times New Roman"/>
          <w:sz w:val="20"/>
          <w:szCs w:val="20"/>
          <w:color w:val="1D1C1D"/>
        </w:rPr>
      </w:pPr>
      <w:r>
        <w:rPr>
          <w:rFonts w:ascii="Arial" w:cs="Arial" w:eastAsia="Arial" w:hAnsi="Arial"/>
          <w:sz w:val="20"/>
          <w:szCs w:val="20"/>
          <w:color w:val="1D1C1D"/>
        </w:rPr>
        <w:t>For Full Year 2026, we are raising our revenue growth outlook from previous guidance of at least 21% to 27-28% driven by approximately 30% marketplace growth.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 w:name="page7"/>
    <w:bookmarkEnd w:id="6"/>
    <w:p>
      <w:pPr>
        <w:ind w:left="1020" w:hanging="503"/>
        <w:spacing w:after="0"/>
        <w:tabs>
          <w:tab w:leader="none" w:pos="1020" w:val="left"/>
        </w:tabs>
        <w:numPr>
          <w:ilvl w:val="0"/>
          <w:numId w:val="9"/>
        </w:numPr>
        <w:rPr>
          <w:rFonts w:ascii="Times New Roman" w:cs="Times New Roman" w:eastAsia="Times New Roman" w:hAnsi="Times New Roman"/>
          <w:sz w:val="20"/>
          <w:szCs w:val="20"/>
          <w:color w:val="1D1C1D"/>
        </w:rPr>
      </w:pPr>
      <w:r>
        <w:rPr>
          <w:rFonts w:ascii="Arial" w:cs="Arial" w:eastAsia="Arial" w:hAnsi="Arial"/>
          <w:sz w:val="20"/>
          <w:szCs w:val="20"/>
          <w:color w:val="1D1C1D"/>
        </w:rPr>
        <w:t>For Full Year 2026, we expect incremental Adjusted EBITDA margins of at least 20%.</w:t>
      </w:r>
    </w:p>
    <w:p>
      <w:pPr>
        <w:spacing w:after="0" w:line="215"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Xometry’s second quarter and full year 2026 financial outlook is based on a number of assumptions that are subject to change and may be outside of its control. If actual results vary from these assumptions, Xometry’s expectations may change. There can be no assurance that Xometry will achieve these results.</w:t>
      </w:r>
    </w:p>
    <w:p>
      <w:pPr>
        <w:spacing w:after="0" w:line="131"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Reconciliation of Adjusted EBITDA on a forward-looking basis to net loss, the most directly comparable GAAP measure, is not available without unreasonable efforts due to the high variability and complexity and low visibility with respect to certain charges excluded from this non-GAAP measure, including interest and dividend income, (provision) benefit for income taxes, charitable contributions of common stock and impairment of assets. Xometry expects the variability of these items could have a significant, and potentially unpredictable, impact on its future GAAP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64"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To supplement its consolidated financial statements, which are prepared and presented in accordance with generally accepted accounting principles in the United States of America (“GAAP”), Xometry, Inc. (“Xometry”, the “Company”, “we” or “our”) uses Adjusted EBITDA, non-GAAP net income (loss) and non-GAAP Earnings Per Share, basic and diluted,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33"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in Non-GAAP Financial Measure</w:t>
      </w:r>
    </w:p>
    <w:p>
      <w:pPr>
        <w:spacing w:after="0" w:line="164" w:lineRule="exact"/>
        <w:rPr>
          <w:sz w:val="20"/>
          <w:szCs w:val="20"/>
          <w:color w:val="auto"/>
        </w:rPr>
      </w:pPr>
    </w:p>
    <w:p>
      <w:pPr>
        <w:jc w:val="both"/>
        <w:ind w:right="340"/>
        <w:spacing w:after="0" w:line="260" w:lineRule="auto"/>
        <w:rPr>
          <w:sz w:val="20"/>
          <w:szCs w:val="20"/>
          <w:color w:val="auto"/>
        </w:rPr>
      </w:pPr>
      <w:r>
        <w:rPr>
          <w:rFonts w:ascii="Arial" w:cs="Arial" w:eastAsia="Arial" w:hAnsi="Arial"/>
          <w:sz w:val="19"/>
          <w:szCs w:val="19"/>
          <w:color w:val="auto"/>
        </w:rPr>
        <w:t>Effective January 1, 2026, we revised our definition of Non-GAAP Net Income (Loss) to exclude depreciation expense which had previously been included as an adjustment. Management believes this revised definition provides a more representative view of our core operating performance. All prior-period amounts have been recast to conform to this new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0" w:right="379" w:bottom="1440" w:gutter="0" w:footer="0" w:header="0"/>
        </w:sectPr>
      </w:pPr>
    </w:p>
    <w:bookmarkStart w:id="7" w:name="page8"/>
    <w:bookmarkEnd w:id="7"/>
    <w:p>
      <w:pPr>
        <w:ind w:right="4080"/>
        <w:spacing w:after="0" w:line="437"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 on our platform.</w:t>
      </w:r>
    </w:p>
    <w:p>
      <w:pPr>
        <w:spacing w:after="0" w:line="1" w:lineRule="exact"/>
        <w:rPr>
          <w:sz w:val="20"/>
          <w:szCs w:val="20"/>
          <w:color w:val="auto"/>
        </w:rPr>
      </w:pPr>
    </w:p>
    <w:p>
      <w:pPr>
        <w:ind w:right="240"/>
        <w:spacing w:after="0" w:line="259" w:lineRule="auto"/>
        <w:rPr>
          <w:sz w:val="20"/>
          <w:szCs w:val="20"/>
          <w:color w:val="auto"/>
        </w:rPr>
      </w:pPr>
      <w:r>
        <w:rPr>
          <w:rFonts w:ascii="Arial" w:cs="Arial" w:eastAsia="Arial" w:hAnsi="Arial"/>
          <w:sz w:val="20"/>
          <w:szCs w:val="20"/>
          <w:b w:val="1"/>
          <w:bCs w:val="1"/>
          <w:color w:val="auto"/>
        </w:rPr>
        <w:t xml:space="preserve">Services revenue: </w:t>
      </w:r>
      <w:r>
        <w:rPr>
          <w:rFonts w:ascii="Arial" w:cs="Arial" w:eastAsia="Arial" w:hAnsi="Arial"/>
          <w:sz w:val="20"/>
          <w:szCs w:val="20"/>
          <w:color w:val="auto"/>
        </w:rPr>
        <w:t>includes the sales of marketing and advertising services and, to a lesser extent, financial service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and SaaS-based solutions.</w:t>
      </w:r>
    </w:p>
    <w:p>
      <w:pPr>
        <w:spacing w:after="0" w:line="111" w:lineRule="exact"/>
        <w:rPr>
          <w:sz w:val="20"/>
          <w:szCs w:val="20"/>
          <w:color w:val="auto"/>
        </w:rPr>
      </w:pPr>
    </w:p>
    <w:p>
      <w:pPr>
        <w:ind w:right="440"/>
        <w:spacing w:after="0" w:line="242"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w:t>
      </w:r>
    </w:p>
    <w:p>
      <w:pPr>
        <w:spacing w:after="0" w:line="128"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b w:val="1"/>
          <w:bCs w:val="1"/>
          <w:color w:val="auto"/>
        </w:rPr>
        <w:t xml:space="preserve">Active Suppliers: </w:t>
      </w:r>
      <w:r>
        <w:rPr>
          <w:rFonts w:ascii="Arial" w:cs="Arial" w:eastAsia="Arial" w:hAnsi="Arial"/>
          <w:sz w:val="20"/>
          <w:szCs w:val="20"/>
          <w:color w:val="auto"/>
        </w:rPr>
        <w:t>The Company defines “suppliers” as individuals or businesses that have been approved by us to either</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 product on our platform for a buyer or have utilized our supplier services, including our digital marketing services, data services, financial services or tools and materials. The Company defines Active Suppliers as suppliers that have used our platform at least once during the last twelve months to manufacture a product.</w:t>
      </w:r>
    </w:p>
    <w:p>
      <w:pPr>
        <w:spacing w:after="0" w:line="145" w:lineRule="exact"/>
        <w:rPr>
          <w:sz w:val="20"/>
          <w:szCs w:val="20"/>
          <w:color w:val="auto"/>
        </w:rPr>
      </w:pPr>
    </w:p>
    <w:p>
      <w:pPr>
        <w:jc w:val="both"/>
        <w:ind w:right="120"/>
        <w:spacing w:after="0" w:line="261"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an “account”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11" w:lineRule="exact"/>
        <w:rPr>
          <w:sz w:val="20"/>
          <w:szCs w:val="20"/>
          <w:color w:val="auto"/>
        </w:rPr>
      </w:pPr>
    </w:p>
    <w:p>
      <w:pPr>
        <w:ind w:right="240"/>
        <w:spacing w:after="0" w:line="242"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128"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Adjusted earnings before interest, taxes, depreciation and amortization (Adjusted EBITDA)</w:t>
      </w:r>
      <w:r>
        <w:rPr>
          <w:rFonts w:ascii="Arial" w:cs="Arial" w:eastAsia="Arial" w:hAnsi="Arial"/>
          <w:sz w:val="19"/>
          <w:szCs w:val="19"/>
          <w:color w:val="auto"/>
        </w:rPr>
        <w:t>: The Company defines</w:t>
      </w:r>
      <w:r>
        <w:rPr>
          <w:rFonts w:ascii="Arial" w:cs="Arial" w:eastAsia="Arial" w:hAnsi="Arial"/>
          <w:sz w:val="19"/>
          <w:szCs w:val="19"/>
          <w:b w:val="1"/>
          <w:bCs w:val="1"/>
          <w:color w:val="auto"/>
        </w:rPr>
        <w:t xml:space="preserve"> </w:t>
      </w:r>
      <w:r>
        <w:rPr>
          <w:rFonts w:ascii="Arial" w:cs="Arial" w:eastAsia="Arial" w:hAnsi="Arial"/>
          <w:sz w:val="19"/>
          <w:szCs w:val="19"/>
          <w:color w:val="auto"/>
        </w:rPr>
        <w:t>Adjusted EBITDA as net loss, adjusted for interest expense, interest and dividend income and other expenses, and certain other non-cash or non-recurring items impacting net loss from time to time, principally comprised of depreciation and amortization, amortization of lease intangible, provision for income taxes, stock-based compensation, payroll tax expense related to stock-based compensation, charitable contributions of common stock, income from unconsolidated joint venture, restructuring charges and acquisition and other adjustments not reflective of the Company’s ongoing business, such as adjustments related to purchase accounting, the revaluation of contingent consideration, transaction costs and executive severance.</w:t>
      </w:r>
    </w:p>
    <w:p>
      <w:pPr>
        <w:spacing w:after="0" w:line="140" w:lineRule="exact"/>
        <w:rPr>
          <w:sz w:val="20"/>
          <w:szCs w:val="20"/>
          <w:color w:val="auto"/>
        </w:rPr>
      </w:pPr>
    </w:p>
    <w:p>
      <w:pPr>
        <w:ind w:right="200"/>
        <w:spacing w:after="0" w:line="233" w:lineRule="auto"/>
        <w:rPr>
          <w:sz w:val="20"/>
          <w:szCs w:val="20"/>
          <w:color w:val="auto"/>
        </w:rPr>
      </w:pPr>
      <w:r>
        <w:rPr>
          <w:rFonts w:ascii="Arial" w:cs="Arial" w:eastAsia="Arial" w:hAnsi="Arial"/>
          <w:sz w:val="20"/>
          <w:szCs w:val="20"/>
          <w:b w:val="1"/>
          <w:bCs w:val="1"/>
          <w:color w:val="auto"/>
        </w:rPr>
        <w:t xml:space="preserve">Non-GAAP net income (loss): </w:t>
      </w:r>
      <w:r>
        <w:rPr>
          <w:rFonts w:ascii="Arial" w:cs="Arial" w:eastAsia="Arial" w:hAnsi="Arial"/>
          <w:sz w:val="20"/>
          <w:szCs w:val="20"/>
          <w:color w:val="auto"/>
        </w:rPr>
        <w:t>The Company defines non-GAAP net income (loss) as net loss adjusted for stock-based</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payroll tax expense related to stock-based compensation, amortization of lease intangible, amortization of deferred costs on convertible notes, charitable contributions of common stock, lease termination, restructuring charges, amortization of acquired intangible assets &amp; patents, other amortization and acquisition and other adjustments not reflective of the Company’s ongoing business, such as adjustments related to purchase accounting, the revaluation of contingent consideration, transaction costs and executive severance.</w:t>
      </w:r>
    </w:p>
    <w:p>
      <w:pPr>
        <w:spacing w:after="0" w:line="132" w:lineRule="exact"/>
        <w:rPr>
          <w:sz w:val="20"/>
          <w:szCs w:val="20"/>
          <w:color w:val="auto"/>
        </w:rPr>
      </w:pPr>
    </w:p>
    <w:p>
      <w:pPr>
        <w:ind w:right="180"/>
        <w:spacing w:after="0" w:line="242" w:lineRule="auto"/>
        <w:rPr>
          <w:sz w:val="20"/>
          <w:szCs w:val="20"/>
          <w:color w:val="auto"/>
        </w:rPr>
      </w:pPr>
      <w:r>
        <w:rPr>
          <w:rFonts w:ascii="Arial" w:cs="Arial" w:eastAsia="Arial" w:hAnsi="Arial"/>
          <w:sz w:val="20"/>
          <w:szCs w:val="20"/>
          <w:b w:val="1"/>
          <w:bCs w:val="1"/>
          <w:color w:val="auto"/>
        </w:rPr>
        <w:t xml:space="preserve">Non-GAAP Earnings Per Share, basic and diluted (Non-GAAP EPS, basic and diluted): </w:t>
      </w:r>
      <w:r>
        <w:rPr>
          <w:rFonts w:ascii="Arial" w:cs="Arial" w:eastAsia="Arial" w:hAnsi="Arial"/>
          <w:sz w:val="20"/>
          <w:szCs w:val="20"/>
          <w:color w:val="auto"/>
        </w:rPr>
        <w:t>The Company calculates non-GAAP earnings per share, basic and diluted as non-GAAP net income (loss) divided by the weighted average number of basic or dilutive shares of common stock outstanding.</w:t>
      </w:r>
    </w:p>
    <w:p>
      <w:pPr>
        <w:spacing w:after="0" w:line="130"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non-GAAP net income (loss)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 of such expenses is the result of long-term investment decisions made in previous periods rather than day-to-day operating decisions.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Xometry</w:t>
      </w:r>
    </w:p>
    <w:p>
      <w:pPr>
        <w:spacing w:after="0" w:line="6"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Xometry’s (NASDAQ: XMTR) AI-native marketplace, popular Thomasnet® industrial sourcing platform and suite of cloud-based services are rapidly digitizing the manufacturing industry. Xometry provides manufacturers the critical resources they need to grow their business and streamlines the procurement process for buyers through real-time pricing and lead time data. Learn more at xometry.com and xometry.eu.</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6"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May 7, 2026. In addition to its press release announcing its first quarter 2026 financial results, Xometry will release an earnings presentation, which will be available on its investor website at investors.xometry.com.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Xometry, Inc. First Quarter 2026 Earnings Presentation and Conference Call</w:t>
      </w:r>
    </w:p>
    <w:p>
      <w:pPr>
        <w:spacing w:after="0" w:line="3"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Thursday, May 7, 2026</w:t>
      </w:r>
    </w:p>
    <w:p>
      <w:pPr>
        <w:ind w:left="1020" w:hanging="503"/>
        <w:spacing w:after="0" w:line="238" w:lineRule="auto"/>
        <w:tabs>
          <w:tab w:leader="none" w:pos="102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8:30 a.m. Eastern / 5:30 a.m. Pacific</w:t>
      </w:r>
    </w:p>
    <w:p>
      <w:pPr>
        <w:ind w:left="1020" w:hanging="503"/>
        <w:spacing w:after="0" w:line="238" w:lineRule="auto"/>
        <w:tabs>
          <w:tab w:leader="none" w:pos="102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To access the webcast use the following link: https://register-conf.media-server.com/register</w:t>
      </w:r>
    </w:p>
    <w:p>
      <w:pPr>
        <w:ind w:left="1020" w:right="60" w:hanging="503"/>
        <w:spacing w:after="0" w:line="239" w:lineRule="auto"/>
        <w:tabs>
          <w:tab w:leader="none" w:pos="102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Information Regarding Forward-Looking Statements</w:t>
      </w:r>
    </w:p>
    <w:p>
      <w:pPr>
        <w:spacing w:after="0" w:line="1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second quarter of 2026 and the full year 2026; our expectations regarding our growth; and statements regarding our strategies, initiatives, products and platform capabilities.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 operating model, our brand and reputation, and the impact of fluctuations in general macroeconomic conditions, such as fluctuations in inflation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year ended December 31, 2025, our Quarterly Reports on Form 10-Q, and other filings and reports that we may file from time to time with the SEC. All forward-looking statements in this press release are based on information available to Xometry and assumptions and beliefs as of the date hereof, and we disclaim any obligation to update any forward-looking statements, except as required by law.</w:t>
      </w:r>
    </w:p>
    <w:p>
      <w:pPr>
        <w:sectPr>
          <w:pgSz w:w="11900" w:h="16838" w:orient="portrait"/>
          <w:cols w:equalWidth="0" w:num="1">
            <w:col w:w="11200"/>
          </w:cols>
          <w:pgMar w:left="320" w:top="1088" w:right="37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Shawn Milne</w:t>
      </w:r>
    </w:p>
    <w:p>
      <w:pPr>
        <w:spacing w:after="0" w:line="232" w:lineRule="auto"/>
        <w:rPr>
          <w:sz w:val="20"/>
          <w:szCs w:val="20"/>
          <w:color w:val="auto"/>
        </w:rPr>
      </w:pPr>
      <w:r>
        <w:rPr>
          <w:rFonts w:ascii="Arial" w:cs="Arial" w:eastAsia="Arial" w:hAnsi="Arial"/>
          <w:sz w:val="17"/>
          <w:szCs w:val="17"/>
          <w:color w:val="auto"/>
        </w:rPr>
        <w:t>VP Investor Relations</w:t>
      </w:r>
    </w:p>
    <w:p>
      <w:pPr>
        <w:spacing w:after="0" w:line="232" w:lineRule="auto"/>
        <w:rPr>
          <w:sz w:val="20"/>
          <w:szCs w:val="20"/>
          <w:color w:val="auto"/>
        </w:rPr>
      </w:pPr>
      <w:r>
        <w:rPr>
          <w:rFonts w:ascii="Arial" w:cs="Arial" w:eastAsia="Arial" w:hAnsi="Arial"/>
          <w:sz w:val="17"/>
          <w:szCs w:val="17"/>
          <w:color w:val="auto"/>
        </w:rPr>
        <w:t>240-335-8132</w:t>
      </w:r>
    </w:p>
    <w:p>
      <w:pPr>
        <w:spacing w:after="0"/>
        <w:rPr>
          <w:sz w:val="20"/>
          <w:szCs w:val="20"/>
          <w:color w:val="auto"/>
        </w:rPr>
      </w:pPr>
      <w:r>
        <w:rPr>
          <w:rFonts w:ascii="Arial" w:cs="Arial" w:eastAsia="Arial" w:hAnsi="Arial"/>
          <w:sz w:val="17"/>
          <w:szCs w:val="17"/>
          <w:color w:val="auto"/>
        </w:rPr>
        <w:t>shawn.milne@xometry.com</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Lauran Cacciatori</w:t>
      </w:r>
    </w:p>
    <w:p>
      <w:pPr>
        <w:spacing w:after="0" w:line="232" w:lineRule="auto"/>
        <w:rPr>
          <w:sz w:val="20"/>
          <w:szCs w:val="20"/>
          <w:color w:val="auto"/>
        </w:rPr>
      </w:pPr>
      <w:r>
        <w:rPr>
          <w:rFonts w:ascii="Arial" w:cs="Arial" w:eastAsia="Arial" w:hAnsi="Arial"/>
          <w:sz w:val="17"/>
          <w:szCs w:val="17"/>
          <w:color w:val="auto"/>
        </w:rPr>
        <w:t>VP Communications</w:t>
      </w:r>
    </w:p>
    <w:p>
      <w:pPr>
        <w:spacing w:after="0" w:line="232" w:lineRule="auto"/>
        <w:rPr>
          <w:sz w:val="20"/>
          <w:szCs w:val="20"/>
          <w:color w:val="auto"/>
        </w:rPr>
      </w:pPr>
      <w:r>
        <w:rPr>
          <w:rFonts w:ascii="Arial" w:cs="Arial" w:eastAsia="Arial" w:hAnsi="Arial"/>
          <w:sz w:val="17"/>
          <w:szCs w:val="17"/>
          <w:color w:val="auto"/>
        </w:rPr>
        <w:t>773-610-0806</w:t>
      </w:r>
    </w:p>
    <w:p>
      <w:pPr>
        <w:spacing w:after="0"/>
        <w:rPr>
          <w:sz w:val="20"/>
          <w:szCs w:val="20"/>
          <w:color w:val="auto"/>
        </w:rPr>
      </w:pPr>
      <w:r>
        <w:rPr>
          <w:rFonts w:ascii="Arial" w:cs="Arial" w:eastAsia="Arial" w:hAnsi="Arial"/>
          <w:sz w:val="17"/>
          <w:szCs w:val="17"/>
          <w:color w:val="auto"/>
        </w:rPr>
        <w:t>lauran.cacciatori@xometry.com</w:t>
      </w:r>
    </w:p>
    <w:p>
      <w:pPr>
        <w:spacing w:after="0" w:line="200" w:lineRule="exact"/>
        <w:rPr>
          <w:sz w:val="20"/>
          <w:szCs w:val="20"/>
          <w:color w:val="auto"/>
        </w:rPr>
      </w:pPr>
    </w:p>
    <w:p>
      <w:pPr>
        <w:sectPr>
          <w:pgSz w:w="11900" w:h="16838" w:orient="portrait"/>
          <w:cols w:equalWidth="0" w:num="2">
            <w:col w:w="4900" w:space="720"/>
            <w:col w:w="5580"/>
          </w:cols>
          <w:pgMar w:left="320" w:top="1088" w:right="37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8" w:right="37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ind w:left="3740"/>
        <w:spacing w:after="0" w:line="231" w:lineRule="auto"/>
        <w:rPr>
          <w:sz w:val="20"/>
          <w:szCs w:val="20"/>
          <w:color w:val="auto"/>
        </w:rPr>
      </w:pPr>
      <w:r>
        <w:rPr>
          <w:rFonts w:ascii="Arial" w:cs="Arial" w:eastAsia="Arial" w:hAnsi="Arial"/>
          <w:sz w:val="20"/>
          <w:szCs w:val="20"/>
          <w:color w:val="auto"/>
        </w:rPr>
        <w:t>Condensed Consolidated Balance Sheets</w:t>
      </w:r>
    </w:p>
    <w:p>
      <w:pPr>
        <w:ind w:left="3520"/>
        <w:spacing w:after="0" w:line="226" w:lineRule="auto"/>
        <w:rPr>
          <w:sz w:val="20"/>
          <w:szCs w:val="20"/>
          <w:color w:val="auto"/>
        </w:rPr>
      </w:pPr>
      <w:r>
        <w:rPr>
          <w:rFonts w:ascii="Arial" w:cs="Arial" w:eastAsia="Arial" w:hAnsi="Arial"/>
          <w:sz w:val="20"/>
          <w:szCs w:val="20"/>
          <w:color w:val="auto"/>
        </w:rPr>
        <w:t>(In thousands, except share and per share data)</w:t>
      </w:r>
    </w:p>
    <w:p>
      <w:pPr>
        <w:jc w:val="center"/>
        <w:spacing w:after="0"/>
        <w:rPr>
          <w:sz w:val="20"/>
          <w:szCs w:val="20"/>
          <w:color w:val="auto"/>
        </w:rPr>
      </w:pPr>
      <w:r>
        <w:rPr>
          <w:rFonts w:ascii="Arial" w:cs="Arial" w:eastAsia="Arial" w:hAnsi="Arial"/>
          <w:sz w:val="20"/>
          <w:szCs w:val="20"/>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7220" w:type="dxa"/>
            <w:vAlign w:val="bottom"/>
          </w:tcPr>
          <w:p>
            <w:pPr>
              <w:spacing w:after="0"/>
              <w:rPr>
                <w:sz w:val="13"/>
                <w:szCs w:val="13"/>
                <w:color w:val="auto"/>
              </w:rPr>
            </w:pPr>
          </w:p>
        </w:tc>
        <w:tc>
          <w:tcPr>
            <w:tcW w:w="12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2026</w:t>
            </w:r>
          </w:p>
        </w:tc>
        <w:tc>
          <w:tcPr>
            <w:tcW w:w="580" w:type="dxa"/>
            <w:vAlign w:val="bottom"/>
            <w:tcBorders>
              <w:top w:val="single" w:sz="8" w:color="auto"/>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688"/>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r>
      <w:tr>
        <w:trPr>
          <w:trHeight w:val="155"/>
        </w:trPr>
        <w:tc>
          <w:tcPr>
            <w:tcW w:w="7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Cash and cash equivalents</w:t>
            </w:r>
          </w:p>
        </w:tc>
        <w:tc>
          <w:tcPr>
            <w:tcW w:w="1220" w:type="dxa"/>
            <w:vAlign w:val="bottom"/>
            <w:shd w:val="clear" w:color="auto" w:fill="CFF0FC"/>
          </w:tcPr>
          <w:p>
            <w:pPr>
              <w:jc w:val="right"/>
              <w:ind w:right="106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21,046</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14,996</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Marketable securities</w:t>
            </w:r>
          </w:p>
        </w:tc>
        <w:tc>
          <w:tcPr>
            <w:tcW w:w="1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202,925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204,145</w:t>
            </w:r>
          </w:p>
        </w:tc>
        <w:tc>
          <w:tcPr>
            <w:tcW w:w="120" w:type="dxa"/>
            <w:vAlign w:val="bottom"/>
          </w:tcPr>
          <w:p>
            <w:pPr>
              <w:spacing w:after="0"/>
              <w:rPr>
                <w:sz w:val="14"/>
                <w:szCs w:val="14"/>
                <w:color w:val="auto"/>
              </w:rPr>
            </w:pPr>
          </w:p>
        </w:tc>
      </w:tr>
      <w:tr>
        <w:trPr>
          <w:trHeight w:val="153"/>
        </w:trPr>
        <w:tc>
          <w:tcPr>
            <w:tcW w:w="7220" w:type="dxa"/>
            <w:vAlign w:val="bottom"/>
            <w:shd w:val="clear" w:color="auto" w:fill="CFF0FC"/>
          </w:tcPr>
          <w:p>
            <w:pPr>
              <w:ind w:left="120"/>
              <w:spacing w:after="0" w:line="153" w:lineRule="exact"/>
              <w:rPr>
                <w:sz w:val="20"/>
                <w:szCs w:val="20"/>
                <w:color w:val="auto"/>
              </w:rPr>
            </w:pPr>
            <w:r>
              <w:rPr>
                <w:rFonts w:ascii="Arial" w:cs="Arial" w:eastAsia="Arial" w:hAnsi="Arial"/>
                <w:sz w:val="14"/>
                <w:szCs w:val="14"/>
                <w:color w:val="auto"/>
              </w:rPr>
              <w:t>Accounts receivable, less allowance for credit losses of $7.1 million and $8.0 million as of</w:t>
            </w:r>
          </w:p>
        </w:tc>
        <w:tc>
          <w:tcPr>
            <w:tcW w:w="1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1"/>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March 31, 2026 and December 31, 2025, respectively</w:t>
            </w:r>
          </w:p>
        </w:tc>
        <w:tc>
          <w:tcPr>
            <w:tcW w:w="1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119,746</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97,370</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Inventory</w:t>
            </w:r>
          </w:p>
        </w:tc>
        <w:tc>
          <w:tcPr>
            <w:tcW w:w="1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3,600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3,917</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Prepaid expenses</w:t>
            </w:r>
          </w:p>
        </w:tc>
        <w:tc>
          <w:tcPr>
            <w:tcW w:w="1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7,039</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7,262</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Other current assets</w:t>
            </w:r>
          </w:p>
        </w:tc>
        <w:tc>
          <w:tcPr>
            <w:tcW w:w="1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9,699</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6,954</w:t>
            </w:r>
          </w:p>
        </w:tc>
        <w:tc>
          <w:tcPr>
            <w:tcW w:w="120" w:type="dxa"/>
            <w:vAlign w:val="bottom"/>
          </w:tcPr>
          <w:p>
            <w:pPr>
              <w:spacing w:after="0"/>
              <w:rPr>
                <w:sz w:val="14"/>
                <w:szCs w:val="14"/>
                <w:color w:val="auto"/>
              </w:rPr>
            </w:pPr>
          </w:p>
        </w:tc>
      </w:tr>
      <w:tr>
        <w:trPr>
          <w:trHeight w:val="156"/>
        </w:trPr>
        <w:tc>
          <w:tcPr>
            <w:tcW w:w="722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Total current assets</w:t>
            </w:r>
          </w:p>
        </w:tc>
        <w:tc>
          <w:tcPr>
            <w:tcW w:w="12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364,055</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334,644</w:t>
            </w:r>
          </w:p>
        </w:tc>
        <w:tc>
          <w:tcPr>
            <w:tcW w:w="120" w:type="dxa"/>
            <w:vAlign w:val="bottom"/>
            <w:shd w:val="clear" w:color="auto" w:fill="CFF0FC"/>
          </w:tcPr>
          <w:p>
            <w:pPr>
              <w:spacing w:after="0"/>
              <w:rPr>
                <w:sz w:val="13"/>
                <w:szCs w:val="13"/>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Software development and property and equipment, net</w:t>
            </w:r>
          </w:p>
        </w:tc>
        <w:tc>
          <w:tcPr>
            <w:tcW w:w="1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69,174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60,631</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Operating lease right-of-use assets</w:t>
            </w:r>
          </w:p>
        </w:tc>
        <w:tc>
          <w:tcPr>
            <w:tcW w:w="1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10,714</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11,132</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Investment in unconsolidated joint venture</w:t>
            </w:r>
          </w:p>
        </w:tc>
        <w:tc>
          <w:tcPr>
            <w:tcW w:w="1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4,115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4,069</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Intangible assets, net</w:t>
            </w:r>
          </w:p>
        </w:tc>
        <w:tc>
          <w:tcPr>
            <w:tcW w:w="1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27,759</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28,563</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Goodwill</w:t>
            </w:r>
          </w:p>
        </w:tc>
        <w:tc>
          <w:tcPr>
            <w:tcW w:w="1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263,558</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263,801</w:t>
            </w:r>
          </w:p>
        </w:tc>
        <w:tc>
          <w:tcPr>
            <w:tcW w:w="120" w:type="dxa"/>
            <w:vAlign w:val="bottom"/>
          </w:tcPr>
          <w:p>
            <w:pPr>
              <w:spacing w:after="0"/>
              <w:rPr>
                <w:sz w:val="14"/>
                <w:szCs w:val="14"/>
                <w:color w:val="auto"/>
              </w:rPr>
            </w:pPr>
          </w:p>
        </w:tc>
      </w:tr>
      <w:tr>
        <w:trPr>
          <w:trHeight w:val="162"/>
        </w:trPr>
        <w:tc>
          <w:tcPr>
            <w:tcW w:w="7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Other assets</w:t>
            </w:r>
          </w:p>
        </w:tc>
        <w:tc>
          <w:tcPr>
            <w:tcW w:w="122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888</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880</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6"/>
        </w:trPr>
        <w:tc>
          <w:tcPr>
            <w:tcW w:w="72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assets</w:t>
            </w:r>
          </w:p>
        </w:tc>
        <w:tc>
          <w:tcPr>
            <w:tcW w:w="1220" w:type="dxa"/>
            <w:vAlign w:val="bottom"/>
            <w:tcBorders>
              <w:bottom w:val="single" w:sz="8" w:color="auto"/>
            </w:tcBorders>
          </w:tcPr>
          <w:p>
            <w:pPr>
              <w:jc w:val="right"/>
              <w:ind w:right="106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740,263</w:t>
            </w:r>
          </w:p>
        </w:tc>
        <w:tc>
          <w:tcPr>
            <w:tcW w:w="28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703,720</w:t>
            </w:r>
          </w:p>
        </w:tc>
        <w:tc>
          <w:tcPr>
            <w:tcW w:w="120" w:type="dxa"/>
            <w:vAlign w:val="bottom"/>
          </w:tcPr>
          <w:p>
            <w:pPr>
              <w:spacing w:after="0"/>
              <w:rPr>
                <w:sz w:val="13"/>
                <w:szCs w:val="13"/>
                <w:color w:val="auto"/>
              </w:rPr>
            </w:pPr>
          </w:p>
        </w:tc>
      </w:tr>
      <w:tr>
        <w:trPr>
          <w:trHeight w:val="20"/>
        </w:trPr>
        <w:tc>
          <w:tcPr>
            <w:tcW w:w="7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722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1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Accounts payable and accrued cost of revenue</w:t>
            </w:r>
          </w:p>
        </w:tc>
        <w:tc>
          <w:tcPr>
            <w:tcW w:w="1220" w:type="dxa"/>
            <w:vAlign w:val="bottom"/>
            <w:shd w:val="clear" w:color="auto" w:fill="CFF0FC"/>
          </w:tcPr>
          <w:p>
            <w:pPr>
              <w:jc w:val="right"/>
              <w:ind w:right="106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62,271</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44,612</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Other accrued expenses</w:t>
            </w:r>
          </w:p>
        </w:tc>
        <w:tc>
          <w:tcPr>
            <w:tcW w:w="1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42,086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31,669</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Contract liabilities</w:t>
            </w:r>
          </w:p>
        </w:tc>
        <w:tc>
          <w:tcPr>
            <w:tcW w:w="1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12,027</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10,319</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Income taxes payable</w:t>
            </w:r>
          </w:p>
        </w:tc>
        <w:tc>
          <w:tcPr>
            <w:tcW w:w="1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Convertible notes, current portion</w:t>
            </w:r>
          </w:p>
        </w:tc>
        <w:tc>
          <w:tcPr>
            <w:tcW w:w="1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85,343</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Operating lease liabilities, current portion</w:t>
            </w:r>
          </w:p>
        </w:tc>
        <w:tc>
          <w:tcPr>
            <w:tcW w:w="1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2,067</w:t>
            </w:r>
          </w:p>
        </w:tc>
        <w:tc>
          <w:tcPr>
            <w:tcW w:w="120" w:type="dxa"/>
            <w:vAlign w:val="bottom"/>
          </w:tcPr>
          <w:p>
            <w:pPr>
              <w:spacing w:after="0"/>
              <w:rPr>
                <w:sz w:val="14"/>
                <w:szCs w:val="14"/>
                <w:color w:val="auto"/>
              </w:rPr>
            </w:pPr>
          </w:p>
        </w:tc>
      </w:tr>
      <w:tr>
        <w:trPr>
          <w:trHeight w:val="156"/>
        </w:trPr>
        <w:tc>
          <w:tcPr>
            <w:tcW w:w="722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Total current liabilities</w:t>
            </w:r>
          </w:p>
        </w:tc>
        <w:tc>
          <w:tcPr>
            <w:tcW w:w="12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204,412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88,936</w:t>
            </w:r>
          </w:p>
        </w:tc>
        <w:tc>
          <w:tcPr>
            <w:tcW w:w="120" w:type="dxa"/>
            <w:vAlign w:val="bottom"/>
            <w:shd w:val="clear" w:color="auto" w:fill="CFF0FC"/>
          </w:tcPr>
          <w:p>
            <w:pPr>
              <w:spacing w:after="0"/>
              <w:rPr>
                <w:sz w:val="13"/>
                <w:szCs w:val="13"/>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Convertible notes, net of current portion</w:t>
            </w:r>
          </w:p>
        </w:tc>
        <w:tc>
          <w:tcPr>
            <w:tcW w:w="1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242,742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327,514</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Operating lease liabilities, net of current portion</w:t>
            </w:r>
          </w:p>
        </w:tc>
        <w:tc>
          <w:tcPr>
            <w:tcW w:w="1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9,303</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9,841</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Deferred income taxes</w:t>
            </w:r>
          </w:p>
        </w:tc>
        <w:tc>
          <w:tcPr>
            <w:tcW w:w="1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4"/>
                <w:szCs w:val="14"/>
                <w:color w:val="auto"/>
              </w:rPr>
            </w:pPr>
          </w:p>
        </w:tc>
      </w:tr>
      <w:tr>
        <w:trPr>
          <w:trHeight w:val="162"/>
        </w:trPr>
        <w:tc>
          <w:tcPr>
            <w:tcW w:w="7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Other liabilities</w:t>
            </w:r>
          </w:p>
        </w:tc>
        <w:tc>
          <w:tcPr>
            <w:tcW w:w="122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492</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547</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72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liabilities</w:t>
            </w:r>
          </w:p>
        </w:tc>
        <w:tc>
          <w:tcPr>
            <w:tcW w:w="1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457,094</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426,983</w:t>
            </w:r>
          </w:p>
        </w:tc>
        <w:tc>
          <w:tcPr>
            <w:tcW w:w="120" w:type="dxa"/>
            <w:vAlign w:val="bottom"/>
          </w:tcPr>
          <w:p>
            <w:pPr>
              <w:spacing w:after="0"/>
              <w:rPr>
                <w:sz w:val="13"/>
                <w:szCs w:val="13"/>
                <w:color w:val="auto"/>
              </w:rPr>
            </w:pPr>
          </w:p>
        </w:tc>
      </w:tr>
      <w:tr>
        <w:trPr>
          <w:trHeight w:val="155"/>
        </w:trPr>
        <w:tc>
          <w:tcPr>
            <w:tcW w:w="7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Commitments and contingencies</w:t>
            </w:r>
          </w:p>
        </w:tc>
        <w:tc>
          <w:tcPr>
            <w:tcW w:w="1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7220" w:type="dxa"/>
            <w:vAlign w:val="bottom"/>
            <w:shd w:val="clear" w:color="auto" w:fill="CFF0FC"/>
          </w:tcPr>
          <w:p>
            <w:pPr>
              <w:ind w:left="120"/>
              <w:spacing w:after="0" w:line="153" w:lineRule="exact"/>
              <w:rPr>
                <w:sz w:val="20"/>
                <w:szCs w:val="20"/>
                <w:color w:val="auto"/>
              </w:rPr>
            </w:pPr>
            <w:r>
              <w:rPr>
                <w:rFonts w:ascii="Arial" w:cs="Arial" w:eastAsia="Arial" w:hAnsi="Arial"/>
                <w:sz w:val="14"/>
                <w:szCs w:val="14"/>
                <w:color w:val="auto"/>
              </w:rPr>
              <w:t>Preferred stock, $0.000001 par value. Authorized; 50,000,000 shares; zero shares issued</w:t>
            </w:r>
          </w:p>
        </w:tc>
        <w:tc>
          <w:tcPr>
            <w:tcW w:w="1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1"/>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and outstanding as of March 31, 2026 and December 31, 2025</w:t>
            </w:r>
          </w:p>
        </w:tc>
        <w:tc>
          <w:tcPr>
            <w:tcW w:w="1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53"/>
        </w:trPr>
        <w:tc>
          <w:tcPr>
            <w:tcW w:w="7220" w:type="dxa"/>
            <w:vAlign w:val="bottom"/>
          </w:tcPr>
          <w:p>
            <w:pPr>
              <w:ind w:left="120"/>
              <w:spacing w:after="0" w:line="153" w:lineRule="exact"/>
              <w:rPr>
                <w:sz w:val="20"/>
                <w:szCs w:val="20"/>
                <w:color w:val="auto"/>
              </w:rPr>
            </w:pPr>
            <w:r>
              <w:rPr>
                <w:rFonts w:ascii="Arial" w:cs="Arial" w:eastAsia="Arial" w:hAnsi="Arial"/>
                <w:sz w:val="14"/>
                <w:szCs w:val="14"/>
                <w:color w:val="auto"/>
              </w:rPr>
              <w:t>Class A Common stock, $0.000001 par value. Authorized; 750,000,000 shares; 50,765,219</w:t>
            </w: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shares and 49,842,220 shares issued and outstanding as of March 31, 2026 and December</w:t>
            </w: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220" w:type="dxa"/>
            <w:vAlign w:val="bottom"/>
          </w:tcPr>
          <w:p>
            <w:pPr>
              <w:ind w:left="120"/>
              <w:spacing w:after="0"/>
              <w:rPr>
                <w:sz w:val="20"/>
                <w:szCs w:val="20"/>
                <w:color w:val="auto"/>
              </w:rPr>
            </w:pPr>
            <w:r>
              <w:rPr>
                <w:rFonts w:ascii="Arial" w:cs="Arial" w:eastAsia="Arial" w:hAnsi="Arial"/>
                <w:sz w:val="14"/>
                <w:szCs w:val="14"/>
                <w:color w:val="auto"/>
              </w:rPr>
              <w:t>31, 2025, respectively</w:t>
            </w:r>
          </w:p>
        </w:tc>
        <w:tc>
          <w:tcPr>
            <w:tcW w:w="1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3"/>
        </w:trPr>
        <w:tc>
          <w:tcPr>
            <w:tcW w:w="7220" w:type="dxa"/>
            <w:vAlign w:val="bottom"/>
            <w:shd w:val="clear" w:color="auto" w:fill="CFF0FC"/>
          </w:tcPr>
          <w:p>
            <w:pPr>
              <w:ind w:left="120"/>
              <w:spacing w:after="0" w:line="153" w:lineRule="exact"/>
              <w:rPr>
                <w:sz w:val="20"/>
                <w:szCs w:val="20"/>
                <w:color w:val="auto"/>
              </w:rPr>
            </w:pPr>
            <w:r>
              <w:rPr>
                <w:rFonts w:ascii="Arial" w:cs="Arial" w:eastAsia="Arial" w:hAnsi="Arial"/>
                <w:sz w:val="14"/>
                <w:szCs w:val="14"/>
                <w:color w:val="auto"/>
              </w:rPr>
              <w:t>Class B Common stock, $0.000001 par value. Authorized; 5,000,000 shares; 1,475,311</w:t>
            </w:r>
          </w:p>
        </w:tc>
        <w:tc>
          <w:tcPr>
            <w:tcW w:w="1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1"/>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shares issued and outstanding as of March 31, 2026 and December 31, 2025</w:t>
            </w:r>
          </w:p>
        </w:tc>
        <w:tc>
          <w:tcPr>
            <w:tcW w:w="1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1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723,306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710,925</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Treasury stock, at cost, 220,994 shares as of March 31, 2026 and December 31, 2025</w:t>
            </w:r>
          </w:p>
        </w:tc>
        <w:tc>
          <w:tcPr>
            <w:tcW w:w="1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(8,080)</w:t>
            </w:r>
          </w:p>
        </w:tc>
        <w:tc>
          <w:tcPr>
            <w:tcW w:w="2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(8,080)</w:t>
            </w: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Accumulated other comprehensive income (loss)</w:t>
            </w:r>
          </w:p>
        </w:tc>
        <w:tc>
          <w:tcPr>
            <w:tcW w:w="1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4,077</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4,772</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Accumulated deficit</w:t>
            </w:r>
          </w:p>
        </w:tc>
        <w:tc>
          <w:tcPr>
            <w:tcW w:w="1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(437,283)</w:t>
            </w:r>
          </w:p>
        </w:tc>
        <w:tc>
          <w:tcPr>
            <w:tcW w:w="2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(432,016)</w:t>
            </w:r>
          </w:p>
        </w:tc>
      </w:tr>
      <w:tr>
        <w:trPr>
          <w:trHeight w:val="155"/>
        </w:trPr>
        <w:tc>
          <w:tcPr>
            <w:tcW w:w="722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Total stockholders’ equity</w:t>
            </w:r>
          </w:p>
        </w:tc>
        <w:tc>
          <w:tcPr>
            <w:tcW w:w="1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282,020</w:t>
            </w:r>
          </w:p>
        </w:tc>
        <w:tc>
          <w:tcPr>
            <w:tcW w:w="28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275,601</w:t>
            </w:r>
          </w:p>
        </w:tc>
        <w:tc>
          <w:tcPr>
            <w:tcW w:w="120" w:type="dxa"/>
            <w:vAlign w:val="bottom"/>
            <w:tcBorders>
              <w:top w:val="single" w:sz="8" w:color="CFF0FC"/>
            </w:tcBorders>
          </w:tcPr>
          <w:p>
            <w:pPr>
              <w:spacing w:after="0"/>
              <w:rPr>
                <w:sz w:val="13"/>
                <w:szCs w:val="13"/>
                <w:color w:val="auto"/>
              </w:rPr>
            </w:pPr>
          </w:p>
        </w:tc>
      </w:tr>
      <w:tr>
        <w:trPr>
          <w:trHeight w:val="162"/>
        </w:trPr>
        <w:tc>
          <w:tcPr>
            <w:tcW w:w="7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Noncontrolling interest</w:t>
            </w:r>
          </w:p>
        </w:tc>
        <w:tc>
          <w:tcPr>
            <w:tcW w:w="122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1,149</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1,136</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72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equity</w:t>
            </w:r>
          </w:p>
        </w:tc>
        <w:tc>
          <w:tcPr>
            <w:tcW w:w="1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283,169</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276,737</w:t>
            </w:r>
          </w:p>
        </w:tc>
        <w:tc>
          <w:tcPr>
            <w:tcW w:w="120" w:type="dxa"/>
            <w:vAlign w:val="bottom"/>
          </w:tcPr>
          <w:p>
            <w:pPr>
              <w:spacing w:after="0"/>
              <w:rPr>
                <w:sz w:val="13"/>
                <w:szCs w:val="13"/>
                <w:color w:val="auto"/>
              </w:rPr>
            </w:pPr>
          </w:p>
        </w:tc>
      </w:tr>
      <w:tr>
        <w:trPr>
          <w:trHeight w:val="195"/>
        </w:trPr>
        <w:tc>
          <w:tcPr>
            <w:tcW w:w="72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1220" w:type="dxa"/>
            <w:vAlign w:val="bottom"/>
            <w:tcBorders>
              <w:bottom w:val="single" w:sz="8" w:color="auto"/>
            </w:tcBorders>
            <w:shd w:val="clear" w:color="auto" w:fill="CFF0FC"/>
          </w:tcPr>
          <w:p>
            <w:pPr>
              <w:jc w:val="right"/>
              <w:ind w:right="106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740,263</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703,720</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-3402330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-3402330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-1919605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-1919605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-462280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ind w:right="-59"/>
        <w:spacing w:after="0" w:line="231" w:lineRule="auto"/>
        <w:rPr>
          <w:sz w:val="20"/>
          <w:szCs w:val="20"/>
          <w:color w:val="auto"/>
        </w:rPr>
      </w:pPr>
      <w:r>
        <w:rPr>
          <w:rFonts w:ascii="Arial" w:cs="Arial" w:eastAsia="Arial" w:hAnsi="Arial"/>
          <w:sz w:val="20"/>
          <w:szCs w:val="20"/>
          <w:color w:val="auto"/>
        </w:rPr>
        <w:t>Condensed Consolidated Statements of Operations and Comprehensive Loss</w:t>
      </w:r>
    </w:p>
    <w:p>
      <w:pPr>
        <w:jc w:val="center"/>
        <w:spacing w:after="0" w:line="226" w:lineRule="auto"/>
        <w:rPr>
          <w:sz w:val="20"/>
          <w:szCs w:val="20"/>
          <w:color w:val="auto"/>
        </w:rPr>
      </w:pPr>
      <w:r>
        <w:rPr>
          <w:rFonts w:ascii="Arial" w:cs="Arial" w:eastAsia="Arial" w:hAnsi="Arial"/>
          <w:sz w:val="20"/>
          <w:szCs w:val="20"/>
          <w:color w:val="auto"/>
        </w:rPr>
        <w:t>(In thousands, except share and per share amounts)</w:t>
      </w:r>
    </w:p>
    <w:p>
      <w:pPr>
        <w:jc w:val="center"/>
        <w:spacing w:after="0"/>
        <w:rPr>
          <w:sz w:val="20"/>
          <w:szCs w:val="20"/>
          <w:color w:val="auto"/>
        </w:rPr>
      </w:pPr>
      <w:r>
        <w:rPr>
          <w:rFonts w:ascii="Arial" w:cs="Arial" w:eastAsia="Arial" w:hAnsi="Arial"/>
          <w:sz w:val="20"/>
          <w:szCs w:val="20"/>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4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20" w:type="dxa"/>
            <w:vAlign w:val="bottom"/>
            <w:shd w:val="clear" w:color="auto" w:fill="CFF0FC"/>
          </w:tcPr>
          <w:p>
            <w:pPr>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205,138</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150,971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spacing w:after="0"/>
              <w:rPr>
                <w:sz w:val="20"/>
                <w:szCs w:val="20"/>
                <w:color w:val="auto"/>
              </w:rPr>
            </w:pPr>
            <w:r>
              <w:rPr>
                <w:rFonts w:ascii="Arial" w:cs="Arial" w:eastAsia="Arial" w:hAnsi="Arial"/>
                <w:sz w:val="14"/>
                <w:szCs w:val="14"/>
                <w:color w:val="auto"/>
              </w:rPr>
              <w:t>Cost of revenue</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126,650</w:t>
            </w: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2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Gross profit</w:t>
            </w:r>
          </w:p>
        </w:tc>
        <w:tc>
          <w:tcPr>
            <w:tcW w:w="38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78,488</w:t>
            </w:r>
          </w:p>
        </w:tc>
        <w:tc>
          <w:tcPr>
            <w:tcW w:w="26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56,331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20" w:type="dxa"/>
            <w:vAlign w:val="bottom"/>
          </w:tcPr>
          <w:p>
            <w:pPr>
              <w:spacing w:after="0" w:line="155" w:lineRule="exact"/>
              <w:rPr>
                <w:sz w:val="20"/>
                <w:szCs w:val="20"/>
                <w:color w:val="auto"/>
              </w:rPr>
            </w:pPr>
            <w:r>
              <w:rPr>
                <w:rFonts w:ascii="Arial" w:cs="Arial" w:eastAsia="Arial" w:hAnsi="Arial"/>
                <w:sz w:val="14"/>
                <w:szCs w:val="14"/>
                <w:b w:val="1"/>
                <w:bCs w:val="1"/>
                <w:color w:val="auto"/>
              </w:rPr>
              <w:t>Operating expenses</w:t>
            </w: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Sales and marketing</w:t>
            </w: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31,967</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20"/>
              <w:spacing w:after="0"/>
              <w:rPr>
                <w:sz w:val="20"/>
                <w:szCs w:val="20"/>
                <w:color w:val="auto"/>
              </w:rPr>
            </w:pPr>
            <w:r>
              <w:rPr>
                <w:rFonts w:ascii="Arial" w:cs="Arial" w:eastAsia="Arial" w:hAnsi="Arial"/>
                <w:sz w:val="14"/>
                <w:szCs w:val="14"/>
                <w:color w:val="auto"/>
              </w:rPr>
              <w:t>Operations and support</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19,659</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17,090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Product development</w:t>
            </w: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11,428</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Borders>
              <w:bottom w:val="single" w:sz="8" w:color="CFF0FC"/>
            </w:tcBorders>
          </w:tcPr>
          <w:p>
            <w:pPr>
              <w:ind w:left="12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20,654</w:t>
            </w:r>
          </w:p>
        </w:tc>
        <w:tc>
          <w:tcPr>
            <w:tcW w:w="26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17,026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83,708</w:t>
            </w:r>
          </w:p>
        </w:tc>
        <w:tc>
          <w:tcPr>
            <w:tcW w:w="26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71,722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Loss from operations</w:t>
            </w:r>
          </w:p>
        </w:tc>
        <w:tc>
          <w:tcPr>
            <w:tcW w:w="380" w:type="dxa"/>
            <w:vAlign w:val="bottom"/>
          </w:tcPr>
          <w:p>
            <w:pPr>
              <w:spacing w:after="0"/>
              <w:rPr>
                <w:sz w:val="13"/>
                <w:szCs w:val="13"/>
                <w:color w:val="auto"/>
              </w:rPr>
            </w:pPr>
          </w:p>
        </w:tc>
        <w:tc>
          <w:tcPr>
            <w:tcW w:w="16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(5,220)</w:t>
            </w:r>
          </w:p>
        </w:tc>
        <w:tc>
          <w:tcPr>
            <w:tcW w:w="640" w:type="dxa"/>
            <w:vAlign w:val="bottom"/>
          </w:tcPr>
          <w:p>
            <w:pPr>
              <w:spacing w:after="0"/>
              <w:rPr>
                <w:sz w:val="13"/>
                <w:szCs w:val="13"/>
                <w:color w:val="auto"/>
              </w:rPr>
            </w:pPr>
          </w:p>
        </w:tc>
        <w:tc>
          <w:tcPr>
            <w:tcW w:w="12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(15,391)</w:t>
            </w:r>
          </w:p>
        </w:tc>
        <w:tc>
          <w:tcPr>
            <w:tcW w:w="0" w:type="dxa"/>
            <w:vAlign w:val="bottom"/>
          </w:tcPr>
          <w:p>
            <w:pPr>
              <w:spacing w:after="0"/>
              <w:rPr>
                <w:sz w:val="1"/>
                <w:szCs w:val="1"/>
                <w:color w:val="auto"/>
              </w:rPr>
            </w:pPr>
          </w:p>
        </w:tc>
      </w:tr>
      <w:tr>
        <w:trPr>
          <w:trHeight w:val="162"/>
        </w:trPr>
        <w:tc>
          <w:tcPr>
            <w:tcW w:w="74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Other (expenses) income</w:t>
            </w: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(1,258)</w:t>
            </w:r>
          </w:p>
        </w:tc>
        <w:tc>
          <w:tcPr>
            <w:tcW w:w="64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162"/>
        </w:trPr>
        <w:tc>
          <w:tcPr>
            <w:tcW w:w="7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Interest and dividend income</w:t>
            </w: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1,785</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20"/>
              <w:spacing w:after="0"/>
              <w:rPr>
                <w:sz w:val="20"/>
                <w:szCs w:val="20"/>
                <w:color w:val="auto"/>
              </w:rPr>
            </w:pPr>
            <w:r>
              <w:rPr>
                <w:rFonts w:ascii="Arial" w:cs="Arial" w:eastAsia="Arial" w:hAnsi="Arial"/>
                <w:sz w:val="14"/>
                <w:szCs w:val="14"/>
                <w:color w:val="auto"/>
              </w:rPr>
              <w:t>Other expenses</w:t>
            </w:r>
          </w:p>
        </w:tc>
        <w:tc>
          <w:tcPr>
            <w:tcW w:w="38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(464)</w:t>
            </w:r>
          </w:p>
        </w:tc>
        <w:tc>
          <w:tcPr>
            <w:tcW w:w="64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162"/>
        </w:trPr>
        <w:tc>
          <w:tcPr>
            <w:tcW w:w="74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Income from unconsolidated joint venture</w:t>
            </w:r>
          </w:p>
        </w:tc>
        <w:tc>
          <w:tcPr>
            <w:tcW w:w="38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26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20" w:type="dxa"/>
            <w:vAlign w:val="bottom"/>
          </w:tcPr>
          <w:p>
            <w:pPr>
              <w:spacing w:after="0" w:line="155" w:lineRule="exact"/>
              <w:rPr>
                <w:sz w:val="20"/>
                <w:szCs w:val="20"/>
                <w:color w:val="auto"/>
              </w:rPr>
            </w:pPr>
            <w:r>
              <w:rPr>
                <w:rFonts w:ascii="Arial" w:cs="Arial" w:eastAsia="Arial" w:hAnsi="Arial"/>
                <w:sz w:val="14"/>
                <w:szCs w:val="14"/>
                <w:color w:val="auto"/>
              </w:rPr>
              <w:t>Total other income</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w:t>
            </w:r>
          </w:p>
        </w:tc>
        <w:tc>
          <w:tcPr>
            <w:tcW w:w="2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2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Loss before income taxes</w:t>
            </w:r>
          </w:p>
        </w:tc>
        <w:tc>
          <w:tcPr>
            <w:tcW w:w="38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(5,011)</w:t>
            </w:r>
          </w:p>
        </w:tc>
        <w:tc>
          <w:tcPr>
            <w:tcW w:w="6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(15,076)</w:t>
            </w:r>
          </w:p>
        </w:tc>
        <w:tc>
          <w:tcPr>
            <w:tcW w:w="0" w:type="dxa"/>
            <w:vAlign w:val="bottom"/>
          </w:tcPr>
          <w:p>
            <w:pPr>
              <w:spacing w:after="0"/>
              <w:rPr>
                <w:sz w:val="1"/>
                <w:szCs w:val="1"/>
                <w:color w:val="auto"/>
              </w:rPr>
            </w:pPr>
          </w:p>
        </w:tc>
      </w:tr>
      <w:tr>
        <w:trPr>
          <w:trHeight w:val="162"/>
        </w:trPr>
        <w:tc>
          <w:tcPr>
            <w:tcW w:w="742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38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(248)</w:t>
            </w:r>
          </w:p>
        </w:tc>
        <w:tc>
          <w:tcPr>
            <w:tcW w:w="64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2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Net loss</w:t>
            </w:r>
          </w:p>
        </w:tc>
        <w:tc>
          <w:tcPr>
            <w:tcW w:w="38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(5,259)</w:t>
            </w:r>
          </w:p>
        </w:tc>
        <w:tc>
          <w:tcPr>
            <w:tcW w:w="6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(15,076)</w:t>
            </w:r>
          </w:p>
        </w:tc>
        <w:tc>
          <w:tcPr>
            <w:tcW w:w="0" w:type="dxa"/>
            <w:vAlign w:val="bottom"/>
          </w:tcPr>
          <w:p>
            <w:pPr>
              <w:spacing w:after="0"/>
              <w:rPr>
                <w:sz w:val="1"/>
                <w:szCs w:val="1"/>
                <w:color w:val="auto"/>
              </w:rPr>
            </w:pPr>
          </w:p>
        </w:tc>
      </w:tr>
      <w:tr>
        <w:trPr>
          <w:trHeight w:val="162"/>
        </w:trPr>
        <w:tc>
          <w:tcPr>
            <w:tcW w:w="7420" w:type="dxa"/>
            <w:vAlign w:val="bottom"/>
          </w:tcPr>
          <w:p>
            <w:pPr>
              <w:spacing w:after="0"/>
              <w:rPr>
                <w:sz w:val="20"/>
                <w:szCs w:val="20"/>
                <w:color w:val="auto"/>
              </w:rPr>
            </w:pPr>
            <w:r>
              <w:rPr>
                <w:rFonts w:ascii="Arial" w:cs="Arial" w:eastAsia="Arial" w:hAnsi="Arial"/>
                <w:sz w:val="14"/>
                <w:szCs w:val="14"/>
                <w:color w:val="auto"/>
              </w:rPr>
              <w:t>Net loss attributable to noncontrolling interest</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2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Net income attributable to common stockholders</w:t>
            </w:r>
          </w:p>
        </w:tc>
        <w:tc>
          <w:tcPr>
            <w:tcW w:w="380" w:type="dxa"/>
            <w:vAlign w:val="bottom"/>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(5,267)</w:t>
            </w:r>
          </w:p>
        </w:tc>
        <w:tc>
          <w:tcPr>
            <w:tcW w:w="640" w:type="dxa"/>
            <w:vAlign w:val="bottom"/>
            <w:shd w:val="clear" w:color="auto" w:fill="CFF0FC"/>
          </w:tcPr>
          <w:p>
            <w:pPr>
              <w:jc w:val="right"/>
              <w:ind w:right="4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(15,078)</w:t>
            </w:r>
          </w:p>
        </w:tc>
        <w:tc>
          <w:tcPr>
            <w:tcW w:w="0" w:type="dxa"/>
            <w:vAlign w:val="bottom"/>
          </w:tcPr>
          <w:p>
            <w:pPr>
              <w:spacing w:after="0"/>
              <w:rPr>
                <w:sz w:val="1"/>
                <w:szCs w:val="1"/>
                <w:color w:val="auto"/>
              </w:rPr>
            </w:pPr>
          </w:p>
        </w:tc>
      </w:tr>
      <w:tr>
        <w:trPr>
          <w:trHeight w:val="20"/>
        </w:trPr>
        <w:tc>
          <w:tcPr>
            <w:tcW w:w="7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20" w:type="dxa"/>
            <w:vAlign w:val="bottom"/>
          </w:tcPr>
          <w:p>
            <w:pPr>
              <w:spacing w:after="0" w:line="143" w:lineRule="exact"/>
              <w:rPr>
                <w:sz w:val="20"/>
                <w:szCs w:val="20"/>
                <w:color w:val="auto"/>
              </w:rPr>
            </w:pPr>
            <w:r>
              <w:rPr>
                <w:rFonts w:ascii="Arial" w:cs="Arial" w:eastAsia="Arial" w:hAnsi="Arial"/>
                <w:sz w:val="14"/>
                <w:szCs w:val="14"/>
                <w:color w:val="auto"/>
              </w:rPr>
              <w:t>Net loss per share, basic and diluted, of Class A and Class B common stock</w:t>
            </w:r>
          </w:p>
        </w:tc>
        <w:tc>
          <w:tcPr>
            <w:tcW w:w="380" w:type="dxa"/>
            <w:vAlign w:val="bottom"/>
          </w:tcPr>
          <w:p>
            <w:pPr>
              <w:jc w:val="right"/>
              <w:ind w:right="228"/>
              <w:spacing w:after="0" w:line="143" w:lineRule="exact"/>
              <w:rPr>
                <w:sz w:val="20"/>
                <w:szCs w:val="20"/>
                <w:color w:val="auto"/>
              </w:rPr>
            </w:pPr>
            <w:r>
              <w:rPr>
                <w:rFonts w:ascii="Arial" w:cs="Arial" w:eastAsia="Arial" w:hAnsi="Arial"/>
                <w:sz w:val="14"/>
                <w:szCs w:val="14"/>
                <w:color w:val="auto"/>
                <w:w w:val="76"/>
              </w:rPr>
              <w:t>$</w:t>
            </w:r>
          </w:p>
        </w:tc>
        <w:tc>
          <w:tcPr>
            <w:tcW w:w="16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(0.10)</w:t>
            </w:r>
          </w:p>
        </w:tc>
        <w:tc>
          <w:tcPr>
            <w:tcW w:w="640" w:type="dxa"/>
            <w:vAlign w:val="bottom"/>
          </w:tcPr>
          <w:p>
            <w:pPr>
              <w:jc w:val="right"/>
              <w:ind w:right="48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420" w:type="dxa"/>
            <w:vAlign w:val="bottom"/>
            <w:shd w:val="clear" w:color="auto" w:fill="CFF0FC"/>
          </w:tcPr>
          <w:p>
            <w:pPr>
              <w:spacing w:after="0" w:line="133" w:lineRule="exact"/>
              <w:rPr>
                <w:sz w:val="20"/>
                <w:szCs w:val="20"/>
                <w:color w:val="auto"/>
              </w:rPr>
            </w:pPr>
            <w:r>
              <w:rPr>
                <w:rFonts w:ascii="Arial" w:cs="Arial" w:eastAsia="Arial" w:hAnsi="Arial"/>
                <w:sz w:val="14"/>
                <w:szCs w:val="14"/>
                <w:color w:val="auto"/>
              </w:rPr>
              <w:t>Weighted-average number of shares outstanding used to compute net loss per share, basic and diluted, of Class</w:t>
            </w:r>
          </w:p>
        </w:tc>
        <w:tc>
          <w:tcPr>
            <w:tcW w:w="380" w:type="dxa"/>
            <w:vAlign w:val="bottom"/>
            <w:shd w:val="clear" w:color="auto" w:fill="CFF0FC"/>
          </w:tcPr>
          <w:p>
            <w:pPr>
              <w:spacing w:after="0"/>
              <w:rPr>
                <w:sz w:val="11"/>
                <w:szCs w:val="11"/>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51,912,516</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50,335,053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420" w:type="dxa"/>
            <w:vAlign w:val="bottom"/>
            <w:tcBorders>
              <w:bottom w:val="single" w:sz="8" w:color="CFF0FC"/>
            </w:tcBorders>
            <w:shd w:val="clear" w:color="auto" w:fill="CFF0FC"/>
          </w:tcPr>
          <w:p>
            <w:pPr>
              <w:spacing w:after="0" w:line="125" w:lineRule="exact"/>
              <w:rPr>
                <w:sz w:val="20"/>
                <w:szCs w:val="20"/>
                <w:color w:val="auto"/>
              </w:rPr>
            </w:pPr>
            <w:r>
              <w:rPr>
                <w:rFonts w:ascii="Arial" w:cs="Arial" w:eastAsia="Arial" w:hAnsi="Arial"/>
                <w:sz w:val="14"/>
                <w:szCs w:val="14"/>
                <w:color w:val="auto"/>
              </w:rPr>
              <w:t>A and Class B common stock</w:t>
            </w:r>
          </w:p>
        </w:tc>
        <w:tc>
          <w:tcPr>
            <w:tcW w:w="38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742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(5,259)</w:t>
            </w: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(15,076)</w:t>
            </w:r>
          </w:p>
        </w:tc>
        <w:tc>
          <w:tcPr>
            <w:tcW w:w="0" w:type="dxa"/>
            <w:vAlign w:val="bottom"/>
          </w:tcPr>
          <w:p>
            <w:pPr>
              <w:spacing w:after="0"/>
              <w:rPr>
                <w:sz w:val="1"/>
                <w:szCs w:val="1"/>
                <w:color w:val="auto"/>
              </w:rPr>
            </w:pPr>
          </w:p>
        </w:tc>
      </w:tr>
      <w:tr>
        <w:trPr>
          <w:trHeight w:val="162"/>
        </w:trPr>
        <w:tc>
          <w:tcPr>
            <w:tcW w:w="7420" w:type="dxa"/>
            <w:vAlign w:val="bottom"/>
            <w:shd w:val="clear" w:color="auto" w:fill="CFF0FC"/>
          </w:tcPr>
          <w:p>
            <w:pPr>
              <w:spacing w:after="0"/>
              <w:rPr>
                <w:sz w:val="20"/>
                <w:szCs w:val="20"/>
                <w:color w:val="auto"/>
              </w:rPr>
            </w:pPr>
            <w:r>
              <w:rPr>
                <w:rFonts w:ascii="Arial" w:cs="Arial" w:eastAsia="Arial" w:hAnsi="Arial"/>
                <w:sz w:val="14"/>
                <w:szCs w:val="14"/>
                <w:color w:val="auto"/>
              </w:rPr>
              <w:t>Comprehensive loss:</w:t>
            </w: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20"/>
              <w:spacing w:after="0"/>
              <w:rPr>
                <w:sz w:val="20"/>
                <w:szCs w:val="20"/>
                <w:color w:val="auto"/>
              </w:rPr>
            </w:pPr>
            <w:r>
              <w:rPr>
                <w:rFonts w:ascii="Arial" w:cs="Arial" w:eastAsia="Arial" w:hAnsi="Arial"/>
                <w:sz w:val="14"/>
                <w:szCs w:val="14"/>
                <w:color w:val="auto"/>
              </w:rPr>
              <w:t>Foreign currency translation</w:t>
            </w:r>
          </w:p>
        </w:tc>
        <w:tc>
          <w:tcPr>
            <w:tcW w:w="38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(690)</w:t>
            </w:r>
          </w:p>
        </w:tc>
        <w:tc>
          <w:tcPr>
            <w:tcW w:w="6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20" w:type="dxa"/>
            <w:vAlign w:val="bottom"/>
            <w:shd w:val="clear" w:color="auto" w:fill="CFF0FC"/>
          </w:tcPr>
          <w:p>
            <w:pPr>
              <w:ind w:left="120"/>
              <w:spacing w:after="0" w:line="155" w:lineRule="exact"/>
              <w:rPr>
                <w:sz w:val="20"/>
                <w:szCs w:val="20"/>
                <w:color w:val="auto"/>
              </w:rPr>
            </w:pPr>
            <w:r>
              <w:rPr>
                <w:rFonts w:ascii="Arial" w:cs="Arial" w:eastAsia="Arial" w:hAnsi="Arial"/>
                <w:sz w:val="14"/>
                <w:szCs w:val="14"/>
                <w:color w:val="auto"/>
              </w:rPr>
              <w:t>Total other comprehensive (loss) income</w:t>
            </w:r>
          </w:p>
        </w:tc>
        <w:tc>
          <w:tcPr>
            <w:tcW w:w="38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(690)</w:t>
            </w:r>
          </w:p>
        </w:tc>
        <w:tc>
          <w:tcPr>
            <w:tcW w:w="6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1,520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20" w:type="dxa"/>
            <w:vAlign w:val="bottom"/>
          </w:tcPr>
          <w:p>
            <w:pPr>
              <w:spacing w:after="0" w:line="155" w:lineRule="exact"/>
              <w:rPr>
                <w:sz w:val="20"/>
                <w:szCs w:val="20"/>
                <w:color w:val="auto"/>
              </w:rPr>
            </w:pPr>
            <w:r>
              <w:rPr>
                <w:rFonts w:ascii="Arial" w:cs="Arial" w:eastAsia="Arial" w:hAnsi="Arial"/>
                <w:sz w:val="14"/>
                <w:szCs w:val="14"/>
                <w:b w:val="1"/>
                <w:bCs w:val="1"/>
                <w:color w:val="auto"/>
              </w:rPr>
              <w:t>Comprehensive loss</w:t>
            </w:r>
          </w:p>
        </w:tc>
        <w:tc>
          <w:tcPr>
            <w:tcW w:w="380" w:type="dxa"/>
            <w:vAlign w:val="bottom"/>
          </w:tcPr>
          <w:p>
            <w:pPr>
              <w:spacing w:after="0"/>
              <w:rPr>
                <w:sz w:val="13"/>
                <w:szCs w:val="13"/>
                <w:color w:val="auto"/>
              </w:rPr>
            </w:pPr>
          </w:p>
        </w:tc>
        <w:tc>
          <w:tcPr>
            <w:tcW w:w="16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(5,949)</w:t>
            </w:r>
          </w:p>
        </w:tc>
        <w:tc>
          <w:tcPr>
            <w:tcW w:w="640" w:type="dxa"/>
            <w:vAlign w:val="bottom"/>
          </w:tcPr>
          <w:p>
            <w:pPr>
              <w:spacing w:after="0"/>
              <w:rPr>
                <w:sz w:val="13"/>
                <w:szCs w:val="13"/>
                <w:color w:val="auto"/>
              </w:rPr>
            </w:pPr>
          </w:p>
        </w:tc>
        <w:tc>
          <w:tcPr>
            <w:tcW w:w="12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(13,556)</w:t>
            </w:r>
          </w:p>
        </w:tc>
        <w:tc>
          <w:tcPr>
            <w:tcW w:w="0" w:type="dxa"/>
            <w:vAlign w:val="bottom"/>
          </w:tcPr>
          <w:p>
            <w:pPr>
              <w:spacing w:after="0"/>
              <w:rPr>
                <w:sz w:val="1"/>
                <w:szCs w:val="1"/>
                <w:color w:val="auto"/>
              </w:rPr>
            </w:pPr>
          </w:p>
        </w:tc>
      </w:tr>
      <w:tr>
        <w:trPr>
          <w:trHeight w:val="162"/>
        </w:trPr>
        <w:tc>
          <w:tcPr>
            <w:tcW w:w="7420" w:type="dxa"/>
            <w:vAlign w:val="bottom"/>
            <w:shd w:val="clear" w:color="auto" w:fill="CFF0FC"/>
          </w:tcPr>
          <w:p>
            <w:pPr>
              <w:spacing w:after="0"/>
              <w:rPr>
                <w:sz w:val="20"/>
                <w:szCs w:val="20"/>
                <w:color w:val="auto"/>
              </w:rPr>
            </w:pPr>
            <w:r>
              <w:rPr>
                <w:rFonts w:ascii="Arial" w:cs="Arial" w:eastAsia="Arial" w:hAnsi="Arial"/>
                <w:sz w:val="14"/>
                <w:szCs w:val="14"/>
                <w:color w:val="auto"/>
              </w:rPr>
              <w:t>Comprehensive income (loss) attributable to noncontrolling interest</w:t>
            </w: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74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20" w:type="dxa"/>
            <w:vAlign w:val="bottom"/>
          </w:tcPr>
          <w:p>
            <w:pPr>
              <w:spacing w:after="0" w:line="155" w:lineRule="exact"/>
              <w:rPr>
                <w:sz w:val="20"/>
                <w:szCs w:val="20"/>
                <w:color w:val="auto"/>
              </w:rPr>
            </w:pPr>
            <w:r>
              <w:rPr>
                <w:rFonts w:ascii="Arial" w:cs="Arial" w:eastAsia="Arial" w:hAnsi="Arial"/>
                <w:sz w:val="14"/>
                <w:szCs w:val="14"/>
                <w:b w:val="1"/>
                <w:bCs w:val="1"/>
                <w:color w:val="auto"/>
              </w:rPr>
              <w:t>Total comprehensive loss attributable to common stockholders</w:t>
            </w:r>
          </w:p>
        </w:tc>
        <w:tc>
          <w:tcPr>
            <w:tcW w:w="380" w:type="dxa"/>
            <w:vAlign w:val="bottom"/>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(5,962)</w:t>
            </w:r>
          </w:p>
        </w:tc>
        <w:tc>
          <w:tcPr>
            <w:tcW w:w="640" w:type="dxa"/>
            <w:vAlign w:val="bottom"/>
          </w:tcPr>
          <w:p>
            <w:pPr>
              <w:jc w:val="right"/>
              <w:ind w:right="4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(13,545)</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-3145155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-2635250</wp:posOffset>
            </wp:positionV>
            <wp:extent cx="9398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-2635250</wp:posOffset>
            </wp:positionV>
            <wp:extent cx="939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-1885315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-1233805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-1216660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-899795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-882015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-350520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-136525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Condensed Consolidated Statements of Cash Flows</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4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6"/>
        </w:trPr>
        <w:tc>
          <w:tcPr>
            <w:tcW w:w="63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4"/>
                <w:szCs w:val="14"/>
                <w:color w:val="auto"/>
              </w:rPr>
              <w:t>Net loss</w:t>
            </w:r>
          </w:p>
        </w:tc>
        <w:tc>
          <w:tcPr>
            <w:tcW w:w="2140" w:type="dxa"/>
            <w:vAlign w:val="bottom"/>
            <w:gridSpan w:val="2"/>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(5,259)</w:t>
            </w:r>
          </w:p>
        </w:tc>
        <w:tc>
          <w:tcPr>
            <w:tcW w:w="160" w:type="dxa"/>
            <w:vAlign w:val="bottom"/>
          </w:tcPr>
          <w:p>
            <w:pPr>
              <w:spacing w:after="0"/>
              <w:rPr>
                <w:sz w:val="14"/>
                <w:szCs w:val="14"/>
                <w:color w:val="auto"/>
              </w:rPr>
            </w:pP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(15,076)</w:t>
            </w: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4,246</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Reduction in carrying amount of right-of-use asset</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Lease termination</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8,327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7,342</w:t>
            </w: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Income from unconsolidated joint venture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(86)</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(90)</w:t>
            </w: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Donation of common stock</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826</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Amortization of deferred costs on convertible notes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color w:val="auto"/>
              </w:rPr>
              <w:t>Changes in other assets and liabilities: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Accounts receivable, net</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(22,664)</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(13,358)</w:t>
            </w: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Inventory</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w:t>
            </w: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Prepaid expenses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(1,519)</w:t>
            </w: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Other assets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(3,113)</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(1,995)</w:t>
            </w: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Accounts payable and accrued cost of revenue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17,657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15,048</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Other accrued expenses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11,014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(540)</w:t>
            </w: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Contract liabilities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1,877</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Lease liabilities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(340)</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(1,531)</w:t>
            </w: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Other liabilities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Income taxes payable</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(92)</w:t>
            </w:r>
          </w:p>
        </w:tc>
      </w:tr>
      <w:tr>
        <w:trPr>
          <w:trHeight w:val="20"/>
        </w:trPr>
        <w:tc>
          <w:tcPr>
            <w:tcW w:w="63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636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14,623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(3,691)</w:t>
            </w:r>
          </w:p>
        </w:tc>
      </w:tr>
      <w:tr>
        <w:trPr>
          <w:trHeight w:val="155"/>
        </w:trPr>
        <w:tc>
          <w:tcPr>
            <w:tcW w:w="63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60" w:type="dxa"/>
            <w:vAlign w:val="bottom"/>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Purchases of marketable securities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(12,280)</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(2,271)</w:t>
            </w: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Proceeds from sale of marketable securities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13,500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Capitalization of software development and purchases of property and equipment</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(10,581)</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(5,499)</w:t>
            </w: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Distributions in excess of earnings</w:t>
            </w:r>
          </w:p>
        </w:tc>
        <w:tc>
          <w:tcPr>
            <w:tcW w:w="1060" w:type="dxa"/>
            <w:vAlign w:val="bottom"/>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FF0FC"/>
          </w:tcPr>
          <w:p>
            <w:pPr>
              <w:spacing w:after="0"/>
              <w:rPr>
                <w:sz w:val="14"/>
                <w:szCs w:val="14"/>
                <w:color w:val="auto"/>
              </w:rPr>
            </w:pPr>
          </w:p>
        </w:tc>
      </w:tr>
      <w:tr>
        <w:trPr>
          <w:trHeight w:val="155"/>
        </w:trPr>
        <w:tc>
          <w:tcPr>
            <w:tcW w:w="636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10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(3,686)</w:t>
            </w:r>
          </w:p>
        </w:tc>
        <w:tc>
          <w:tcPr>
            <w:tcW w:w="100" w:type="dxa"/>
            <w:vAlign w:val="bottom"/>
          </w:tcPr>
          <w:p>
            <w:pPr>
              <w:spacing w:after="0"/>
              <w:rPr>
                <w:sz w:val="13"/>
                <w:szCs w:val="13"/>
                <w:color w:val="auto"/>
              </w:rPr>
            </w:pPr>
          </w:p>
        </w:tc>
      </w:tr>
      <w:tr>
        <w:trPr>
          <w:trHeight w:val="155"/>
        </w:trPr>
        <w:tc>
          <w:tcPr>
            <w:tcW w:w="63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360" w:type="dxa"/>
            <w:vAlign w:val="bottom"/>
            <w:tcBorders>
              <w:bottom w:val="single" w:sz="8" w:color="CFF0FC"/>
            </w:tcBorders>
          </w:tcPr>
          <w:p>
            <w:pPr>
              <w:ind w:left="120"/>
              <w:spacing w:after="0"/>
              <w:rPr>
                <w:sz w:val="20"/>
                <w:szCs w:val="20"/>
                <w:color w:val="auto"/>
              </w:rPr>
            </w:pPr>
            <w:r>
              <w:rPr>
                <w:rFonts w:ascii="Arial" w:cs="Arial" w:eastAsia="Arial" w:hAnsi="Arial"/>
                <w:sz w:val="14"/>
                <w:szCs w:val="14"/>
                <w:color w:val="auto"/>
              </w:rPr>
              <w:t>Proceeds from stock options exercised</w:t>
            </w:r>
          </w:p>
        </w:tc>
        <w:tc>
          <w:tcPr>
            <w:tcW w:w="10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Borders>
              <w:bottom w:val="single" w:sz="8" w:color="CFF0FC"/>
            </w:tcBorders>
          </w:tcPr>
          <w:p>
            <w:pPr>
              <w:spacing w:after="0"/>
              <w:rPr>
                <w:sz w:val="14"/>
                <w:szCs w:val="14"/>
                <w:color w:val="auto"/>
              </w:rPr>
            </w:pPr>
          </w:p>
        </w:tc>
      </w:tr>
      <w:tr>
        <w:trPr>
          <w:trHeight w:val="155"/>
        </w:trPr>
        <w:tc>
          <w:tcPr>
            <w:tcW w:w="636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106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830</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510</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6360" w:type="dxa"/>
            <w:vAlign w:val="bottom"/>
          </w:tcPr>
          <w:p>
            <w:pPr>
              <w:spacing w:after="0" w:line="155" w:lineRule="exact"/>
              <w:rPr>
                <w:sz w:val="20"/>
                <w:szCs w:val="20"/>
                <w:color w:val="auto"/>
              </w:rPr>
            </w:pPr>
            <w:r>
              <w:rPr>
                <w:rFonts w:ascii="Arial" w:cs="Arial" w:eastAsia="Arial" w:hAnsi="Arial"/>
                <w:sz w:val="14"/>
                <w:szCs w:val="14"/>
                <w:color w:val="auto"/>
              </w:rPr>
              <w:t>Effect of foreign currency translation on cash and cash equivalents</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(82)</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142</w:t>
            </w:r>
          </w:p>
        </w:tc>
        <w:tc>
          <w:tcPr>
            <w:tcW w:w="100" w:type="dxa"/>
            <w:vAlign w:val="bottom"/>
          </w:tcPr>
          <w:p>
            <w:pPr>
              <w:spacing w:after="0"/>
              <w:rPr>
                <w:sz w:val="13"/>
                <w:szCs w:val="13"/>
                <w:color w:val="auto"/>
              </w:rPr>
            </w:pPr>
          </w:p>
        </w:tc>
      </w:tr>
      <w:tr>
        <w:trPr>
          <w:trHeight w:val="20"/>
        </w:trPr>
        <w:tc>
          <w:tcPr>
            <w:tcW w:w="6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3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6,050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(6,725)</w:t>
            </w:r>
          </w:p>
        </w:tc>
      </w:tr>
      <w:tr>
        <w:trPr>
          <w:trHeight w:val="162"/>
        </w:trPr>
        <w:tc>
          <w:tcPr>
            <w:tcW w:w="6360" w:type="dxa"/>
            <w:vAlign w:val="bottom"/>
          </w:tcPr>
          <w:p>
            <w:pPr>
              <w:spacing w:after="0"/>
              <w:rPr>
                <w:sz w:val="20"/>
                <w:szCs w:val="20"/>
                <w:color w:val="auto"/>
              </w:rPr>
            </w:pPr>
            <w:r>
              <w:rPr>
                <w:rFonts w:ascii="Arial" w:cs="Arial" w:eastAsia="Arial" w:hAnsi="Arial"/>
                <w:sz w:val="14"/>
                <w:szCs w:val="14"/>
                <w:b w:val="1"/>
                <w:bCs w:val="1"/>
                <w:color w:val="auto"/>
              </w:rPr>
              <w:t>Cash and cash equivalents at beginning of the period</w:t>
            </w:r>
          </w:p>
        </w:tc>
        <w:tc>
          <w:tcPr>
            <w:tcW w:w="10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14,996</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22,232</w:t>
            </w:r>
          </w:p>
        </w:tc>
        <w:tc>
          <w:tcPr>
            <w:tcW w:w="100" w:type="dxa"/>
            <w:vAlign w:val="bottom"/>
          </w:tcPr>
          <w:p>
            <w:pPr>
              <w:spacing w:after="0"/>
              <w:rPr>
                <w:sz w:val="14"/>
                <w:szCs w:val="14"/>
                <w:color w:val="auto"/>
              </w:rPr>
            </w:pPr>
          </w:p>
        </w:tc>
      </w:tr>
      <w:tr>
        <w:trPr>
          <w:trHeight w:val="195"/>
        </w:trPr>
        <w:tc>
          <w:tcPr>
            <w:tcW w:w="63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and cash equivalents at end of the period</w:t>
            </w:r>
          </w:p>
        </w:tc>
        <w:tc>
          <w:tcPr>
            <w:tcW w:w="2140" w:type="dxa"/>
            <w:vAlign w:val="bottom"/>
            <w:gridSpan w:val="2"/>
            <w:shd w:val="clear" w:color="auto" w:fill="CFF0FC"/>
          </w:tcPr>
          <w:p>
            <w:pPr>
              <w:jc w:val="right"/>
              <w:ind w:right="928"/>
              <w:spacing w:after="0" w:line="155" w:lineRule="exact"/>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21,046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15,507</w:t>
            </w:r>
          </w:p>
        </w:tc>
        <w:tc>
          <w:tcPr>
            <w:tcW w:w="100" w:type="dxa"/>
            <w:vAlign w:val="bottom"/>
            <w:shd w:val="clear" w:color="auto" w:fill="CFF0FC"/>
          </w:tcPr>
          <w:p>
            <w:pPr>
              <w:spacing w:after="0"/>
              <w:rPr>
                <w:sz w:val="17"/>
                <w:szCs w:val="17"/>
                <w:color w:val="auto"/>
              </w:rPr>
            </w:pPr>
          </w:p>
        </w:tc>
      </w:tr>
      <w:tr>
        <w:trPr>
          <w:trHeight w:val="143"/>
        </w:trPr>
        <w:tc>
          <w:tcPr>
            <w:tcW w:w="6360" w:type="dxa"/>
            <w:vAlign w:val="bottom"/>
            <w:tcBorders>
              <w:top w:val="single" w:sz="8" w:color="CFF0FC"/>
            </w:tcBorders>
          </w:tcPr>
          <w:p>
            <w:pPr>
              <w:spacing w:after="0" w:line="143" w:lineRule="exact"/>
              <w:rPr>
                <w:sz w:val="20"/>
                <w:szCs w:val="20"/>
                <w:color w:val="auto"/>
              </w:rPr>
            </w:pPr>
            <w:r>
              <w:rPr>
                <w:rFonts w:ascii="Arial" w:cs="Arial" w:eastAsia="Arial" w:hAnsi="Arial"/>
                <w:sz w:val="14"/>
                <w:szCs w:val="14"/>
                <w:b w:val="1"/>
                <w:bCs w:val="1"/>
                <w:color w:val="auto"/>
              </w:rPr>
              <w:t>Supplemental cash flow information:</w:t>
            </w:r>
          </w:p>
        </w:tc>
        <w:tc>
          <w:tcPr>
            <w:tcW w:w="1060" w:type="dxa"/>
            <w:vAlign w:val="bottom"/>
            <w:tcBorders>
              <w:top w:val="single" w:sz="8" w:color="CFF0FC"/>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Cash paid for interest</w:t>
            </w:r>
          </w:p>
        </w:tc>
        <w:tc>
          <w:tcPr>
            <w:tcW w:w="2140" w:type="dxa"/>
            <w:vAlign w:val="bottom"/>
            <w:gridSpan w:val="2"/>
            <w:shd w:val="clear" w:color="auto" w:fill="CFF0FC"/>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1,438</w:t>
            </w: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Cash paid for income taxes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Stock-based compensation included in capitalized software development costs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Non-cash consideration in connection with business combination</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-2150745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-1529080</wp:posOffset>
            </wp:positionV>
            <wp:extent cx="9398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-1529080</wp:posOffset>
            </wp:positionV>
            <wp:extent cx="9398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-1203325</wp:posOffset>
            </wp:positionV>
            <wp:extent cx="9398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-1203325</wp:posOffset>
            </wp:positionV>
            <wp:extent cx="9398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-642620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-624840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1" w:lineRule="auto"/>
        <w:rPr>
          <w:sz w:val="20"/>
          <w:szCs w:val="20"/>
          <w:color w:val="auto"/>
        </w:rPr>
      </w:pPr>
      <w:r>
        <w:rPr>
          <w:rFonts w:ascii="Arial" w:cs="Arial" w:eastAsia="Arial" w:hAnsi="Arial"/>
          <w:sz w:val="20"/>
          <w:szCs w:val="20"/>
          <w:color w:val="auto"/>
        </w:rPr>
        <w:t>Reconciliations of Non-GAAP Financial Measures</w:t>
      </w:r>
    </w:p>
    <w:p>
      <w:pPr>
        <w:jc w:val="center"/>
        <w:spacing w:after="0" w:line="226" w:lineRule="auto"/>
        <w:rPr>
          <w:sz w:val="20"/>
          <w:szCs w:val="20"/>
          <w:color w:val="auto"/>
        </w:rPr>
      </w:pPr>
      <w:r>
        <w:rPr>
          <w:rFonts w:ascii="Arial" w:cs="Arial" w:eastAsia="Arial" w:hAnsi="Arial"/>
          <w:sz w:val="20"/>
          <w:szCs w:val="20"/>
          <w:color w:val="auto"/>
        </w:rPr>
        <w:t>(In thousands, except share and per share amounts)</w:t>
      </w:r>
    </w:p>
    <w:p>
      <w:pPr>
        <w:jc w:val="center"/>
        <w:spacing w:after="0"/>
        <w:rPr>
          <w:sz w:val="20"/>
          <w:szCs w:val="20"/>
          <w:color w:val="auto"/>
        </w:rPr>
      </w:pPr>
      <w:r>
        <w:rPr>
          <w:rFonts w:ascii="Arial" w:cs="Arial" w:eastAsia="Arial" w:hAnsi="Arial"/>
          <w:sz w:val="20"/>
          <w:szCs w:val="20"/>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Ended March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42"/>
        </w:trPr>
        <w:tc>
          <w:tcPr>
            <w:tcW w:w="7420" w:type="dxa"/>
            <w:vAlign w:val="bottom"/>
            <w:gridSpan w:val="2"/>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Adjusted EBITDA:</w:t>
            </w:r>
          </w:p>
        </w:tc>
        <w:tc>
          <w:tcPr>
            <w:tcW w:w="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6"/>
        </w:trPr>
        <w:tc>
          <w:tcPr>
            <w:tcW w:w="12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Net loss</w:t>
            </w:r>
          </w:p>
        </w:tc>
        <w:tc>
          <w:tcPr>
            <w:tcW w:w="618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gridSpan w:val="2"/>
          </w:tcPr>
          <w:p>
            <w:pPr>
              <w:jc w:val="right"/>
              <w:ind w:right="9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CFF0FC"/>
            </w:tcBorders>
            <w:gridSpan w:val="2"/>
          </w:tcPr>
          <w:p>
            <w:pPr>
              <w:jc w:val="right"/>
              <w:ind w:right="220"/>
              <w:spacing w:after="0" w:line="155" w:lineRule="exact"/>
              <w:rPr>
                <w:sz w:val="20"/>
                <w:szCs w:val="20"/>
                <w:color w:val="auto"/>
              </w:rPr>
            </w:pPr>
            <w:r>
              <w:rPr>
                <w:rFonts w:ascii="Arial" w:cs="Arial" w:eastAsia="Arial" w:hAnsi="Arial"/>
                <w:sz w:val="14"/>
                <w:szCs w:val="14"/>
                <w:color w:val="auto"/>
              </w:rPr>
              <w:t>(5,259)</w:t>
            </w:r>
          </w:p>
        </w:tc>
        <w:tc>
          <w:tcPr>
            <w:tcW w:w="660" w:type="dxa"/>
            <w:vAlign w:val="bottom"/>
            <w:tcBorders>
              <w:top w:val="single" w:sz="8" w:color="CFF0FC"/>
            </w:tcBorders>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CFF0FC"/>
            </w:tcBorders>
            <w:gridSpan w:val="2"/>
          </w:tcPr>
          <w:p>
            <w:pPr>
              <w:jc w:val="right"/>
              <w:ind w:right="60"/>
              <w:spacing w:after="0" w:line="155" w:lineRule="exact"/>
              <w:rPr>
                <w:sz w:val="20"/>
                <w:szCs w:val="20"/>
                <w:color w:val="auto"/>
              </w:rPr>
            </w:pPr>
            <w:r>
              <w:rPr>
                <w:rFonts w:ascii="Arial" w:cs="Arial" w:eastAsia="Arial" w:hAnsi="Arial"/>
                <w:sz w:val="14"/>
                <w:szCs w:val="14"/>
                <w:color w:val="auto"/>
              </w:rPr>
              <w:t>(15,076)</w:t>
            </w:r>
          </w:p>
        </w:tc>
      </w:tr>
      <w:tr>
        <w:trPr>
          <w:trHeight w:val="162"/>
        </w:trPr>
        <w:tc>
          <w:tcPr>
            <w:tcW w:w="74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(deduct):</w:t>
            </w: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420" w:type="dxa"/>
            <w:vAlign w:val="bottom"/>
            <w:gridSpan w:val="2"/>
          </w:tcPr>
          <w:p>
            <w:pPr>
              <w:spacing w:after="0"/>
              <w:rPr>
                <w:sz w:val="20"/>
                <w:szCs w:val="20"/>
                <w:color w:val="auto"/>
              </w:rPr>
            </w:pPr>
            <w:r>
              <w:rPr>
                <w:rFonts w:ascii="Arial" w:cs="Arial" w:eastAsia="Arial" w:hAnsi="Arial"/>
                <w:sz w:val="14"/>
                <w:szCs w:val="14"/>
                <w:color w:val="auto"/>
              </w:rPr>
              <w:t>Interest expense, interest and dividend income and other expenses</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(63)</w:t>
            </w:r>
          </w:p>
        </w:tc>
        <w:tc>
          <w:tcPr>
            <w:tcW w:w="6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(209)</w:t>
            </w:r>
          </w:p>
        </w:tc>
      </w:tr>
      <w:tr>
        <w:trPr>
          <w:trHeight w:val="162"/>
        </w:trPr>
        <w:tc>
          <w:tcPr>
            <w:tcW w:w="742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(1)</w:t>
            </w: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4,931</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4,246</w:t>
            </w:r>
          </w:p>
        </w:tc>
        <w:tc>
          <w:tcPr>
            <w:tcW w:w="100" w:type="dxa"/>
            <w:vAlign w:val="bottom"/>
            <w:shd w:val="clear" w:color="auto" w:fill="CFF0FC"/>
          </w:tcPr>
          <w:p>
            <w:pPr>
              <w:spacing w:after="0"/>
              <w:rPr>
                <w:sz w:val="14"/>
                <w:szCs w:val="14"/>
                <w:color w:val="auto"/>
              </w:rPr>
            </w:pPr>
          </w:p>
        </w:tc>
      </w:tr>
      <w:tr>
        <w:trPr>
          <w:trHeight w:val="162"/>
        </w:trPr>
        <w:tc>
          <w:tcPr>
            <w:tcW w:w="7420" w:type="dxa"/>
            <w:vAlign w:val="bottom"/>
            <w:gridSpan w:val="2"/>
          </w:tcPr>
          <w:p>
            <w:pPr>
              <w:spacing w:after="0"/>
              <w:rPr>
                <w:sz w:val="20"/>
                <w:szCs w:val="20"/>
                <w:color w:val="auto"/>
              </w:rPr>
            </w:pPr>
            <w:r>
              <w:rPr>
                <w:rFonts w:ascii="Arial" w:cs="Arial" w:eastAsia="Arial" w:hAnsi="Arial"/>
                <w:sz w:val="14"/>
                <w:szCs w:val="14"/>
                <w:color w:val="auto"/>
              </w:rPr>
              <w:t>Amortization of lease intangible</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4"/>
                <w:szCs w:val="14"/>
                <w:color w:val="auto"/>
              </w:rPr>
            </w:pPr>
          </w:p>
        </w:tc>
      </w:tr>
      <w:tr>
        <w:trPr>
          <w:trHeight w:val="162"/>
        </w:trPr>
        <w:tc>
          <w:tcPr>
            <w:tcW w:w="74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420" w:type="dxa"/>
            <w:vAlign w:val="bottom"/>
            <w:gridSpan w:val="2"/>
          </w:tcPr>
          <w:p>
            <w:pPr>
              <w:spacing w:after="0" w:line="162"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18"/>
                <w:szCs w:val="18"/>
                <w:color w:val="auto"/>
                <w:vertAlign w:val="superscript"/>
              </w:rPr>
              <w:t>(2)</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8,327</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7,342</w:t>
            </w:r>
          </w:p>
        </w:tc>
        <w:tc>
          <w:tcPr>
            <w:tcW w:w="100" w:type="dxa"/>
            <w:vAlign w:val="bottom"/>
          </w:tcPr>
          <w:p>
            <w:pPr>
              <w:spacing w:after="0"/>
              <w:rPr>
                <w:sz w:val="14"/>
                <w:szCs w:val="14"/>
                <w:color w:val="auto"/>
              </w:rPr>
            </w:pPr>
          </w:p>
        </w:tc>
      </w:tr>
      <w:tr>
        <w:trPr>
          <w:trHeight w:val="162"/>
        </w:trPr>
        <w:tc>
          <w:tcPr>
            <w:tcW w:w="74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Payroll tax expense related to stock-based compensation</w:t>
            </w: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1,605</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1,473</w:t>
            </w:r>
          </w:p>
        </w:tc>
        <w:tc>
          <w:tcPr>
            <w:tcW w:w="100" w:type="dxa"/>
            <w:vAlign w:val="bottom"/>
            <w:shd w:val="clear" w:color="auto" w:fill="CFF0FC"/>
          </w:tcPr>
          <w:p>
            <w:pPr>
              <w:spacing w:after="0"/>
              <w:rPr>
                <w:sz w:val="14"/>
                <w:szCs w:val="14"/>
                <w:color w:val="auto"/>
              </w:rPr>
            </w:pPr>
          </w:p>
        </w:tc>
      </w:tr>
      <w:tr>
        <w:trPr>
          <w:trHeight w:val="162"/>
        </w:trPr>
        <w:tc>
          <w:tcPr>
            <w:tcW w:w="7420" w:type="dxa"/>
            <w:vAlign w:val="bottom"/>
            <w:gridSpan w:val="2"/>
          </w:tcPr>
          <w:p>
            <w:pPr>
              <w:spacing w:after="0" w:line="162" w:lineRule="exact"/>
              <w:rPr>
                <w:sz w:val="20"/>
                <w:szCs w:val="20"/>
                <w:color w:val="auto"/>
              </w:rPr>
            </w:pPr>
            <w:r>
              <w:rPr>
                <w:rFonts w:ascii="Arial" w:cs="Arial" w:eastAsia="Arial" w:hAnsi="Arial"/>
                <w:sz w:val="14"/>
                <w:szCs w:val="14"/>
                <w:color w:val="auto"/>
              </w:rPr>
              <w:t>Acquisition and other</w:t>
            </w:r>
            <w:r>
              <w:rPr>
                <w:rFonts w:ascii="Arial" w:cs="Arial" w:eastAsia="Arial" w:hAnsi="Arial"/>
                <w:sz w:val="18"/>
                <w:szCs w:val="18"/>
                <w:color w:val="auto"/>
                <w:vertAlign w:val="superscript"/>
              </w:rPr>
              <w:t>(3)</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4"/>
                <w:szCs w:val="14"/>
                <w:color w:val="auto"/>
              </w:rPr>
            </w:pPr>
          </w:p>
        </w:tc>
      </w:tr>
      <w:tr>
        <w:trPr>
          <w:trHeight w:val="162"/>
        </w:trPr>
        <w:tc>
          <w:tcPr>
            <w:tcW w:w="74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Charitable contribution of common stock</w:t>
            </w: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826</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CFF0FC"/>
          </w:tcPr>
          <w:p>
            <w:pPr>
              <w:spacing w:after="0"/>
              <w:rPr>
                <w:sz w:val="14"/>
                <w:szCs w:val="14"/>
                <w:color w:val="auto"/>
              </w:rPr>
            </w:pPr>
          </w:p>
        </w:tc>
      </w:tr>
      <w:tr>
        <w:trPr>
          <w:trHeight w:val="162"/>
        </w:trPr>
        <w:tc>
          <w:tcPr>
            <w:tcW w:w="7420" w:type="dxa"/>
            <w:vAlign w:val="bottom"/>
            <w:gridSpan w:val="2"/>
          </w:tcPr>
          <w:p>
            <w:pPr>
              <w:spacing w:after="0"/>
              <w:rPr>
                <w:sz w:val="20"/>
                <w:szCs w:val="20"/>
                <w:color w:val="auto"/>
              </w:rPr>
            </w:pPr>
            <w:r>
              <w:rPr>
                <w:rFonts w:ascii="Arial" w:cs="Arial" w:eastAsia="Arial" w:hAnsi="Arial"/>
                <w:sz w:val="14"/>
                <w:szCs w:val="14"/>
                <w:color w:val="auto"/>
              </w:rPr>
              <w:t>Income from unconsolidated joint venture</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(146)</w:t>
            </w:r>
          </w:p>
        </w:tc>
        <w:tc>
          <w:tcPr>
            <w:tcW w:w="6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(106)</w:t>
            </w:r>
          </w:p>
        </w:tc>
      </w:tr>
      <w:tr>
        <w:trPr>
          <w:trHeight w:val="162"/>
        </w:trPr>
        <w:tc>
          <w:tcPr>
            <w:tcW w:w="7420" w:type="dxa"/>
            <w:vAlign w:val="bottom"/>
            <w:tcBorders>
              <w:bottom w:val="single" w:sz="8" w:color="CFF0FC"/>
            </w:tcBorders>
            <w:gridSpan w:val="2"/>
            <w:shd w:val="clear" w:color="auto" w:fill="CFF0FC"/>
          </w:tcPr>
          <w:p>
            <w:pPr>
              <w:spacing w:after="0" w:line="162" w:lineRule="exact"/>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(4)</w:t>
            </w:r>
          </w:p>
        </w:tc>
        <w:tc>
          <w:tcPr>
            <w:tcW w:w="2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1060" w:type="dxa"/>
            <w:vAlign w:val="bottom"/>
            <w:tcBorders>
              <w:bottom w:val="single" w:sz="8" w:color="auto"/>
            </w:tcBorders>
            <w:gridSpan w:val="2"/>
          </w:tcPr>
          <w:p>
            <w:pPr>
              <w:jc w:val="right"/>
              <w:ind w:right="90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10,485</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w:t>
            </w:r>
          </w:p>
        </w:tc>
        <w:tc>
          <w:tcPr>
            <w:tcW w:w="10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-136525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Ended March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Non-GAAP Net Income (Loss):</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w:t>
            </w:r>
          </w:p>
        </w:tc>
        <w:tc>
          <w:tcPr>
            <w:tcW w:w="534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(5,259)</w:t>
            </w:r>
          </w:p>
        </w:tc>
        <w:tc>
          <w:tcPr>
            <w:tcW w:w="660" w:type="dxa"/>
            <w:vAlign w:val="bottom"/>
            <w:shd w:val="clear" w:color="auto" w:fill="CFF0FC"/>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(15,076)</w:t>
            </w:r>
          </w:p>
        </w:tc>
        <w:tc>
          <w:tcPr>
            <w:tcW w:w="0" w:type="dxa"/>
            <w:vAlign w:val="bottom"/>
          </w:tcPr>
          <w:p>
            <w:pPr>
              <w:spacing w:after="0"/>
              <w:rPr>
                <w:sz w:val="1"/>
                <w:szCs w:val="1"/>
                <w:color w:val="auto"/>
              </w:rPr>
            </w:pPr>
          </w:p>
        </w:tc>
      </w:tr>
      <w:tr>
        <w:trPr>
          <w:trHeight w:val="162"/>
        </w:trPr>
        <w:tc>
          <w:tcPr>
            <w:tcW w:w="7420" w:type="dxa"/>
            <w:vAlign w:val="bottom"/>
            <w:gridSpan w:val="2"/>
          </w:tcPr>
          <w:p>
            <w:pPr>
              <w:spacing w:after="0"/>
              <w:rPr>
                <w:sz w:val="20"/>
                <w:szCs w:val="20"/>
                <w:color w:val="auto"/>
              </w:rPr>
            </w:pPr>
            <w:r>
              <w:rPr>
                <w:rFonts w:ascii="Arial" w:cs="Arial" w:eastAsia="Arial" w:hAnsi="Arial"/>
                <w:sz w:val="14"/>
                <w:szCs w:val="14"/>
                <w:color w:val="auto"/>
              </w:rPr>
              <w:t>Add (deduct):</w:t>
            </w: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18"/>
                <w:szCs w:val="18"/>
                <w:color w:val="auto"/>
                <w:vertAlign w:val="superscript"/>
              </w:rPr>
              <w:t>(2)</w:t>
            </w: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8,327</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tcPr>
          <w:p>
            <w:pPr>
              <w:spacing w:after="0"/>
              <w:rPr>
                <w:sz w:val="20"/>
                <w:szCs w:val="20"/>
                <w:color w:val="auto"/>
              </w:rPr>
            </w:pPr>
            <w:r>
              <w:rPr>
                <w:rFonts w:ascii="Arial" w:cs="Arial" w:eastAsia="Arial" w:hAnsi="Arial"/>
                <w:sz w:val="14"/>
                <w:szCs w:val="14"/>
                <w:color w:val="auto"/>
              </w:rPr>
              <w:t>Payroll tax expense related to stock-based compensation</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1,605</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Amortization of lease intangible</w:t>
            </w:r>
          </w:p>
        </w:tc>
        <w:tc>
          <w:tcPr>
            <w:tcW w:w="38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tcPr>
          <w:p>
            <w:pPr>
              <w:spacing w:after="0"/>
              <w:rPr>
                <w:sz w:val="20"/>
                <w:szCs w:val="20"/>
                <w:color w:val="auto"/>
              </w:rPr>
            </w:pPr>
            <w:r>
              <w:rPr>
                <w:rFonts w:ascii="Arial" w:cs="Arial" w:eastAsia="Arial" w:hAnsi="Arial"/>
                <w:sz w:val="14"/>
                <w:szCs w:val="14"/>
                <w:color w:val="auto"/>
              </w:rPr>
              <w:t>Amortization of deferred costs on convertible notes</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571</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Acquisition and other</w:t>
            </w:r>
            <w:r>
              <w:rPr>
                <w:rFonts w:ascii="Arial" w:cs="Arial" w:eastAsia="Arial" w:hAnsi="Arial"/>
                <w:sz w:val="18"/>
                <w:szCs w:val="18"/>
                <w:color w:val="auto"/>
                <w:vertAlign w:val="superscript"/>
              </w:rPr>
              <w:t>(3)</w:t>
            </w:r>
          </w:p>
        </w:tc>
        <w:tc>
          <w:tcPr>
            <w:tcW w:w="38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tcPr>
          <w:p>
            <w:pPr>
              <w:spacing w:after="0"/>
              <w:rPr>
                <w:sz w:val="20"/>
                <w:szCs w:val="20"/>
                <w:color w:val="auto"/>
              </w:rPr>
            </w:pPr>
            <w:r>
              <w:rPr>
                <w:rFonts w:ascii="Arial" w:cs="Arial" w:eastAsia="Arial" w:hAnsi="Arial"/>
                <w:sz w:val="14"/>
                <w:szCs w:val="14"/>
                <w:color w:val="auto"/>
              </w:rPr>
              <w:t>Charitable contribution of common stock</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826</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Lease termination</w:t>
            </w:r>
          </w:p>
        </w:tc>
        <w:tc>
          <w:tcPr>
            <w:tcW w:w="38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2"/>
        </w:trPr>
        <w:tc>
          <w:tcPr>
            <w:tcW w:w="7420" w:type="dxa"/>
            <w:vAlign w:val="bottom"/>
            <w:gridSpan w:val="2"/>
          </w:tcPr>
          <w:p>
            <w:pPr>
              <w:spacing w:after="0" w:line="162" w:lineRule="exact"/>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(4)</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Amortization of acquired intangible assets &amp; patents</w:t>
            </w:r>
            <w:r>
              <w:rPr>
                <w:rFonts w:ascii="Arial" w:cs="Arial" w:eastAsia="Arial" w:hAnsi="Arial"/>
                <w:sz w:val="18"/>
                <w:szCs w:val="18"/>
                <w:color w:val="auto"/>
                <w:vertAlign w:val="superscript"/>
              </w:rPr>
              <w:t>(5)</w:t>
            </w: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803</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tcPr>
          <w:p>
            <w:pPr>
              <w:spacing w:after="0" w:line="162" w:lineRule="exact"/>
              <w:rPr>
                <w:sz w:val="20"/>
                <w:szCs w:val="20"/>
                <w:color w:val="auto"/>
              </w:rPr>
            </w:pPr>
            <w:r>
              <w:rPr>
                <w:rFonts w:ascii="Arial" w:cs="Arial" w:eastAsia="Arial" w:hAnsi="Arial"/>
                <w:sz w:val="14"/>
                <w:szCs w:val="14"/>
                <w:color w:val="auto"/>
              </w:rPr>
              <w:t>Other amortization</w:t>
            </w:r>
            <w:r>
              <w:rPr>
                <w:rFonts w:ascii="Arial" w:cs="Arial" w:eastAsia="Arial" w:hAnsi="Arial"/>
                <w:sz w:val="18"/>
                <w:szCs w:val="18"/>
                <w:color w:val="auto"/>
                <w:vertAlign w:val="superscript"/>
              </w:rPr>
              <w:t>(5)</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Non-GAAP Net Income (Loss)</w:t>
            </w:r>
          </w:p>
        </w:tc>
        <w:tc>
          <w:tcPr>
            <w:tcW w:w="380" w:type="dxa"/>
            <w:vAlign w:val="bottom"/>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6,889</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(2,522)</w:t>
            </w:r>
          </w:p>
        </w:tc>
        <w:tc>
          <w:tcPr>
            <w:tcW w:w="0" w:type="dxa"/>
            <w:vAlign w:val="bottom"/>
          </w:tcPr>
          <w:p>
            <w:pPr>
              <w:spacing w:after="0"/>
              <w:rPr>
                <w:sz w:val="1"/>
                <w:szCs w:val="1"/>
                <w:color w:val="auto"/>
              </w:rPr>
            </w:pPr>
          </w:p>
        </w:tc>
      </w:tr>
      <w:tr>
        <w:trPr>
          <w:trHeight w:val="304"/>
        </w:trPr>
        <w:tc>
          <w:tcPr>
            <w:tcW w:w="7420" w:type="dxa"/>
            <w:vAlign w:val="bottom"/>
            <w:tcBorders>
              <w:top w:val="single" w:sz="8" w:color="CFF0FC"/>
            </w:tcBorders>
            <w:gridSpan w:val="2"/>
          </w:tcPr>
          <w:p>
            <w:pPr>
              <w:spacing w:after="0"/>
              <w:rPr>
                <w:sz w:val="20"/>
                <w:szCs w:val="20"/>
                <w:color w:val="auto"/>
              </w:rPr>
            </w:pPr>
            <w:r>
              <w:rPr>
                <w:rFonts w:ascii="Arial" w:cs="Arial" w:eastAsia="Arial" w:hAnsi="Arial"/>
                <w:sz w:val="14"/>
                <w:szCs w:val="14"/>
                <w:color w:val="auto"/>
              </w:rPr>
              <w:t>Adjustments to numerator</w:t>
            </w:r>
          </w:p>
        </w:tc>
        <w:tc>
          <w:tcPr>
            <w:tcW w:w="3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26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420" w:type="dxa"/>
            <w:vAlign w:val="bottom"/>
            <w:gridSpan w:val="2"/>
            <w:shd w:val="clear" w:color="auto" w:fill="CFF0FC"/>
          </w:tcPr>
          <w:p>
            <w:pPr>
              <w:spacing w:after="0" w:line="153" w:lineRule="exact"/>
              <w:rPr>
                <w:sz w:val="20"/>
                <w:szCs w:val="20"/>
                <w:color w:val="auto"/>
              </w:rPr>
            </w:pPr>
            <w:r>
              <w:rPr>
                <w:rFonts w:ascii="Arial" w:cs="Arial" w:eastAsia="Arial" w:hAnsi="Arial"/>
                <w:sz w:val="14"/>
                <w:szCs w:val="14"/>
                <w:color w:val="auto"/>
              </w:rPr>
              <w:t>Weighted-average number of shares outstanding used to compute Non-GAAP Net Income (Loss) per share,</w:t>
            </w:r>
          </w:p>
        </w:tc>
        <w:tc>
          <w:tcPr>
            <w:tcW w:w="3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4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basic and diluted, of Class A and Class B common stock</w:t>
            </w: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51,912,516</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50,335,053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tcPr>
          <w:p>
            <w:pPr>
              <w:spacing w:after="0"/>
              <w:rPr>
                <w:sz w:val="20"/>
                <w:szCs w:val="20"/>
                <w:color w:val="auto"/>
              </w:rPr>
            </w:pPr>
            <w:r>
              <w:rPr>
                <w:rFonts w:ascii="Arial" w:cs="Arial" w:eastAsia="Arial" w:hAnsi="Arial"/>
                <w:sz w:val="14"/>
                <w:szCs w:val="14"/>
                <w:color w:val="auto"/>
              </w:rPr>
              <w:t>Non-GAAP effect of potentially dilutive Class A common stock</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9,691,560</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42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Non-GAAP weighted-average shares used to compute Non-GAAP Net Income (Loss) per share, diluted</w:t>
            </w:r>
          </w:p>
        </w:tc>
        <w:tc>
          <w:tcPr>
            <w:tcW w:w="380" w:type="dxa"/>
            <w:vAlign w:val="bottom"/>
            <w:tcBorders>
              <w:top w:val="single" w:sz="8" w:color="auto"/>
              <w:bottom w:val="single" w:sz="8" w:color="auto"/>
            </w:tcBorders>
            <w:shd w:val="clear" w:color="auto" w:fill="CFF0FC"/>
          </w:tcPr>
          <w:p>
            <w:pPr>
              <w:spacing w:after="0"/>
              <w:rPr>
                <w:sz w:val="13"/>
                <w:szCs w:val="13"/>
                <w:color w:val="auto"/>
              </w:rPr>
            </w:pPr>
          </w:p>
        </w:tc>
        <w:tc>
          <w:tcPr>
            <w:tcW w:w="13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61,604,076</w:t>
            </w:r>
          </w:p>
        </w:tc>
        <w:tc>
          <w:tcPr>
            <w:tcW w:w="26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50,335,053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420" w:type="dxa"/>
            <w:vAlign w:val="bottom"/>
            <w:gridSpan w:val="2"/>
          </w:tcPr>
          <w:p>
            <w:pPr>
              <w:spacing w:after="0"/>
              <w:rPr>
                <w:sz w:val="20"/>
                <w:szCs w:val="20"/>
                <w:color w:val="auto"/>
              </w:rPr>
            </w:pPr>
            <w:r>
              <w:rPr>
                <w:rFonts w:ascii="Arial" w:cs="Arial" w:eastAsia="Arial" w:hAnsi="Arial"/>
                <w:sz w:val="14"/>
                <w:szCs w:val="14"/>
                <w:color w:val="auto"/>
              </w:rPr>
              <w:t>EPS, basic and diluted, of Class A and Class B common stock</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(0.10)</w:t>
            </w: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Non-GAAP EPS basic, of Class A and Class B common stock</w:t>
            </w:r>
          </w:p>
        </w:tc>
        <w:tc>
          <w:tcPr>
            <w:tcW w:w="380" w:type="dxa"/>
            <w:vAlign w:val="bottom"/>
            <w:shd w:val="clear" w:color="auto" w:fill="CFF0FC"/>
          </w:tcPr>
          <w:p>
            <w:pPr>
              <w:jc w:val="right"/>
              <w:ind w:right="228"/>
              <w:spacing w:after="0" w:line="143" w:lineRule="exact"/>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0.13</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0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60"/>
              <w:spacing w:after="0" w:line="143"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53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20" w:type="dxa"/>
            <w:vAlign w:val="bottom"/>
            <w:gridSpan w:val="2"/>
          </w:tcPr>
          <w:p>
            <w:pPr>
              <w:spacing w:after="0" w:line="143" w:lineRule="exact"/>
              <w:rPr>
                <w:sz w:val="20"/>
                <w:szCs w:val="20"/>
                <w:color w:val="auto"/>
              </w:rPr>
            </w:pPr>
            <w:r>
              <w:rPr>
                <w:rFonts w:ascii="Arial" w:cs="Arial" w:eastAsia="Arial" w:hAnsi="Arial"/>
                <w:sz w:val="14"/>
                <w:szCs w:val="14"/>
                <w:color w:val="auto"/>
              </w:rPr>
              <w:t>Non-GAAP EPS diluted, of Class A and Class B common stock</w:t>
            </w:r>
          </w:p>
        </w:tc>
        <w:tc>
          <w:tcPr>
            <w:tcW w:w="380" w:type="dxa"/>
            <w:vAlign w:val="bottom"/>
          </w:tcPr>
          <w:p>
            <w:pPr>
              <w:jc w:val="right"/>
              <w:ind w:right="228"/>
              <w:spacing w:after="0" w:line="143" w:lineRule="exact"/>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line="143" w:lineRule="exact"/>
              <w:rPr>
                <w:sz w:val="20"/>
                <w:szCs w:val="20"/>
                <w:color w:val="auto"/>
              </w:rPr>
            </w:pPr>
            <w:r>
              <w:rPr>
                <w:rFonts w:ascii="Arial" w:cs="Arial" w:eastAsia="Arial" w:hAnsi="Arial"/>
                <w:sz w:val="14"/>
                <w:szCs w:val="14"/>
                <w:color w:val="auto"/>
              </w:rPr>
              <w:t>0.12</w:t>
            </w:r>
          </w:p>
        </w:tc>
        <w:tc>
          <w:tcPr>
            <w:tcW w:w="260" w:type="dxa"/>
            <w:vAlign w:val="bottom"/>
          </w:tcPr>
          <w:p>
            <w:pPr>
              <w:spacing w:after="0"/>
              <w:rPr>
                <w:sz w:val="12"/>
                <w:szCs w:val="12"/>
                <w:color w:val="auto"/>
              </w:rPr>
            </w:pPr>
          </w:p>
        </w:tc>
        <w:tc>
          <w:tcPr>
            <w:tcW w:w="660" w:type="dxa"/>
            <w:vAlign w:val="bottom"/>
          </w:tcPr>
          <w:p>
            <w:pPr>
              <w:jc w:val="right"/>
              <w:ind w:right="50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-1148080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-1130935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-496570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-153670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-136525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120" w:hanging="372"/>
        <w:spacing w:after="0" w:line="251" w:lineRule="auto"/>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depreciation expense of the Company’s long-lived tangible assets and amortization expense of its finite-lived intangible assets, as included in the Company’s GAAP results of operations.</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non-cash expense related to stock-based awards granted to employees, as included in the Company's GAAP results of operations.</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adjustments related to purchase accounting, the revaluation of contingent consideration, transaction costs and executive severance.</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Costs associated with the 2025 reduction in workforce.</w:t>
      </w:r>
    </w:p>
    <w:p>
      <w:pPr>
        <w:spacing w:after="0" w:line="1" w:lineRule="exact"/>
        <w:rPr>
          <w:rFonts w:ascii="Arial" w:cs="Arial" w:eastAsia="Arial" w:hAnsi="Arial"/>
          <w:sz w:val="14"/>
          <w:szCs w:val="14"/>
          <w:color w:val="auto"/>
        </w:rPr>
      </w:pPr>
    </w:p>
    <w:p>
      <w:pPr>
        <w:ind w:left="380" w:right="200" w:hanging="372"/>
        <w:spacing w:after="0" w:line="264" w:lineRule="auto"/>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the first quarter of 2026, we changed the definition of Non-GAAP Net Income (Loss) to exclude depreciation expense. Prior period amounts were recast to conform to the new definition.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Reconciliation of GAAP EPS to Non-GAAP EPS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Ended March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Non-GAAP EPS:</w:t>
            </w:r>
          </w:p>
        </w:tc>
        <w:tc>
          <w:tcPr>
            <w:tcW w:w="2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GAAP EPS, diluted, of Class A and Class B common stock</w:t>
            </w:r>
          </w:p>
        </w:tc>
        <w:tc>
          <w:tcPr>
            <w:tcW w:w="1060" w:type="dxa"/>
            <w:vAlign w:val="bottom"/>
            <w:gridSpan w:val="2"/>
            <w:shd w:val="clear" w:color="auto" w:fill="CFF0FC"/>
          </w:tcPr>
          <w:p>
            <w:pPr>
              <w:jc w:val="right"/>
              <w:ind w:right="9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(0.10)</w:t>
            </w:r>
          </w:p>
        </w:tc>
        <w:tc>
          <w:tcPr>
            <w:tcW w:w="660" w:type="dxa"/>
            <w:vAlign w:val="bottom"/>
            <w:shd w:val="clear" w:color="auto" w:fill="CFF0FC"/>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62"/>
        </w:trPr>
        <w:tc>
          <w:tcPr>
            <w:tcW w:w="7420" w:type="dxa"/>
            <w:vAlign w:val="bottom"/>
            <w:gridSpan w:val="2"/>
          </w:tcPr>
          <w:p>
            <w:pPr>
              <w:spacing w:after="0"/>
              <w:rPr>
                <w:sz w:val="20"/>
                <w:szCs w:val="20"/>
                <w:color w:val="auto"/>
              </w:rPr>
            </w:pPr>
            <w:r>
              <w:rPr>
                <w:rFonts w:ascii="Arial" w:cs="Arial" w:eastAsia="Arial" w:hAnsi="Arial"/>
                <w:sz w:val="14"/>
                <w:szCs w:val="14"/>
                <w:color w:val="auto"/>
              </w:rPr>
              <w:t>Non-GAAP effect of potentially dilutive Class A common stock</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0.02</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4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(deduct):</w:t>
            </w: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Payroll tax expense related to stock-based compensation</w:t>
            </w: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0.03</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tcPr>
          <w:p>
            <w:pPr>
              <w:spacing w:after="0"/>
              <w:rPr>
                <w:sz w:val="20"/>
                <w:szCs w:val="20"/>
                <w:color w:val="auto"/>
              </w:rPr>
            </w:pPr>
            <w:r>
              <w:rPr>
                <w:rFonts w:ascii="Arial" w:cs="Arial" w:eastAsia="Arial" w:hAnsi="Arial"/>
                <w:sz w:val="14"/>
                <w:szCs w:val="14"/>
                <w:color w:val="auto"/>
              </w:rPr>
              <w:t>Amortization of lease intangible</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4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Amortization of deferred costs on convertible notes</w:t>
            </w: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tcPr>
          <w:p>
            <w:pPr>
              <w:spacing w:after="0"/>
              <w:rPr>
                <w:sz w:val="20"/>
                <w:szCs w:val="20"/>
                <w:color w:val="auto"/>
              </w:rPr>
            </w:pPr>
            <w:r>
              <w:rPr>
                <w:rFonts w:ascii="Arial" w:cs="Arial" w:eastAsia="Arial" w:hAnsi="Arial"/>
                <w:sz w:val="14"/>
                <w:szCs w:val="14"/>
                <w:color w:val="auto"/>
              </w:rPr>
              <w:t>Acquisition and other</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4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Charitable contribution of common stock</w:t>
            </w: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tcPr>
          <w:p>
            <w:pPr>
              <w:spacing w:after="0"/>
              <w:rPr>
                <w:sz w:val="20"/>
                <w:szCs w:val="20"/>
                <w:color w:val="auto"/>
              </w:rPr>
            </w:pPr>
            <w:r>
              <w:rPr>
                <w:rFonts w:ascii="Arial" w:cs="Arial" w:eastAsia="Arial" w:hAnsi="Arial"/>
                <w:sz w:val="14"/>
                <w:szCs w:val="14"/>
                <w:color w:val="auto"/>
              </w:rPr>
              <w:t>Lease termination</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4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Restructuring charges</w:t>
            </w: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tcPr>
          <w:p>
            <w:pPr>
              <w:spacing w:after="0"/>
              <w:rPr>
                <w:sz w:val="20"/>
                <w:szCs w:val="20"/>
                <w:color w:val="auto"/>
              </w:rPr>
            </w:pPr>
            <w:r>
              <w:rPr>
                <w:rFonts w:ascii="Arial" w:cs="Arial" w:eastAsia="Arial" w:hAnsi="Arial"/>
                <w:sz w:val="14"/>
                <w:szCs w:val="14"/>
                <w:color w:val="auto"/>
              </w:rPr>
              <w:t>Amortization of acquired intangible assets &amp; patents</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0.01</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Other amortization</w:t>
            </w:r>
          </w:p>
        </w:tc>
        <w:tc>
          <w:tcPr>
            <w:tcW w:w="2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20" w:type="dxa"/>
            <w:vAlign w:val="bottom"/>
            <w:gridSpan w:val="2"/>
          </w:tcPr>
          <w:p>
            <w:pPr>
              <w:spacing w:after="0" w:line="155" w:lineRule="exact"/>
              <w:rPr>
                <w:sz w:val="20"/>
                <w:szCs w:val="20"/>
                <w:color w:val="auto"/>
              </w:rPr>
            </w:pPr>
            <w:r>
              <w:rPr>
                <w:rFonts w:ascii="Arial" w:cs="Arial" w:eastAsia="Arial" w:hAnsi="Arial"/>
                <w:sz w:val="14"/>
                <w:szCs w:val="14"/>
                <w:color w:val="auto"/>
              </w:rPr>
              <w:t>Non-GAAP EPS, diluted, of Class A and Class B common stock</w:t>
            </w:r>
          </w:p>
        </w:tc>
        <w:tc>
          <w:tcPr>
            <w:tcW w:w="1060" w:type="dxa"/>
            <w:vAlign w:val="bottom"/>
            <w:gridSpan w:val="2"/>
          </w:tcPr>
          <w:p>
            <w:pPr>
              <w:jc w:val="right"/>
              <w:ind w:right="90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0.12</w:t>
            </w:r>
          </w:p>
        </w:tc>
        <w:tc>
          <w:tcPr>
            <w:tcW w:w="260" w:type="dxa"/>
            <w:vAlign w:val="bottom"/>
          </w:tcPr>
          <w:p>
            <w:pPr>
              <w:spacing w:after="0"/>
              <w:rPr>
                <w:sz w:val="13"/>
                <w:szCs w:val="13"/>
                <w:color w:val="auto"/>
              </w:rPr>
            </w:pPr>
          </w:p>
        </w:tc>
        <w:tc>
          <w:tcPr>
            <w:tcW w:w="660" w:type="dxa"/>
            <w:vAlign w:val="bottom"/>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-136525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Segment Results</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Ended March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Segment Revenue:</w:t>
            </w:r>
          </w:p>
        </w:tc>
        <w:tc>
          <w:tcPr>
            <w:tcW w:w="276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60" w:type="dxa"/>
            <w:vAlign w:val="bottom"/>
            <w:vMerge w:val="continue"/>
          </w:tcPr>
          <w:p>
            <w:pPr>
              <w:spacing w:after="0"/>
              <w:rPr>
                <w:sz w:val="13"/>
                <w:szCs w:val="13"/>
                <w:color w:val="auto"/>
              </w:rPr>
            </w:pPr>
          </w:p>
        </w:tc>
        <w:tc>
          <w:tcPr>
            <w:tcW w:w="2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spacing w:after="0"/>
              <w:rPr>
                <w:sz w:val="20"/>
                <w:szCs w:val="20"/>
                <w:color w:val="auto"/>
              </w:rPr>
            </w:pPr>
            <w:r>
              <w:rPr>
                <w:rFonts w:ascii="Arial" w:cs="Arial" w:eastAsia="Arial" w:hAnsi="Arial"/>
                <w:sz w:val="14"/>
                <w:szCs w:val="14"/>
                <w:color w:val="auto"/>
              </w:rPr>
              <w:t>U.S.</w:t>
            </w:r>
          </w:p>
        </w:tc>
        <w:tc>
          <w:tcPr>
            <w:tcW w:w="3820" w:type="dxa"/>
            <w:vAlign w:val="bottom"/>
            <w:gridSpan w:val="2"/>
            <w:shd w:val="clear" w:color="auto" w:fill="CFF0FC"/>
          </w:tcPr>
          <w:p>
            <w:pPr>
              <w:jc w:val="right"/>
              <w:ind w:right="9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172,216</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127,820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20"/>
                <w:szCs w:val="20"/>
                <w:color w:val="auto"/>
              </w:rPr>
            </w:pPr>
            <w:r>
              <w:rPr>
                <w:rFonts w:ascii="Arial" w:cs="Arial" w:eastAsia="Arial" w:hAnsi="Arial"/>
                <w:sz w:val="14"/>
                <w:szCs w:val="14"/>
                <w:color w:val="auto"/>
              </w:rPr>
              <w:t>International</w:t>
            </w:r>
          </w:p>
        </w:tc>
        <w:tc>
          <w:tcPr>
            <w:tcW w:w="27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32,922</w:t>
            </w: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6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revenue</w:t>
            </w:r>
          </w:p>
        </w:tc>
        <w:tc>
          <w:tcPr>
            <w:tcW w:w="3820" w:type="dxa"/>
            <w:vAlign w:val="bottom"/>
            <w:gridSpan w:val="2"/>
            <w:shd w:val="clear" w:color="auto" w:fill="CFF0FC"/>
          </w:tcPr>
          <w:p>
            <w:pPr>
              <w:jc w:val="right"/>
              <w:ind w:right="908"/>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205,138</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150,971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4660" w:type="dxa"/>
            <w:vAlign w:val="bottom"/>
            <w:tcBorders>
              <w:top w:val="single" w:sz="8" w:color="CFF0FC"/>
            </w:tcBorders>
          </w:tcPr>
          <w:p>
            <w:pPr>
              <w:spacing w:after="0"/>
              <w:rPr>
                <w:sz w:val="20"/>
                <w:szCs w:val="20"/>
                <w:color w:val="auto"/>
              </w:rPr>
            </w:pPr>
            <w:r>
              <w:rPr>
                <w:rFonts w:ascii="Arial" w:cs="Arial" w:eastAsia="Arial" w:hAnsi="Arial"/>
                <w:sz w:val="14"/>
                <w:szCs w:val="14"/>
                <w:b w:val="1"/>
                <w:bCs w:val="1"/>
                <w:color w:val="auto"/>
              </w:rPr>
              <w:t>Segment Cost of Revenue:</w:t>
            </w:r>
          </w:p>
        </w:tc>
        <w:tc>
          <w:tcPr>
            <w:tcW w:w="276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spacing w:after="0"/>
              <w:rPr>
                <w:sz w:val="20"/>
                <w:szCs w:val="20"/>
                <w:color w:val="auto"/>
              </w:rPr>
            </w:pPr>
            <w:r>
              <w:rPr>
                <w:rFonts w:ascii="Arial" w:cs="Arial" w:eastAsia="Arial" w:hAnsi="Arial"/>
                <w:sz w:val="14"/>
                <w:szCs w:val="14"/>
                <w:color w:val="auto"/>
              </w:rPr>
              <w:t>U.S.</w:t>
            </w:r>
          </w:p>
        </w:tc>
        <w:tc>
          <w:tcPr>
            <w:tcW w:w="3820" w:type="dxa"/>
            <w:vAlign w:val="bottom"/>
            <w:gridSpan w:val="2"/>
            <w:shd w:val="clear" w:color="auto" w:fill="CFF0FC"/>
          </w:tcPr>
          <w:p>
            <w:pPr>
              <w:jc w:val="right"/>
              <w:ind w:right="9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106,062</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79,940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20"/>
                <w:szCs w:val="20"/>
                <w:color w:val="auto"/>
              </w:rPr>
            </w:pPr>
            <w:r>
              <w:rPr>
                <w:rFonts w:ascii="Arial" w:cs="Arial" w:eastAsia="Arial" w:hAnsi="Arial"/>
                <w:sz w:val="14"/>
                <w:szCs w:val="14"/>
                <w:color w:val="auto"/>
              </w:rPr>
              <w:t>International</w:t>
            </w:r>
          </w:p>
        </w:tc>
        <w:tc>
          <w:tcPr>
            <w:tcW w:w="27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20,588</w:t>
            </w: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6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cost of revenue</w:t>
            </w:r>
          </w:p>
        </w:tc>
        <w:tc>
          <w:tcPr>
            <w:tcW w:w="3820" w:type="dxa"/>
            <w:vAlign w:val="bottom"/>
            <w:gridSpan w:val="2"/>
            <w:shd w:val="clear" w:color="auto" w:fill="CFF0FC"/>
          </w:tcPr>
          <w:p>
            <w:pPr>
              <w:jc w:val="right"/>
              <w:ind w:right="908"/>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126,650</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94,640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4660" w:type="dxa"/>
            <w:vAlign w:val="bottom"/>
            <w:tcBorders>
              <w:top w:val="single" w:sz="8" w:color="CFF0FC"/>
            </w:tcBorders>
          </w:tcPr>
          <w:p>
            <w:pPr>
              <w:spacing w:after="0"/>
              <w:rPr>
                <w:sz w:val="20"/>
                <w:szCs w:val="20"/>
                <w:color w:val="auto"/>
              </w:rPr>
            </w:pPr>
            <w:r>
              <w:rPr>
                <w:rFonts w:ascii="Arial" w:cs="Arial" w:eastAsia="Arial" w:hAnsi="Arial"/>
                <w:sz w:val="14"/>
                <w:szCs w:val="14"/>
                <w:b w:val="1"/>
                <w:bCs w:val="1"/>
                <w:color w:val="auto"/>
              </w:rPr>
              <w:t>Segment Adjusted EBITDA:</w:t>
            </w:r>
          </w:p>
        </w:tc>
        <w:tc>
          <w:tcPr>
            <w:tcW w:w="276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spacing w:after="0"/>
              <w:rPr>
                <w:sz w:val="20"/>
                <w:szCs w:val="20"/>
                <w:color w:val="auto"/>
              </w:rPr>
            </w:pPr>
            <w:r>
              <w:rPr>
                <w:rFonts w:ascii="Arial" w:cs="Arial" w:eastAsia="Arial" w:hAnsi="Arial"/>
                <w:sz w:val="14"/>
                <w:szCs w:val="14"/>
                <w:color w:val="auto"/>
              </w:rPr>
              <w:t>U.S.</w:t>
            </w:r>
          </w:p>
        </w:tc>
        <w:tc>
          <w:tcPr>
            <w:tcW w:w="3820" w:type="dxa"/>
            <w:vAlign w:val="bottom"/>
            <w:gridSpan w:val="2"/>
            <w:shd w:val="clear" w:color="auto" w:fill="CFF0FC"/>
          </w:tcPr>
          <w:p>
            <w:pPr>
              <w:jc w:val="right"/>
              <w:ind w:right="9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13,286</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20"/>
                <w:szCs w:val="20"/>
                <w:color w:val="auto"/>
              </w:rPr>
            </w:pPr>
            <w:r>
              <w:rPr>
                <w:rFonts w:ascii="Arial" w:cs="Arial" w:eastAsia="Arial" w:hAnsi="Arial"/>
                <w:sz w:val="14"/>
                <w:szCs w:val="14"/>
                <w:color w:val="auto"/>
              </w:rPr>
              <w:t>International</w:t>
            </w:r>
          </w:p>
        </w:tc>
        <w:tc>
          <w:tcPr>
            <w:tcW w:w="2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(2,801)</w:t>
            </w:r>
          </w:p>
        </w:tc>
        <w:tc>
          <w:tcPr>
            <w:tcW w:w="6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6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Adjusted EBITDA</w:t>
            </w:r>
          </w:p>
        </w:tc>
        <w:tc>
          <w:tcPr>
            <w:tcW w:w="3820" w:type="dxa"/>
            <w:vAlign w:val="bottom"/>
            <w:gridSpan w:val="2"/>
            <w:shd w:val="clear" w:color="auto" w:fill="CFF0FC"/>
          </w:tcPr>
          <w:p>
            <w:pPr>
              <w:jc w:val="right"/>
              <w:ind w:right="908"/>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10,485</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27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-1122045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-1104900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-574040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-556895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Supplemental Information</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Ended March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46"/>
        </w:trPr>
        <w:tc>
          <w:tcPr>
            <w:tcW w:w="686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Summary of Stock-based Compensation Expense and Payroll Taxes Related to Stock-Based</w:t>
            </w:r>
          </w:p>
        </w:tc>
        <w:tc>
          <w:tcPr>
            <w:tcW w:w="5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1"/>
        </w:trPr>
        <w:tc>
          <w:tcPr>
            <w:tcW w:w="6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Compensation Expense</w:t>
            </w: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860" w:type="dxa"/>
            <w:vAlign w:val="bottom"/>
          </w:tcPr>
          <w:p>
            <w:pPr>
              <w:spacing w:after="0"/>
              <w:rPr>
                <w:sz w:val="20"/>
                <w:szCs w:val="20"/>
                <w:color w:val="auto"/>
              </w:rPr>
            </w:pPr>
            <w:r>
              <w:rPr>
                <w:rFonts w:ascii="Arial" w:cs="Arial" w:eastAsia="Arial" w:hAnsi="Arial"/>
                <w:sz w:val="14"/>
                <w:szCs w:val="14"/>
                <w:color w:val="auto"/>
              </w:rPr>
              <w:t>Sales and marketing</w:t>
            </w:r>
          </w:p>
        </w:tc>
        <w:tc>
          <w:tcPr>
            <w:tcW w:w="1620" w:type="dxa"/>
            <w:vAlign w:val="bottom"/>
            <w:gridSpan w:val="2"/>
          </w:tcPr>
          <w:p>
            <w:pPr>
              <w:jc w:val="right"/>
              <w:ind w:right="9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2,005</w:t>
            </w:r>
          </w:p>
        </w:tc>
        <w:tc>
          <w:tcPr>
            <w:tcW w:w="920" w:type="dxa"/>
            <w:vAlign w:val="bottom"/>
            <w:gridSpan w:val="2"/>
          </w:tcPr>
          <w:p>
            <w:pPr>
              <w:jc w:val="right"/>
              <w:ind w:right="5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2,382</w:t>
            </w:r>
          </w:p>
        </w:tc>
        <w:tc>
          <w:tcPr>
            <w:tcW w:w="100" w:type="dxa"/>
            <w:vAlign w:val="bottom"/>
          </w:tcPr>
          <w:p>
            <w:pPr>
              <w:spacing w:after="0"/>
              <w:rPr>
                <w:sz w:val="14"/>
                <w:szCs w:val="14"/>
                <w:color w:val="auto"/>
              </w:rPr>
            </w:pPr>
          </w:p>
        </w:tc>
      </w:tr>
      <w:tr>
        <w:trPr>
          <w:trHeight w:val="162"/>
        </w:trPr>
        <w:tc>
          <w:tcPr>
            <w:tcW w:w="6860" w:type="dxa"/>
            <w:vAlign w:val="bottom"/>
            <w:shd w:val="clear" w:color="auto" w:fill="CFF0FC"/>
          </w:tcPr>
          <w:p>
            <w:pPr>
              <w:spacing w:after="0"/>
              <w:rPr>
                <w:sz w:val="20"/>
                <w:szCs w:val="20"/>
                <w:color w:val="auto"/>
              </w:rPr>
            </w:pPr>
            <w:r>
              <w:rPr>
                <w:rFonts w:ascii="Arial" w:cs="Arial" w:eastAsia="Arial" w:hAnsi="Arial"/>
                <w:sz w:val="14"/>
                <w:szCs w:val="14"/>
                <w:color w:val="auto"/>
              </w:rPr>
              <w:t>Operations and support</w:t>
            </w: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2,782</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2,978</w:t>
            </w:r>
          </w:p>
        </w:tc>
        <w:tc>
          <w:tcPr>
            <w:tcW w:w="100" w:type="dxa"/>
            <w:vAlign w:val="bottom"/>
            <w:shd w:val="clear" w:color="auto" w:fill="CFF0FC"/>
          </w:tcPr>
          <w:p>
            <w:pPr>
              <w:spacing w:after="0"/>
              <w:rPr>
                <w:sz w:val="14"/>
                <w:szCs w:val="14"/>
                <w:color w:val="auto"/>
              </w:rPr>
            </w:pPr>
          </w:p>
        </w:tc>
      </w:tr>
      <w:tr>
        <w:trPr>
          <w:trHeight w:val="162"/>
        </w:trPr>
        <w:tc>
          <w:tcPr>
            <w:tcW w:w="6860" w:type="dxa"/>
            <w:vAlign w:val="bottom"/>
          </w:tcPr>
          <w:p>
            <w:pPr>
              <w:spacing w:after="0"/>
              <w:rPr>
                <w:sz w:val="20"/>
                <w:szCs w:val="20"/>
                <w:color w:val="auto"/>
              </w:rPr>
            </w:pPr>
            <w:r>
              <w:rPr>
                <w:rFonts w:ascii="Arial" w:cs="Arial" w:eastAsia="Arial" w:hAnsi="Arial"/>
                <w:sz w:val="14"/>
                <w:szCs w:val="14"/>
                <w:color w:val="auto"/>
              </w:rPr>
              <w:t>Product development</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1,151</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4"/>
                <w:szCs w:val="14"/>
                <w:color w:val="auto"/>
              </w:rPr>
            </w:pPr>
          </w:p>
        </w:tc>
      </w:tr>
      <w:tr>
        <w:trPr>
          <w:trHeight w:val="162"/>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General and administrative</w:t>
            </w:r>
          </w:p>
        </w:tc>
        <w:tc>
          <w:tcPr>
            <w:tcW w:w="56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3,994</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6860" w:type="dxa"/>
            <w:vAlign w:val="bottom"/>
          </w:tcPr>
          <w:p>
            <w:pPr>
              <w:spacing w:after="0" w:line="155" w:lineRule="exact"/>
              <w:rPr>
                <w:sz w:val="20"/>
                <w:szCs w:val="20"/>
                <w:color w:val="auto"/>
              </w:rPr>
            </w:pPr>
            <w:r>
              <w:rPr>
                <w:rFonts w:ascii="Arial" w:cs="Arial" w:eastAsia="Arial" w:hAnsi="Arial"/>
                <w:sz w:val="14"/>
                <w:szCs w:val="14"/>
                <w:color w:val="auto"/>
              </w:rPr>
              <w:t>Total stock-based compensation expense and payroll taxes related to stock-based compensation</w:t>
            </w:r>
          </w:p>
        </w:tc>
        <w:tc>
          <w:tcPr>
            <w:tcW w:w="560" w:type="dxa"/>
            <w:vAlign w:val="bottom"/>
          </w:tcPr>
          <w:p>
            <w:pPr>
              <w:spacing w:after="0"/>
              <w:rPr>
                <w:sz w:val="13"/>
                <w:szCs w:val="13"/>
                <w:color w:val="auto"/>
              </w:rPr>
            </w:pPr>
          </w:p>
        </w:tc>
        <w:tc>
          <w:tcPr>
            <w:tcW w:w="1060" w:type="dxa"/>
            <w:vAlign w:val="bottom"/>
            <w:tcBorders>
              <w:bottom w:val="single" w:sz="8" w:color="auto"/>
            </w:tcBorders>
          </w:tcPr>
          <w:p>
            <w:pPr>
              <w:jc w:val="right"/>
              <w:ind w:right="90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9,932</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ind w:right="50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8,815</w:t>
            </w:r>
          </w:p>
        </w:tc>
        <w:tc>
          <w:tcPr>
            <w:tcW w:w="100" w:type="dxa"/>
            <w:vAlign w:val="bottom"/>
          </w:tcPr>
          <w:p>
            <w:pPr>
              <w:spacing w:after="0"/>
              <w:rPr>
                <w:sz w:val="13"/>
                <w:szCs w:val="13"/>
                <w:color w:val="auto"/>
              </w:rPr>
            </w:pPr>
          </w:p>
        </w:tc>
      </w:tr>
      <w:tr>
        <w:trPr>
          <w:trHeight w:val="20"/>
        </w:trPr>
        <w:tc>
          <w:tcPr>
            <w:tcW w:w="6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6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Summary of Depreciation and Amortization Expense</w:t>
            </w: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860" w:type="dxa"/>
            <w:vAlign w:val="bottom"/>
          </w:tcPr>
          <w:p>
            <w:pPr>
              <w:spacing w:after="0"/>
              <w:rPr>
                <w:sz w:val="20"/>
                <w:szCs w:val="20"/>
                <w:color w:val="auto"/>
              </w:rPr>
            </w:pPr>
            <w:r>
              <w:rPr>
                <w:rFonts w:ascii="Arial" w:cs="Arial" w:eastAsia="Arial" w:hAnsi="Arial"/>
                <w:sz w:val="14"/>
                <w:szCs w:val="14"/>
                <w:color w:val="auto"/>
              </w:rPr>
              <w:t>Cost of revenue</w:t>
            </w:r>
          </w:p>
        </w:tc>
        <w:tc>
          <w:tcPr>
            <w:tcW w:w="1620" w:type="dxa"/>
            <w:vAlign w:val="bottom"/>
            <w:gridSpan w:val="2"/>
          </w:tcPr>
          <w:p>
            <w:pPr>
              <w:jc w:val="right"/>
              <w:ind w:right="9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177</w:t>
            </w:r>
          </w:p>
        </w:tc>
        <w:tc>
          <w:tcPr>
            <w:tcW w:w="920" w:type="dxa"/>
            <w:vAlign w:val="bottom"/>
            <w:gridSpan w:val="2"/>
          </w:tcPr>
          <w:p>
            <w:pPr>
              <w:jc w:val="right"/>
              <w:ind w:right="5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4"/>
                <w:szCs w:val="14"/>
                <w:color w:val="auto"/>
              </w:rPr>
            </w:pPr>
          </w:p>
        </w:tc>
      </w:tr>
      <w:tr>
        <w:trPr>
          <w:trHeight w:val="162"/>
        </w:trPr>
        <w:tc>
          <w:tcPr>
            <w:tcW w:w="6860" w:type="dxa"/>
            <w:vAlign w:val="bottom"/>
            <w:shd w:val="clear" w:color="auto" w:fill="CFF0FC"/>
          </w:tcPr>
          <w:p>
            <w:pPr>
              <w:spacing w:after="0"/>
              <w:rPr>
                <w:sz w:val="20"/>
                <w:szCs w:val="20"/>
                <w:color w:val="auto"/>
              </w:rPr>
            </w:pPr>
            <w:r>
              <w:rPr>
                <w:rFonts w:ascii="Arial" w:cs="Arial" w:eastAsia="Arial" w:hAnsi="Arial"/>
                <w:sz w:val="14"/>
                <w:szCs w:val="14"/>
                <w:color w:val="auto"/>
              </w:rPr>
              <w:t>Sales and marketing</w:t>
            </w: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795</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794</w:t>
            </w:r>
          </w:p>
        </w:tc>
        <w:tc>
          <w:tcPr>
            <w:tcW w:w="100" w:type="dxa"/>
            <w:vAlign w:val="bottom"/>
            <w:shd w:val="clear" w:color="auto" w:fill="CFF0FC"/>
          </w:tcPr>
          <w:p>
            <w:pPr>
              <w:spacing w:after="0"/>
              <w:rPr>
                <w:sz w:val="14"/>
                <w:szCs w:val="14"/>
                <w:color w:val="auto"/>
              </w:rPr>
            </w:pPr>
          </w:p>
        </w:tc>
      </w:tr>
      <w:tr>
        <w:trPr>
          <w:trHeight w:val="162"/>
        </w:trPr>
        <w:tc>
          <w:tcPr>
            <w:tcW w:w="6860" w:type="dxa"/>
            <w:vAlign w:val="bottom"/>
          </w:tcPr>
          <w:p>
            <w:pPr>
              <w:spacing w:after="0"/>
              <w:rPr>
                <w:sz w:val="20"/>
                <w:szCs w:val="20"/>
                <w:color w:val="auto"/>
              </w:rPr>
            </w:pPr>
            <w:r>
              <w:rPr>
                <w:rFonts w:ascii="Arial" w:cs="Arial" w:eastAsia="Arial" w:hAnsi="Arial"/>
                <w:sz w:val="14"/>
                <w:szCs w:val="14"/>
                <w:color w:val="auto"/>
              </w:rPr>
              <w:t>Operations and support</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r>
      <w:tr>
        <w:trPr>
          <w:trHeight w:val="162"/>
        </w:trPr>
        <w:tc>
          <w:tcPr>
            <w:tcW w:w="6860" w:type="dxa"/>
            <w:vAlign w:val="bottom"/>
            <w:shd w:val="clear" w:color="auto" w:fill="CFF0FC"/>
          </w:tcPr>
          <w:p>
            <w:pPr>
              <w:spacing w:after="0"/>
              <w:rPr>
                <w:sz w:val="20"/>
                <w:szCs w:val="20"/>
                <w:color w:val="auto"/>
              </w:rPr>
            </w:pPr>
            <w:r>
              <w:rPr>
                <w:rFonts w:ascii="Arial" w:cs="Arial" w:eastAsia="Arial" w:hAnsi="Arial"/>
                <w:sz w:val="14"/>
                <w:szCs w:val="14"/>
                <w:color w:val="auto"/>
              </w:rPr>
              <w:t>Product development</w:t>
            </w: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3,589</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2,993</w:t>
            </w:r>
          </w:p>
        </w:tc>
        <w:tc>
          <w:tcPr>
            <w:tcW w:w="100" w:type="dxa"/>
            <w:vAlign w:val="bottom"/>
            <w:shd w:val="clear" w:color="auto" w:fill="CFF0FC"/>
          </w:tcPr>
          <w:p>
            <w:pPr>
              <w:spacing w:after="0"/>
              <w:rPr>
                <w:sz w:val="14"/>
                <w:szCs w:val="14"/>
                <w:color w:val="auto"/>
              </w:rPr>
            </w:pPr>
          </w:p>
        </w:tc>
      </w:tr>
      <w:tr>
        <w:trPr>
          <w:trHeight w:val="162"/>
        </w:trPr>
        <w:tc>
          <w:tcPr>
            <w:tcW w:w="686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5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4"/>
                <w:szCs w:val="14"/>
                <w:color w:val="auto"/>
              </w:rPr>
            </w:pPr>
          </w:p>
        </w:tc>
      </w:tr>
      <w:tr>
        <w:trPr>
          <w:trHeight w:val="196"/>
        </w:trPr>
        <w:tc>
          <w:tcPr>
            <w:tcW w:w="68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depreciation and amortization expense</w:t>
            </w:r>
          </w:p>
        </w:tc>
        <w:tc>
          <w:tcPr>
            <w:tcW w:w="5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90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4,931</w:t>
            </w:r>
          </w:p>
        </w:tc>
        <w:tc>
          <w:tcPr>
            <w:tcW w:w="2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0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4,246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304"/>
        </w:trPr>
        <w:tc>
          <w:tcPr>
            <w:tcW w:w="6860" w:type="dxa"/>
            <w:vAlign w:val="bottom"/>
          </w:tcPr>
          <w:p>
            <w:pPr>
              <w:spacing w:after="0"/>
              <w:rPr>
                <w:sz w:val="20"/>
                <w:szCs w:val="20"/>
                <w:color w:val="auto"/>
              </w:rPr>
            </w:pPr>
            <w:r>
              <w:rPr>
                <w:rFonts w:ascii="Arial" w:cs="Arial" w:eastAsia="Arial" w:hAnsi="Arial"/>
                <w:sz w:val="14"/>
                <w:szCs w:val="14"/>
                <w:b w:val="1"/>
                <w:bCs w:val="1"/>
                <w:color w:val="auto"/>
              </w:rPr>
              <w:t>Summary of Restructuring Charges</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6860" w:type="dxa"/>
            <w:vAlign w:val="bottom"/>
            <w:shd w:val="clear" w:color="auto" w:fill="CFF0FC"/>
          </w:tcPr>
          <w:p>
            <w:pPr>
              <w:spacing w:after="0"/>
              <w:rPr>
                <w:sz w:val="20"/>
                <w:szCs w:val="20"/>
                <w:color w:val="auto"/>
              </w:rPr>
            </w:pPr>
            <w:r>
              <w:rPr>
                <w:rFonts w:ascii="Arial" w:cs="Arial" w:eastAsia="Arial" w:hAnsi="Arial"/>
                <w:sz w:val="14"/>
                <w:szCs w:val="14"/>
                <w:color w:val="auto"/>
              </w:rPr>
              <w:t>Sales and marketing</w:t>
            </w:r>
          </w:p>
        </w:tc>
        <w:tc>
          <w:tcPr>
            <w:tcW w:w="1620" w:type="dxa"/>
            <w:vAlign w:val="bottom"/>
            <w:gridSpan w:val="2"/>
            <w:shd w:val="clear" w:color="auto" w:fill="CFF0FC"/>
          </w:tcPr>
          <w:p>
            <w:pPr>
              <w:jc w:val="right"/>
              <w:ind w:right="9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5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FF0FC"/>
          </w:tcPr>
          <w:p>
            <w:pPr>
              <w:spacing w:after="0"/>
              <w:rPr>
                <w:sz w:val="14"/>
                <w:szCs w:val="14"/>
                <w:color w:val="auto"/>
              </w:rPr>
            </w:pPr>
          </w:p>
        </w:tc>
      </w:tr>
      <w:tr>
        <w:trPr>
          <w:trHeight w:val="162"/>
        </w:trPr>
        <w:tc>
          <w:tcPr>
            <w:tcW w:w="6860" w:type="dxa"/>
            <w:vAlign w:val="bottom"/>
          </w:tcPr>
          <w:p>
            <w:pPr>
              <w:spacing w:after="0"/>
              <w:rPr>
                <w:sz w:val="20"/>
                <w:szCs w:val="20"/>
                <w:color w:val="auto"/>
              </w:rPr>
            </w:pPr>
            <w:r>
              <w:rPr>
                <w:rFonts w:ascii="Arial" w:cs="Arial" w:eastAsia="Arial" w:hAnsi="Arial"/>
                <w:sz w:val="14"/>
                <w:szCs w:val="14"/>
                <w:color w:val="auto"/>
              </w:rPr>
              <w:t>Operations and support</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14"/>
                <w:szCs w:val="14"/>
                <w:color w:val="auto"/>
              </w:rPr>
            </w:pPr>
          </w:p>
        </w:tc>
      </w:tr>
      <w:tr>
        <w:trPr>
          <w:trHeight w:val="162"/>
        </w:trPr>
        <w:tc>
          <w:tcPr>
            <w:tcW w:w="6860" w:type="dxa"/>
            <w:vAlign w:val="bottom"/>
            <w:shd w:val="clear" w:color="auto" w:fill="CFF0FC"/>
          </w:tcPr>
          <w:p>
            <w:pPr>
              <w:spacing w:after="0"/>
              <w:rPr>
                <w:sz w:val="20"/>
                <w:szCs w:val="20"/>
                <w:color w:val="auto"/>
              </w:rPr>
            </w:pPr>
            <w:r>
              <w:rPr>
                <w:rFonts w:ascii="Arial" w:cs="Arial" w:eastAsia="Arial" w:hAnsi="Arial"/>
                <w:sz w:val="14"/>
                <w:szCs w:val="14"/>
                <w:color w:val="auto"/>
              </w:rPr>
              <w:t>Product development</w:t>
            </w: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FF0FC"/>
          </w:tcPr>
          <w:p>
            <w:pPr>
              <w:spacing w:after="0"/>
              <w:rPr>
                <w:sz w:val="14"/>
                <w:szCs w:val="14"/>
                <w:color w:val="auto"/>
              </w:rPr>
            </w:pPr>
          </w:p>
        </w:tc>
      </w:tr>
      <w:tr>
        <w:trPr>
          <w:trHeight w:val="162"/>
        </w:trPr>
        <w:tc>
          <w:tcPr>
            <w:tcW w:w="686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5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4"/>
                <w:szCs w:val="14"/>
                <w:color w:val="auto"/>
              </w:rPr>
            </w:pPr>
          </w:p>
        </w:tc>
      </w:tr>
      <w:tr>
        <w:trPr>
          <w:trHeight w:val="195"/>
        </w:trPr>
        <w:tc>
          <w:tcPr>
            <w:tcW w:w="68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restructuring charges</w:t>
            </w:r>
          </w:p>
        </w:tc>
        <w:tc>
          <w:tcPr>
            <w:tcW w:w="5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90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w:t>
            </w:r>
          </w:p>
        </w:tc>
        <w:tc>
          <w:tcPr>
            <w:tcW w:w="2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0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1,461</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-1748155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-779145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-762635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2"/>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2026-05-07T06:19:32Z</dcterms:created>
  <dcterms:modified xsi:type="dcterms:W3CDTF">2026-05-07T06:19:32Z</dcterms:modified>
</cp:coreProperties>
</file>