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Clark Ranjana B</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03/21/2023</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6116 EXECUTIVE BLVD, SUITE 800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3"/>
                <w:szCs w:val="13"/>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880" w:type="dxa"/>
            <w:vAlign w:val="bottom"/>
            <w:tcBorders>
              <w:bottom w:val="single" w:sz="8" w:color="9A9A9A"/>
            </w:tcBorders>
            <w:gridSpan w:val="2"/>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03/21/2023</w:t>
            </w: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7,041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14,407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03/21/2023</w:t>
            </w: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2,018</w:t>
            </w:r>
            <w:r>
              <w:rPr>
                <w:rFonts w:ascii="Times New Roman" w:cs="Times New Roman" w:eastAsia="Times New Roman" w:hAnsi="Times New Roman"/>
                <w:sz w:val="22"/>
                <w:szCs w:val="22"/>
                <w:color w:val="008000"/>
                <w:w w:val="97"/>
                <w:vertAlign w:val="superscript"/>
              </w:rPr>
              <w:t>(3)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16,425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All of the shares underlying the RSUs will vest on January 1, 2024, subject to the Reporting Person's continuous service.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Class A Common Stock of the Issuer.</w:t>
      </w:r>
    </w:p>
    <w:p>
      <w:pPr>
        <w:spacing w:after="0" w:line="50" w:lineRule="exact"/>
        <w:rPr>
          <w:rFonts w:ascii="Times New Roman" w:cs="Times New Roman" w:eastAsia="Times New Roman" w:hAnsi="Times New Roman"/>
          <w:sz w:val="13"/>
          <w:szCs w:val="13"/>
          <w:color w:val="008000"/>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The shares underlying the RSUs will vest in four equal quarterly installments with the first installment vesting on April 1, 2023, subject to the Reporting Person's continuous service.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03/23/2023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4051"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2023-03-23T20:43:15Z</dcterms:created>
  <dcterms:modified xsi:type="dcterms:W3CDTF">2023-03-23T20:43:15Z</dcterms:modified>
</cp:coreProperties>
</file>