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As filed with the Securities and Exchange Commission on June 4, 2021.</w:t>
      </w:r>
    </w:p>
    <w:p>
      <w:pPr>
        <w:spacing w:after="0" w:line="105" w:lineRule="exact"/>
        <w:rPr>
          <w:sz w:val="24"/>
          <w:szCs w:val="24"/>
          <w:color w:val="auto"/>
        </w:rPr>
      </w:pPr>
    </w:p>
    <w:p>
      <w:pPr>
        <w:jc w:val="right"/>
        <w:ind w:right="4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111125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111125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UNDER</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111125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Xometry, Inc.</w:t>
      </w: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109220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50" w:lineRule="exact"/>
        <w:rPr>
          <w:sz w:val="24"/>
          <w:szCs w:val="24"/>
          <w:color w:val="auto"/>
        </w:rPr>
      </w:pPr>
    </w:p>
    <w:tbl>
      <w:tblPr>
        <w:tblLayout w:type="fixed"/>
        <w:tblInd w:w="1120" w:type="dxa"/>
        <w:tblCellMar>
          <w:top w:w="0" w:type="dxa"/>
          <w:left w:w="0" w:type="dxa"/>
          <w:bottom w:w="0" w:type="dxa"/>
          <w:right w:w="0" w:type="dxa"/>
        </w:tblCellMar>
      </w:tblPr>
      <w:tr>
        <w:trPr>
          <w:trHeight w:val="149"/>
        </w:trPr>
        <w:tc>
          <w:tcPr>
            <w:tcW w:w="2780" w:type="dxa"/>
            <w:vAlign w:val="bottom"/>
          </w:tcPr>
          <w:p>
            <w:pPr>
              <w:jc w:val="center"/>
              <w:ind w:right="916"/>
              <w:spacing w:after="0"/>
              <w:rPr>
                <w:sz w:val="20"/>
                <w:szCs w:val="20"/>
                <w:color w:val="auto"/>
              </w:rPr>
            </w:pPr>
            <w:r>
              <w:rPr>
                <w:rFonts w:ascii="Arial" w:cs="Arial" w:eastAsia="Arial" w:hAnsi="Arial"/>
                <w:sz w:val="13"/>
                <w:szCs w:val="13"/>
                <w:b w:val="1"/>
                <w:bCs w:val="1"/>
                <w:color w:val="auto"/>
              </w:rPr>
              <w:t>Delaware</w:t>
            </w:r>
          </w:p>
        </w:tc>
        <w:tc>
          <w:tcPr>
            <w:tcW w:w="3740" w:type="dxa"/>
            <w:vAlign w:val="bottom"/>
          </w:tcPr>
          <w:p>
            <w:pPr>
              <w:jc w:val="center"/>
              <w:ind w:right="16"/>
              <w:spacing w:after="0"/>
              <w:rPr>
                <w:sz w:val="20"/>
                <w:szCs w:val="20"/>
                <w:color w:val="auto"/>
              </w:rPr>
            </w:pPr>
            <w:r>
              <w:rPr>
                <w:rFonts w:ascii="Arial" w:cs="Arial" w:eastAsia="Arial" w:hAnsi="Arial"/>
                <w:sz w:val="13"/>
                <w:szCs w:val="13"/>
                <w:b w:val="1"/>
                <w:bCs w:val="1"/>
                <w:color w:val="auto"/>
              </w:rPr>
              <w:t>7389</w:t>
            </w:r>
          </w:p>
        </w:tc>
        <w:tc>
          <w:tcPr>
            <w:tcW w:w="2360" w:type="dxa"/>
            <w:vAlign w:val="bottom"/>
          </w:tcPr>
          <w:p>
            <w:pPr>
              <w:jc w:val="center"/>
              <w:ind w:left="976"/>
              <w:spacing w:after="0"/>
              <w:rPr>
                <w:sz w:val="20"/>
                <w:szCs w:val="20"/>
                <w:color w:val="auto"/>
              </w:rPr>
            </w:pPr>
            <w:r>
              <w:rPr>
                <w:rFonts w:ascii="Arial" w:cs="Arial" w:eastAsia="Arial" w:hAnsi="Arial"/>
                <w:sz w:val="13"/>
                <w:szCs w:val="13"/>
                <w:b w:val="1"/>
                <w:bCs w:val="1"/>
                <w:color w:val="auto"/>
              </w:rPr>
              <w:t>32-0415449</w:t>
            </w:r>
          </w:p>
        </w:tc>
      </w:tr>
      <w:tr>
        <w:trPr>
          <w:trHeight w:val="134"/>
        </w:trPr>
        <w:tc>
          <w:tcPr>
            <w:tcW w:w="2780" w:type="dxa"/>
            <w:vAlign w:val="bottom"/>
          </w:tcPr>
          <w:p>
            <w:pPr>
              <w:jc w:val="center"/>
              <w:ind w:right="916"/>
              <w:spacing w:after="0" w:line="134" w:lineRule="exact"/>
              <w:rPr>
                <w:sz w:val="20"/>
                <w:szCs w:val="20"/>
                <w:color w:val="auto"/>
              </w:rPr>
            </w:pPr>
            <w:r>
              <w:rPr>
                <w:rFonts w:ascii="Arial" w:cs="Arial" w:eastAsia="Arial" w:hAnsi="Arial"/>
                <w:sz w:val="12"/>
                <w:szCs w:val="12"/>
                <w:b w:val="1"/>
                <w:bCs w:val="1"/>
                <w:color w:val="auto"/>
              </w:rPr>
              <w:t>(State or other jurisdiction of</w:t>
            </w:r>
          </w:p>
        </w:tc>
        <w:tc>
          <w:tcPr>
            <w:tcW w:w="3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(Primary Standard Industrial</w:t>
            </w:r>
          </w:p>
        </w:tc>
        <w:tc>
          <w:tcPr>
            <w:tcW w:w="2360" w:type="dxa"/>
            <w:vAlign w:val="bottom"/>
          </w:tcPr>
          <w:p>
            <w:pPr>
              <w:jc w:val="center"/>
              <w:ind w:left="976"/>
              <w:spacing w:after="0" w:line="134" w:lineRule="exact"/>
              <w:rPr>
                <w:sz w:val="20"/>
                <w:szCs w:val="20"/>
                <w:color w:val="auto"/>
              </w:rPr>
            </w:pPr>
            <w:r>
              <w:rPr>
                <w:rFonts w:ascii="Arial" w:cs="Arial" w:eastAsia="Arial" w:hAnsi="Arial"/>
                <w:sz w:val="12"/>
                <w:szCs w:val="12"/>
                <w:b w:val="1"/>
                <w:bCs w:val="1"/>
                <w:color w:val="auto"/>
              </w:rPr>
              <w:t>(I.R.S. Employer</w:t>
            </w:r>
          </w:p>
        </w:tc>
      </w:tr>
      <w:tr>
        <w:trPr>
          <w:trHeight w:val="163"/>
        </w:trPr>
        <w:tc>
          <w:tcPr>
            <w:tcW w:w="2780" w:type="dxa"/>
            <w:vAlign w:val="bottom"/>
          </w:tcPr>
          <w:p>
            <w:pPr>
              <w:jc w:val="center"/>
              <w:ind w:right="916"/>
              <w:spacing w:after="0"/>
              <w:rPr>
                <w:sz w:val="20"/>
                <w:szCs w:val="20"/>
                <w:color w:val="auto"/>
              </w:rPr>
            </w:pPr>
            <w:r>
              <w:rPr>
                <w:rFonts w:ascii="Arial" w:cs="Arial" w:eastAsia="Arial" w:hAnsi="Arial"/>
                <w:sz w:val="12"/>
                <w:szCs w:val="12"/>
                <w:b w:val="1"/>
                <w:bCs w:val="1"/>
                <w:color w:val="auto"/>
              </w:rPr>
              <w:t>incorporation or organization)</w:t>
            </w:r>
          </w:p>
        </w:tc>
        <w:tc>
          <w:tcPr>
            <w:tcW w:w="3740" w:type="dxa"/>
            <w:vAlign w:val="bottom"/>
          </w:tcPr>
          <w:p>
            <w:pPr>
              <w:jc w:val="center"/>
              <w:spacing w:after="0"/>
              <w:rPr>
                <w:sz w:val="20"/>
                <w:szCs w:val="20"/>
                <w:color w:val="auto"/>
              </w:rPr>
            </w:pPr>
            <w:r>
              <w:rPr>
                <w:rFonts w:ascii="Arial" w:cs="Arial" w:eastAsia="Arial" w:hAnsi="Arial"/>
                <w:sz w:val="12"/>
                <w:szCs w:val="12"/>
                <w:b w:val="1"/>
                <w:bCs w:val="1"/>
                <w:color w:val="auto"/>
              </w:rPr>
              <w:t>Classification Code Number)</w:t>
            </w:r>
          </w:p>
        </w:tc>
        <w:tc>
          <w:tcPr>
            <w:tcW w:w="2360" w:type="dxa"/>
            <w:vAlign w:val="bottom"/>
          </w:tcPr>
          <w:p>
            <w:pPr>
              <w:jc w:val="center"/>
              <w:ind w:left="976"/>
              <w:spacing w:after="0"/>
              <w:rPr>
                <w:sz w:val="20"/>
                <w:szCs w:val="20"/>
                <w:color w:val="auto"/>
              </w:rPr>
            </w:pPr>
            <w:r>
              <w:rPr>
                <w:rFonts w:ascii="Arial" w:cs="Arial" w:eastAsia="Arial" w:hAnsi="Arial"/>
                <w:sz w:val="12"/>
                <w:szCs w:val="12"/>
                <w:b w:val="1"/>
                <w:bCs w:val="1"/>
                <w:color w:val="auto"/>
              </w:rPr>
              <w:t>Identification Number)</w:t>
            </w:r>
          </w:p>
        </w:tc>
      </w:tr>
    </w:tbl>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7529 Standish Place</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Suite 200</w:t>
      </w:r>
    </w:p>
    <w:p>
      <w:pPr>
        <w:jc w:val="center"/>
        <w:ind w:right="-179"/>
        <w:spacing w:after="0" w:line="236" w:lineRule="auto"/>
        <w:rPr>
          <w:sz w:val="20"/>
          <w:szCs w:val="20"/>
          <w:color w:val="auto"/>
        </w:rPr>
      </w:pPr>
      <w:r>
        <w:rPr>
          <w:rFonts w:ascii="Arial" w:cs="Arial" w:eastAsia="Arial" w:hAnsi="Arial"/>
          <w:sz w:val="13"/>
          <w:szCs w:val="13"/>
          <w:b w:val="1"/>
          <w:bCs w:val="1"/>
          <w:color w:val="auto"/>
        </w:rPr>
        <w:t>Derwood, MD 20855</w:t>
      </w:r>
    </w:p>
    <w:p>
      <w:pPr>
        <w:jc w:val="center"/>
        <w:ind w:right="-179"/>
        <w:spacing w:after="0" w:line="227" w:lineRule="auto"/>
        <w:rPr>
          <w:sz w:val="20"/>
          <w:szCs w:val="20"/>
          <w:color w:val="auto"/>
        </w:rPr>
      </w:pPr>
      <w:r>
        <w:rPr>
          <w:rFonts w:ascii="Arial" w:cs="Arial" w:eastAsia="Arial" w:hAnsi="Arial"/>
          <w:sz w:val="13"/>
          <w:szCs w:val="13"/>
          <w:b w:val="1"/>
          <w:bCs w:val="1"/>
          <w:color w:val="auto"/>
        </w:rPr>
        <w:t>(240) 335-7914</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111760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Randolph Altschuler</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Chief Executive Officer</w:t>
      </w:r>
    </w:p>
    <w:p>
      <w:pPr>
        <w:jc w:val="center"/>
        <w:ind w:right="-179"/>
        <w:spacing w:after="0" w:line="236" w:lineRule="auto"/>
        <w:rPr>
          <w:sz w:val="20"/>
          <w:szCs w:val="20"/>
          <w:color w:val="auto"/>
        </w:rPr>
      </w:pPr>
      <w:r>
        <w:rPr>
          <w:rFonts w:ascii="Arial" w:cs="Arial" w:eastAsia="Arial" w:hAnsi="Arial"/>
          <w:sz w:val="13"/>
          <w:szCs w:val="13"/>
          <w:b w:val="1"/>
          <w:bCs w:val="1"/>
          <w:color w:val="auto"/>
        </w:rPr>
        <w:t>Xometry, Inc.</w:t>
      </w:r>
    </w:p>
    <w:p>
      <w:pPr>
        <w:jc w:val="center"/>
        <w:ind w:right="-179"/>
        <w:spacing w:after="0" w:line="236" w:lineRule="auto"/>
        <w:rPr>
          <w:sz w:val="20"/>
          <w:szCs w:val="20"/>
          <w:color w:val="auto"/>
        </w:rPr>
      </w:pPr>
      <w:r>
        <w:rPr>
          <w:rFonts w:ascii="Arial" w:cs="Arial" w:eastAsia="Arial" w:hAnsi="Arial"/>
          <w:sz w:val="13"/>
          <w:szCs w:val="13"/>
          <w:b w:val="1"/>
          <w:bCs w:val="1"/>
          <w:color w:val="auto"/>
        </w:rPr>
        <w:t>7529 Standish Place</w:t>
      </w:r>
    </w:p>
    <w:p>
      <w:pPr>
        <w:jc w:val="center"/>
        <w:ind w:right="-179"/>
        <w:spacing w:after="0" w:line="236" w:lineRule="auto"/>
        <w:rPr>
          <w:sz w:val="20"/>
          <w:szCs w:val="20"/>
          <w:color w:val="auto"/>
        </w:rPr>
      </w:pPr>
      <w:r>
        <w:rPr>
          <w:rFonts w:ascii="Arial" w:cs="Arial" w:eastAsia="Arial" w:hAnsi="Arial"/>
          <w:sz w:val="13"/>
          <w:szCs w:val="13"/>
          <w:b w:val="1"/>
          <w:bCs w:val="1"/>
          <w:color w:val="auto"/>
        </w:rPr>
        <w:t>Suite 200</w:t>
      </w:r>
    </w:p>
    <w:p>
      <w:pPr>
        <w:jc w:val="center"/>
        <w:ind w:right="-179"/>
        <w:spacing w:after="0" w:line="236" w:lineRule="auto"/>
        <w:rPr>
          <w:sz w:val="20"/>
          <w:szCs w:val="20"/>
          <w:color w:val="auto"/>
        </w:rPr>
      </w:pPr>
      <w:r>
        <w:rPr>
          <w:rFonts w:ascii="Arial" w:cs="Arial" w:eastAsia="Arial" w:hAnsi="Arial"/>
          <w:sz w:val="13"/>
          <w:szCs w:val="13"/>
          <w:b w:val="1"/>
          <w:bCs w:val="1"/>
          <w:color w:val="auto"/>
        </w:rPr>
        <w:t>Derwood, MD 20855</w:t>
      </w:r>
    </w:p>
    <w:p>
      <w:pPr>
        <w:jc w:val="center"/>
        <w:ind w:right="-179"/>
        <w:spacing w:after="0" w:line="228" w:lineRule="auto"/>
        <w:rPr>
          <w:sz w:val="20"/>
          <w:szCs w:val="20"/>
          <w:color w:val="auto"/>
        </w:rPr>
      </w:pPr>
      <w:r>
        <w:rPr>
          <w:rFonts w:ascii="Arial" w:cs="Arial" w:eastAsia="Arial" w:hAnsi="Arial"/>
          <w:sz w:val="13"/>
          <w:szCs w:val="13"/>
          <w:b w:val="1"/>
          <w:bCs w:val="1"/>
          <w:color w:val="auto"/>
        </w:rPr>
        <w:t>(240) 335-7914</w:t>
      </w:r>
    </w:p>
    <w:p>
      <w:pPr>
        <w:jc w:val="center"/>
        <w:ind w:right="-17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120015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Copies to:</w:t>
      </w:r>
    </w:p>
    <w:p>
      <w:pPr>
        <w:spacing w:after="0" w:line="59" w:lineRule="exact"/>
        <w:rPr>
          <w:sz w:val="24"/>
          <w:szCs w:val="24"/>
          <w:color w:val="auto"/>
        </w:rPr>
      </w:pPr>
    </w:p>
    <w:tbl>
      <w:tblPr>
        <w:tblLayout w:type="fixed"/>
        <w:tblInd w:w="1140" w:type="dxa"/>
        <w:tblCellMar>
          <w:top w:w="0" w:type="dxa"/>
          <w:left w:w="0" w:type="dxa"/>
          <w:bottom w:w="0" w:type="dxa"/>
          <w:right w:w="0" w:type="dxa"/>
        </w:tblCellMar>
      </w:tblPr>
      <w:tr>
        <w:trPr>
          <w:trHeight w:val="149"/>
        </w:trPr>
        <w:tc>
          <w:tcPr>
            <w:tcW w:w="2860" w:type="dxa"/>
            <w:vAlign w:val="bottom"/>
          </w:tcPr>
          <w:p>
            <w:pPr>
              <w:jc w:val="center"/>
              <w:ind w:right="1033"/>
              <w:spacing w:after="0"/>
              <w:rPr>
                <w:sz w:val="20"/>
                <w:szCs w:val="20"/>
                <w:color w:val="auto"/>
              </w:rPr>
            </w:pPr>
            <w:r>
              <w:rPr>
                <w:rFonts w:ascii="Arial" w:cs="Arial" w:eastAsia="Arial" w:hAnsi="Arial"/>
                <w:sz w:val="13"/>
                <w:szCs w:val="13"/>
                <w:b w:val="1"/>
                <w:bCs w:val="1"/>
                <w:color w:val="auto"/>
              </w:rPr>
              <w:t>Eric Blanchard</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rPr>
              <w:t>James Rallo</w:t>
            </w:r>
          </w:p>
        </w:tc>
        <w:tc>
          <w:tcPr>
            <w:tcW w:w="2780" w:type="dxa"/>
            <w:vAlign w:val="bottom"/>
          </w:tcPr>
          <w:p>
            <w:pPr>
              <w:jc w:val="center"/>
              <w:ind w:left="993"/>
              <w:spacing w:after="0"/>
              <w:rPr>
                <w:sz w:val="20"/>
                <w:szCs w:val="20"/>
                <w:color w:val="auto"/>
              </w:rPr>
            </w:pPr>
            <w:r>
              <w:rPr>
                <w:rFonts w:ascii="Arial" w:cs="Arial" w:eastAsia="Arial" w:hAnsi="Arial"/>
                <w:sz w:val="13"/>
                <w:szCs w:val="13"/>
                <w:b w:val="1"/>
                <w:bCs w:val="1"/>
                <w:color w:val="auto"/>
              </w:rPr>
              <w:t>Alan F. Denenberg</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David Peinsipp</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Laurence Zuriff</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Stephen Salmon</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Michael R. Lincoln</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Kristie Scott</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Davis Polk &amp; Wardwell LLP</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Derek O. Colla</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Xometry, Inc.</w:t>
            </w:r>
          </w:p>
        </w:tc>
        <w:tc>
          <w:tcPr>
            <w:tcW w:w="2780" w:type="dxa"/>
            <w:vAlign w:val="bottom"/>
          </w:tcPr>
          <w:p>
            <w:pPr>
              <w:jc w:val="center"/>
              <w:ind w:left="973"/>
              <w:spacing w:after="0" w:line="148" w:lineRule="exact"/>
              <w:rPr>
                <w:sz w:val="20"/>
                <w:szCs w:val="20"/>
                <w:color w:val="auto"/>
              </w:rPr>
            </w:pPr>
            <w:r>
              <w:rPr>
                <w:rFonts w:ascii="Arial" w:cs="Arial" w:eastAsia="Arial" w:hAnsi="Arial"/>
                <w:sz w:val="13"/>
                <w:szCs w:val="13"/>
                <w:b w:val="1"/>
                <w:bCs w:val="1"/>
                <w:color w:val="auto"/>
              </w:rPr>
              <w:t>1600 El Camino Real</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Cooley LLP</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7529 Standish Place</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Menlo Park, CA 94025</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1299 Pennsylvania Ave. NW</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Suite 200</w:t>
            </w:r>
          </w:p>
        </w:tc>
        <w:tc>
          <w:tcPr>
            <w:tcW w:w="2780" w:type="dxa"/>
            <w:vAlign w:val="bottom"/>
          </w:tcPr>
          <w:p>
            <w:pPr>
              <w:jc w:val="center"/>
              <w:ind w:left="993"/>
              <w:spacing w:after="0" w:line="148" w:lineRule="exact"/>
              <w:rPr>
                <w:sz w:val="20"/>
                <w:szCs w:val="20"/>
                <w:color w:val="auto"/>
              </w:rPr>
            </w:pPr>
            <w:r>
              <w:rPr>
                <w:rFonts w:ascii="Arial" w:cs="Arial" w:eastAsia="Arial" w:hAnsi="Arial"/>
                <w:sz w:val="13"/>
                <w:szCs w:val="13"/>
                <w:b w:val="1"/>
                <w:bCs w:val="1"/>
                <w:color w:val="auto"/>
              </w:rPr>
              <w:t>(650) 752-2000</w:t>
            </w: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Suite 700</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Derwood, MD 20855</w:t>
            </w:r>
          </w:p>
        </w:tc>
        <w:tc>
          <w:tcPr>
            <w:tcW w:w="2780" w:type="dxa"/>
            <w:vAlign w:val="bottom"/>
          </w:tcPr>
          <w:p>
            <w:pPr>
              <w:spacing w:after="0"/>
              <w:rPr>
                <w:sz w:val="12"/>
                <w:szCs w:val="12"/>
                <w:color w:val="auto"/>
              </w:rPr>
            </w:pPr>
          </w:p>
        </w:tc>
      </w:tr>
      <w:tr>
        <w:trPr>
          <w:trHeight w:val="147"/>
        </w:trPr>
        <w:tc>
          <w:tcPr>
            <w:tcW w:w="2860" w:type="dxa"/>
            <w:vAlign w:val="bottom"/>
          </w:tcPr>
          <w:p>
            <w:pPr>
              <w:jc w:val="center"/>
              <w:ind w:right="1033"/>
              <w:spacing w:after="0" w:line="148" w:lineRule="exact"/>
              <w:rPr>
                <w:sz w:val="20"/>
                <w:szCs w:val="20"/>
                <w:color w:val="auto"/>
              </w:rPr>
            </w:pPr>
            <w:r>
              <w:rPr>
                <w:rFonts w:ascii="Arial" w:cs="Arial" w:eastAsia="Arial" w:hAnsi="Arial"/>
                <w:sz w:val="13"/>
                <w:szCs w:val="13"/>
                <w:b w:val="1"/>
                <w:bCs w:val="1"/>
                <w:color w:val="auto"/>
              </w:rPr>
              <w:t>Washington, DC 20004-2400</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(240) 335-7914</w:t>
            </w:r>
          </w:p>
        </w:tc>
        <w:tc>
          <w:tcPr>
            <w:tcW w:w="2780" w:type="dxa"/>
            <w:vAlign w:val="bottom"/>
          </w:tcPr>
          <w:p>
            <w:pPr>
              <w:spacing w:after="0"/>
              <w:rPr>
                <w:sz w:val="12"/>
                <w:szCs w:val="12"/>
                <w:color w:val="auto"/>
              </w:rPr>
            </w:pPr>
          </w:p>
        </w:tc>
      </w:tr>
      <w:tr>
        <w:trPr>
          <w:trHeight w:val="177"/>
        </w:trPr>
        <w:tc>
          <w:tcPr>
            <w:tcW w:w="2860" w:type="dxa"/>
            <w:vAlign w:val="bottom"/>
          </w:tcPr>
          <w:p>
            <w:pPr>
              <w:jc w:val="center"/>
              <w:ind w:right="1033"/>
              <w:spacing w:after="0"/>
              <w:rPr>
                <w:sz w:val="20"/>
                <w:szCs w:val="20"/>
                <w:color w:val="auto"/>
              </w:rPr>
            </w:pPr>
            <w:r>
              <w:rPr>
                <w:rFonts w:ascii="Arial" w:cs="Arial" w:eastAsia="Arial" w:hAnsi="Arial"/>
                <w:sz w:val="13"/>
                <w:szCs w:val="13"/>
                <w:b w:val="1"/>
                <w:bCs w:val="1"/>
                <w:color w:val="auto"/>
              </w:rPr>
              <w:t>(202) 842-7800</w:t>
            </w:r>
          </w:p>
        </w:tc>
        <w:tc>
          <w:tcPr>
            <w:tcW w:w="3420" w:type="dxa"/>
            <w:vAlign w:val="bottom"/>
          </w:tcPr>
          <w:p>
            <w:pPr>
              <w:spacing w:after="0"/>
              <w:rPr>
                <w:sz w:val="15"/>
                <w:szCs w:val="15"/>
                <w:color w:val="auto"/>
              </w:rPr>
            </w:pPr>
          </w:p>
        </w:tc>
        <w:tc>
          <w:tcPr>
            <w:tcW w:w="27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110490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p>
      <w:pPr>
        <w:spacing w:after="0" w:line="224" w:lineRule="exact"/>
        <w:rPr>
          <w:sz w:val="24"/>
          <w:szCs w:val="24"/>
          <w:color w:val="auto"/>
        </w:rPr>
      </w:pPr>
    </w:p>
    <w:p>
      <w:pPr>
        <w:jc w:val="center"/>
        <w:ind w:left="54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4" w:lineRule="exact"/>
        <w:rPr>
          <w:sz w:val="24"/>
          <w:szCs w:val="24"/>
          <w:color w:val="auto"/>
        </w:rPr>
      </w:pPr>
    </w:p>
    <w:p>
      <w:pPr>
        <w:jc w:val="center"/>
        <w:ind w:left="540"/>
        <w:spacing w:after="0"/>
        <w:rPr>
          <w:sz w:val="20"/>
          <w:szCs w:val="20"/>
          <w:color w:val="auto"/>
        </w:rPr>
      </w:pPr>
      <w:r>
        <w:rPr>
          <w:rFonts w:ascii="Arial" w:cs="Arial" w:eastAsia="Arial" w:hAnsi="Arial"/>
          <w:sz w:val="13"/>
          <w:szCs w:val="13"/>
          <w:b w:val="1"/>
          <w:bCs w:val="1"/>
          <w:color w:val="auto"/>
        </w:rPr>
        <w:t>As soon as practicable after this registration statement becomes effective.</w:t>
      </w:r>
    </w:p>
    <w:p>
      <w:pPr>
        <w:spacing w:after="0" w:line="51" w:lineRule="exact"/>
        <w:rPr>
          <w:sz w:val="24"/>
          <w:szCs w:val="24"/>
          <w:color w:val="auto"/>
        </w:rPr>
      </w:pPr>
    </w:p>
    <w:p>
      <w:pPr>
        <w:ind w:left="160" w:right="40" w:firstLine="546"/>
        <w:spacing w:after="0" w:line="161"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26" w:lineRule="exact"/>
        <w:rPr>
          <w:sz w:val="24"/>
          <w:szCs w:val="24"/>
          <w:color w:val="auto"/>
        </w:rPr>
      </w:pPr>
    </w:p>
    <w:p>
      <w:pPr>
        <w:ind w:left="160" w:right="300" w:firstLine="546"/>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160" w:right="20" w:firstLine="546"/>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160" w:firstLine="546"/>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ind w:left="160" w:right="20" w:firstLine="546"/>
        <w:spacing w:after="0" w:line="25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160" w:type="dxa"/>
        <w:tblCellMar>
          <w:top w:w="0" w:type="dxa"/>
          <w:left w:w="0" w:type="dxa"/>
          <w:bottom w:w="0" w:type="dxa"/>
          <w:right w:w="0" w:type="dxa"/>
        </w:tblCellMar>
      </w:tblPr>
      <w:tr>
        <w:trPr>
          <w:trHeight w:val="208"/>
        </w:trPr>
        <w:tc>
          <w:tcPr>
            <w:tcW w:w="18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3320"/>
              <w:spacing w:after="0"/>
              <w:rPr>
                <w:sz w:val="20"/>
                <w:szCs w:val="20"/>
                <w:color w:val="auto"/>
              </w:rPr>
            </w:pPr>
            <w:r>
              <w:rPr>
                <w:rFonts w:ascii="Arial" w:cs="Arial" w:eastAsia="Arial" w:hAnsi="Arial"/>
                <w:sz w:val="13"/>
                <w:szCs w:val="13"/>
                <w:color w:val="auto"/>
              </w:rPr>
              <w:t>Accelerated filer</w:t>
            </w:r>
          </w:p>
        </w:tc>
      </w:tr>
      <w:tr>
        <w:trPr>
          <w:trHeight w:val="227"/>
        </w:trPr>
        <w:tc>
          <w:tcPr>
            <w:tcW w:w="180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3320"/>
              <w:spacing w:after="0"/>
              <w:rPr>
                <w:sz w:val="20"/>
                <w:szCs w:val="20"/>
                <w:color w:val="auto"/>
              </w:rPr>
            </w:pPr>
            <w:r>
              <w:rPr>
                <w:rFonts w:ascii="Arial" w:cs="Arial" w:eastAsia="Arial" w:hAnsi="Arial"/>
                <w:sz w:val="13"/>
                <w:szCs w:val="13"/>
                <w:color w:val="auto"/>
              </w:rPr>
              <w:t>Smaller reporting company</w:t>
            </w:r>
          </w:p>
        </w:tc>
      </w:tr>
      <w:tr>
        <w:trPr>
          <w:trHeight w:val="214"/>
        </w:trPr>
        <w:tc>
          <w:tcPr>
            <w:tcW w:w="18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27" w:lineRule="exact"/>
        <w:rPr>
          <w:sz w:val="24"/>
          <w:szCs w:val="24"/>
          <w:color w:val="auto"/>
        </w:rPr>
      </w:pPr>
    </w:p>
    <w:p>
      <w:pPr>
        <w:sectPr>
          <w:pgSz w:w="11900" w:h="16838" w:orient="portrait"/>
          <w:cols w:equalWidth="0" w:num="2">
            <w:col w:w="10700" w:space="160"/>
            <w:col w:w="220"/>
          </w:cols>
          <w:pgMar w:left="320" w:top="229" w:right="499" w:bottom="1440" w:gutter="0" w:footer="0" w:header="0"/>
          <w:type w:val="continuous"/>
        </w:sectPr>
      </w:pPr>
    </w:p>
    <w:p>
      <w:pPr>
        <w:ind w:left="160" w:right="2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95885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78"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CALCULATION OF REGISTRATION FEE</w:t>
      </w:r>
    </w:p>
    <w:p>
      <w:pPr>
        <w:spacing w:after="0" w:line="76"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8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r>
      <w:tr>
        <w:trPr>
          <w:trHeight w:val="85"/>
        </w:trPr>
        <w:tc>
          <w:tcPr>
            <w:tcW w:w="20" w:type="dxa"/>
            <w:vAlign w:val="bottom"/>
          </w:tcPr>
          <w:p>
            <w:pPr>
              <w:spacing w:after="0"/>
              <w:rPr>
                <w:sz w:val="7"/>
                <w:szCs w:val="7"/>
                <w:color w:val="auto"/>
              </w:rPr>
            </w:pPr>
          </w:p>
        </w:tc>
        <w:tc>
          <w:tcPr>
            <w:tcW w:w="788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jc w:val="center"/>
              <w:ind w:left="7"/>
              <w:spacing w:after="0" w:line="85" w:lineRule="exact"/>
              <w:rPr>
                <w:sz w:val="20"/>
                <w:szCs w:val="20"/>
                <w:color w:val="auto"/>
              </w:rPr>
            </w:pPr>
            <w:r>
              <w:rPr>
                <w:rFonts w:ascii="Arial" w:cs="Arial" w:eastAsia="Arial" w:hAnsi="Arial"/>
                <w:sz w:val="9"/>
                <w:szCs w:val="9"/>
                <w:b w:val="1"/>
                <w:bCs w:val="1"/>
                <w:color w:val="auto"/>
              </w:rPr>
              <w:t>Proposed Maximum</w:t>
            </w:r>
          </w:p>
        </w:tc>
        <w:tc>
          <w:tcPr>
            <w:tcW w:w="1580" w:type="dxa"/>
            <w:vAlign w:val="bottom"/>
          </w:tcPr>
          <w:p>
            <w:pPr>
              <w:spacing w:after="0"/>
              <w:rPr>
                <w:sz w:val="7"/>
                <w:szCs w:val="7"/>
                <w:color w:val="auto"/>
              </w:rPr>
            </w:pPr>
          </w:p>
        </w:tc>
      </w:tr>
      <w:tr>
        <w:trPr>
          <w:trHeight w:val="120"/>
        </w:trPr>
        <w:tc>
          <w:tcPr>
            <w:tcW w:w="20" w:type="dxa"/>
            <w:vAlign w:val="bottom"/>
          </w:tcPr>
          <w:p>
            <w:pPr>
              <w:spacing w:after="0"/>
              <w:rPr>
                <w:sz w:val="10"/>
                <w:szCs w:val="10"/>
                <w:color w:val="auto"/>
              </w:rPr>
            </w:pPr>
          </w:p>
        </w:tc>
        <w:tc>
          <w:tcPr>
            <w:tcW w:w="78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1"/>
                <w:szCs w:val="11"/>
                <w:b w:val="1"/>
                <w:bCs w:val="1"/>
                <w:color w:val="auto"/>
                <w:w w:val="98"/>
              </w:rPr>
              <w:t>Title of each Class of</w:t>
            </w:r>
          </w:p>
        </w:tc>
        <w:tc>
          <w:tcPr>
            <w:tcW w:w="1440" w:type="dxa"/>
            <w:vAlign w:val="bottom"/>
            <w:tcBorders>
              <w:right w:val="single" w:sz="8" w:color="auto"/>
            </w:tcBorders>
          </w:tcPr>
          <w:p>
            <w:pPr>
              <w:jc w:val="center"/>
              <w:ind w:left="7"/>
              <w:spacing w:after="0" w:line="121" w:lineRule="exact"/>
              <w:rPr>
                <w:sz w:val="20"/>
                <w:szCs w:val="20"/>
                <w:color w:val="auto"/>
              </w:rPr>
            </w:pPr>
            <w:r>
              <w:rPr>
                <w:rFonts w:ascii="Arial" w:cs="Arial" w:eastAsia="Arial" w:hAnsi="Arial"/>
                <w:sz w:val="11"/>
                <w:szCs w:val="11"/>
                <w:b w:val="1"/>
                <w:bCs w:val="1"/>
                <w:color w:val="auto"/>
                <w:w w:val="97"/>
              </w:rPr>
              <w:t>Aggregate Offering</w:t>
            </w:r>
          </w:p>
        </w:tc>
        <w:tc>
          <w:tcPr>
            <w:tcW w:w="1580" w:type="dxa"/>
            <w:vAlign w:val="bottom"/>
          </w:tcPr>
          <w:p>
            <w:pPr>
              <w:jc w:val="center"/>
              <w:ind w:left="144"/>
              <w:spacing w:after="0" w:line="121" w:lineRule="exact"/>
              <w:rPr>
                <w:sz w:val="20"/>
                <w:szCs w:val="20"/>
                <w:color w:val="auto"/>
              </w:rPr>
            </w:pPr>
            <w:r>
              <w:rPr>
                <w:rFonts w:ascii="Arial" w:cs="Arial" w:eastAsia="Arial" w:hAnsi="Arial"/>
                <w:sz w:val="11"/>
                <w:szCs w:val="11"/>
                <w:b w:val="1"/>
                <w:bCs w:val="1"/>
                <w:color w:val="auto"/>
                <w:w w:val="98"/>
              </w:rPr>
              <w:t>Amount of</w:t>
            </w:r>
          </w:p>
        </w:tc>
      </w:tr>
      <w:tr>
        <w:trPr>
          <w:trHeight w:val="145"/>
        </w:trPr>
        <w:tc>
          <w:tcPr>
            <w:tcW w:w="20" w:type="dxa"/>
            <w:vAlign w:val="bottom"/>
          </w:tcPr>
          <w:p>
            <w:pPr>
              <w:spacing w:after="0"/>
              <w:rPr>
                <w:sz w:val="12"/>
                <w:szCs w:val="12"/>
                <w:color w:val="auto"/>
              </w:rPr>
            </w:pPr>
          </w:p>
        </w:tc>
        <w:tc>
          <w:tcPr>
            <w:tcW w:w="7880" w:type="dxa"/>
            <w:vAlign w:val="bottom"/>
            <w:tcBorders>
              <w:bottom w:val="single" w:sz="8" w:color="auto"/>
              <w:right w:val="single" w:sz="8" w:color="auto"/>
            </w:tcBorders>
          </w:tcPr>
          <w:p>
            <w:pPr>
              <w:jc w:val="center"/>
              <w:ind w:right="4"/>
              <w:spacing w:after="0"/>
              <w:rPr>
                <w:sz w:val="20"/>
                <w:szCs w:val="20"/>
                <w:color w:val="auto"/>
              </w:rPr>
            </w:pPr>
            <w:r>
              <w:rPr>
                <w:rFonts w:ascii="Arial" w:cs="Arial" w:eastAsia="Arial" w:hAnsi="Arial"/>
                <w:sz w:val="11"/>
                <w:szCs w:val="11"/>
                <w:b w:val="1"/>
                <w:bCs w:val="1"/>
                <w:color w:val="auto"/>
                <w:w w:val="97"/>
              </w:rPr>
              <w:t>Securities to be Registered</w:t>
            </w:r>
          </w:p>
        </w:tc>
        <w:tc>
          <w:tcPr>
            <w:tcW w:w="144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1"/>
                <w:szCs w:val="11"/>
                <w:b w:val="1"/>
                <w:bCs w:val="1"/>
                <w:color w:val="auto"/>
                <w:w w:val="96"/>
              </w:rPr>
              <w:t>Price(1)(2)</w:t>
            </w:r>
          </w:p>
        </w:tc>
        <w:tc>
          <w:tcPr>
            <w:tcW w:w="1580" w:type="dxa"/>
            <w:vAlign w:val="bottom"/>
            <w:tcBorders>
              <w:bottom w:val="single" w:sz="8" w:color="auto"/>
            </w:tcBorders>
          </w:tcPr>
          <w:p>
            <w:pPr>
              <w:jc w:val="center"/>
              <w:ind w:left="144"/>
              <w:spacing w:after="0"/>
              <w:rPr>
                <w:sz w:val="20"/>
                <w:szCs w:val="20"/>
                <w:color w:val="auto"/>
              </w:rPr>
            </w:pPr>
            <w:r>
              <w:rPr>
                <w:rFonts w:ascii="Arial" w:cs="Arial" w:eastAsia="Arial" w:hAnsi="Arial"/>
                <w:sz w:val="11"/>
                <w:szCs w:val="11"/>
                <w:b w:val="1"/>
                <w:bCs w:val="1"/>
                <w:color w:val="auto"/>
                <w:w w:val="98"/>
              </w:rPr>
              <w:t>Registration Fee(3)</w:t>
            </w:r>
          </w:p>
        </w:tc>
      </w:tr>
      <w:tr>
        <w:trPr>
          <w:trHeight w:val="131"/>
        </w:trPr>
        <w:tc>
          <w:tcPr>
            <w:tcW w:w="20" w:type="dxa"/>
            <w:vAlign w:val="bottom"/>
            <w:tcBorders>
              <w:bottom w:val="single" w:sz="8" w:color="auto"/>
            </w:tcBorders>
          </w:tcPr>
          <w:p>
            <w:pPr>
              <w:spacing w:after="0"/>
              <w:rPr>
                <w:sz w:val="11"/>
                <w:szCs w:val="11"/>
                <w:color w:val="auto"/>
              </w:rPr>
            </w:pPr>
          </w:p>
        </w:tc>
        <w:tc>
          <w:tcPr>
            <w:tcW w:w="7880" w:type="dxa"/>
            <w:vAlign w:val="bottom"/>
            <w:tcBorders>
              <w:bottom w:val="single" w:sz="8" w:color="auto"/>
              <w:right w:val="single" w:sz="8" w:color="auto"/>
            </w:tcBorders>
          </w:tcPr>
          <w:p>
            <w:pPr>
              <w:spacing w:after="0" w:line="132" w:lineRule="exact"/>
              <w:rPr>
                <w:sz w:val="20"/>
                <w:szCs w:val="20"/>
                <w:color w:val="auto"/>
              </w:rPr>
            </w:pPr>
            <w:r>
              <w:rPr>
                <w:rFonts w:ascii="Arial" w:cs="Arial" w:eastAsia="Arial" w:hAnsi="Arial"/>
                <w:sz w:val="12"/>
                <w:szCs w:val="12"/>
                <w:color w:val="auto"/>
              </w:rPr>
              <w:t>Class A common stock, par value $0.000001 per share</w:t>
            </w:r>
          </w:p>
        </w:tc>
        <w:tc>
          <w:tcPr>
            <w:tcW w:w="1440" w:type="dxa"/>
            <w:vAlign w:val="bottom"/>
            <w:tcBorders>
              <w:bottom w:val="single" w:sz="8" w:color="auto"/>
              <w:right w:val="single" w:sz="8" w:color="auto"/>
            </w:tcBorders>
          </w:tcPr>
          <w:p>
            <w:pPr>
              <w:jc w:val="right"/>
              <w:ind w:right="247"/>
              <w:spacing w:after="0" w:line="132" w:lineRule="exact"/>
              <w:rPr>
                <w:sz w:val="20"/>
                <w:szCs w:val="20"/>
                <w:color w:val="auto"/>
              </w:rPr>
            </w:pPr>
            <w:r>
              <w:rPr>
                <w:rFonts w:ascii="Arial" w:cs="Arial" w:eastAsia="Arial" w:hAnsi="Arial"/>
                <w:sz w:val="12"/>
                <w:szCs w:val="12"/>
                <w:color w:val="auto"/>
              </w:rPr>
              <w:t>$100,000,000</w:t>
            </w:r>
          </w:p>
        </w:tc>
        <w:tc>
          <w:tcPr>
            <w:tcW w:w="1580" w:type="dxa"/>
            <w:vAlign w:val="bottom"/>
            <w:tcBorders>
              <w:bottom w:val="single" w:sz="8" w:color="auto"/>
            </w:tcBorders>
          </w:tcPr>
          <w:p>
            <w:pPr>
              <w:jc w:val="center"/>
              <w:ind w:left="144"/>
              <w:spacing w:after="0" w:line="132" w:lineRule="exact"/>
              <w:rPr>
                <w:sz w:val="20"/>
                <w:szCs w:val="20"/>
                <w:color w:val="auto"/>
              </w:rPr>
            </w:pPr>
            <w:r>
              <w:rPr>
                <w:rFonts w:ascii="Arial" w:cs="Arial" w:eastAsia="Arial" w:hAnsi="Arial"/>
                <w:sz w:val="12"/>
                <w:szCs w:val="12"/>
                <w:color w:val="auto"/>
              </w:rPr>
              <w:t>$10,910</w:t>
            </w: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700" w:hanging="533"/>
        <w:spacing w:after="0"/>
        <w:tabs>
          <w:tab w:leader="none" w:pos="70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in accordance with Rule 457(o) of the Securities Act of 1933, as amended.</w:t>
      </w:r>
    </w:p>
    <w:p>
      <w:pPr>
        <w:ind w:left="700" w:hanging="533"/>
        <w:spacing w:after="0" w:line="232" w:lineRule="auto"/>
        <w:tabs>
          <w:tab w:leader="none" w:pos="70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the aggregate offering price of additional shares that the underwriters have the option to purchase, if any.</w:t>
      </w:r>
    </w:p>
    <w:p>
      <w:pPr>
        <w:ind w:left="700" w:hanging="533"/>
        <w:spacing w:after="0"/>
        <w:tabs>
          <w:tab w:leader="none" w:pos="70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120015</wp:posOffset>
            </wp:positionV>
            <wp:extent cx="1460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6" w:lineRule="exact"/>
        <w:rPr>
          <w:sz w:val="24"/>
          <w:szCs w:val="24"/>
          <w:color w:val="auto"/>
        </w:rPr>
      </w:pPr>
    </w:p>
    <w:p>
      <w:pPr>
        <w:ind w:left="160" w:right="20" w:firstLine="546"/>
        <w:spacing w:after="0" w:line="25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40005</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82550</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20"/>
        <w:spacing w:after="0" w:line="261"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DE1A1E"/>
        </w:rPr>
        <w:t>Subject to Completion. Dated June 4, 2021</w:t>
      </w:r>
    </w:p>
    <w:p>
      <w:pPr>
        <w:spacing w:after="0" w:line="210" w:lineRule="exact"/>
        <w:rPr>
          <w:sz w:val="20"/>
          <w:szCs w:val="20"/>
          <w:color w:val="auto"/>
        </w:rPr>
      </w:pPr>
    </w:p>
    <w:p>
      <w:pPr>
        <w:ind w:left="614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156210</wp:posOffset>
            </wp:positionV>
            <wp:extent cx="2157095" cy="501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164465</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9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is an initial public offering of shares of Class A common stock of Xometry, Inc.</w:t>
      </w:r>
    </w:p>
    <w:p>
      <w:pPr>
        <w:spacing w:after="0" w:line="1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Prior to this offering, there has been no public market for our Class A common stock. It is currently estimated that the initial public</w:t>
      </w:r>
    </w:p>
    <w:p>
      <w:pPr>
        <w:ind w:left="160" w:right="720"/>
        <w:spacing w:after="0" w:line="239" w:lineRule="auto"/>
        <w:rPr>
          <w:sz w:val="20"/>
          <w:szCs w:val="20"/>
          <w:color w:val="auto"/>
        </w:rPr>
      </w:pPr>
      <w:r>
        <w:rPr>
          <w:rFonts w:ascii="Arial" w:cs="Arial" w:eastAsia="Arial" w:hAnsi="Arial"/>
          <w:sz w:val="18"/>
          <w:szCs w:val="18"/>
          <w:color w:val="auto"/>
        </w:rPr>
        <w:t>offering price for our Class A common stock will be between $ and $ per share. We have applied to list our Class A common stock on The Nasdaq Global Select Market under the symbol “XMTR.”</w:t>
      </w:r>
    </w:p>
    <w:p>
      <w:pPr>
        <w:spacing w:after="0" w:line="123" w:lineRule="exact"/>
        <w:rPr>
          <w:sz w:val="20"/>
          <w:szCs w:val="20"/>
          <w:color w:val="auto"/>
        </w:rPr>
      </w:pPr>
    </w:p>
    <w:p>
      <w:pPr>
        <w:ind w:left="160" w:right="60" w:firstLine="546"/>
        <w:spacing w:after="0" w:line="232" w:lineRule="auto"/>
        <w:rPr>
          <w:sz w:val="20"/>
          <w:szCs w:val="20"/>
          <w:color w:val="auto"/>
        </w:rPr>
      </w:pPr>
      <w:r>
        <w:rPr>
          <w:rFonts w:ascii="Arial" w:cs="Arial" w:eastAsia="Arial" w:hAnsi="Arial"/>
          <w:sz w:val="18"/>
          <w:szCs w:val="18"/>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20 votes and is convertible at any time into one share of Class A common stock. Immediately prior to the completion of this offering, certain outstanding shares of our capital stock held by Randolph Altschuler, our Chief Executive Officer and Co-Founder, and Laurence Zuriff, our Chief Strategy Officer and Co-Founder, will be exchanged for shares of our Class B common stock. The holders of our Class B common stock</w:t>
      </w:r>
    </w:p>
    <w:p>
      <w:pPr>
        <w:spacing w:after="0" w:line="3" w:lineRule="exact"/>
        <w:rPr>
          <w:sz w:val="20"/>
          <w:szCs w:val="20"/>
          <w:color w:val="auto"/>
        </w:rPr>
      </w:pPr>
    </w:p>
    <w:p>
      <w:pPr>
        <w:ind w:left="160"/>
        <w:spacing w:after="0"/>
        <w:tabs>
          <w:tab w:leader="none" w:pos="2580" w:val="left"/>
        </w:tabs>
        <w:rPr>
          <w:sz w:val="20"/>
          <w:szCs w:val="20"/>
          <w:color w:val="auto"/>
        </w:rPr>
      </w:pPr>
      <w:r>
        <w:rPr>
          <w:rFonts w:ascii="Arial" w:cs="Arial" w:eastAsia="Arial" w:hAnsi="Arial"/>
          <w:sz w:val="18"/>
          <w:szCs w:val="18"/>
          <w:color w:val="auto"/>
        </w:rPr>
        <w:t>will hold approximately</w:t>
      </w:r>
      <w:r>
        <w:rPr>
          <w:sz w:val="20"/>
          <w:szCs w:val="20"/>
          <w:color w:val="auto"/>
        </w:rPr>
        <w:tab/>
      </w:r>
      <w:r>
        <w:rPr>
          <w:rFonts w:ascii="Arial" w:cs="Arial" w:eastAsia="Arial" w:hAnsi="Arial"/>
          <w:sz w:val="17"/>
          <w:szCs w:val="17"/>
          <w:color w:val="auto"/>
        </w:rPr>
        <w:t>% of the voting power of our capital stock immediately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764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1"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154940</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66" w:lineRule="exact"/>
        <w:rPr>
          <w:sz w:val="20"/>
          <w:szCs w:val="20"/>
          <w:color w:val="auto"/>
        </w:rPr>
      </w:pPr>
    </w:p>
    <w:p>
      <w:pPr>
        <w:ind w:left="160" w:right="360" w:firstLine="546"/>
        <w:spacing w:after="0" w:line="260"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Class A common stock involves risks. See “</w:t>
      </w:r>
      <w:hyperlink w:anchor="page25">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on page 18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143510</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43" w:lineRule="exact"/>
        <w:rPr>
          <w:sz w:val="20"/>
          <w:szCs w:val="20"/>
          <w:color w:val="auto"/>
        </w:rPr>
      </w:pPr>
    </w:p>
    <w:p>
      <w:pPr>
        <w:ind w:left="160" w:right="40" w:firstLine="546"/>
        <w:spacing w:after="0" w:line="295"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125730</wp:posOffset>
            </wp:positionV>
            <wp:extent cx="1460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7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4"/>
        </w:trPr>
        <w:tc>
          <w:tcPr>
            <w:tcW w:w="61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Initial public offering price</w:t>
            </w:r>
          </w:p>
        </w:tc>
        <w:tc>
          <w:tcPr>
            <w:tcW w:w="27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571"/>
              <w:spacing w:after="0" w:line="194"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6120" w:type="dxa"/>
            <w:vAlign w:val="bottom"/>
          </w:tcPr>
          <w:p>
            <w:pPr>
              <w:spacing w:after="0" w:line="201"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520" w:type="dxa"/>
            <w:vAlign w:val="bottom"/>
            <w:gridSpan w:val="2"/>
          </w:tcPr>
          <w:p>
            <w:pPr>
              <w:ind w:left="2700"/>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760" w:type="dxa"/>
            <w:vAlign w:val="bottom"/>
          </w:tcPr>
          <w:p>
            <w:pPr>
              <w:jc w:val="right"/>
              <w:ind w:right="571"/>
              <w:spacing w:after="0" w:line="201"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r>
      <w:tr>
        <w:trPr>
          <w:trHeight w:val="201"/>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before expenses, to us</w:t>
            </w:r>
          </w:p>
        </w:tc>
        <w:tc>
          <w:tcPr>
            <w:tcW w:w="3520" w:type="dxa"/>
            <w:vAlign w:val="bottom"/>
            <w:gridSpan w:val="2"/>
            <w:shd w:val="clear" w:color="auto" w:fill="CCEEFF"/>
          </w:tcPr>
          <w:p>
            <w:pPr>
              <w:ind w:left="2700"/>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1"/>
              <w:spacing w:after="0" w:line="201"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2" w:lineRule="exact"/>
        <w:rPr>
          <w:sz w:val="20"/>
          <w:szCs w:val="20"/>
          <w:color w:val="auto"/>
        </w:rPr>
      </w:pPr>
    </w:p>
    <w:p>
      <w:pPr>
        <w:ind w:left="600" w:hanging="433"/>
        <w:spacing w:after="0"/>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760" w:type="dxa"/>
            <w:vAlign w:val="bottom"/>
            <w:gridSpan w:val="3"/>
          </w:tcPr>
          <w:p>
            <w:pPr>
              <w:ind w:left="560"/>
              <w:spacing w:after="0"/>
              <w:rPr>
                <w:sz w:val="20"/>
                <w:szCs w:val="20"/>
                <w:color w:val="auto"/>
              </w:rPr>
            </w:pPr>
            <w:r>
              <w:rPr>
                <w:rFonts w:ascii="Arial" w:cs="Arial" w:eastAsia="Arial" w:hAnsi="Arial"/>
                <w:sz w:val="18"/>
                <w:szCs w:val="18"/>
                <w:color w:val="auto"/>
              </w:rPr>
              <w:t>To the extent that the underwriters sell more than</w:t>
            </w:r>
          </w:p>
        </w:tc>
        <w:tc>
          <w:tcPr>
            <w:tcW w:w="6160" w:type="dxa"/>
            <w:vAlign w:val="bottom"/>
            <w:gridSpan w:val="4"/>
          </w:tcPr>
          <w:p>
            <w:pPr>
              <w:jc w:val="right"/>
              <w:ind w:right="285"/>
              <w:spacing w:after="0"/>
              <w:rPr>
                <w:sz w:val="20"/>
                <w:szCs w:val="20"/>
                <w:color w:val="auto"/>
              </w:rPr>
            </w:pPr>
            <w:r>
              <w:rPr>
                <w:rFonts w:ascii="Arial" w:cs="Arial" w:eastAsia="Arial" w:hAnsi="Arial"/>
                <w:sz w:val="18"/>
                <w:szCs w:val="18"/>
                <w:color w:val="auto"/>
              </w:rPr>
              <w:t>shares of Class A common stock, the underwriters have the option to</w:t>
            </w:r>
          </w:p>
        </w:tc>
      </w:tr>
      <w:tr>
        <w:trPr>
          <w:trHeight w:val="201"/>
        </w:trPr>
        <w:tc>
          <w:tcPr>
            <w:tcW w:w="2800" w:type="dxa"/>
            <w:vAlign w:val="bottom"/>
          </w:tcPr>
          <w:p>
            <w:pPr>
              <w:spacing w:after="0" w:line="201" w:lineRule="exact"/>
              <w:rPr>
                <w:sz w:val="20"/>
                <w:szCs w:val="20"/>
                <w:color w:val="auto"/>
              </w:rPr>
            </w:pPr>
            <w:r>
              <w:rPr>
                <w:rFonts w:ascii="Arial" w:cs="Arial" w:eastAsia="Arial" w:hAnsi="Arial"/>
                <w:sz w:val="18"/>
                <w:szCs w:val="18"/>
                <w:color w:val="auto"/>
              </w:rPr>
              <w:t>purchase up to an additional</w:t>
            </w:r>
          </w:p>
        </w:tc>
        <w:tc>
          <w:tcPr>
            <w:tcW w:w="8120" w:type="dxa"/>
            <w:vAlign w:val="bottom"/>
            <w:gridSpan w:val="6"/>
          </w:tcPr>
          <w:p>
            <w:pPr>
              <w:ind w:left="100"/>
              <w:spacing w:after="0" w:line="201" w:lineRule="exact"/>
              <w:rPr>
                <w:sz w:val="20"/>
                <w:szCs w:val="20"/>
                <w:color w:val="auto"/>
              </w:rPr>
            </w:pPr>
            <w:r>
              <w:rPr>
                <w:rFonts w:ascii="Arial" w:cs="Arial" w:eastAsia="Arial" w:hAnsi="Arial"/>
                <w:sz w:val="18"/>
                <w:szCs w:val="18"/>
                <w:color w:val="auto"/>
              </w:rPr>
              <w:t>shares of Class A common stock from us at the initial public offering price less the underwriting</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discount.</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56"/>
        </w:trPr>
        <w:tc>
          <w:tcPr>
            <w:tcW w:w="4320" w:type="dxa"/>
            <w:vAlign w:val="bottom"/>
            <w:gridSpan w:val="2"/>
          </w:tcPr>
          <w:p>
            <w:pPr>
              <w:spacing w:after="0"/>
              <w:rPr>
                <w:sz w:val="22"/>
                <w:szCs w:val="22"/>
                <w:color w:val="auto"/>
              </w:rPr>
            </w:pPr>
          </w:p>
        </w:tc>
        <w:tc>
          <w:tcPr>
            <w:tcW w:w="2300" w:type="dxa"/>
            <w:vAlign w:val="bottom"/>
            <w:tcBorders>
              <w:bottom w:val="single" w:sz="8" w:color="auto"/>
            </w:tcBorders>
            <w:gridSpan w:val="3"/>
          </w:tcPr>
          <w:p>
            <w:pPr>
              <w:spacing w:after="0"/>
              <w:rPr>
                <w:sz w:val="22"/>
                <w:szCs w:val="22"/>
                <w:color w:val="auto"/>
              </w:rPr>
            </w:pPr>
          </w:p>
        </w:tc>
        <w:tc>
          <w:tcPr>
            <w:tcW w:w="116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340"/>
        </w:trPr>
        <w:tc>
          <w:tcPr>
            <w:tcW w:w="7780" w:type="dxa"/>
            <w:vAlign w:val="bottom"/>
            <w:gridSpan w:val="6"/>
          </w:tcPr>
          <w:p>
            <w:pPr>
              <w:ind w:left="560"/>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3140" w:type="dxa"/>
            <w:vAlign w:val="bottom"/>
          </w:tcPr>
          <w:p>
            <w:pPr>
              <w:jc w:val="right"/>
              <w:ind w:right="2065"/>
              <w:spacing w:after="0"/>
              <w:rPr>
                <w:sz w:val="20"/>
                <w:szCs w:val="20"/>
                <w:color w:val="auto"/>
              </w:rPr>
            </w:pPr>
            <w:r>
              <w:rPr>
                <w:rFonts w:ascii="Arial" w:cs="Arial" w:eastAsia="Arial" w:hAnsi="Arial"/>
                <w:sz w:val="18"/>
                <w:szCs w:val="18"/>
                <w:color w:val="auto"/>
              </w:rPr>
              <w:t>, 2021.</w:t>
            </w:r>
          </w:p>
        </w:tc>
      </w:tr>
      <w:tr>
        <w:trPr>
          <w:trHeight w:val="386"/>
        </w:trPr>
        <w:tc>
          <w:tcPr>
            <w:tcW w:w="2800" w:type="dxa"/>
            <w:vAlign w:val="bottom"/>
          </w:tcPr>
          <w:p>
            <w:pPr>
              <w:spacing w:after="0"/>
              <w:rPr>
                <w:sz w:val="20"/>
                <w:szCs w:val="20"/>
                <w:color w:val="auto"/>
              </w:rPr>
            </w:pPr>
            <w:r>
              <w:rPr>
                <w:rFonts w:ascii="Arial" w:cs="Arial" w:eastAsia="Arial" w:hAnsi="Arial"/>
                <w:sz w:val="21"/>
                <w:szCs w:val="21"/>
                <w:b w:val="1"/>
                <w:bCs w:val="1"/>
                <w:color w:val="auto"/>
              </w:rPr>
              <w:t>Goldman Sachs &amp; Co. LLC</w:t>
            </w: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20" w:type="dxa"/>
            <w:vAlign w:val="bottom"/>
            <w:gridSpan w:val="3"/>
          </w:tcPr>
          <w:p>
            <w:pPr>
              <w:jc w:val="right"/>
              <w:ind w:right="1380"/>
              <w:spacing w:after="0"/>
              <w:rPr>
                <w:sz w:val="20"/>
                <w:szCs w:val="20"/>
                <w:color w:val="auto"/>
              </w:rPr>
            </w:pPr>
            <w:r>
              <w:rPr>
                <w:rFonts w:ascii="Arial" w:cs="Arial" w:eastAsia="Arial" w:hAnsi="Arial"/>
                <w:sz w:val="21"/>
                <w:szCs w:val="21"/>
                <w:b w:val="1"/>
                <w:bCs w:val="1"/>
                <w:color w:val="auto"/>
              </w:rPr>
              <w:t>J.P. Morgan</w:t>
            </w:r>
          </w:p>
        </w:tc>
        <w:tc>
          <w:tcPr>
            <w:tcW w:w="3140" w:type="dxa"/>
            <w:vAlign w:val="bottom"/>
          </w:tcPr>
          <w:p>
            <w:pPr>
              <w:jc w:val="right"/>
              <w:spacing w:after="0"/>
              <w:rPr>
                <w:sz w:val="20"/>
                <w:szCs w:val="20"/>
                <w:color w:val="auto"/>
              </w:rPr>
            </w:pPr>
            <w:r>
              <w:rPr>
                <w:rFonts w:ascii="Arial" w:cs="Arial" w:eastAsia="Arial" w:hAnsi="Arial"/>
                <w:sz w:val="21"/>
                <w:szCs w:val="21"/>
                <w:b w:val="1"/>
                <w:bCs w:val="1"/>
                <w:color w:val="auto"/>
              </w:rPr>
              <w:t>UBS Investment Bank</w:t>
            </w:r>
          </w:p>
        </w:tc>
      </w:tr>
      <w:tr>
        <w:trPr>
          <w:trHeight w:val="416"/>
        </w:trPr>
        <w:tc>
          <w:tcPr>
            <w:tcW w:w="2800" w:type="dxa"/>
            <w:vAlign w:val="bottom"/>
          </w:tcPr>
          <w:p>
            <w:pPr>
              <w:ind w:left="1060"/>
              <w:spacing w:after="0"/>
              <w:rPr>
                <w:sz w:val="20"/>
                <w:szCs w:val="20"/>
                <w:color w:val="auto"/>
              </w:rPr>
            </w:pPr>
            <w:r>
              <w:rPr>
                <w:rFonts w:ascii="Arial" w:cs="Arial" w:eastAsia="Arial" w:hAnsi="Arial"/>
                <w:sz w:val="18"/>
                <w:szCs w:val="18"/>
                <w:b w:val="1"/>
                <w:bCs w:val="1"/>
                <w:color w:val="auto"/>
              </w:rPr>
              <w:t>Citigroup</w:t>
            </w: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BofA Securities</w:t>
            </w:r>
          </w:p>
        </w:tc>
        <w:tc>
          <w:tcPr>
            <w:tcW w:w="820" w:type="dxa"/>
            <w:vAlign w:val="bottom"/>
          </w:tcPr>
          <w:p>
            <w:pPr>
              <w:spacing w:after="0"/>
              <w:rPr>
                <w:sz w:val="24"/>
                <w:szCs w:val="24"/>
                <w:color w:val="auto"/>
              </w:rPr>
            </w:pPr>
          </w:p>
        </w:tc>
        <w:tc>
          <w:tcPr>
            <w:tcW w:w="220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William Blair</w:t>
            </w:r>
          </w:p>
        </w:tc>
        <w:tc>
          <w:tcPr>
            <w:tcW w:w="3140" w:type="dxa"/>
            <w:vAlign w:val="bottom"/>
          </w:tcPr>
          <w:p>
            <w:pPr>
              <w:jc w:val="right"/>
              <w:ind w:right="1085"/>
              <w:spacing w:after="0"/>
              <w:rPr>
                <w:sz w:val="20"/>
                <w:szCs w:val="20"/>
                <w:color w:val="auto"/>
              </w:rPr>
            </w:pPr>
            <w:r>
              <w:rPr>
                <w:rFonts w:ascii="Arial" w:cs="Arial" w:eastAsia="Arial" w:hAnsi="Arial"/>
                <w:sz w:val="18"/>
                <w:szCs w:val="18"/>
                <w:b w:val="1"/>
                <w:bCs w:val="1"/>
                <w:color w:val="auto"/>
              </w:rPr>
              <w:t>RBC Capital Markets</w:t>
            </w:r>
          </w:p>
        </w:tc>
      </w:tr>
      <w:tr>
        <w:trPr>
          <w:trHeight w:val="269"/>
        </w:trPr>
        <w:tc>
          <w:tcPr>
            <w:tcW w:w="28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60" w:type="dxa"/>
            <w:vAlign w:val="bottom"/>
            <w:tcBorders>
              <w:bottom w:val="single" w:sz="8" w:color="auto"/>
            </w:tcBorders>
            <w:gridSpan w:val="2"/>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340"/>
        </w:trPr>
        <w:tc>
          <w:tcPr>
            <w:tcW w:w="2800" w:type="dxa"/>
            <w:vAlign w:val="bottom"/>
          </w:tcPr>
          <w:p>
            <w:pPr>
              <w:spacing w:after="0"/>
              <w:rPr>
                <w:sz w:val="24"/>
                <w:szCs w:val="24"/>
                <w:color w:val="auto"/>
              </w:rPr>
            </w:pPr>
          </w:p>
        </w:tc>
        <w:tc>
          <w:tcPr>
            <w:tcW w:w="2780" w:type="dxa"/>
            <w:vAlign w:val="bottom"/>
            <w:gridSpan w:val="3"/>
          </w:tcPr>
          <w:p>
            <w:pPr>
              <w:ind w:left="1300"/>
              <w:spacing w:after="0"/>
              <w:rPr>
                <w:sz w:val="20"/>
                <w:szCs w:val="20"/>
                <w:color w:val="auto"/>
              </w:rPr>
            </w:pPr>
            <w:r>
              <w:rPr>
                <w:rFonts w:ascii="Arial" w:cs="Arial" w:eastAsia="Arial" w:hAnsi="Arial"/>
                <w:sz w:val="18"/>
                <w:szCs w:val="18"/>
                <w:color w:val="auto"/>
              </w:rPr>
              <w:t>Prospectus dated</w:t>
            </w:r>
          </w:p>
        </w:tc>
        <w:tc>
          <w:tcPr>
            <w:tcW w:w="2200" w:type="dxa"/>
            <w:vAlign w:val="bottom"/>
            <w:gridSpan w:val="2"/>
          </w:tcPr>
          <w:p>
            <w:pPr>
              <w:jc w:val="right"/>
              <w:ind w:right="960"/>
              <w:spacing w:after="0"/>
              <w:rPr>
                <w:sz w:val="20"/>
                <w:szCs w:val="20"/>
                <w:color w:val="auto"/>
              </w:rPr>
            </w:pPr>
            <w:r>
              <w:rPr>
                <w:rFonts w:ascii="Arial" w:cs="Arial" w:eastAsia="Arial" w:hAnsi="Arial"/>
                <w:sz w:val="18"/>
                <w:szCs w:val="18"/>
                <w:color w:val="auto"/>
              </w:rPr>
              <w:t>, 2021.</w:t>
            </w:r>
          </w:p>
        </w:tc>
        <w:tc>
          <w:tcPr>
            <w:tcW w:w="314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00" w:type="dxa"/>
            <w:vAlign w:val="bottom"/>
            <w:gridSpan w:val="11"/>
            <w:vMerge w:val="restart"/>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PROSPECTUS SUMMARY</w:t>
              </w:r>
            </w:hyperlink>
          </w:p>
        </w:tc>
        <w:tc>
          <w:tcPr>
            <w:tcW w:w="1080" w:type="dxa"/>
            <w:vAlign w:val="bottom"/>
            <w:gridSpan w:val="4"/>
            <w:vMerge w:val="restart"/>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200" w:type="dxa"/>
            <w:vAlign w:val="bottom"/>
            <w:tcBorders>
              <w:bottom w:val="single" w:sz="8" w:color="0000EE"/>
            </w:tcBorders>
            <w:gridSpan w:val="11"/>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320" w:type="dxa"/>
            <w:vAlign w:val="bottom"/>
            <w:tcBorders>
              <w:bottom w:val="single" w:sz="8" w:color="0000EE"/>
            </w:tcBorders>
            <w:gridSpan w:val="5"/>
          </w:tcPr>
          <w:p>
            <w:pPr>
              <w:spacing w:after="0" w:line="194"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RISK FACTORS</w:t>
              </w:r>
            </w:hyperlink>
          </w:p>
        </w:tc>
        <w:tc>
          <w:tcPr>
            <w:tcW w:w="1960" w:type="dxa"/>
            <w:vAlign w:val="bottom"/>
            <w:gridSpan w:val="10"/>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67">
              <w:r>
                <w:rPr>
                  <w:rFonts w:ascii="Arial" w:cs="Arial" w:eastAsia="Arial" w:hAnsi="Arial"/>
                  <w:sz w:val="18"/>
                  <w:szCs w:val="18"/>
                  <w:color w:val="0000EE"/>
                </w:rPr>
                <w:t>SPECIAL NOTE REGARDING FORWARD-LOOKING STATEMENTS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1"/>
        </w:trPr>
        <w:tc>
          <w:tcPr>
            <w:tcW w:w="5480" w:type="dxa"/>
            <w:vAlign w:val="bottom"/>
            <w:tcBorders>
              <w:top w:val="single" w:sz="8" w:color="0000EE"/>
            </w:tcBorders>
            <w:gridSpan w:val="20"/>
          </w:tcPr>
          <w:p>
            <w:pPr>
              <w:spacing w:after="0" w:line="181" w:lineRule="exact"/>
              <w:rPr>
                <w:rFonts w:ascii="Arial" w:cs="Arial" w:eastAsia="Arial" w:hAnsi="Arial"/>
                <w:sz w:val="18"/>
                <w:szCs w:val="18"/>
                <w:color w:val="0000EE"/>
              </w:rPr>
            </w:pPr>
            <w:hyperlink w:anchor="page69">
              <w:r>
                <w:rPr>
                  <w:rFonts w:ascii="Arial" w:cs="Arial" w:eastAsia="Arial" w:hAnsi="Arial"/>
                  <w:sz w:val="18"/>
                  <w:szCs w:val="18"/>
                  <w:color w:val="0000EE"/>
                </w:rPr>
                <w:t>MARKET, INDUSTRY AND OTHER DATA</w:t>
              </w:r>
            </w:hyperlink>
          </w:p>
        </w:tc>
        <w:tc>
          <w:tcPr>
            <w:tcW w:w="5000" w:type="dxa"/>
            <w:vAlign w:val="bottom"/>
            <w:gridSpan w:val="6"/>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1"/>
        </w:trPr>
        <w:tc>
          <w:tcPr>
            <w:tcW w:w="3280" w:type="dxa"/>
            <w:vAlign w:val="bottom"/>
            <w:tcBorders>
              <w:top w:val="single" w:sz="8" w:color="0000EE"/>
            </w:tcBorders>
            <w:gridSpan w:val="15"/>
          </w:tcPr>
          <w:p>
            <w:pPr>
              <w:spacing w:after="0" w:line="181" w:lineRule="exact"/>
              <w:rPr>
                <w:rFonts w:ascii="Arial" w:cs="Arial" w:eastAsia="Arial" w:hAnsi="Arial"/>
                <w:sz w:val="18"/>
                <w:szCs w:val="18"/>
                <w:color w:val="0000EE"/>
              </w:rPr>
            </w:pPr>
            <w:hyperlink w:anchor="page70">
              <w:r>
                <w:rPr>
                  <w:rFonts w:ascii="Arial" w:cs="Arial" w:eastAsia="Arial" w:hAnsi="Arial"/>
                  <w:sz w:val="18"/>
                  <w:szCs w:val="18"/>
                  <w:color w:val="0000EE"/>
                </w:rPr>
                <w:t>USE OF PROCEEDS</w:t>
              </w:r>
            </w:hyperlink>
          </w:p>
        </w:tc>
        <w:tc>
          <w:tcPr>
            <w:tcW w:w="60" w:type="dxa"/>
            <w:vAlign w:val="bottom"/>
            <w:tcBorders>
              <w:top w:val="single" w:sz="8" w:color="0000EE"/>
            </w:tcBorders>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1"/>
        </w:trPr>
        <w:tc>
          <w:tcPr>
            <w:tcW w:w="1720" w:type="dxa"/>
            <w:vAlign w:val="bottom"/>
            <w:tcBorders>
              <w:top w:val="single" w:sz="8" w:color="0000EE"/>
            </w:tcBorders>
            <w:gridSpan w:val="10"/>
          </w:tcPr>
          <w:p>
            <w:pPr>
              <w:spacing w:after="0" w:line="181" w:lineRule="exact"/>
              <w:rPr>
                <w:rFonts w:ascii="Arial" w:cs="Arial" w:eastAsia="Arial" w:hAnsi="Arial"/>
                <w:sz w:val="18"/>
                <w:szCs w:val="18"/>
                <w:color w:val="0000EE"/>
              </w:rPr>
            </w:pPr>
            <w:hyperlink w:anchor="page71">
              <w:r>
                <w:rPr>
                  <w:rFonts w:ascii="Arial" w:cs="Arial" w:eastAsia="Arial" w:hAnsi="Arial"/>
                  <w:sz w:val="18"/>
                  <w:szCs w:val="18"/>
                  <w:color w:val="0000EE"/>
                </w:rPr>
                <w:t>DIVIDEND POLICY</w:t>
              </w:r>
            </w:hyperlink>
          </w:p>
        </w:tc>
        <w:tc>
          <w:tcPr>
            <w:tcW w:w="156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1"/>
        </w:trPr>
        <w:tc>
          <w:tcPr>
            <w:tcW w:w="1440" w:type="dxa"/>
            <w:vAlign w:val="bottom"/>
            <w:tcBorders>
              <w:top w:val="single" w:sz="8" w:color="0000EE"/>
              <w:bottom w:val="single" w:sz="8" w:color="0000EE"/>
            </w:tcBorders>
            <w:gridSpan w:val="7"/>
          </w:tcPr>
          <w:p>
            <w:pPr>
              <w:spacing w:after="0" w:line="181"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CAPITALIZATION</w:t>
              </w:r>
            </w:hyperlink>
          </w:p>
        </w:tc>
        <w:tc>
          <w:tcPr>
            <w:tcW w:w="120" w:type="dxa"/>
            <w:vAlign w:val="bottom"/>
            <w:tcBorders>
              <w:top w:val="single" w:sz="8" w:color="0000EE"/>
            </w:tcBorders>
            <w:gridSpan w:val="2"/>
          </w:tcPr>
          <w:p>
            <w:pPr>
              <w:spacing w:after="0"/>
              <w:rPr>
                <w:sz w:val="15"/>
                <w:szCs w:val="15"/>
                <w:color w:val="auto"/>
              </w:rPr>
            </w:pPr>
          </w:p>
        </w:tc>
        <w:tc>
          <w:tcPr>
            <w:tcW w:w="1720" w:type="dxa"/>
            <w:vAlign w:val="bottom"/>
            <w:gridSpan w:val="6"/>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1"/>
        </w:trPr>
        <w:tc>
          <w:tcPr>
            <w:tcW w:w="860" w:type="dxa"/>
            <w:vAlign w:val="bottom"/>
            <w:tcBorders>
              <w:bottom w:val="single" w:sz="8" w:color="0000EE"/>
            </w:tcBorders>
            <w:gridSpan w:val="2"/>
          </w:tcPr>
          <w:p>
            <w:pPr>
              <w:spacing w:after="0" w:line="181"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DILUTION</w:t>
              </w:r>
            </w:hyperlink>
          </w:p>
        </w:tc>
        <w:tc>
          <w:tcPr>
            <w:tcW w:w="2420" w:type="dxa"/>
            <w:vAlign w:val="bottom"/>
            <w:gridSpan w:val="13"/>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1"/>
        </w:trPr>
        <w:tc>
          <w:tcPr>
            <w:tcW w:w="9040" w:type="dxa"/>
            <w:vAlign w:val="bottom"/>
            <w:tcBorders>
              <w:top w:val="single" w:sz="8" w:color="0000EE"/>
            </w:tcBorders>
            <w:gridSpan w:val="24"/>
          </w:tcPr>
          <w:p>
            <w:pPr>
              <w:spacing w:after="0" w:line="181" w:lineRule="exact"/>
              <w:rPr>
                <w:rFonts w:ascii="Arial" w:cs="Arial" w:eastAsia="Arial" w:hAnsi="Arial"/>
                <w:sz w:val="18"/>
                <w:szCs w:val="18"/>
                <w:color w:val="0000EE"/>
              </w:rPr>
            </w:pPr>
            <w:hyperlink w:anchor="page102">
              <w:r>
                <w:rPr>
                  <w:rFonts w:ascii="Arial" w:cs="Arial" w:eastAsia="Arial" w:hAnsi="Arial"/>
                  <w:sz w:val="18"/>
                  <w:szCs w:val="18"/>
                  <w:color w:val="0000EE"/>
                </w:rPr>
                <w:t>LETTER FROM RANDOLPH ALTSCHULER AND LAURENCE ZURIFF, CO-FOUNDERS</w:t>
              </w:r>
            </w:hyperlink>
          </w:p>
        </w:tc>
        <w:tc>
          <w:tcPr>
            <w:tcW w:w="1440" w:type="dxa"/>
            <w:vAlign w:val="bottom"/>
            <w:gridSpan w:val="2"/>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1"/>
        </w:trPr>
        <w:tc>
          <w:tcPr>
            <w:tcW w:w="3280" w:type="dxa"/>
            <w:vAlign w:val="bottom"/>
            <w:tcBorders>
              <w:top w:val="single" w:sz="8" w:color="0000EE"/>
            </w:tcBorders>
            <w:gridSpan w:val="15"/>
          </w:tcPr>
          <w:p>
            <w:pPr>
              <w:spacing w:after="0" w:line="181" w:lineRule="exact"/>
              <w:rPr>
                <w:rFonts w:ascii="Arial" w:cs="Arial" w:eastAsia="Arial" w:hAnsi="Arial"/>
                <w:sz w:val="18"/>
                <w:szCs w:val="18"/>
                <w:color w:val="0000EE"/>
              </w:rPr>
            </w:pPr>
            <w:hyperlink w:anchor="page104">
              <w:r>
                <w:rPr>
                  <w:rFonts w:ascii="Arial" w:cs="Arial" w:eastAsia="Arial" w:hAnsi="Arial"/>
                  <w:sz w:val="18"/>
                  <w:szCs w:val="18"/>
                  <w:color w:val="0000EE"/>
                </w:rPr>
                <w:t>BUSINESS</w:t>
              </w:r>
            </w:hyperlink>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80" w:type="dxa"/>
            <w:vAlign w:val="bottom"/>
            <w:gridSpan w:val="15"/>
          </w:tcPr>
          <w:p>
            <w:pPr>
              <w:spacing w:after="0" w:line="181" w:lineRule="exact"/>
              <w:rPr>
                <w:rFonts w:ascii="Arial" w:cs="Arial" w:eastAsia="Arial" w:hAnsi="Arial"/>
                <w:sz w:val="18"/>
                <w:szCs w:val="18"/>
                <w:color w:val="0000EE"/>
              </w:rPr>
            </w:pPr>
            <w:hyperlink w:anchor="page131">
              <w:r>
                <w:rPr>
                  <w:rFonts w:ascii="Arial" w:cs="Arial" w:eastAsia="Arial" w:hAnsi="Arial"/>
                  <w:sz w:val="18"/>
                  <w:szCs w:val="18"/>
                  <w:color w:val="0000EE"/>
                </w:rPr>
                <w:t>MANAGEMENT</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500" w:type="dxa"/>
            <w:vAlign w:val="bottom"/>
            <w:tcBorders>
              <w:bottom w:val="single" w:sz="8" w:color="0000EE"/>
            </w:tcBorders>
            <w:gridSpan w:val="13"/>
          </w:tcPr>
          <w:p>
            <w:pPr>
              <w:spacing w:after="0" w:line="181"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EXECUTIVE COMPENSATION</w:t>
              </w:r>
            </w:hyperlink>
          </w:p>
        </w:tc>
        <w:tc>
          <w:tcPr>
            <w:tcW w:w="7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47">
              <w:r>
                <w:rPr>
                  <w:rFonts w:ascii="Arial" w:cs="Arial" w:eastAsia="Arial" w:hAnsi="Arial"/>
                  <w:sz w:val="18"/>
                  <w:szCs w:val="18"/>
                  <w:color w:val="0000EE"/>
                </w:rPr>
                <w:t>CERTAIN RELATIONSHIPS AND RELATED PARTY TRANSACTIONS</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0000EE"/>
              <w:bottom w:val="single" w:sz="8" w:color="0000EE"/>
            </w:tcBorders>
            <w:gridSpan w:val="12"/>
          </w:tcPr>
          <w:p>
            <w:pPr>
              <w:spacing w:after="0" w:line="181" w:lineRule="exact"/>
              <w:rPr>
                <w:rFonts w:ascii="Arial" w:cs="Arial" w:eastAsia="Arial" w:hAnsi="Arial"/>
                <w:sz w:val="18"/>
                <w:szCs w:val="18"/>
                <w:color w:val="0000EE"/>
                <w:w w:val="97"/>
              </w:rPr>
            </w:pPr>
            <w:hyperlink w:anchor="page151">
              <w:r>
                <w:rPr>
                  <w:rFonts w:ascii="Arial" w:cs="Arial" w:eastAsia="Arial" w:hAnsi="Arial"/>
                  <w:sz w:val="18"/>
                  <w:szCs w:val="18"/>
                  <w:color w:val="0000EE"/>
                  <w:w w:val="97"/>
                </w:rPr>
                <w:t>PRINCIPAL STOCKHOLDERS</w:t>
              </w:r>
            </w:hyperlink>
          </w:p>
        </w:tc>
        <w:tc>
          <w:tcPr>
            <w:tcW w:w="820" w:type="dxa"/>
            <w:vAlign w:val="bottom"/>
            <w:tcBorders>
              <w:top w:val="single" w:sz="8" w:color="0000EE"/>
            </w:tcBorders>
            <w:gridSpan w:val="3"/>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80" w:type="dxa"/>
            <w:vAlign w:val="bottom"/>
            <w:gridSpan w:val="15"/>
          </w:tcPr>
          <w:p>
            <w:pPr>
              <w:spacing w:after="0" w:line="181" w:lineRule="exact"/>
              <w:rPr>
                <w:rFonts w:ascii="Arial" w:cs="Arial" w:eastAsia="Arial" w:hAnsi="Arial"/>
                <w:sz w:val="18"/>
                <w:szCs w:val="18"/>
                <w:color w:val="0000EE"/>
              </w:rPr>
            </w:pPr>
            <w:hyperlink w:anchor="page155">
              <w:r>
                <w:rPr>
                  <w:rFonts w:ascii="Arial" w:cs="Arial" w:eastAsia="Arial" w:hAnsi="Arial"/>
                  <w:sz w:val="18"/>
                  <w:szCs w:val="18"/>
                  <w:color w:val="0000EE"/>
                </w:rPr>
                <w:t>DESCRIPTION OF CAPITAL STOCK</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80" w:type="dxa"/>
            <w:vAlign w:val="bottom"/>
            <w:tcBorders>
              <w:bottom w:val="single" w:sz="8" w:color="0000EE"/>
            </w:tcBorders>
            <w:gridSpan w:val="15"/>
          </w:tcPr>
          <w:p>
            <w:pPr>
              <w:spacing w:after="0" w:line="181" w:lineRule="exact"/>
              <w:rPr>
                <w:rFonts w:ascii="Arial" w:cs="Arial" w:eastAsia="Arial" w:hAnsi="Arial"/>
                <w:sz w:val="18"/>
                <w:szCs w:val="18"/>
                <w:color w:val="0000EE"/>
                <w:w w:val="98"/>
              </w:rPr>
            </w:pPr>
            <w:hyperlink w:anchor="page161">
              <w:r>
                <w:rPr>
                  <w:rFonts w:ascii="Arial" w:cs="Arial" w:eastAsia="Arial" w:hAnsi="Arial"/>
                  <w:sz w:val="18"/>
                  <w:szCs w:val="18"/>
                  <w:color w:val="0000EE"/>
                  <w:w w:val="98"/>
                </w:rPr>
                <w:t>SHARES ELIGIBLE FOR FUTURE SALE</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64">
              <w:r>
                <w:rPr>
                  <w:rFonts w:ascii="Arial" w:cs="Arial" w:eastAsia="Arial" w:hAnsi="Arial"/>
                  <w:sz w:val="18"/>
                  <w:szCs w:val="18"/>
                  <w:color w:val="0000EE"/>
                </w:rPr>
                <w:t>MATERIAL U.S. FEDERAL INCOME TAX CONSEQUENCES TO NON-U.S. HOLDERS OF OUR CLASS A COMMON STOCK</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Borders>
              <w:top w:val="single" w:sz="8" w:color="0000EE"/>
              <w:bottom w:val="single" w:sz="8" w:color="0000EE"/>
            </w:tcBorders>
            <w:gridSpan w:val="6"/>
          </w:tcPr>
          <w:p>
            <w:pPr>
              <w:spacing w:after="0" w:line="181" w:lineRule="exact"/>
              <w:rPr>
                <w:rFonts w:ascii="Arial" w:cs="Arial" w:eastAsia="Arial" w:hAnsi="Arial"/>
                <w:sz w:val="18"/>
                <w:szCs w:val="18"/>
                <w:color w:val="0000EE"/>
                <w:w w:val="98"/>
              </w:rPr>
            </w:pPr>
            <w:hyperlink w:anchor="page168">
              <w:r>
                <w:rPr>
                  <w:rFonts w:ascii="Arial" w:cs="Arial" w:eastAsia="Arial" w:hAnsi="Arial"/>
                  <w:sz w:val="18"/>
                  <w:szCs w:val="18"/>
                  <w:color w:val="0000EE"/>
                  <w:w w:val="98"/>
                </w:rPr>
                <w:t>UNDERWRITING</w:t>
              </w:r>
            </w:hyperlink>
          </w:p>
        </w:tc>
        <w:tc>
          <w:tcPr>
            <w:tcW w:w="1860" w:type="dxa"/>
            <w:vAlign w:val="bottom"/>
            <w:tcBorders>
              <w:top w:val="single" w:sz="8" w:color="0000EE"/>
            </w:tcBorders>
            <w:gridSpan w:val="9"/>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8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Borders>
              <w:bottom w:val="single" w:sz="8" w:color="0000EE"/>
            </w:tcBorders>
            <w:gridSpan w:val="8"/>
          </w:tcPr>
          <w:p>
            <w:pPr>
              <w:spacing w:after="0" w:line="181" w:lineRule="exact"/>
              <w:rPr>
                <w:rFonts w:ascii="Arial" w:cs="Arial" w:eastAsia="Arial" w:hAnsi="Arial"/>
                <w:sz w:val="18"/>
                <w:szCs w:val="18"/>
                <w:color w:val="0000EE"/>
                <w:w w:val="97"/>
              </w:rPr>
            </w:pPr>
            <w:hyperlink w:anchor="page177">
              <w:r>
                <w:rPr>
                  <w:rFonts w:ascii="Arial" w:cs="Arial" w:eastAsia="Arial" w:hAnsi="Arial"/>
                  <w:sz w:val="18"/>
                  <w:szCs w:val="18"/>
                  <w:color w:val="0000EE"/>
                  <w:w w:val="97"/>
                </w:rPr>
                <w:t>LEGAL MATTERS</w:t>
              </w:r>
            </w:hyperlink>
          </w:p>
        </w:tc>
        <w:tc>
          <w:tcPr>
            <w:tcW w:w="180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Borders>
              <w:bottom w:val="single" w:sz="8" w:color="0000EE"/>
            </w:tcBorders>
          </w:tcPr>
          <w:p>
            <w:pPr>
              <w:spacing w:after="0" w:line="181" w:lineRule="exact"/>
              <w:rPr>
                <w:rFonts w:ascii="Arial" w:cs="Arial" w:eastAsia="Arial" w:hAnsi="Arial"/>
                <w:sz w:val="18"/>
                <w:szCs w:val="18"/>
                <w:color w:val="0000EE"/>
                <w:w w:val="97"/>
              </w:rPr>
            </w:pPr>
            <w:hyperlink w:anchor="page177">
              <w:r>
                <w:rPr>
                  <w:rFonts w:ascii="Arial" w:cs="Arial" w:eastAsia="Arial" w:hAnsi="Arial"/>
                  <w:sz w:val="18"/>
                  <w:szCs w:val="18"/>
                  <w:color w:val="0000EE"/>
                  <w:w w:val="97"/>
                </w:rPr>
                <w:t>EXPERTS</w:t>
              </w:r>
            </w:hyperlink>
          </w:p>
        </w:tc>
        <w:tc>
          <w:tcPr>
            <w:tcW w:w="2440" w:type="dxa"/>
            <w:vAlign w:val="bottom"/>
            <w:gridSpan w:val="14"/>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77">
              <w:r>
                <w:rPr>
                  <w:rFonts w:ascii="Arial" w:cs="Arial" w:eastAsia="Arial" w:hAnsi="Arial"/>
                  <w:sz w:val="18"/>
                  <w:szCs w:val="18"/>
                  <w:color w:val="0000EE"/>
                </w:rPr>
                <w:t>WHERE YOU CAN FIND ADDITIONAL INFORMATION</w:t>
              </w:r>
            </w:hyperlink>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auto"/>
              </w:rPr>
              <w:t>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gridSpan w:val="1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480" w:type="dxa"/>
            <w:vAlign w:val="bottom"/>
            <w:gridSpan w:val="26"/>
          </w:tcPr>
          <w:p>
            <w:pPr>
              <w:spacing w:after="0" w:line="181" w:lineRule="exact"/>
              <w:rPr>
                <w:rFonts w:ascii="Arial" w:cs="Arial" w:eastAsia="Arial" w:hAnsi="Arial"/>
                <w:sz w:val="18"/>
                <w:szCs w:val="18"/>
                <w:color w:val="0000EE"/>
              </w:rPr>
            </w:pPr>
            <w:hyperlink w:anchor="page178">
              <w:r>
                <w:rPr>
                  <w:rFonts w:ascii="Arial" w:cs="Arial" w:eastAsia="Arial" w:hAnsi="Arial"/>
                  <w:sz w:val="18"/>
                  <w:szCs w:val="18"/>
                  <w:color w:val="0000EE"/>
                </w:rPr>
                <w:t>INDEX TO CONSOLIDATED FINANCIAL STATEMENTS</w:t>
              </w:r>
            </w:hyperlink>
          </w:p>
        </w:tc>
        <w:tc>
          <w:tcPr>
            <w:tcW w:w="40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68"/>
        </w:trPr>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280" w:type="dxa"/>
            <w:vAlign w:val="bottom"/>
            <w:gridSpan w:val="15"/>
          </w:tcPr>
          <w:p>
            <w:pPr>
              <w:ind w:left="560"/>
              <w:spacing w:after="0"/>
              <w:rPr>
                <w:sz w:val="20"/>
                <w:szCs w:val="20"/>
                <w:color w:val="auto"/>
              </w:rPr>
            </w:pPr>
            <w:r>
              <w:rPr>
                <w:rFonts w:ascii="Arial" w:cs="Arial" w:eastAsia="Arial" w:hAnsi="Arial"/>
                <w:sz w:val="18"/>
                <w:szCs w:val="18"/>
                <w:b w:val="1"/>
                <w:bCs w:val="1"/>
                <w:color w:val="auto"/>
              </w:rPr>
              <w:t>Through and including</w:t>
            </w:r>
          </w:p>
        </w:tc>
        <w:tc>
          <w:tcPr>
            <w:tcW w:w="7600" w:type="dxa"/>
            <w:vAlign w:val="bottom"/>
            <w:gridSpan w:val="13"/>
          </w:tcPr>
          <w:p>
            <w:pPr>
              <w:jc w:val="right"/>
              <w:ind w:right="40"/>
              <w:spacing w:after="0"/>
              <w:rPr>
                <w:sz w:val="20"/>
                <w:szCs w:val="20"/>
                <w:color w:val="auto"/>
              </w:rPr>
            </w:pPr>
            <w:r>
              <w:rPr>
                <w:rFonts w:ascii="Arial" w:cs="Arial" w:eastAsia="Arial" w:hAnsi="Arial"/>
                <w:sz w:val="18"/>
                <w:szCs w:val="18"/>
                <w:b w:val="1"/>
                <w:bCs w:val="1"/>
                <w:color w:val="auto"/>
                <w:w w:val="99"/>
              </w:rPr>
              <w:t>, 2021 (the 25</w:t>
            </w:r>
            <w:r>
              <w:rPr>
                <w:rFonts w:ascii="Arial" w:cs="Arial" w:eastAsia="Arial" w:hAnsi="Arial"/>
                <w:sz w:val="15"/>
                <w:szCs w:val="15"/>
                <w:b w:val="1"/>
                <w:bCs w:val="1"/>
                <w:color w:val="auto"/>
                <w:w w:val="99"/>
              </w:rPr>
              <w:t>th</w:t>
            </w:r>
            <w:r>
              <w:rPr>
                <w:rFonts w:ascii="Arial" w:cs="Arial" w:eastAsia="Arial" w:hAnsi="Arial"/>
                <w:sz w:val="18"/>
                <w:szCs w:val="18"/>
                <w:b w:val="1"/>
                <w:bCs w:val="1"/>
                <w:color w:val="auto"/>
                <w:w w:val="99"/>
              </w:rPr>
              <w:t xml:space="preserve"> day after the date of this prospectus), all dealers effecting transactions in</w:t>
            </w:r>
          </w:p>
        </w:tc>
        <w:tc>
          <w:tcPr>
            <w:tcW w:w="0" w:type="dxa"/>
            <w:vAlign w:val="bottom"/>
          </w:tcPr>
          <w:p>
            <w:pPr>
              <w:spacing w:after="0"/>
              <w:rPr>
                <w:sz w:val="1"/>
                <w:szCs w:val="1"/>
                <w:color w:val="auto"/>
              </w:rPr>
            </w:pPr>
          </w:p>
        </w:tc>
      </w:tr>
    </w:tbl>
    <w:p>
      <w:pPr>
        <w:ind w:left="160" w:right="360"/>
        <w:spacing w:after="0" w:line="237" w:lineRule="auto"/>
        <w:rPr>
          <w:sz w:val="20"/>
          <w:szCs w:val="20"/>
          <w:color w:val="auto"/>
        </w:rPr>
      </w:pPr>
      <w:r>
        <w:rPr>
          <w:rFonts w:ascii="Arial" w:cs="Arial" w:eastAsia="Arial" w:hAnsi="Arial"/>
          <w:sz w:val="18"/>
          <w:szCs w:val="18"/>
          <w:b w:val="1"/>
          <w:bCs w:val="1"/>
          <w:color w:val="auto"/>
        </w:rPr>
        <w:t>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213995</wp:posOffset>
            </wp:positionV>
            <wp:extent cx="1460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other information that others may give you. We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202"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the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possession and distribution of this prospectus outside of the United States.</w:t>
      </w:r>
    </w:p>
    <w:p>
      <w:pPr>
        <w:sectPr>
          <w:pgSz w:w="11900" w:h="16838" w:orient="portrait"/>
          <w:cols w:equalWidth="0" w:num="1">
            <w:col w:w="11080"/>
          </w:cols>
          <w:pgMar w:left="320" w:top="45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47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4200" cy="58470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12" w:lineRule="exact"/>
        <w:rPr>
          <w:sz w:val="20"/>
          <w:szCs w:val="20"/>
          <w:color w:val="auto"/>
        </w:rPr>
      </w:pPr>
    </w:p>
    <w:p>
      <w:pPr>
        <w:ind w:left="340" w:right="20" w:firstLine="527"/>
        <w:spacing w:after="0" w:line="23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“Xometry,” the “company,” “we,” “our,” “us” or similar terms refer to Xometry, Inc. and its subsidiaries. Unless otherwise indicated, references to our “common stock” include our Class A common stock and Class B common stock.</w:t>
      </w: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Overview</w:t>
      </w: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Mission</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mission is to accelerate innovation by providing real time, equitable access to global manufacturing capacity and demand.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to drive efficiency, sustainability and innovation by lowering the barriers to entry to the manufacturing ecosystem.</w:t>
      </w: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Company</w:t>
      </w:r>
    </w:p>
    <w:p>
      <w:pPr>
        <w:spacing w:after="0" w:line="230" w:lineRule="exact"/>
        <w:rPr>
          <w:sz w:val="20"/>
          <w:szCs w:val="20"/>
          <w:color w:val="auto"/>
        </w:rPr>
      </w:pPr>
    </w:p>
    <w:p>
      <w:pPr>
        <w:ind w:left="340" w:firstLine="527"/>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340" w:right="100" w:firstLine="527"/>
        <w:spacing w:after="0" w:line="250" w:lineRule="auto"/>
        <w:rPr>
          <w:sz w:val="20"/>
          <w:szCs w:val="20"/>
          <w:color w:val="auto"/>
        </w:rPr>
      </w:pPr>
      <w:r>
        <w:rPr>
          <w:rFonts w:ascii="Arial" w:cs="Arial" w:eastAsia="Arial" w:hAnsi="Arial"/>
          <w:sz w:val="17"/>
          <w:szCs w:val="17"/>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196"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that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6" w:lineRule="exact"/>
        <w:rPr>
          <w:sz w:val="20"/>
          <w:szCs w:val="20"/>
          <w:color w:val="auto"/>
        </w:rPr>
      </w:pPr>
    </w:p>
    <w:p>
      <w:pPr>
        <w:ind w:left="340" w:right="360" w:firstLine="527"/>
        <w:spacing w:after="0" w:line="236" w:lineRule="auto"/>
        <w:rPr>
          <w:sz w:val="20"/>
          <w:szCs w:val="20"/>
          <w:color w:val="auto"/>
        </w:rPr>
      </w:pPr>
      <w:r>
        <w:rPr>
          <w:rFonts w:ascii="Arial" w:cs="Arial" w:eastAsia="Arial" w:hAnsi="Arial"/>
          <w:sz w:val="18"/>
          <w:szCs w:val="18"/>
          <w:color w:val="auto"/>
        </w:rPr>
        <w:t>We enable buyers across industries to source a broad array of manufacturing processes to meet their needs. We generate substantially all of our revenue from the prices we charge buyers on our platform. Buyers begin by uploading an engineering schematic that contains 3D design specifications, typically a computer-aided design, or a CAD, file. Then, we price transactions through our proprietary,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912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4200" cy="49129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120"/>
        <w:spacing w:after="0" w:line="236" w:lineRule="auto"/>
        <w:rPr>
          <w:sz w:val="20"/>
          <w:szCs w:val="20"/>
          <w:color w:val="auto"/>
        </w:rPr>
      </w:pPr>
      <w:r>
        <w:rPr>
          <w:rFonts w:ascii="Arial" w:cs="Arial" w:eastAsia="Arial" w:hAnsi="Arial"/>
          <w:sz w:val="18"/>
          <w:szCs w:val="18"/>
          <w:color w:val="auto"/>
        </w:rPr>
        <w:t>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w:t>
      </w:r>
    </w:p>
    <w:p>
      <w:pPr>
        <w:spacing w:after="0" w:line="202" w:lineRule="exact"/>
        <w:rPr>
          <w:sz w:val="20"/>
          <w:szCs w:val="20"/>
          <w:color w:val="auto"/>
        </w:rPr>
      </w:pPr>
    </w:p>
    <w:p>
      <w:pPr>
        <w:ind w:left="340" w:firstLine="527"/>
        <w:spacing w:after="0" w:line="234"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203" w:lineRule="exact"/>
        <w:rPr>
          <w:sz w:val="20"/>
          <w:szCs w:val="20"/>
          <w:color w:val="auto"/>
        </w:rPr>
      </w:pPr>
    </w:p>
    <w:p>
      <w:pPr>
        <w:ind w:left="340" w:right="140" w:firstLine="527"/>
        <w:spacing w:after="0" w:line="239"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a seller more than anticipated to manufacture the order.</w:t>
      </w:r>
    </w:p>
    <w:p>
      <w:pPr>
        <w:spacing w:after="0" w:line="203" w:lineRule="exact"/>
        <w:rPr>
          <w:sz w:val="20"/>
          <w:szCs w:val="20"/>
          <w:color w:val="auto"/>
        </w:rPr>
      </w:pPr>
    </w:p>
    <w:p>
      <w:pPr>
        <w:ind w:left="340" w:right="380" w:firstLine="527"/>
        <w:spacing w:after="0" w:line="235"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Today, we are the largest on-demand manufacturing marketplace by revenue. We have connected over 43,000 unique buyers,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including nearly 30% of the Fortune 500, and nearly 5,000 unique sellers of all sizes. We have achieved rapid growth while improving</w:t>
      </w:r>
    </w:p>
    <w:p>
      <w:pPr>
        <w:ind w:left="340"/>
        <w:spacing w:after="0" w:line="238" w:lineRule="auto"/>
        <w:rPr>
          <w:sz w:val="20"/>
          <w:szCs w:val="20"/>
          <w:color w:val="auto"/>
        </w:rPr>
      </w:pPr>
      <w:r>
        <w:rPr>
          <w:rFonts w:ascii="Arial" w:cs="Arial" w:eastAsia="Arial" w:hAnsi="Arial"/>
          <w:sz w:val="18"/>
          <w:szCs w:val="18"/>
          <w:color w:val="auto"/>
        </w:rPr>
        <w:t>our margin profile. We generated revenue of $38.4 million in 2018, $80.2 million in 2019, and $141.4 million in 2020, representing</w:t>
      </w:r>
    </w:p>
    <w:p>
      <w:pPr>
        <w:ind w:left="340"/>
        <w:spacing w:after="0" w:line="233" w:lineRule="auto"/>
        <w:rPr>
          <w:sz w:val="20"/>
          <w:szCs w:val="20"/>
          <w:color w:val="auto"/>
        </w:rPr>
      </w:pPr>
      <w:r>
        <w:rPr>
          <w:rFonts w:ascii="Arial" w:cs="Arial" w:eastAsia="Arial" w:hAnsi="Arial"/>
          <w:sz w:val="18"/>
          <w:szCs w:val="18"/>
          <w:color w:val="auto"/>
        </w:rPr>
        <w:t>year-over-year growth of 109% in 2019 and 76% in 2020. Our gross profit was $6.5 million in 2018, $14.7 million in 2019, and</w:t>
      </w:r>
    </w:p>
    <w:p>
      <w:pPr>
        <w:ind w:left="340"/>
        <w:spacing w:after="0" w:line="232" w:lineRule="auto"/>
        <w:rPr>
          <w:sz w:val="20"/>
          <w:szCs w:val="20"/>
          <w:color w:val="auto"/>
        </w:rPr>
      </w:pPr>
      <w:r>
        <w:rPr>
          <w:rFonts w:ascii="Arial" w:cs="Arial" w:eastAsia="Arial" w:hAnsi="Arial"/>
          <w:sz w:val="18"/>
          <w:szCs w:val="18"/>
          <w:color w:val="auto"/>
        </w:rPr>
        <w:t>$33.3 million in 2020, representing a 17% gross margin in 2018, 18% gross margin in 2019, and 24% gross margin in 2020. Our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losses were $20.1 million in 2018, $31.0 million in 2019 and $31.1 million in 2020.</w:t>
      </w:r>
    </w:p>
    <w:p>
      <w:pPr>
        <w:spacing w:after="0" w:line="208" w:lineRule="exact"/>
        <w:rPr>
          <w:sz w:val="20"/>
          <w:szCs w:val="20"/>
          <w:color w:val="auto"/>
        </w:rPr>
      </w:pPr>
    </w:p>
    <w:p>
      <w:pPr>
        <w:ind w:left="340" w:right="220" w:firstLine="527"/>
        <w:spacing w:after="0" w:line="235"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year-over-year growth of 65%. Our gross profit for the quarters ended March 31, 2021 and 2020, was $ 9.8 million and $5.4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our growth strategy to scale our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32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0" cy="59321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Industry Overview</w:t>
      </w:r>
    </w:p>
    <w:p>
      <w:pPr>
        <w:spacing w:after="0" w:line="234" w:lineRule="exact"/>
        <w:rPr>
          <w:sz w:val="20"/>
          <w:szCs w:val="20"/>
          <w:color w:val="auto"/>
        </w:rPr>
      </w:pPr>
    </w:p>
    <w:p>
      <w:pPr>
        <w:ind w:left="1060" w:right="200" w:hanging="190"/>
        <w:spacing w:after="0" w:line="23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Manufacturing is a massive, highly fragmented, and regionalized industry in need of solutions to drive efficiency. </w:t>
      </w:r>
      <w:r>
        <w:rPr>
          <w:rFonts w:ascii="Arial" w:cs="Arial" w:eastAsia="Arial" w:hAnsi="Arial"/>
          <w:sz w:val="18"/>
          <w:szCs w:val="18"/>
          <w:color w:val="auto"/>
        </w:rPr>
        <w:t>The global manufacturing industry is one of the largest industries in the world. We believe the industry is poised for increased digitization via a number of global thematic 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w:t>
      </w:r>
    </w:p>
    <w:p>
      <w:pPr>
        <w:spacing w:after="0" w:line="87" w:lineRule="exact"/>
        <w:rPr>
          <w:rFonts w:ascii="Arial" w:cs="Arial" w:eastAsia="Arial" w:hAnsi="Arial"/>
          <w:sz w:val="18"/>
          <w:szCs w:val="18"/>
          <w:color w:val="auto"/>
        </w:rPr>
      </w:pPr>
    </w:p>
    <w:p>
      <w:pPr>
        <w:ind w:left="1060" w:right="340" w:hanging="190"/>
        <w:spacing w:after="0" w:line="243"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Sourcing manufacturing opportunities is a complex, costly and time-consuming process. </w:t>
      </w:r>
      <w:r>
        <w:rPr>
          <w:rFonts w:ascii="Arial" w:cs="Arial" w:eastAsia="Arial" w:hAnsi="Arial"/>
          <w:sz w:val="18"/>
          <w:szCs w:val="18"/>
          <w:color w:val="auto"/>
        </w:rPr>
        <w:t>Even for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sophisticated buyers and sellers, the manufacturing sourcing and procurement process is complex, uncertain, costly and time-consuming. We believe that the labor-intensive sourcing process presents a significant opportunity as buyers and sellers look for more efficient ways to source demand and consummate production.</w:t>
      </w:r>
    </w:p>
    <w:p>
      <w:pPr>
        <w:spacing w:after="0" w:line="84" w:lineRule="exact"/>
        <w:rPr>
          <w:rFonts w:ascii="Arial" w:cs="Arial" w:eastAsia="Arial" w:hAnsi="Arial"/>
          <w:sz w:val="18"/>
          <w:szCs w:val="18"/>
          <w:color w:val="auto"/>
        </w:rPr>
      </w:pPr>
    </w:p>
    <w:p>
      <w:pPr>
        <w:ind w:left="1060" w:right="20" w:hanging="190"/>
        <w:spacing w:after="0" w:line="23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Resilient, localized and compliant supply chains are imperative. </w:t>
      </w:r>
      <w:r>
        <w:rPr>
          <w:rFonts w:ascii="Arial" w:cs="Arial" w:eastAsia="Arial" w:hAnsi="Arial"/>
          <w:sz w:val="18"/>
          <w:szCs w:val="18"/>
          <w:color w:val="auto"/>
        </w:rPr>
        <w:t>We believe there is a significant opportunity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around the world improve their supply chain diversification, access just-in-time production, and build supply chain resilience. 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87" w:lineRule="exact"/>
        <w:rPr>
          <w:rFonts w:ascii="Arial" w:cs="Arial" w:eastAsia="Arial" w:hAnsi="Arial"/>
          <w:sz w:val="18"/>
          <w:szCs w:val="18"/>
          <w:color w:val="auto"/>
        </w:rPr>
      </w:pPr>
    </w:p>
    <w:p>
      <w:pPr>
        <w:ind w:left="1060" w:hanging="190"/>
        <w:spacing w:after="0" w:line="23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There is increasing focus on the manufacturing industry to address ESG issues. </w:t>
      </w:r>
      <w:r>
        <w:rPr>
          <w:rFonts w:ascii="Arial" w:cs="Arial" w:eastAsia="Arial" w:hAnsi="Arial"/>
          <w:sz w:val="18"/>
          <w:szCs w:val="18"/>
          <w:color w:val="auto"/>
        </w:rPr>
        <w:t>Companies and investors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86" w:lineRule="exact"/>
        <w:rPr>
          <w:rFonts w:ascii="Arial" w:cs="Arial" w:eastAsia="Arial" w:hAnsi="Arial"/>
          <w:sz w:val="18"/>
          <w:szCs w:val="18"/>
          <w:color w:val="auto"/>
        </w:rPr>
      </w:pPr>
    </w:p>
    <w:p>
      <w:pPr>
        <w:ind w:left="1060" w:right="160" w:hanging="190"/>
        <w:spacing w:after="0" w:line="24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catalysts have led to an inflection point for industry digitization. </w:t>
      </w:r>
      <w:r>
        <w:rPr>
          <w:rFonts w:ascii="Arial" w:cs="Arial" w:eastAsia="Arial" w:hAnsi="Arial"/>
          <w:sz w:val="18"/>
          <w:szCs w:val="18"/>
          <w:color w:val="auto"/>
        </w:rPr>
        <w:t>We believe future expected labor shortages,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combination with the proliferation of new technologies, necessitates digital solutions that increase productivity, improve financial performance and allow them to compete sustainably.</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Opportunity</w:t>
      </w:r>
    </w:p>
    <w:p>
      <w:pPr>
        <w:spacing w:after="0" w:line="230" w:lineRule="exact"/>
        <w:rPr>
          <w:sz w:val="20"/>
          <w:szCs w:val="20"/>
          <w:color w:val="auto"/>
        </w:rPr>
      </w:pPr>
    </w:p>
    <w:p>
      <w:pPr>
        <w:jc w:val="both"/>
        <w:ind w:left="340" w:right="600" w:firstLine="527"/>
        <w:spacing w:after="0" w:line="257" w:lineRule="auto"/>
        <w:rPr>
          <w:sz w:val="20"/>
          <w:szCs w:val="20"/>
          <w:color w:val="auto"/>
        </w:rPr>
      </w:pPr>
      <w:r>
        <w:rPr>
          <w:rFonts w:ascii="Arial" w:cs="Arial" w:eastAsia="Arial" w:hAnsi="Arial"/>
          <w:sz w:val="17"/>
          <w:szCs w:val="17"/>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188" w:lineRule="exact"/>
        <w:rPr>
          <w:sz w:val="20"/>
          <w:szCs w:val="20"/>
          <w:color w:val="auto"/>
        </w:rPr>
      </w:pPr>
    </w:p>
    <w:p>
      <w:pPr>
        <w:ind w:left="340" w:right="100" w:firstLine="527"/>
        <w:spacing w:after="0" w:line="239"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6"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36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0" cy="6136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120"/>
        <w:spacing w:after="0" w:line="236" w:lineRule="auto"/>
        <w:rPr>
          <w:sz w:val="20"/>
          <w:szCs w:val="20"/>
          <w:color w:val="auto"/>
        </w:rPr>
      </w:pPr>
      <w:r>
        <w:rPr>
          <w:rFonts w:ascii="Arial" w:cs="Arial" w:eastAsia="Arial" w:hAnsi="Arial"/>
          <w:sz w:val="18"/>
          <w:szCs w:val="18"/>
          <w:color w:val="auto"/>
        </w:rPr>
        <w:t>metal manufacturing, 3D printing (including fused deposition modeling, direct metal laser sintering, PolyJet, stereolithography, selective laser sintering, binder jetting, carbon digital light synthesis and multi jet fusion), die casting, injection molding and urethane casting. Our estimates are based on independent industry publications or other publicly available information, as well as our internal sources.</w:t>
      </w:r>
    </w:p>
    <w:p>
      <w:pPr>
        <w:spacing w:after="0" w:line="28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Platform</w:t>
      </w:r>
    </w:p>
    <w:p>
      <w:pPr>
        <w:spacing w:after="0" w:line="230" w:lineRule="exact"/>
        <w:rPr>
          <w:sz w:val="20"/>
          <w:szCs w:val="20"/>
          <w:color w:val="auto"/>
        </w:rPr>
      </w:pPr>
    </w:p>
    <w:p>
      <w:pPr>
        <w:ind w:left="340" w:right="240" w:firstLine="527"/>
        <w:spacing w:after="0" w:line="236"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2" w:lineRule="exact"/>
        <w:rPr>
          <w:sz w:val="20"/>
          <w:szCs w:val="20"/>
          <w:color w:val="auto"/>
        </w:rPr>
      </w:pPr>
    </w:p>
    <w:p>
      <w:pPr>
        <w:ind w:left="340" w:right="320" w:firstLine="527"/>
        <w:spacing w:after="0" w:line="257" w:lineRule="auto"/>
        <w:rPr>
          <w:sz w:val="20"/>
          <w:szCs w:val="20"/>
          <w:color w:val="auto"/>
        </w:rPr>
      </w:pPr>
      <w:r>
        <w:rPr>
          <w:rFonts w:ascii="Arial" w:cs="Arial" w:eastAsia="Arial" w:hAnsi="Arial"/>
          <w:sz w:val="17"/>
          <w:szCs w:val="17"/>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sellers.</w:t>
      </w:r>
    </w:p>
    <w:p>
      <w:pPr>
        <w:spacing w:after="0" w:line="188" w:lineRule="exact"/>
        <w:rPr>
          <w:sz w:val="20"/>
          <w:szCs w:val="20"/>
          <w:color w:val="auto"/>
        </w:rPr>
      </w:pPr>
    </w:p>
    <w:p>
      <w:pPr>
        <w:ind w:left="340" w:right="20" w:firstLine="527"/>
        <w:spacing w:after="0" w:line="236"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2" w:lineRule="exact"/>
        <w:rPr>
          <w:sz w:val="20"/>
          <w:szCs w:val="20"/>
          <w:color w:val="auto"/>
        </w:rPr>
      </w:pPr>
    </w:p>
    <w:p>
      <w:pPr>
        <w:ind w:left="340" w:right="280" w:firstLine="527"/>
        <w:spacing w:after="0" w:line="239"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Carbon Offset Program</w:t>
      </w:r>
    </w:p>
    <w:p>
      <w:pPr>
        <w:spacing w:after="0" w:line="230" w:lineRule="exact"/>
        <w:rPr>
          <w:sz w:val="20"/>
          <w:szCs w:val="20"/>
          <w:color w:val="auto"/>
        </w:rPr>
      </w:pPr>
    </w:p>
    <w:p>
      <w:pPr>
        <w:ind w:left="340" w:right="160" w:firstLine="527"/>
        <w:spacing w:after="0" w:line="235"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Additional Seller Offerings</w:t>
      </w:r>
    </w:p>
    <w:p>
      <w:pPr>
        <w:spacing w:after="0" w:line="234" w:lineRule="exact"/>
        <w:rPr>
          <w:sz w:val="20"/>
          <w:szCs w:val="20"/>
          <w:color w:val="auto"/>
        </w:rPr>
      </w:pPr>
    </w:p>
    <w:p>
      <w:pPr>
        <w:ind w:left="1060" w:hanging="1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w:t>
      </w:r>
    </w:p>
    <w:p>
      <w:pPr>
        <w:spacing w:after="0" w:line="88" w:lineRule="exact"/>
        <w:rPr>
          <w:rFonts w:ascii="Arial" w:cs="Arial" w:eastAsia="Arial" w:hAnsi="Arial"/>
          <w:sz w:val="18"/>
          <w:szCs w:val="18"/>
          <w:color w:val="auto"/>
        </w:rPr>
      </w:pPr>
    </w:p>
    <w:p>
      <w:pPr>
        <w:ind w:left="1060" w:right="60" w:hanging="190"/>
        <w:spacing w:after="0" w:line="24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These offerings include the Xometry Advance Card, which generally gives sellers up to 30% of their job payment in advance, and FastPay, a fee-based service through which sellers can receive accelerated payment.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6" w:right="7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38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200" cy="58381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Buyers Win</w:t>
      </w:r>
    </w:p>
    <w:p>
      <w:pPr>
        <w:spacing w:after="0" w:line="234" w:lineRule="exact"/>
        <w:rPr>
          <w:sz w:val="20"/>
          <w:szCs w:val="20"/>
          <w:color w:val="auto"/>
        </w:rPr>
      </w:pPr>
    </w:p>
    <w:p>
      <w:pPr>
        <w:ind w:left="106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Instant and Competitive Pricing and Lead Times. </w:t>
      </w:r>
      <w:r>
        <w:rPr>
          <w:rFonts w:ascii="Arial" w:cs="Arial" w:eastAsia="Arial" w:hAnsi="Arial"/>
          <w:sz w:val="18"/>
          <w:szCs w:val="18"/>
          <w:color w:val="auto"/>
        </w:rPr>
        <w:t>We create value for buyers through marketplace generation fueled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88" w:lineRule="exact"/>
        <w:rPr>
          <w:rFonts w:ascii="Arial" w:cs="Arial" w:eastAsia="Arial" w:hAnsi="Arial"/>
          <w:sz w:val="18"/>
          <w:szCs w:val="18"/>
          <w:color w:val="auto"/>
        </w:rPr>
      </w:pPr>
    </w:p>
    <w:p>
      <w:pPr>
        <w:ind w:left="1060" w:right="420" w:hanging="190"/>
        <w:spacing w:after="0" w:line="24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84" w:lineRule="exact"/>
        <w:rPr>
          <w:rFonts w:ascii="Arial" w:cs="Arial" w:eastAsia="Arial" w:hAnsi="Arial"/>
          <w:sz w:val="18"/>
          <w:szCs w:val="18"/>
          <w:color w:val="auto"/>
        </w:rPr>
      </w:pPr>
    </w:p>
    <w:p>
      <w:pPr>
        <w:ind w:left="1060" w:right="12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Access to a Massive Network of Sellers. </w:t>
      </w:r>
      <w:r>
        <w:rPr>
          <w:rFonts w:ascii="Arial" w:cs="Arial" w:eastAsia="Arial" w:hAnsi="Arial"/>
          <w:sz w:val="18"/>
          <w:szCs w:val="18"/>
          <w:color w:val="auto"/>
        </w:rPr>
        <w:t>We provide buyers access to the massive, global network of sellers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88" w:lineRule="exact"/>
        <w:rPr>
          <w:rFonts w:ascii="Arial" w:cs="Arial" w:eastAsia="Arial" w:hAnsi="Arial"/>
          <w:sz w:val="18"/>
          <w:szCs w:val="18"/>
          <w:color w:val="auto"/>
        </w:rPr>
      </w:pPr>
    </w:p>
    <w:p>
      <w:pPr>
        <w:ind w:left="1060" w:right="220" w:hanging="190"/>
        <w:spacing w:after="0" w:line="24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84" w:lineRule="exact"/>
        <w:rPr>
          <w:rFonts w:ascii="Arial" w:cs="Arial" w:eastAsia="Arial" w:hAnsi="Arial"/>
          <w:sz w:val="18"/>
          <w:szCs w:val="18"/>
          <w:color w:val="auto"/>
        </w:rPr>
      </w:pPr>
    </w:p>
    <w:p>
      <w:pPr>
        <w:ind w:left="1060" w:right="480" w:hanging="190"/>
        <w:spacing w:after="0" w:line="262"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Reliability and Quality. </w:t>
      </w:r>
      <w:r>
        <w:rPr>
          <w:rFonts w:ascii="Arial" w:cs="Arial" w:eastAsia="Arial" w:hAnsi="Arial"/>
          <w:sz w:val="17"/>
          <w:szCs w:val="17"/>
          <w:color w:val="auto"/>
        </w:rPr>
        <w:t>We offer consistently high-quality products and certainty of order fulfillment for buyers.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further 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69" w:lineRule="exact"/>
        <w:rPr>
          <w:rFonts w:ascii="Arial" w:cs="Arial" w:eastAsia="Arial" w:hAnsi="Arial"/>
          <w:sz w:val="17"/>
          <w:szCs w:val="17"/>
          <w:color w:val="auto"/>
        </w:rPr>
      </w:pPr>
    </w:p>
    <w:p>
      <w:pPr>
        <w:ind w:left="1060" w:right="20" w:hanging="190"/>
        <w:spacing w:after="0" w:line="24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77" w:lineRule="exact"/>
        <w:rPr>
          <w:rFonts w:ascii="Arial" w:cs="Arial" w:eastAsia="Arial" w:hAnsi="Arial"/>
          <w:sz w:val="18"/>
          <w:szCs w:val="18"/>
          <w:color w:val="auto"/>
        </w:rPr>
      </w:pPr>
    </w:p>
    <w:p>
      <w:pPr>
        <w:ind w:left="1060" w:right="140" w:hanging="19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access to 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Sellers Win</w:t>
      </w:r>
    </w:p>
    <w:p>
      <w:pPr>
        <w:spacing w:after="0" w:line="234" w:lineRule="exact"/>
        <w:rPr>
          <w:sz w:val="20"/>
          <w:szCs w:val="20"/>
          <w:color w:val="auto"/>
        </w:rPr>
      </w:pPr>
    </w:p>
    <w:p>
      <w:pPr>
        <w:ind w:left="1060" w:right="100" w:hanging="190"/>
        <w:spacing w:after="0" w:line="24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36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4200" cy="5736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060" w:right="240" w:hanging="190"/>
        <w:spacing w:after="0" w:line="24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accept the next repeat order in order to increase efficiency and reliability. Our ability to attract repeat buyers helps stabilize demand for sellers so they can operate their businesses more efficiently.</w:t>
      </w:r>
    </w:p>
    <w:p>
      <w:pPr>
        <w:spacing w:after="0" w:line="77" w:lineRule="exact"/>
        <w:rPr>
          <w:rFonts w:ascii="Arial" w:cs="Arial" w:eastAsia="Arial" w:hAnsi="Arial"/>
          <w:sz w:val="18"/>
          <w:szCs w:val="18"/>
          <w:color w:val="auto"/>
        </w:rPr>
      </w:pPr>
    </w:p>
    <w:p>
      <w:pPr>
        <w:ind w:left="1060" w:right="100" w:hanging="190"/>
        <w:spacing w:after="0" w:line="243"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aim to be a completely digital one-stop-shop for all workflow solutions for sellers. Our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84" w:lineRule="exact"/>
        <w:rPr>
          <w:rFonts w:ascii="Arial" w:cs="Arial" w:eastAsia="Arial" w:hAnsi="Arial"/>
          <w:sz w:val="18"/>
          <w:szCs w:val="18"/>
          <w:color w:val="auto"/>
        </w:rPr>
      </w:pPr>
    </w:p>
    <w:p>
      <w:pPr>
        <w:ind w:left="1060" w:right="40" w:hanging="1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8" w:lineRule="exact"/>
        <w:rPr>
          <w:rFonts w:ascii="Arial" w:cs="Arial" w:eastAsia="Arial" w:hAnsi="Arial"/>
          <w:sz w:val="18"/>
          <w:szCs w:val="18"/>
          <w:color w:val="auto"/>
        </w:rPr>
      </w:pPr>
    </w:p>
    <w:p>
      <w:pPr>
        <w:ind w:left="1060" w:hanging="1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8" w:lineRule="exact"/>
        <w:rPr>
          <w:rFonts w:ascii="Arial" w:cs="Arial" w:eastAsia="Arial" w:hAnsi="Arial"/>
          <w:sz w:val="18"/>
          <w:szCs w:val="18"/>
          <w:color w:val="auto"/>
        </w:rPr>
      </w:pPr>
    </w:p>
    <w:p>
      <w:pPr>
        <w:ind w:left="1060" w:right="120" w:hanging="190"/>
        <w:spacing w:after="0" w:line="23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Why We Win</w:t>
      </w:r>
    </w:p>
    <w:p>
      <w:pPr>
        <w:spacing w:after="0" w:line="234" w:lineRule="exact"/>
        <w:rPr>
          <w:sz w:val="20"/>
          <w:szCs w:val="20"/>
          <w:color w:val="auto"/>
        </w:rPr>
      </w:pPr>
    </w:p>
    <w:p>
      <w:pPr>
        <w:ind w:left="1060" w:right="80" w:hanging="190"/>
        <w:spacing w:after="0" w:line="23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87" w:lineRule="exact"/>
        <w:rPr>
          <w:rFonts w:ascii="Arial" w:cs="Arial" w:eastAsia="Arial" w:hAnsi="Arial"/>
          <w:sz w:val="18"/>
          <w:szCs w:val="18"/>
          <w:color w:val="auto"/>
        </w:rPr>
      </w:pPr>
    </w:p>
    <w:p>
      <w:pPr>
        <w:ind w:left="1060" w:hanging="190"/>
        <w:spacing w:after="0" w:line="23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that contribute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buyers and sellers thrive.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6"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58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0" cy="55581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1060" w:hanging="190"/>
        <w:spacing w:after="0" w:line="24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 we are the largest on-demand manufacturing marketplace by revenue. As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we benefit from a self-reinforcing, virtuous cycle, in which marketplace interactions contribute valuable data points and insights that improve our AI-enabled platform, increasing lifetime customer value and fueling strong unit economics.</w:t>
      </w:r>
    </w:p>
    <w:p>
      <w:pPr>
        <w:spacing w:after="0" w:line="77" w:lineRule="exact"/>
        <w:rPr>
          <w:rFonts w:ascii="Arial" w:cs="Arial" w:eastAsia="Arial" w:hAnsi="Arial"/>
          <w:sz w:val="18"/>
          <w:szCs w:val="18"/>
          <w:color w:val="auto"/>
        </w:rPr>
      </w:pPr>
    </w:p>
    <w:p>
      <w:pPr>
        <w:ind w:left="1060" w:right="40" w:hanging="190"/>
        <w:spacing w:after="0" w:line="23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Buyer Engagement and Expansion. </w:t>
      </w:r>
      <w:r>
        <w:rPr>
          <w:rFonts w:ascii="Arial" w:cs="Arial" w:eastAsia="Arial" w:hAnsi="Arial"/>
          <w:sz w:val="18"/>
          <w:szCs w:val="18"/>
          <w:color w:val="auto"/>
        </w:rPr>
        <w:t>Our flexible ordering process allows us to land new customers and increases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fueling an efficient go-to-market model. Over time, our accounts typically increase their spend with us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saw a 34% year-over-year increase in accounts with at least $50,000 annual spend.</w:t>
      </w:r>
    </w:p>
    <w:p>
      <w:pPr>
        <w:spacing w:after="0" w:line="87" w:lineRule="exact"/>
        <w:rPr>
          <w:rFonts w:ascii="Arial" w:cs="Arial" w:eastAsia="Arial" w:hAnsi="Arial"/>
          <w:sz w:val="18"/>
          <w:szCs w:val="18"/>
          <w:color w:val="auto"/>
        </w:rPr>
      </w:pPr>
    </w:p>
    <w:p>
      <w:pPr>
        <w:ind w:left="1060" w:right="180" w:hanging="190"/>
        <w:spacing w:after="0" w:line="24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84" w:lineRule="exact"/>
        <w:rPr>
          <w:rFonts w:ascii="Arial" w:cs="Arial" w:eastAsia="Arial" w:hAnsi="Arial"/>
          <w:sz w:val="18"/>
          <w:szCs w:val="18"/>
          <w:color w:val="auto"/>
        </w:rPr>
      </w:pPr>
    </w:p>
    <w:p>
      <w:pPr>
        <w:ind w:left="1060" w:right="200" w:hanging="190"/>
        <w:spacing w:after="0" w:line="24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8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ind w:left="1060" w:right="40" w:hanging="190"/>
        <w:spacing w:after="0" w:line="24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new buyers and grow wallet share with existing buyers. </w:t>
      </w:r>
      <w:r>
        <w:rPr>
          <w:rFonts w:ascii="Arial" w:cs="Arial" w:eastAsia="Arial" w:hAnsi="Arial"/>
          <w:sz w:val="18"/>
          <w:szCs w:val="18"/>
          <w:color w:val="auto"/>
        </w:rPr>
        <w:t>We intend to continue investing in acquiring new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traditional paid sales and marketing techniques as well as leveraging our strong organic referral network to drive awareness and build trust. We are also focused on increasing buyer stickiness and buyer spend within existing accounts by investing in our sales and marketing capabilities.</w:t>
      </w:r>
    </w:p>
    <w:p>
      <w:pPr>
        <w:spacing w:after="0" w:line="84" w:lineRule="exact"/>
        <w:rPr>
          <w:rFonts w:ascii="Arial" w:cs="Arial" w:eastAsia="Arial" w:hAnsi="Arial"/>
          <w:sz w:val="18"/>
          <w:szCs w:val="18"/>
          <w:color w:val="auto"/>
        </w:rPr>
      </w:pPr>
    </w:p>
    <w:p>
      <w:pPr>
        <w:ind w:left="1060" w:right="100" w:hanging="190"/>
        <w:spacing w:after="0" w:line="24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our entire platform. We are focused on attracting new sellers, recognizing the massive opportunity still in front of us and the intrinsic benefit an active, diverse seller population brings to the overall platform.</w:t>
      </w:r>
    </w:p>
    <w:p>
      <w:pPr>
        <w:spacing w:after="0" w:line="77" w:lineRule="exact"/>
        <w:rPr>
          <w:rFonts w:ascii="Arial" w:cs="Arial" w:eastAsia="Arial" w:hAnsi="Arial"/>
          <w:sz w:val="18"/>
          <w:szCs w:val="18"/>
          <w:color w:val="auto"/>
        </w:rPr>
      </w:pPr>
    </w:p>
    <w:p>
      <w:pPr>
        <w:ind w:left="1060" w:hanging="190"/>
        <w:spacing w:after="0" w:line="24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w:t>
      </w:r>
    </w:p>
    <w:p>
      <w:pPr>
        <w:spacing w:after="0" w:line="84" w:lineRule="exact"/>
        <w:rPr>
          <w:rFonts w:ascii="Arial" w:cs="Arial" w:eastAsia="Arial" w:hAnsi="Arial"/>
          <w:sz w:val="18"/>
          <w:szCs w:val="18"/>
          <w:color w:val="auto"/>
        </w:rPr>
      </w:pPr>
    </w:p>
    <w:p>
      <w:pPr>
        <w:ind w:left="1060" w:right="200" w:hanging="190"/>
        <w:spacing w:after="0" w:line="23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and increase engagement. During the year ended December 31, 2020, 40% of active sellers used our seller services. Although revenue from our seller services was approximately five percent of our total revenue for the year ended December 31, 2020, we expect revenue from seller services to grow over time. In 2020, we introduced a new suite of financial services for sellers that offer us attractive growth opportunities. We plan to continue to market the Xometry Pay platform to U.S. sellers, enhance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spacing w:after="0" w:line="239" w:lineRule="auto"/>
        <w:rPr>
          <w:sz w:val="20"/>
          <w:szCs w:val="20"/>
          <w:color w:val="auto"/>
        </w:rPr>
      </w:pPr>
      <w:r>
        <w:rPr>
          <w:rFonts w:ascii="Arial" w:cs="Arial" w:eastAsia="Arial" w:hAnsi="Arial"/>
          <w:sz w:val="18"/>
          <w:szCs w:val="18"/>
          <w:color w:val="auto"/>
        </w:rPr>
        <w:t>features that allow quicker conversion of purchase orders to cash, and build toward a full-service digital wallet for sellers to use for payouts and purchases.</w:t>
      </w:r>
    </w:p>
    <w:p>
      <w:pPr>
        <w:spacing w:after="0" w:line="87" w:lineRule="exact"/>
        <w:rPr>
          <w:sz w:val="20"/>
          <w:szCs w:val="20"/>
          <w:color w:val="auto"/>
        </w:rPr>
      </w:pPr>
    </w:p>
    <w:p>
      <w:pPr>
        <w:ind w:left="1060" w:right="20" w:hanging="190"/>
        <w:spacing w:after="0" w:line="26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our international expansion. </w:t>
      </w:r>
      <w:r>
        <w:rPr>
          <w:rFonts w:ascii="Arial" w:cs="Arial" w:eastAsia="Arial" w:hAnsi="Arial"/>
          <w:sz w:val="17"/>
          <w:szCs w:val="17"/>
          <w:color w:val="auto"/>
        </w:rPr>
        <w:t>We believe there is significant opportunity in the global manufacturing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marketplace like Xometry.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w:t>
      </w:r>
    </w:p>
    <w:p>
      <w:pPr>
        <w:spacing w:after="0" w:line="69" w:lineRule="exact"/>
        <w:rPr>
          <w:rFonts w:ascii="Arial" w:cs="Arial" w:eastAsia="Arial" w:hAnsi="Arial"/>
          <w:sz w:val="17"/>
          <w:szCs w:val="17"/>
          <w:color w:val="auto"/>
        </w:rPr>
      </w:pPr>
    </w:p>
    <w:p>
      <w:pPr>
        <w:ind w:left="1060" w:right="100" w:hanging="190"/>
        <w:spacing w:after="0" w:line="265"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for targeted investments and acquisitions to strengthen our competitive position and processes.</w:t>
      </w:r>
    </w:p>
    <w:p>
      <w:pPr>
        <w:spacing w:after="0" w:line="26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 Factors Summary</w:t>
      </w:r>
    </w:p>
    <w:p>
      <w:pPr>
        <w:spacing w:after="0" w:line="230" w:lineRule="exact"/>
        <w:rPr>
          <w:sz w:val="20"/>
          <w:szCs w:val="20"/>
          <w:color w:val="auto"/>
        </w:rPr>
      </w:pPr>
    </w:p>
    <w:p>
      <w:pPr>
        <w:ind w:left="340" w:right="220" w:firstLine="527"/>
        <w:spacing w:after="0" w:line="237" w:lineRule="auto"/>
        <w:rPr>
          <w:sz w:val="20"/>
          <w:szCs w:val="20"/>
          <w:color w:val="auto"/>
        </w:rPr>
      </w:pPr>
      <w:r>
        <w:rPr>
          <w:rFonts w:ascii="Arial" w:cs="Arial" w:eastAsia="Arial" w:hAnsi="Arial"/>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91" w:lineRule="exact"/>
        <w:rPr>
          <w:sz w:val="20"/>
          <w:szCs w:val="20"/>
          <w:color w:val="auto"/>
        </w:rPr>
      </w:pPr>
    </w:p>
    <w:p>
      <w:pPr>
        <w:ind w:left="1060" w:right="62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have incurred net losses in the past, expect to incur net losses in the future and may never achieve or maintain profitability.</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not continue to grow on pace with historical rates.</w:t>
      </w:r>
    </w:p>
    <w:p>
      <w:pPr>
        <w:spacing w:after="0" w:line="113" w:lineRule="exact"/>
        <w:rPr>
          <w:rFonts w:ascii="Arial" w:cs="Arial" w:eastAsia="Arial" w:hAnsi="Arial"/>
          <w:sz w:val="18"/>
          <w:szCs w:val="18"/>
          <w:color w:val="auto"/>
        </w:rPr>
      </w:pPr>
    </w:p>
    <w:p>
      <w:pPr>
        <w:ind w:left="1060" w:right="54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we are unable to manage the anticipated growth of our business, our future revenue and operating results may be adversely affected.</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operating results may fluctuate from quarter to quarter, which makes our future results difficult to predict.</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growth depends on our ability to attract and retain a large community of buyers and sellers.</w:t>
      </w:r>
    </w:p>
    <w:p>
      <w:pPr>
        <w:spacing w:after="0" w:line="113" w:lineRule="exact"/>
        <w:rPr>
          <w:rFonts w:ascii="Arial" w:cs="Arial" w:eastAsia="Arial" w:hAnsi="Arial"/>
          <w:sz w:val="18"/>
          <w:szCs w:val="18"/>
          <w:i w:val="1"/>
          <w:iCs w:val="1"/>
          <w:color w:val="auto"/>
        </w:rPr>
      </w:pPr>
    </w:p>
    <w:p>
      <w:pPr>
        <w:ind w:left="1060" w:right="42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73" w:lineRule="exact"/>
        <w:rPr>
          <w:rFonts w:ascii="Arial" w:cs="Arial" w:eastAsia="Arial" w:hAnsi="Arial"/>
          <w:sz w:val="18"/>
          <w:szCs w:val="18"/>
          <w:color w:val="auto"/>
        </w:rPr>
      </w:pPr>
    </w:p>
    <w:p>
      <w:pPr>
        <w:ind w:left="1060" w:right="6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we fail to maintain and improve the quality of our platform, customer support and ancillary services available through our platform, we may not be able to attract and retain buyers and sellers.</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provide quality assurance to buyers.</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business model involves our agreeing to pricing with a buyer in advance of sourcing the opportunity to a seller.</w:t>
      </w:r>
    </w:p>
    <w:p>
      <w:pPr>
        <w:spacing w:after="0" w:line="113" w:lineRule="exact"/>
        <w:rPr>
          <w:rFonts w:ascii="Arial" w:cs="Arial" w:eastAsia="Arial" w:hAnsi="Arial"/>
          <w:sz w:val="18"/>
          <w:szCs w:val="18"/>
          <w:color w:val="auto"/>
        </w:rPr>
      </w:pPr>
    </w:p>
    <w:p>
      <w:pPr>
        <w:ind w:left="1060" w:right="54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or our third-party partners or service providers may experience a security breach, including unauthorized parties obtaining access to buyers’ confidential information.</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Failure to deal effectively with bad actors engaging on our marketplace or platform could harm our business.</w:t>
      </w:r>
    </w:p>
    <w:p>
      <w:pPr>
        <w:spacing w:after="0" w:line="113"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be subject to disputes between sellers and suppliers on our platform.</w:t>
      </w:r>
    </w:p>
    <w:p>
      <w:pPr>
        <w:spacing w:after="0" w:line="113" w:lineRule="exact"/>
        <w:rPr>
          <w:rFonts w:ascii="Arial" w:cs="Arial" w:eastAsia="Arial" w:hAnsi="Arial"/>
          <w:sz w:val="18"/>
          <w:szCs w:val="18"/>
          <w:color w:val="auto"/>
        </w:rPr>
      </w:pPr>
    </w:p>
    <w:p>
      <w:pPr>
        <w:ind w:left="1060" w:right="460" w:hanging="190"/>
        <w:spacing w:after="0" w:line="260"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rely on a third-party payment processor to process payments made by buyers and payments made to sellers and suppliers.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320" w:top="456" w:right="8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15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200" cy="591502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third parties to fulfill buyer orders.</w:t>
      </w:r>
    </w:p>
    <w:p>
      <w:pPr>
        <w:spacing w:after="0" w:line="113" w:lineRule="exact"/>
        <w:rPr>
          <w:rFonts w:ascii="Arial" w:cs="Arial" w:eastAsia="Arial" w:hAnsi="Arial"/>
          <w:sz w:val="18"/>
          <w:szCs w:val="18"/>
          <w:color w:val="auto"/>
        </w:rPr>
      </w:pPr>
    </w:p>
    <w:p>
      <w:pPr>
        <w:ind w:left="1060" w:right="42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face significant competition and expect to face increasing competition in many aspects of our business, which could cause our operating results to suffer.</w:t>
      </w:r>
    </w:p>
    <w:p>
      <w:pPr>
        <w:spacing w:after="0" w:line="73" w:lineRule="exact"/>
        <w:rPr>
          <w:rFonts w:ascii="Arial" w:cs="Arial" w:eastAsia="Arial" w:hAnsi="Arial"/>
          <w:sz w:val="18"/>
          <w:szCs w:val="18"/>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may not effectively expand into markets outside the United States.</w:t>
      </w:r>
    </w:p>
    <w:p>
      <w:pPr>
        <w:spacing w:after="0" w:line="113" w:lineRule="exact"/>
        <w:rPr>
          <w:rFonts w:ascii="Arial" w:cs="Arial" w:eastAsia="Arial" w:hAnsi="Arial"/>
          <w:sz w:val="18"/>
          <w:szCs w:val="18"/>
          <w:color w:val="auto"/>
        </w:rPr>
      </w:pPr>
    </w:p>
    <w:p>
      <w:pPr>
        <w:ind w:left="1060" w:right="16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ongoing COVID-19 pandemic and measures intended to prevent its spread have had a material effect on our business and results of operations.</w:t>
      </w:r>
    </w:p>
    <w:p>
      <w:pPr>
        <w:spacing w:after="0" w:line="73" w:lineRule="exact"/>
        <w:rPr>
          <w:rFonts w:ascii="Arial" w:cs="Arial" w:eastAsia="Arial" w:hAnsi="Arial"/>
          <w:sz w:val="18"/>
          <w:szCs w:val="18"/>
          <w:color w:val="auto"/>
        </w:rPr>
      </w:pPr>
    </w:p>
    <w:p>
      <w:pPr>
        <w:ind w:left="1060" w:right="140" w:hanging="190"/>
        <w:spacing w:after="0" w:line="290"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49" w:lineRule="exact"/>
        <w:rPr>
          <w:rFonts w:ascii="Arial" w:cs="Arial" w:eastAsia="Arial" w:hAnsi="Arial"/>
          <w:sz w:val="17"/>
          <w:szCs w:val="17"/>
          <w:color w:val="auto"/>
        </w:rPr>
      </w:pPr>
    </w:p>
    <w:p>
      <w:pPr>
        <w:ind w:left="1060" w:hanging="19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are subject to stringent and evolving laws and regulations relating to consumer data privacy and data protection.</w:t>
      </w:r>
    </w:p>
    <w:p>
      <w:pPr>
        <w:spacing w:after="0" w:line="113" w:lineRule="exact"/>
        <w:rPr>
          <w:rFonts w:ascii="Arial" w:cs="Arial" w:eastAsia="Arial" w:hAnsi="Arial"/>
          <w:sz w:val="18"/>
          <w:szCs w:val="18"/>
          <w:color w:val="auto"/>
        </w:rPr>
      </w:pPr>
    </w:p>
    <w:p>
      <w:pPr>
        <w:ind w:left="1060" w:right="36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Our intellectual property and proprietary rights are valuable, and any inability to obtain, maintain, protect or enforce them could substantially harm our business, products, services, and brand.</w:t>
      </w:r>
    </w:p>
    <w:p>
      <w:pPr>
        <w:spacing w:after="0" w:line="73" w:lineRule="exact"/>
        <w:rPr>
          <w:rFonts w:ascii="Arial" w:cs="Arial" w:eastAsia="Arial" w:hAnsi="Arial"/>
          <w:sz w:val="18"/>
          <w:szCs w:val="18"/>
          <w:color w:val="auto"/>
        </w:rPr>
      </w:pPr>
    </w:p>
    <w:p>
      <w:pPr>
        <w:ind w:left="1060" w:right="4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could incur substantial costs and other harms as a result of any claim of infringement, misappropriation or other violation of another party’s intellectual property or proprietary rights.</w:t>
      </w:r>
    </w:p>
    <w:p>
      <w:pPr>
        <w:spacing w:after="0" w:line="73" w:lineRule="exact"/>
        <w:rPr>
          <w:rFonts w:ascii="Arial" w:cs="Arial" w:eastAsia="Arial" w:hAnsi="Arial"/>
          <w:sz w:val="18"/>
          <w:szCs w:val="18"/>
          <w:color w:val="auto"/>
        </w:rPr>
      </w:pPr>
    </w:p>
    <w:p>
      <w:pPr>
        <w:ind w:left="1060" w:right="440" w:hanging="190"/>
        <w:spacing w:after="0" w:line="26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27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Corporate Information</w:t>
      </w: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We were incorporated in 2013 under the name NextLine Manufacturing Corp. We changed our name to Xometry, Inc. on</w:t>
      </w:r>
    </w:p>
    <w:p>
      <w:pPr>
        <w:ind w:left="340"/>
        <w:spacing w:after="0" w:line="235" w:lineRule="auto"/>
        <w:rPr>
          <w:sz w:val="20"/>
          <w:szCs w:val="20"/>
          <w:color w:val="auto"/>
        </w:rPr>
      </w:pPr>
      <w:r>
        <w:rPr>
          <w:rFonts w:ascii="Arial" w:cs="Arial" w:eastAsia="Arial" w:hAnsi="Arial"/>
          <w:sz w:val="18"/>
          <w:szCs w:val="18"/>
          <w:color w:val="auto"/>
        </w:rPr>
        <w:t>June 29, 2015. Our principal executive offices are located at 7529 Standish Place, Suite 200, Derwood, MD 20855, and our telephone number is (240) 335-7914. Our website address is www.xometry.com. Information contained on, or that can be accessed through, our website is not incorporated by reference into this prospectus, is an inactive textual reference only, and you should not consider information on our website to be part of this prospectus or in deciding whether or not to purchase our Class A common stock offered in this offering.</w:t>
      </w:r>
    </w:p>
    <w:p>
      <w:pPr>
        <w:spacing w:after="0" w:line="201" w:lineRule="exact"/>
        <w:rPr>
          <w:sz w:val="20"/>
          <w:szCs w:val="20"/>
          <w:color w:val="auto"/>
        </w:rPr>
      </w:pPr>
    </w:p>
    <w:p>
      <w:pPr>
        <w:ind w:left="340" w:right="140" w:firstLine="527"/>
        <w:spacing w:after="0" w:line="237" w:lineRule="auto"/>
        <w:rPr>
          <w:sz w:val="20"/>
          <w:szCs w:val="20"/>
          <w:color w:val="auto"/>
        </w:rPr>
      </w:pPr>
      <w:r>
        <w:rPr>
          <w:rFonts w:ascii="Arial" w:cs="Arial" w:eastAsia="Arial" w:hAnsi="Arial"/>
          <w:sz w:val="18"/>
          <w:szCs w:val="18"/>
          <w:color w:val="auto"/>
        </w:rPr>
        <w:t>“Xometry</w:t>
      </w:r>
      <w:r>
        <w:rPr>
          <w:rFonts w:ascii="Arial" w:cs="Arial" w:eastAsia="Arial" w:hAnsi="Arial"/>
          <w:sz w:val="15"/>
          <w:szCs w:val="15"/>
          <w:color w:val="auto"/>
        </w:rPr>
        <w:t>®</w:t>
      </w:r>
      <w:r>
        <w:rPr>
          <w:rFonts w:ascii="Arial" w:cs="Arial" w:eastAsia="Arial" w:hAnsi="Arial"/>
          <w:sz w:val="18"/>
          <w:szCs w:val="18"/>
          <w:color w:val="auto"/>
        </w:rPr>
        <w:t xml:space="preserve">” and our other registered and common law trade names, trademarks and service marks are the property of Xometry, Inc. or our subsidiaries. Other trade names, trademarks and service marks used in this prospectus are the property of their respective owners.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 xml:space="preserve">TM </w:t>
      </w:r>
      <w:r>
        <w:rPr>
          <w:rFonts w:ascii="Arial" w:cs="Arial" w:eastAsia="Arial" w:hAnsi="Arial"/>
          <w:sz w:val="17"/>
          <w:szCs w:val="17"/>
          <w:color w:val="auto"/>
        </w:rPr>
        <w:t>symbols.</w:t>
      </w:r>
    </w:p>
    <w:p>
      <w:pPr>
        <w:spacing w:after="0" w:line="28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0" w:lineRule="exact"/>
        <w:rPr>
          <w:sz w:val="20"/>
          <w:szCs w:val="20"/>
          <w:color w:val="auto"/>
        </w:rPr>
      </w:pPr>
    </w:p>
    <w:p>
      <w:pPr>
        <w:ind w:left="340" w:right="100" w:firstLine="527"/>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6"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008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200" cy="20085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right="40"/>
        <w:spacing w:after="0" w:line="235" w:lineRule="auto"/>
        <w:rPr>
          <w:sz w:val="20"/>
          <w:szCs w:val="20"/>
          <w:color w:val="auto"/>
        </w:rPr>
      </w:pPr>
      <w:r>
        <w:rPr>
          <w:rFonts w:ascii="Arial" w:cs="Arial" w:eastAsia="Arial" w:hAnsi="Arial"/>
          <w:sz w:val="18"/>
          <w:szCs w:val="18"/>
          <w:color w:val="auto"/>
        </w:rPr>
        <w:t>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204" w:lineRule="exact"/>
        <w:rPr>
          <w:sz w:val="20"/>
          <w:szCs w:val="20"/>
          <w:color w:val="auto"/>
        </w:rPr>
      </w:pPr>
    </w:p>
    <w:p>
      <w:pPr>
        <w:ind w:left="340" w:firstLine="527"/>
        <w:spacing w:after="0" w:line="235" w:lineRule="auto"/>
        <w:rPr>
          <w:sz w:val="20"/>
          <w:szCs w:val="20"/>
          <w:color w:val="auto"/>
        </w:rPr>
      </w:pPr>
      <w:r>
        <w:rPr>
          <w:rFonts w:ascii="Arial" w:cs="Arial" w:eastAsia="Arial" w:hAnsi="Arial"/>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$1.0 billion in non-convertible debt securities; and (4) the last day of the fiscal year in which the market value of our Class A common stock held by non-affiliates is more than $700 million as of June 30 of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6"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235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4200" cy="52355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60"/>
        <w:spacing w:after="0"/>
        <w:tabs>
          <w:tab w:leader="none" w:pos="640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7"/>
          <w:szCs w:val="17"/>
          <w:color w:val="auto"/>
        </w:rPr>
        <w:t>shares</w:t>
      </w:r>
    </w:p>
    <w:p>
      <w:pPr>
        <w:spacing w:after="0" w:line="81" w:lineRule="exact"/>
        <w:rPr>
          <w:sz w:val="20"/>
          <w:szCs w:val="20"/>
          <w:color w:val="auto"/>
        </w:rPr>
      </w:pPr>
    </w:p>
    <w:p>
      <w:pPr>
        <w:ind w:left="360"/>
        <w:spacing w:after="0"/>
        <w:tabs>
          <w:tab w:leader="none" w:pos="6400" w:val="left"/>
          <w:tab w:leader="none" w:pos="778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7"/>
          <w:szCs w:val="17"/>
          <w:color w:val="auto"/>
        </w:rPr>
        <w:t>shares if the underwriters exercise</w:t>
      </w:r>
    </w:p>
    <w:p>
      <w:pPr>
        <w:ind w:left="5820"/>
        <w:spacing w:after="0"/>
        <w:rPr>
          <w:sz w:val="20"/>
          <w:szCs w:val="20"/>
          <w:color w:val="auto"/>
        </w:rPr>
      </w:pPr>
      <w:r>
        <w:rPr>
          <w:rFonts w:ascii="Arial" w:cs="Arial" w:eastAsia="Arial" w:hAnsi="Arial"/>
          <w:sz w:val="18"/>
          <w:szCs w:val="18"/>
          <w:color w:val="auto"/>
        </w:rPr>
        <w:t>their option to purchase additional shares in full)</w:t>
      </w:r>
    </w:p>
    <w:p>
      <w:pPr>
        <w:spacing w:after="0" w:line="74" w:lineRule="exact"/>
        <w:rPr>
          <w:sz w:val="20"/>
          <w:szCs w:val="20"/>
          <w:color w:val="auto"/>
        </w:rPr>
      </w:pPr>
    </w:p>
    <w:p>
      <w:pPr>
        <w:ind w:left="360"/>
        <w:spacing w:after="0"/>
        <w:tabs>
          <w:tab w:leader="none" w:pos="640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7"/>
          <w:szCs w:val="17"/>
          <w:color w:val="auto"/>
        </w:rPr>
        <w:t>shares</w:t>
      </w:r>
    </w:p>
    <w:p>
      <w:pPr>
        <w:spacing w:after="0" w:line="81" w:lineRule="exact"/>
        <w:rPr>
          <w:sz w:val="20"/>
          <w:szCs w:val="20"/>
          <w:color w:val="auto"/>
        </w:rPr>
      </w:pPr>
    </w:p>
    <w:p>
      <w:pPr>
        <w:ind w:left="360"/>
        <w:spacing w:after="0"/>
        <w:tabs>
          <w:tab w:leader="none" w:pos="6400" w:val="left"/>
        </w:tabs>
        <w:rPr>
          <w:sz w:val="20"/>
          <w:szCs w:val="20"/>
          <w:color w:val="auto"/>
        </w:rPr>
      </w:pPr>
      <w:r>
        <w:rPr>
          <w:rFonts w:ascii="Arial" w:cs="Arial" w:eastAsia="Arial" w:hAnsi="Arial"/>
          <w:sz w:val="18"/>
          <w:szCs w:val="18"/>
          <w:color w:val="auto"/>
        </w:rPr>
        <w:t>Underwriters’ option to purchase additional shares of Class A</w:t>
      </w:r>
      <w:r>
        <w:rPr>
          <w:sz w:val="20"/>
          <w:szCs w:val="20"/>
          <w:color w:val="auto"/>
        </w:rPr>
        <w:tab/>
      </w:r>
      <w:r>
        <w:rPr>
          <w:rFonts w:ascii="Arial" w:cs="Arial" w:eastAsia="Arial" w:hAnsi="Arial"/>
          <w:sz w:val="17"/>
          <w:szCs w:val="17"/>
          <w:color w:val="auto"/>
        </w:rPr>
        <w:t>shares</w:t>
      </w:r>
    </w:p>
    <w:p>
      <w:pPr>
        <w:ind w:left="460"/>
        <w:spacing w:after="0"/>
        <w:rPr>
          <w:sz w:val="20"/>
          <w:szCs w:val="20"/>
          <w:color w:val="auto"/>
        </w:rPr>
      </w:pPr>
      <w:r>
        <w:rPr>
          <w:rFonts w:ascii="Arial" w:cs="Arial" w:eastAsia="Arial" w:hAnsi="Arial"/>
          <w:sz w:val="18"/>
          <w:szCs w:val="18"/>
          <w:color w:val="auto"/>
        </w:rPr>
        <w:t>common stock offered by us</w:t>
      </w:r>
    </w:p>
    <w:p>
      <w:pPr>
        <w:sectPr>
          <w:pgSz w:w="11900" w:h="16838" w:orient="portrait"/>
          <w:cols w:equalWidth="0" w:num="1">
            <w:col w:w="10860"/>
          </w:cols>
          <w:pgMar w:left="320" w:top="456" w:right="719" w:bottom="1440" w:gutter="0" w:footer="0" w:header="0"/>
        </w:sectPr>
      </w:pPr>
    </w:p>
    <w:p>
      <w:pPr>
        <w:spacing w:after="0" w:line="87" w:lineRule="exact"/>
        <w:rPr>
          <w:sz w:val="20"/>
          <w:szCs w:val="20"/>
          <w:color w:val="auto"/>
        </w:rPr>
      </w:pPr>
    </w:p>
    <w:p>
      <w:pPr>
        <w:ind w:left="460" w:hanging="106"/>
        <w:spacing w:after="0" w:line="239"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340" w:firstLine="594"/>
        <w:spacing w:after="0" w:line="239"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83"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We estimate that our net proceeds from the sale of our Class A common stock that we are offering will be approximately</w:t>
      </w:r>
    </w:p>
    <w:p>
      <w:pPr>
        <w:spacing w:after="0" w:line="1" w:lineRule="exact"/>
        <w:rPr>
          <w:sz w:val="20"/>
          <w:szCs w:val="20"/>
          <w:color w:val="auto"/>
        </w:rPr>
      </w:pPr>
    </w:p>
    <w:p>
      <w:pPr>
        <w:ind w:right="220"/>
        <w:spacing w:after="0" w:line="232" w:lineRule="auto"/>
        <w:rPr>
          <w:sz w:val="20"/>
          <w:szCs w:val="20"/>
          <w:color w:val="auto"/>
        </w:rPr>
      </w:pPr>
      <w:r>
        <w:rPr>
          <w:rFonts w:ascii="Arial" w:cs="Arial" w:eastAsia="Arial" w:hAnsi="Arial"/>
          <w:sz w:val="18"/>
          <w:szCs w:val="18"/>
          <w:color w:val="auto"/>
        </w:rPr>
        <w:t>$ million (or approximately $ million if the underwriters’ option to purchase additional shares of our Class A common stock from us is exercised in full), assuming</w:t>
      </w:r>
    </w:p>
    <w:p>
      <w:pPr>
        <w:spacing w:after="0" w:line="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 initial public offering price of $ per share, the midpoint of the estimated price range set forth on the cover page of this prospectus, and after deducting estimated underwriting discounts and commissions and estimated offering expenses.</w:t>
      </w:r>
    </w:p>
    <w:p>
      <w:pPr>
        <w:spacing w:after="0" w:line="6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will also use a portion of the net proceeds from this offering to repay our outstanding indebtedness under our Amended Loan and Security Agreement (as defined in the section titled “Management’s Discussion of Financial and Analysis of Financial Condition and Results of Operations—Liquidity and Capital Resources—Term Loan Facility”), which matures on May 1, 2022 under which $15.8 million was outstanding at an annual interest rate of 8.7% as of March 31, 2021. In addition, we may also use a</w:t>
      </w:r>
    </w:p>
    <w:p>
      <w:pPr>
        <w:spacing w:after="0" w:line="200" w:lineRule="exact"/>
        <w:rPr>
          <w:sz w:val="20"/>
          <w:szCs w:val="20"/>
          <w:color w:val="auto"/>
        </w:rPr>
      </w:pPr>
    </w:p>
    <w:p>
      <w:pPr>
        <w:sectPr>
          <w:pgSz w:w="11900" w:h="16838" w:orient="portrait"/>
          <w:cols w:equalWidth="0" w:num="2">
            <w:col w:w="5240" w:space="580"/>
            <w:col w:w="5040"/>
          </w:cols>
          <w:pgMar w:left="320" w:top="456" w:right="71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60"/>
          </w:cols>
          <w:pgMar w:left="320" w:top="456" w:right="7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390"/>
        </w:trPr>
        <w:tc>
          <w:tcPr>
            <w:tcW w:w="3860" w:type="dxa"/>
            <w:vAlign w:val="bottom"/>
            <w:tcBorders>
              <w:top w:val="single" w:sz="8" w:color="auto"/>
              <w:left w:val="single" w:sz="8" w:color="auto"/>
            </w:tcBorders>
          </w:tcPr>
          <w:p>
            <w:pPr>
              <w:spacing w:after="0"/>
              <w:rPr>
                <w:sz w:val="24"/>
                <w:szCs w:val="24"/>
                <w:color w:val="auto"/>
              </w:rPr>
            </w:pPr>
          </w:p>
        </w:tc>
        <w:tc>
          <w:tcPr>
            <w:tcW w:w="7060" w:type="dxa"/>
            <w:vAlign w:val="bottom"/>
            <w:tcBorders>
              <w:top w:val="single" w:sz="8" w:color="auto"/>
              <w:right w:val="single" w:sz="8" w:color="auto"/>
            </w:tcBorders>
            <w:gridSpan w:val="2"/>
          </w:tcPr>
          <w:p>
            <w:pPr>
              <w:ind w:left="1800"/>
              <w:spacing w:after="0"/>
              <w:rPr>
                <w:sz w:val="20"/>
                <w:szCs w:val="20"/>
                <w:color w:val="auto"/>
              </w:rPr>
            </w:pPr>
            <w:r>
              <w:rPr>
                <w:rFonts w:ascii="Arial" w:cs="Arial" w:eastAsia="Arial" w:hAnsi="Arial"/>
                <w:sz w:val="18"/>
                <w:szCs w:val="18"/>
                <w:color w:val="auto"/>
              </w:rPr>
              <w:t>portion of the net proceeds from this offering to acquire</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complementary businesses, products, services or technologies.</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However, we do not have agreements or commitments to enter</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into any acquisitions at this time. See the section titled “Use of</w:t>
            </w:r>
          </w:p>
        </w:tc>
      </w:tr>
      <w:tr>
        <w:trPr>
          <w:trHeight w:val="213"/>
        </w:trPr>
        <w:tc>
          <w:tcPr>
            <w:tcW w:w="3860" w:type="dxa"/>
            <w:vAlign w:val="bottom"/>
            <w:tcBorders>
              <w:left w:val="single" w:sz="8" w:color="auto"/>
            </w:tcBorders>
          </w:tcPr>
          <w:p>
            <w:pPr>
              <w:spacing w:after="0"/>
              <w:rPr>
                <w:sz w:val="18"/>
                <w:szCs w:val="18"/>
                <w:color w:val="auto"/>
              </w:rPr>
            </w:pPr>
          </w:p>
        </w:tc>
        <w:tc>
          <w:tcPr>
            <w:tcW w:w="5100" w:type="dxa"/>
            <w:vAlign w:val="bottom"/>
          </w:tcPr>
          <w:p>
            <w:pPr>
              <w:ind w:left="1800"/>
              <w:spacing w:after="0"/>
              <w:rPr>
                <w:sz w:val="20"/>
                <w:szCs w:val="20"/>
                <w:color w:val="auto"/>
              </w:rPr>
            </w:pPr>
            <w:r>
              <w:rPr>
                <w:rFonts w:ascii="Arial" w:cs="Arial" w:eastAsia="Arial" w:hAnsi="Arial"/>
                <w:sz w:val="18"/>
                <w:szCs w:val="18"/>
                <w:color w:val="auto"/>
              </w:rPr>
              <w:t>Proceeds” for additional information.</w:t>
            </w:r>
          </w:p>
        </w:tc>
        <w:tc>
          <w:tcPr>
            <w:tcW w:w="1960" w:type="dxa"/>
            <w:vAlign w:val="bottom"/>
            <w:tcBorders>
              <w:right w:val="single" w:sz="8" w:color="auto"/>
            </w:tcBorders>
          </w:tcPr>
          <w:p>
            <w:pPr>
              <w:spacing w:after="0"/>
              <w:rPr>
                <w:sz w:val="18"/>
                <w:szCs w:val="18"/>
                <w:color w:val="auto"/>
              </w:rPr>
            </w:pPr>
          </w:p>
        </w:tc>
      </w:tr>
      <w:tr>
        <w:trPr>
          <w:trHeight w:val="281"/>
        </w:trPr>
        <w:tc>
          <w:tcPr>
            <w:tcW w:w="3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Voting rights</w:t>
            </w:r>
          </w:p>
        </w:tc>
        <w:tc>
          <w:tcPr>
            <w:tcW w:w="7060" w:type="dxa"/>
            <w:vAlign w:val="bottom"/>
            <w:tcBorders>
              <w:right w:val="single" w:sz="8" w:color="auto"/>
            </w:tcBorders>
            <w:gridSpan w:val="2"/>
          </w:tcPr>
          <w:p>
            <w:pPr>
              <w:ind w:left="1800"/>
              <w:spacing w:after="0"/>
              <w:rPr>
                <w:sz w:val="20"/>
                <w:szCs w:val="20"/>
                <w:color w:val="auto"/>
              </w:rPr>
            </w:pPr>
            <w:r>
              <w:rPr>
                <w:rFonts w:ascii="Arial" w:cs="Arial" w:eastAsia="Arial" w:hAnsi="Arial"/>
                <w:sz w:val="18"/>
                <w:szCs w:val="18"/>
                <w:color w:val="auto"/>
              </w:rPr>
              <w:t>Following this offering, we will have two classes of common</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stock: Class A common stock and Class B common stock.</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Class A common stock is entitled to one vote per share and</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Class B common stock is entitled to 20 votes per share. In</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addition, all shares of Class B common stock will automatically</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convert into shares of Class A common stock in certain</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circumstances, including on the final conversion date, defined</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as the earliest of (a) the first trading day that the outstanding</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shares of Class B common stock represent, in the aggregate,</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less than 5% of the then outstanding common stock, (b) the</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seventh anniversary of this offering, or (c) the date specified by</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the vote of the holders of a majority of the outstanding shares of</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Class B common stock. See the section titled “Description of</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Capital Stock—Class A Common Stock and Class B Common</w:t>
            </w:r>
          </w:p>
        </w:tc>
      </w:tr>
      <w:tr>
        <w:trPr>
          <w:trHeight w:val="213"/>
        </w:trPr>
        <w:tc>
          <w:tcPr>
            <w:tcW w:w="3860" w:type="dxa"/>
            <w:vAlign w:val="bottom"/>
            <w:tcBorders>
              <w:left w:val="single" w:sz="8" w:color="auto"/>
            </w:tcBorders>
          </w:tcPr>
          <w:p>
            <w:pPr>
              <w:spacing w:after="0"/>
              <w:rPr>
                <w:sz w:val="18"/>
                <w:szCs w:val="18"/>
                <w:color w:val="auto"/>
              </w:rPr>
            </w:pPr>
          </w:p>
        </w:tc>
        <w:tc>
          <w:tcPr>
            <w:tcW w:w="5100" w:type="dxa"/>
            <w:vAlign w:val="bottom"/>
          </w:tcPr>
          <w:p>
            <w:pPr>
              <w:ind w:left="1800"/>
              <w:spacing w:after="0"/>
              <w:rPr>
                <w:sz w:val="20"/>
                <w:szCs w:val="20"/>
                <w:color w:val="auto"/>
              </w:rPr>
            </w:pPr>
            <w:r>
              <w:rPr>
                <w:rFonts w:ascii="Arial" w:cs="Arial" w:eastAsia="Arial" w:hAnsi="Arial"/>
                <w:sz w:val="18"/>
                <w:szCs w:val="18"/>
                <w:color w:val="auto"/>
              </w:rPr>
              <w:t>Stock.”</w:t>
            </w:r>
          </w:p>
        </w:tc>
        <w:tc>
          <w:tcPr>
            <w:tcW w:w="1960" w:type="dxa"/>
            <w:vAlign w:val="bottom"/>
            <w:tcBorders>
              <w:right w:val="single" w:sz="8" w:color="auto"/>
            </w:tcBorders>
          </w:tcPr>
          <w:p>
            <w:pPr>
              <w:spacing w:after="0"/>
              <w:rPr>
                <w:sz w:val="18"/>
                <w:szCs w:val="18"/>
                <w:color w:val="auto"/>
              </w:rPr>
            </w:pPr>
          </w:p>
        </w:tc>
      </w:tr>
      <w:tr>
        <w:trPr>
          <w:trHeight w:val="268"/>
        </w:trPr>
        <w:tc>
          <w:tcPr>
            <w:tcW w:w="3860" w:type="dxa"/>
            <w:vAlign w:val="bottom"/>
            <w:tcBorders>
              <w:left w:val="single" w:sz="8" w:color="auto"/>
            </w:tcBorders>
          </w:tcPr>
          <w:p>
            <w:pPr>
              <w:spacing w:after="0"/>
              <w:rPr>
                <w:sz w:val="23"/>
                <w:szCs w:val="23"/>
                <w:color w:val="auto"/>
              </w:rPr>
            </w:pPr>
          </w:p>
        </w:tc>
        <w:tc>
          <w:tcPr>
            <w:tcW w:w="7060" w:type="dxa"/>
            <w:vAlign w:val="bottom"/>
            <w:tcBorders>
              <w:right w:val="single" w:sz="8" w:color="auto"/>
            </w:tcBorders>
            <w:gridSpan w:val="2"/>
          </w:tcPr>
          <w:p>
            <w:pPr>
              <w:ind w:left="1800"/>
              <w:spacing w:after="0"/>
              <w:rPr>
                <w:sz w:val="20"/>
                <w:szCs w:val="20"/>
                <w:color w:val="auto"/>
              </w:rPr>
            </w:pPr>
            <w:r>
              <w:rPr>
                <w:rFonts w:ascii="Arial" w:cs="Arial" w:eastAsia="Arial" w:hAnsi="Arial"/>
                <w:sz w:val="18"/>
                <w:szCs w:val="18"/>
                <w:color w:val="auto"/>
              </w:rPr>
              <w:t>Holders of Class A common stock and Class B common stock</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will generally vote together as a single class, unless otherwise</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required by law or our amended and restated certificate of</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incorporation that will be in effect on the completion of this</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offering. Immediately following the completion of this offering, all</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shares of our Class B common stock will be held by Randolph</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Altschuler, our Chief Executive Officer and Co-Founder, and</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Laurence Zuriff, our Chief Strategy Officer and Co-Founder. The</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holders of our Class B common stock will hold approximately</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2000"/>
              <w:spacing w:after="0" w:line="201" w:lineRule="exact"/>
              <w:rPr>
                <w:sz w:val="20"/>
                <w:szCs w:val="20"/>
                <w:color w:val="auto"/>
              </w:rPr>
            </w:pPr>
            <w:r>
              <w:rPr>
                <w:rFonts w:ascii="Arial" w:cs="Arial" w:eastAsia="Arial" w:hAnsi="Arial"/>
                <w:sz w:val="18"/>
                <w:szCs w:val="18"/>
                <w:color w:val="auto"/>
              </w:rPr>
              <w:t>% of the voting power of our capital stock following this</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offering and will have the ability to control the outcome of</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matters submitted to our stockholders for approval, including the</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election of our directors and the approval of any change in</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control transaction. See the sections titled “Principal</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Stockholders” and “Description of Capital Stock” for additional</w:t>
            </w:r>
          </w:p>
        </w:tc>
      </w:tr>
      <w:tr>
        <w:trPr>
          <w:trHeight w:val="213"/>
        </w:trPr>
        <w:tc>
          <w:tcPr>
            <w:tcW w:w="3860" w:type="dxa"/>
            <w:vAlign w:val="bottom"/>
            <w:tcBorders>
              <w:left w:val="single" w:sz="8" w:color="auto"/>
            </w:tcBorders>
          </w:tcPr>
          <w:p>
            <w:pPr>
              <w:spacing w:after="0"/>
              <w:rPr>
                <w:sz w:val="18"/>
                <w:szCs w:val="18"/>
                <w:color w:val="auto"/>
              </w:rPr>
            </w:pPr>
          </w:p>
        </w:tc>
        <w:tc>
          <w:tcPr>
            <w:tcW w:w="5100" w:type="dxa"/>
            <w:vAlign w:val="bottom"/>
          </w:tcPr>
          <w:p>
            <w:pPr>
              <w:ind w:left="1800"/>
              <w:spacing w:after="0"/>
              <w:rPr>
                <w:sz w:val="20"/>
                <w:szCs w:val="20"/>
                <w:color w:val="auto"/>
              </w:rPr>
            </w:pPr>
            <w:r>
              <w:rPr>
                <w:rFonts w:ascii="Arial" w:cs="Arial" w:eastAsia="Arial" w:hAnsi="Arial"/>
                <w:sz w:val="18"/>
                <w:szCs w:val="18"/>
                <w:color w:val="auto"/>
              </w:rPr>
              <w:t>information.</w:t>
            </w:r>
          </w:p>
        </w:tc>
        <w:tc>
          <w:tcPr>
            <w:tcW w:w="1960" w:type="dxa"/>
            <w:vAlign w:val="bottom"/>
            <w:tcBorders>
              <w:right w:val="single" w:sz="8" w:color="auto"/>
            </w:tcBorders>
          </w:tcPr>
          <w:p>
            <w:pPr>
              <w:spacing w:after="0"/>
              <w:rPr>
                <w:sz w:val="18"/>
                <w:szCs w:val="18"/>
                <w:color w:val="auto"/>
              </w:rPr>
            </w:pPr>
          </w:p>
        </w:tc>
      </w:tr>
      <w:tr>
        <w:trPr>
          <w:trHeight w:val="268"/>
        </w:trPr>
        <w:tc>
          <w:tcPr>
            <w:tcW w:w="3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Concentration of ownership</w:t>
            </w:r>
          </w:p>
        </w:tc>
        <w:tc>
          <w:tcPr>
            <w:tcW w:w="7060" w:type="dxa"/>
            <w:vAlign w:val="bottom"/>
            <w:tcBorders>
              <w:right w:val="single" w:sz="8" w:color="auto"/>
            </w:tcBorders>
            <w:gridSpan w:val="2"/>
          </w:tcPr>
          <w:p>
            <w:pPr>
              <w:ind w:left="1800"/>
              <w:spacing w:after="0"/>
              <w:rPr>
                <w:sz w:val="20"/>
                <w:szCs w:val="20"/>
                <w:color w:val="auto"/>
              </w:rPr>
            </w:pPr>
            <w:r>
              <w:rPr>
                <w:rFonts w:ascii="Arial" w:cs="Arial" w:eastAsia="Arial" w:hAnsi="Arial"/>
                <w:sz w:val="18"/>
                <w:szCs w:val="18"/>
                <w:color w:val="auto"/>
              </w:rPr>
              <w:t>Once this offering is completed, the holders of our Class B</w:t>
            </w:r>
          </w:p>
        </w:tc>
      </w:tr>
      <w:tr>
        <w:trPr>
          <w:trHeight w:val="201"/>
        </w:trPr>
        <w:tc>
          <w:tcPr>
            <w:tcW w:w="3860" w:type="dxa"/>
            <w:vAlign w:val="bottom"/>
            <w:tcBorders>
              <w:left w:val="single" w:sz="8" w:color="auto"/>
            </w:tcBorders>
          </w:tcPr>
          <w:p>
            <w:pPr>
              <w:spacing w:after="0"/>
              <w:rPr>
                <w:sz w:val="17"/>
                <w:szCs w:val="17"/>
                <w:color w:val="auto"/>
              </w:rPr>
            </w:pPr>
          </w:p>
        </w:tc>
        <w:tc>
          <w:tcPr>
            <w:tcW w:w="7060" w:type="dxa"/>
            <w:vAlign w:val="bottom"/>
            <w:tcBorders>
              <w:right w:val="single" w:sz="8" w:color="auto"/>
            </w:tcBorders>
            <w:gridSpan w:val="2"/>
          </w:tcPr>
          <w:p>
            <w:pPr>
              <w:ind w:left="1800"/>
              <w:spacing w:after="0" w:line="201" w:lineRule="exact"/>
              <w:rPr>
                <w:sz w:val="20"/>
                <w:szCs w:val="20"/>
                <w:color w:val="auto"/>
              </w:rPr>
            </w:pPr>
            <w:r>
              <w:rPr>
                <w:rFonts w:ascii="Arial" w:cs="Arial" w:eastAsia="Arial" w:hAnsi="Arial"/>
                <w:sz w:val="18"/>
                <w:szCs w:val="18"/>
                <w:color w:val="auto"/>
              </w:rPr>
              <w:t>common stock will beneficially own approximately   % of our</w:t>
            </w:r>
          </w:p>
        </w:tc>
      </w:tr>
      <w:tr>
        <w:trPr>
          <w:trHeight w:val="201"/>
        </w:trPr>
        <w:tc>
          <w:tcPr>
            <w:tcW w:w="3860" w:type="dxa"/>
            <w:vAlign w:val="bottom"/>
            <w:tcBorders>
              <w:left w:val="single" w:sz="8" w:color="auto"/>
            </w:tcBorders>
          </w:tcPr>
          <w:p>
            <w:pPr>
              <w:spacing w:after="0"/>
              <w:rPr>
                <w:sz w:val="17"/>
                <w:szCs w:val="17"/>
                <w:color w:val="auto"/>
              </w:rPr>
            </w:pPr>
          </w:p>
        </w:tc>
        <w:tc>
          <w:tcPr>
            <w:tcW w:w="5100" w:type="dxa"/>
            <w:vAlign w:val="bottom"/>
          </w:tcPr>
          <w:p>
            <w:pPr>
              <w:ind w:left="1800"/>
              <w:spacing w:after="0" w:line="201" w:lineRule="exact"/>
              <w:rPr>
                <w:sz w:val="20"/>
                <w:szCs w:val="20"/>
                <w:color w:val="auto"/>
              </w:rPr>
            </w:pPr>
            <w:r>
              <w:rPr>
                <w:rFonts w:ascii="Arial" w:cs="Arial" w:eastAsia="Arial" w:hAnsi="Arial"/>
                <w:sz w:val="18"/>
                <w:szCs w:val="18"/>
                <w:color w:val="auto"/>
              </w:rPr>
              <w:t>capital stock and control approximately</w:t>
            </w:r>
          </w:p>
        </w:tc>
        <w:tc>
          <w:tcPr>
            <w:tcW w:w="196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 of the voting</w:t>
            </w:r>
          </w:p>
        </w:tc>
      </w:tr>
      <w:tr>
        <w:trPr>
          <w:trHeight w:val="213"/>
        </w:trPr>
        <w:tc>
          <w:tcPr>
            <w:tcW w:w="38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gridSpan w:val="2"/>
          </w:tcPr>
          <w:p>
            <w:pPr>
              <w:ind w:left="1800"/>
              <w:spacing w:after="0"/>
              <w:rPr>
                <w:sz w:val="20"/>
                <w:szCs w:val="20"/>
                <w:color w:val="auto"/>
              </w:rPr>
            </w:pPr>
            <w:r>
              <w:rPr>
                <w:rFonts w:ascii="Arial" w:cs="Arial" w:eastAsia="Arial" w:hAnsi="Arial"/>
                <w:sz w:val="18"/>
                <w:szCs w:val="18"/>
                <w:color w:val="auto"/>
              </w:rPr>
              <w:t>power of our capital stock and our executive officers,</w:t>
            </w:r>
          </w:p>
        </w:tc>
      </w:tr>
      <w:tr>
        <w:trPr>
          <w:trHeight w:val="226"/>
        </w:trPr>
        <w:tc>
          <w:tcPr>
            <w:tcW w:w="3860" w:type="dxa"/>
            <w:vAlign w:val="bottom"/>
            <w:tcBorders>
              <w:left w:val="single" w:sz="8" w:color="auto"/>
              <w:bottom w:val="single" w:sz="8" w:color="auto"/>
            </w:tcBorders>
          </w:tcPr>
          <w:p>
            <w:pPr>
              <w:spacing w:after="0"/>
              <w:rPr>
                <w:sz w:val="19"/>
                <w:szCs w:val="19"/>
                <w:color w:val="auto"/>
              </w:rPr>
            </w:pPr>
          </w:p>
        </w:tc>
        <w:tc>
          <w:tcPr>
            <w:tcW w:w="5100" w:type="dxa"/>
            <w:vAlign w:val="bottom"/>
            <w:tcBorders>
              <w:bottom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r>
      <w:tr>
        <w:trPr>
          <w:trHeight w:val="597"/>
        </w:trPr>
        <w:tc>
          <w:tcPr>
            <w:tcW w:w="3860" w:type="dxa"/>
            <w:vAlign w:val="bottom"/>
          </w:tcPr>
          <w:p>
            <w:pPr>
              <w:spacing w:after="0"/>
              <w:rPr>
                <w:sz w:val="24"/>
                <w:szCs w:val="24"/>
                <w:color w:val="auto"/>
              </w:rPr>
            </w:pPr>
          </w:p>
        </w:tc>
        <w:tc>
          <w:tcPr>
            <w:tcW w:w="5100" w:type="dxa"/>
            <w:vAlign w:val="bottom"/>
          </w:tcPr>
          <w:p>
            <w:pPr>
              <w:ind w:left="1500"/>
              <w:spacing w:after="0"/>
              <w:rPr>
                <w:sz w:val="20"/>
                <w:szCs w:val="20"/>
                <w:color w:val="auto"/>
              </w:rPr>
            </w:pPr>
            <w:r>
              <w:rPr>
                <w:rFonts w:ascii="Arial" w:cs="Arial" w:eastAsia="Arial" w:hAnsi="Arial"/>
                <w:sz w:val="18"/>
                <w:szCs w:val="18"/>
                <w:color w:val="auto"/>
              </w:rPr>
              <w:t>12</w:t>
            </w:r>
          </w:p>
        </w:tc>
        <w:tc>
          <w:tcPr>
            <w:tcW w:w="19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664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5566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6480" w:type="dxa"/>
            <w:vAlign w:val="bottom"/>
            <w:gridSpan w:val="5"/>
          </w:tcPr>
          <w:p>
            <w:pPr>
              <w:ind w:left="1420"/>
              <w:spacing w:after="0"/>
              <w:rPr>
                <w:sz w:val="20"/>
                <w:szCs w:val="20"/>
                <w:color w:val="auto"/>
              </w:rPr>
            </w:pPr>
            <w:r>
              <w:rPr>
                <w:rFonts w:ascii="Arial" w:cs="Arial" w:eastAsia="Arial" w:hAnsi="Arial"/>
                <w:sz w:val="18"/>
                <w:szCs w:val="18"/>
                <w:color w:val="auto"/>
              </w:rPr>
              <w:t>directors and stockholders holding more than 5% of our</w:t>
            </w:r>
          </w:p>
        </w:tc>
      </w:tr>
      <w:tr>
        <w:trPr>
          <w:trHeight w:val="201"/>
        </w:trPr>
        <w:tc>
          <w:tcPr>
            <w:tcW w:w="4040" w:type="dxa"/>
            <w:vAlign w:val="bottom"/>
          </w:tcPr>
          <w:p>
            <w:pPr>
              <w:spacing w:after="0"/>
              <w:rPr>
                <w:sz w:val="17"/>
                <w:szCs w:val="17"/>
                <w:color w:val="auto"/>
              </w:rPr>
            </w:pPr>
          </w:p>
        </w:tc>
        <w:tc>
          <w:tcPr>
            <w:tcW w:w="6480" w:type="dxa"/>
            <w:vAlign w:val="bottom"/>
            <w:gridSpan w:val="5"/>
          </w:tcPr>
          <w:p>
            <w:pPr>
              <w:ind w:left="1420"/>
              <w:spacing w:after="0" w:line="201" w:lineRule="exact"/>
              <w:rPr>
                <w:sz w:val="20"/>
                <w:szCs w:val="20"/>
                <w:color w:val="auto"/>
              </w:rPr>
            </w:pPr>
            <w:r>
              <w:rPr>
                <w:rFonts w:ascii="Arial" w:cs="Arial" w:eastAsia="Arial" w:hAnsi="Arial"/>
                <w:sz w:val="18"/>
                <w:szCs w:val="18"/>
                <w:color w:val="auto"/>
                <w:w w:val="99"/>
              </w:rPr>
              <w:t>outstanding shares, together with their affiliates, will beneficially</w:t>
            </w:r>
          </w:p>
        </w:tc>
      </w:tr>
      <w:tr>
        <w:trPr>
          <w:trHeight w:val="201"/>
        </w:trPr>
        <w:tc>
          <w:tcPr>
            <w:tcW w:w="4040" w:type="dxa"/>
            <w:vAlign w:val="bottom"/>
          </w:tcPr>
          <w:p>
            <w:pPr>
              <w:spacing w:after="0"/>
              <w:rPr>
                <w:sz w:val="17"/>
                <w:szCs w:val="17"/>
                <w:color w:val="auto"/>
              </w:rPr>
            </w:pPr>
          </w:p>
        </w:tc>
        <w:tc>
          <w:tcPr>
            <w:tcW w:w="4560" w:type="dxa"/>
            <w:vAlign w:val="bottom"/>
            <w:gridSpan w:val="2"/>
          </w:tcPr>
          <w:p>
            <w:pPr>
              <w:ind w:left="1420"/>
              <w:spacing w:after="0" w:line="201" w:lineRule="exact"/>
              <w:rPr>
                <w:sz w:val="20"/>
                <w:szCs w:val="20"/>
                <w:color w:val="auto"/>
              </w:rPr>
            </w:pPr>
            <w:r>
              <w:rPr>
                <w:rFonts w:ascii="Arial" w:cs="Arial" w:eastAsia="Arial" w:hAnsi="Arial"/>
                <w:sz w:val="18"/>
                <w:szCs w:val="18"/>
                <w:color w:val="auto"/>
              </w:rPr>
              <w:t>own, in the aggregate, approximately</w:t>
            </w:r>
          </w:p>
        </w:tc>
        <w:tc>
          <w:tcPr>
            <w:tcW w:w="1920" w:type="dxa"/>
            <w:vAlign w:val="bottom"/>
            <w:gridSpan w:val="3"/>
          </w:tcPr>
          <w:p>
            <w:pPr>
              <w:ind w:left="220"/>
              <w:spacing w:after="0" w:line="201" w:lineRule="exact"/>
              <w:rPr>
                <w:sz w:val="20"/>
                <w:szCs w:val="20"/>
                <w:color w:val="auto"/>
              </w:rPr>
            </w:pPr>
            <w:r>
              <w:rPr>
                <w:rFonts w:ascii="Arial" w:cs="Arial" w:eastAsia="Arial" w:hAnsi="Arial"/>
                <w:sz w:val="18"/>
                <w:szCs w:val="18"/>
                <w:color w:val="auto"/>
                <w:w w:val="98"/>
              </w:rPr>
              <w:t>% of our capital stock</w:t>
            </w:r>
          </w:p>
        </w:tc>
      </w:tr>
      <w:tr>
        <w:trPr>
          <w:trHeight w:val="201"/>
        </w:trPr>
        <w:tc>
          <w:tcPr>
            <w:tcW w:w="4040" w:type="dxa"/>
            <w:vAlign w:val="bottom"/>
          </w:tcPr>
          <w:p>
            <w:pPr>
              <w:spacing w:after="0"/>
              <w:rPr>
                <w:sz w:val="17"/>
                <w:szCs w:val="17"/>
                <w:color w:val="auto"/>
              </w:rPr>
            </w:pPr>
          </w:p>
        </w:tc>
        <w:tc>
          <w:tcPr>
            <w:tcW w:w="3680" w:type="dxa"/>
            <w:vAlign w:val="bottom"/>
          </w:tcPr>
          <w:p>
            <w:pPr>
              <w:ind w:left="1420"/>
              <w:spacing w:after="0" w:line="201" w:lineRule="exact"/>
              <w:rPr>
                <w:sz w:val="20"/>
                <w:szCs w:val="20"/>
                <w:color w:val="auto"/>
              </w:rPr>
            </w:pPr>
            <w:r>
              <w:rPr>
                <w:rFonts w:ascii="Arial" w:cs="Arial" w:eastAsia="Arial" w:hAnsi="Arial"/>
                <w:sz w:val="18"/>
                <w:szCs w:val="18"/>
                <w:color w:val="auto"/>
              </w:rPr>
              <w:t>and control approximately</w:t>
            </w:r>
          </w:p>
        </w:tc>
        <w:tc>
          <w:tcPr>
            <w:tcW w:w="28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 of the voting power of our</w:t>
            </w:r>
          </w:p>
        </w:tc>
      </w:tr>
      <w:tr>
        <w:trPr>
          <w:trHeight w:val="213"/>
        </w:trPr>
        <w:tc>
          <w:tcPr>
            <w:tcW w:w="4040" w:type="dxa"/>
            <w:vAlign w:val="bottom"/>
          </w:tcPr>
          <w:p>
            <w:pPr>
              <w:spacing w:after="0"/>
              <w:rPr>
                <w:sz w:val="18"/>
                <w:szCs w:val="18"/>
                <w:color w:val="auto"/>
              </w:rPr>
            </w:pPr>
          </w:p>
        </w:tc>
        <w:tc>
          <w:tcPr>
            <w:tcW w:w="3680" w:type="dxa"/>
            <w:vAlign w:val="bottom"/>
          </w:tcPr>
          <w:p>
            <w:pPr>
              <w:ind w:left="1420"/>
              <w:spacing w:after="0"/>
              <w:rPr>
                <w:sz w:val="20"/>
                <w:szCs w:val="20"/>
                <w:color w:val="auto"/>
              </w:rPr>
            </w:pPr>
            <w:r>
              <w:rPr>
                <w:rFonts w:ascii="Arial" w:cs="Arial" w:eastAsia="Arial" w:hAnsi="Arial"/>
                <w:sz w:val="18"/>
                <w:szCs w:val="18"/>
                <w:color w:val="auto"/>
              </w:rPr>
              <w:t>capital stock.</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81"/>
        </w:trPr>
        <w:tc>
          <w:tcPr>
            <w:tcW w:w="4040" w:type="dxa"/>
            <w:vAlign w:val="bottom"/>
          </w:tcPr>
          <w:p>
            <w:pPr>
              <w:spacing w:after="0"/>
              <w:rPr>
                <w:sz w:val="24"/>
                <w:szCs w:val="24"/>
                <w:color w:val="auto"/>
              </w:rPr>
            </w:pPr>
          </w:p>
        </w:tc>
        <w:tc>
          <w:tcPr>
            <w:tcW w:w="6480" w:type="dxa"/>
            <w:vAlign w:val="bottom"/>
            <w:gridSpan w:val="5"/>
          </w:tcPr>
          <w:p>
            <w:pPr>
              <w:ind w:left="1420"/>
              <w:spacing w:after="0"/>
              <w:rPr>
                <w:sz w:val="20"/>
                <w:szCs w:val="20"/>
                <w:color w:val="auto"/>
              </w:rPr>
            </w:pPr>
            <w:r>
              <w:rPr>
                <w:rFonts w:ascii="Arial" w:cs="Arial" w:eastAsia="Arial" w:hAnsi="Arial"/>
                <w:sz w:val="18"/>
                <w:szCs w:val="18"/>
                <w:color w:val="auto"/>
              </w:rPr>
              <w:t>All shares of Class B common stock will automatically convert</w:t>
            </w:r>
          </w:p>
        </w:tc>
      </w:tr>
      <w:tr>
        <w:trPr>
          <w:trHeight w:val="201"/>
        </w:trPr>
        <w:tc>
          <w:tcPr>
            <w:tcW w:w="4040" w:type="dxa"/>
            <w:vAlign w:val="bottom"/>
          </w:tcPr>
          <w:p>
            <w:pPr>
              <w:spacing w:after="0"/>
              <w:rPr>
                <w:sz w:val="17"/>
                <w:szCs w:val="17"/>
                <w:color w:val="auto"/>
              </w:rPr>
            </w:pPr>
          </w:p>
        </w:tc>
        <w:tc>
          <w:tcPr>
            <w:tcW w:w="6480" w:type="dxa"/>
            <w:vAlign w:val="bottom"/>
            <w:gridSpan w:val="5"/>
          </w:tcPr>
          <w:p>
            <w:pPr>
              <w:ind w:left="1420"/>
              <w:spacing w:after="0" w:line="201" w:lineRule="exact"/>
              <w:rPr>
                <w:sz w:val="20"/>
                <w:szCs w:val="20"/>
                <w:color w:val="auto"/>
              </w:rPr>
            </w:pPr>
            <w:r>
              <w:rPr>
                <w:rFonts w:ascii="Arial" w:cs="Arial" w:eastAsia="Arial" w:hAnsi="Arial"/>
                <w:sz w:val="18"/>
                <w:szCs w:val="18"/>
                <w:color w:val="auto"/>
              </w:rPr>
              <w:t>into shares of Class A common stock on the earliest of (a) the</w:t>
            </w:r>
          </w:p>
        </w:tc>
      </w:tr>
      <w:tr>
        <w:trPr>
          <w:trHeight w:val="201"/>
        </w:trPr>
        <w:tc>
          <w:tcPr>
            <w:tcW w:w="4040" w:type="dxa"/>
            <w:vAlign w:val="bottom"/>
          </w:tcPr>
          <w:p>
            <w:pPr>
              <w:spacing w:after="0"/>
              <w:rPr>
                <w:sz w:val="17"/>
                <w:szCs w:val="17"/>
                <w:color w:val="auto"/>
              </w:rPr>
            </w:pPr>
          </w:p>
        </w:tc>
        <w:tc>
          <w:tcPr>
            <w:tcW w:w="6480" w:type="dxa"/>
            <w:vAlign w:val="bottom"/>
            <w:gridSpan w:val="5"/>
          </w:tcPr>
          <w:p>
            <w:pPr>
              <w:ind w:left="1420"/>
              <w:spacing w:after="0" w:line="201" w:lineRule="exact"/>
              <w:rPr>
                <w:sz w:val="20"/>
                <w:szCs w:val="20"/>
                <w:color w:val="auto"/>
              </w:rPr>
            </w:pPr>
            <w:r>
              <w:rPr>
                <w:rFonts w:ascii="Arial" w:cs="Arial" w:eastAsia="Arial" w:hAnsi="Arial"/>
                <w:sz w:val="18"/>
                <w:szCs w:val="18"/>
                <w:color w:val="auto"/>
              </w:rPr>
              <w:t>first trading day after the date on which the outstanding shares</w:t>
            </w:r>
          </w:p>
        </w:tc>
      </w:tr>
      <w:tr>
        <w:trPr>
          <w:trHeight w:val="201"/>
        </w:trPr>
        <w:tc>
          <w:tcPr>
            <w:tcW w:w="4040" w:type="dxa"/>
            <w:vAlign w:val="bottom"/>
          </w:tcPr>
          <w:p>
            <w:pPr>
              <w:spacing w:after="0"/>
              <w:rPr>
                <w:sz w:val="17"/>
                <w:szCs w:val="17"/>
                <w:color w:val="auto"/>
              </w:rPr>
            </w:pPr>
          </w:p>
        </w:tc>
        <w:tc>
          <w:tcPr>
            <w:tcW w:w="6480" w:type="dxa"/>
            <w:vAlign w:val="bottom"/>
            <w:gridSpan w:val="5"/>
          </w:tcPr>
          <w:p>
            <w:pPr>
              <w:ind w:left="1420"/>
              <w:spacing w:after="0" w:line="201" w:lineRule="exact"/>
              <w:rPr>
                <w:sz w:val="20"/>
                <w:szCs w:val="20"/>
                <w:color w:val="auto"/>
              </w:rPr>
            </w:pPr>
            <w:r>
              <w:rPr>
                <w:rFonts w:ascii="Arial" w:cs="Arial" w:eastAsia="Arial" w:hAnsi="Arial"/>
                <w:sz w:val="18"/>
                <w:szCs w:val="18"/>
                <w:color w:val="auto"/>
              </w:rPr>
              <w:t>of Class B common stock represent less than 5% of the then</w:t>
            </w:r>
          </w:p>
        </w:tc>
      </w:tr>
      <w:tr>
        <w:trPr>
          <w:trHeight w:val="201"/>
        </w:trPr>
        <w:tc>
          <w:tcPr>
            <w:tcW w:w="4040" w:type="dxa"/>
            <w:vAlign w:val="bottom"/>
          </w:tcPr>
          <w:p>
            <w:pPr>
              <w:spacing w:after="0"/>
              <w:rPr>
                <w:sz w:val="17"/>
                <w:szCs w:val="17"/>
                <w:color w:val="auto"/>
              </w:rPr>
            </w:pPr>
          </w:p>
        </w:tc>
        <w:tc>
          <w:tcPr>
            <w:tcW w:w="6480" w:type="dxa"/>
            <w:vAlign w:val="bottom"/>
            <w:gridSpan w:val="5"/>
          </w:tcPr>
          <w:p>
            <w:pPr>
              <w:ind w:left="1420"/>
              <w:spacing w:after="0" w:line="201" w:lineRule="exact"/>
              <w:rPr>
                <w:sz w:val="20"/>
                <w:szCs w:val="20"/>
                <w:color w:val="auto"/>
              </w:rPr>
            </w:pPr>
            <w:r>
              <w:rPr>
                <w:rFonts w:ascii="Arial" w:cs="Arial" w:eastAsia="Arial" w:hAnsi="Arial"/>
                <w:sz w:val="18"/>
                <w:szCs w:val="18"/>
                <w:color w:val="auto"/>
              </w:rPr>
              <w:t>outstanding Class A and Class B common stock; (b) the</w:t>
            </w:r>
          </w:p>
        </w:tc>
      </w:tr>
      <w:tr>
        <w:trPr>
          <w:trHeight w:val="201"/>
        </w:trPr>
        <w:tc>
          <w:tcPr>
            <w:tcW w:w="4040" w:type="dxa"/>
            <w:vAlign w:val="bottom"/>
          </w:tcPr>
          <w:p>
            <w:pPr>
              <w:spacing w:after="0"/>
              <w:rPr>
                <w:sz w:val="17"/>
                <w:szCs w:val="17"/>
                <w:color w:val="auto"/>
              </w:rPr>
            </w:pPr>
          </w:p>
        </w:tc>
        <w:tc>
          <w:tcPr>
            <w:tcW w:w="6480" w:type="dxa"/>
            <w:vAlign w:val="bottom"/>
            <w:gridSpan w:val="5"/>
          </w:tcPr>
          <w:p>
            <w:pPr>
              <w:ind w:left="1420"/>
              <w:spacing w:after="0" w:line="201" w:lineRule="exact"/>
              <w:rPr>
                <w:sz w:val="20"/>
                <w:szCs w:val="20"/>
                <w:color w:val="auto"/>
              </w:rPr>
            </w:pPr>
            <w:r>
              <w:rPr>
                <w:rFonts w:ascii="Arial" w:cs="Arial" w:eastAsia="Arial" w:hAnsi="Arial"/>
                <w:sz w:val="18"/>
                <w:szCs w:val="18"/>
                <w:color w:val="auto"/>
              </w:rPr>
              <w:t>seventh anniversary of this offering; or (c) the date specified by</w:t>
            </w:r>
          </w:p>
        </w:tc>
      </w:tr>
      <w:tr>
        <w:trPr>
          <w:trHeight w:val="201"/>
        </w:trPr>
        <w:tc>
          <w:tcPr>
            <w:tcW w:w="4040" w:type="dxa"/>
            <w:vAlign w:val="bottom"/>
          </w:tcPr>
          <w:p>
            <w:pPr>
              <w:spacing w:after="0"/>
              <w:rPr>
                <w:sz w:val="17"/>
                <w:szCs w:val="17"/>
                <w:color w:val="auto"/>
              </w:rPr>
            </w:pPr>
          </w:p>
        </w:tc>
        <w:tc>
          <w:tcPr>
            <w:tcW w:w="6480" w:type="dxa"/>
            <w:vAlign w:val="bottom"/>
            <w:gridSpan w:val="5"/>
          </w:tcPr>
          <w:p>
            <w:pPr>
              <w:ind w:left="1420"/>
              <w:spacing w:after="0" w:line="201" w:lineRule="exact"/>
              <w:rPr>
                <w:sz w:val="20"/>
                <w:szCs w:val="20"/>
                <w:color w:val="auto"/>
              </w:rPr>
            </w:pPr>
            <w:r>
              <w:rPr>
                <w:rFonts w:ascii="Arial" w:cs="Arial" w:eastAsia="Arial" w:hAnsi="Arial"/>
                <w:sz w:val="18"/>
                <w:szCs w:val="18"/>
                <w:color w:val="auto"/>
              </w:rPr>
              <w:t>vote of the holders of a majority of the outstanding shares of</w:t>
            </w:r>
          </w:p>
        </w:tc>
      </w:tr>
      <w:tr>
        <w:trPr>
          <w:trHeight w:val="213"/>
        </w:trPr>
        <w:tc>
          <w:tcPr>
            <w:tcW w:w="4040" w:type="dxa"/>
            <w:vAlign w:val="bottom"/>
          </w:tcPr>
          <w:p>
            <w:pPr>
              <w:spacing w:after="0"/>
              <w:rPr>
                <w:sz w:val="18"/>
                <w:szCs w:val="18"/>
                <w:color w:val="auto"/>
              </w:rPr>
            </w:pPr>
          </w:p>
        </w:tc>
        <w:tc>
          <w:tcPr>
            <w:tcW w:w="6480" w:type="dxa"/>
            <w:vAlign w:val="bottom"/>
            <w:gridSpan w:val="5"/>
          </w:tcPr>
          <w:p>
            <w:pPr>
              <w:ind w:left="1420"/>
              <w:spacing w:after="0"/>
              <w:rPr>
                <w:sz w:val="20"/>
                <w:szCs w:val="20"/>
                <w:color w:val="auto"/>
              </w:rPr>
            </w:pPr>
            <w:r>
              <w:rPr>
                <w:rFonts w:ascii="Arial" w:cs="Arial" w:eastAsia="Arial" w:hAnsi="Arial"/>
                <w:sz w:val="18"/>
                <w:szCs w:val="18"/>
                <w:color w:val="auto"/>
              </w:rPr>
              <w:t>Class B common stock, voting as a single class.</w:t>
            </w:r>
          </w:p>
        </w:tc>
      </w:tr>
      <w:tr>
        <w:trPr>
          <w:trHeight w:val="242"/>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6480" w:type="dxa"/>
            <w:vAlign w:val="bottom"/>
            <w:gridSpan w:val="5"/>
          </w:tcPr>
          <w:p>
            <w:pPr>
              <w:ind w:left="1420"/>
              <w:spacing w:after="0"/>
              <w:rPr>
                <w:rFonts w:ascii="Arial" w:cs="Arial" w:eastAsia="Arial" w:hAnsi="Arial"/>
                <w:sz w:val="18"/>
                <w:szCs w:val="18"/>
                <w:color w:val="auto"/>
              </w:rPr>
            </w:pPr>
            <w:r>
              <w:rPr>
                <w:rFonts w:ascii="Arial" w:cs="Arial" w:eastAsia="Arial" w:hAnsi="Arial"/>
                <w:sz w:val="18"/>
                <w:szCs w:val="18"/>
                <w:color w:val="auto"/>
              </w:rPr>
              <w:t>You should carefully read the section titled “</w:t>
            </w:r>
            <w:hyperlink w:anchor="page25">
              <w:r>
                <w:rPr>
                  <w:rFonts w:ascii="Arial" w:cs="Arial" w:eastAsia="Arial" w:hAnsi="Arial"/>
                  <w:sz w:val="18"/>
                  <w:szCs w:val="18"/>
                  <w:color w:val="0000EE"/>
                </w:rPr>
                <w:t>Risk Factors</w:t>
              </w:r>
            </w:hyperlink>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4040" w:type="dxa"/>
            <w:vAlign w:val="bottom"/>
          </w:tcPr>
          <w:p>
            <w:pPr>
              <w:spacing w:after="0"/>
              <w:rPr>
                <w:sz w:val="17"/>
                <w:szCs w:val="17"/>
                <w:color w:val="auto"/>
              </w:rPr>
            </w:pPr>
          </w:p>
        </w:tc>
        <w:tc>
          <w:tcPr>
            <w:tcW w:w="6480" w:type="dxa"/>
            <w:vAlign w:val="bottom"/>
            <w:gridSpan w:val="5"/>
          </w:tcPr>
          <w:p>
            <w:pPr>
              <w:ind w:left="1420"/>
              <w:spacing w:after="0"/>
              <w:rPr>
                <w:sz w:val="20"/>
                <w:szCs w:val="20"/>
                <w:color w:val="auto"/>
              </w:rPr>
            </w:pPr>
            <w:r>
              <w:rPr>
                <w:rFonts w:ascii="Arial" w:cs="Arial" w:eastAsia="Arial" w:hAnsi="Arial"/>
                <w:sz w:val="18"/>
                <w:szCs w:val="18"/>
                <w:color w:val="auto"/>
              </w:rPr>
              <w:t>beginning on page 18 and the other information included in this</w:t>
            </w:r>
          </w:p>
        </w:tc>
      </w:tr>
      <w:tr>
        <w:trPr>
          <w:trHeight w:val="201"/>
        </w:trPr>
        <w:tc>
          <w:tcPr>
            <w:tcW w:w="4040" w:type="dxa"/>
            <w:vAlign w:val="bottom"/>
          </w:tcPr>
          <w:p>
            <w:pPr>
              <w:spacing w:after="0"/>
              <w:rPr>
                <w:sz w:val="17"/>
                <w:szCs w:val="17"/>
                <w:color w:val="auto"/>
              </w:rPr>
            </w:pPr>
          </w:p>
        </w:tc>
        <w:tc>
          <w:tcPr>
            <w:tcW w:w="6480" w:type="dxa"/>
            <w:vAlign w:val="bottom"/>
            <w:gridSpan w:val="5"/>
          </w:tcPr>
          <w:p>
            <w:pPr>
              <w:ind w:left="1420"/>
              <w:spacing w:after="0" w:line="201" w:lineRule="exact"/>
              <w:rPr>
                <w:sz w:val="20"/>
                <w:szCs w:val="20"/>
                <w:color w:val="auto"/>
              </w:rPr>
            </w:pPr>
            <w:r>
              <w:rPr>
                <w:rFonts w:ascii="Arial" w:cs="Arial" w:eastAsia="Arial" w:hAnsi="Arial"/>
                <w:sz w:val="18"/>
                <w:szCs w:val="18"/>
                <w:color w:val="auto"/>
              </w:rPr>
              <w:t>prospectus for a discussion of facts that you should consider</w:t>
            </w:r>
          </w:p>
        </w:tc>
      </w:tr>
      <w:tr>
        <w:trPr>
          <w:trHeight w:val="201"/>
        </w:trPr>
        <w:tc>
          <w:tcPr>
            <w:tcW w:w="4040" w:type="dxa"/>
            <w:vAlign w:val="bottom"/>
          </w:tcPr>
          <w:p>
            <w:pPr>
              <w:spacing w:after="0"/>
              <w:rPr>
                <w:sz w:val="17"/>
                <w:szCs w:val="17"/>
                <w:color w:val="auto"/>
              </w:rPr>
            </w:pPr>
          </w:p>
        </w:tc>
        <w:tc>
          <w:tcPr>
            <w:tcW w:w="6480" w:type="dxa"/>
            <w:vAlign w:val="bottom"/>
            <w:gridSpan w:val="5"/>
          </w:tcPr>
          <w:p>
            <w:pPr>
              <w:ind w:left="1420"/>
              <w:spacing w:after="0" w:line="201" w:lineRule="exact"/>
              <w:rPr>
                <w:sz w:val="20"/>
                <w:szCs w:val="20"/>
                <w:color w:val="auto"/>
              </w:rPr>
            </w:pPr>
            <w:r>
              <w:rPr>
                <w:rFonts w:ascii="Arial" w:cs="Arial" w:eastAsia="Arial" w:hAnsi="Arial"/>
                <w:sz w:val="18"/>
                <w:szCs w:val="18"/>
                <w:color w:val="auto"/>
              </w:rPr>
              <w:t>before deciding to invest in shares of our Class A common</w:t>
            </w:r>
          </w:p>
        </w:tc>
      </w:tr>
      <w:tr>
        <w:trPr>
          <w:trHeight w:val="213"/>
        </w:trPr>
        <w:tc>
          <w:tcPr>
            <w:tcW w:w="4040" w:type="dxa"/>
            <w:vAlign w:val="bottom"/>
          </w:tcPr>
          <w:p>
            <w:pPr>
              <w:spacing w:after="0"/>
              <w:rPr>
                <w:sz w:val="18"/>
                <w:szCs w:val="18"/>
                <w:color w:val="auto"/>
              </w:rPr>
            </w:pPr>
          </w:p>
        </w:tc>
        <w:tc>
          <w:tcPr>
            <w:tcW w:w="3680" w:type="dxa"/>
            <w:vAlign w:val="bottom"/>
          </w:tcPr>
          <w:p>
            <w:pPr>
              <w:ind w:left="1420"/>
              <w:spacing w:after="0"/>
              <w:rPr>
                <w:sz w:val="20"/>
                <w:szCs w:val="20"/>
                <w:color w:val="auto"/>
              </w:rPr>
            </w:pPr>
            <w:r>
              <w:rPr>
                <w:rFonts w:ascii="Arial" w:cs="Arial" w:eastAsia="Arial" w:hAnsi="Arial"/>
                <w:sz w:val="18"/>
                <w:szCs w:val="18"/>
                <w:color w:val="auto"/>
              </w:rPr>
              <w:t>stock.</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81"/>
        </w:trPr>
        <w:tc>
          <w:tcPr>
            <w:tcW w:w="4040" w:type="dxa"/>
            <w:vAlign w:val="bottom"/>
          </w:tcPr>
          <w:p>
            <w:pPr>
              <w:spacing w:after="0"/>
              <w:rPr>
                <w:sz w:val="20"/>
                <w:szCs w:val="20"/>
                <w:color w:val="auto"/>
              </w:rPr>
            </w:pPr>
            <w:r>
              <w:rPr>
                <w:rFonts w:ascii="Arial" w:cs="Arial" w:eastAsia="Arial" w:hAnsi="Arial"/>
                <w:sz w:val="18"/>
                <w:szCs w:val="18"/>
                <w:color w:val="auto"/>
              </w:rPr>
              <w:t>Proposed Nasdaq trading symbol</w:t>
            </w:r>
          </w:p>
        </w:tc>
        <w:tc>
          <w:tcPr>
            <w:tcW w:w="3680" w:type="dxa"/>
            <w:vAlign w:val="bottom"/>
          </w:tcPr>
          <w:p>
            <w:pPr>
              <w:ind w:left="1420"/>
              <w:spacing w:after="0"/>
              <w:rPr>
                <w:sz w:val="20"/>
                <w:szCs w:val="20"/>
                <w:color w:val="auto"/>
              </w:rPr>
            </w:pPr>
            <w:r>
              <w:rPr>
                <w:rFonts w:ascii="Arial" w:cs="Arial" w:eastAsia="Arial" w:hAnsi="Arial"/>
                <w:sz w:val="18"/>
                <w:szCs w:val="18"/>
                <w:color w:val="auto"/>
              </w:rPr>
              <w:t>“XMTR”</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w:t>
      </w:r>
    </w:p>
    <w:p>
      <w:pPr>
        <w:ind w:left="340" w:right="620"/>
        <w:spacing w:after="0"/>
        <w:rPr>
          <w:sz w:val="20"/>
          <w:szCs w:val="20"/>
          <w:color w:val="auto"/>
        </w:rPr>
      </w:pPr>
      <w:r>
        <w:rPr>
          <w:rFonts w:ascii="Arial" w:cs="Arial" w:eastAsia="Arial" w:hAnsi="Arial"/>
          <w:sz w:val="18"/>
          <w:szCs w:val="18"/>
          <w:color w:val="auto"/>
        </w:rPr>
        <w:t>on shares of Class A common stock and shares of Class B common stock outstanding as of March 31, 2021 and excludes:</w:t>
      </w:r>
    </w:p>
    <w:p>
      <w:pPr>
        <w:spacing w:after="0" w:line="315" w:lineRule="exact"/>
        <w:rPr>
          <w:sz w:val="20"/>
          <w:szCs w:val="20"/>
          <w:color w:val="auto"/>
        </w:rPr>
      </w:pPr>
    </w:p>
    <w:p>
      <w:pPr>
        <w:ind w:left="1060" w:right="640" w:hanging="190"/>
        <w:spacing w:after="0" w:line="23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Equity Incentive Plan, or 2016 Plan, with a weighted-average exercise price of $3.43 per share;</w:t>
      </w:r>
    </w:p>
    <w:p>
      <w:pPr>
        <w:spacing w:after="0" w:line="102" w:lineRule="exact"/>
        <w:rPr>
          <w:rFonts w:ascii="Arial" w:cs="Arial" w:eastAsia="Arial" w:hAnsi="Arial"/>
          <w:sz w:val="18"/>
          <w:szCs w:val="18"/>
          <w:color w:val="auto"/>
        </w:rPr>
      </w:pPr>
    </w:p>
    <w:p>
      <w:pPr>
        <w:ind w:left="1700" w:hanging="830"/>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Class A common stock issuable upon the exercise of outstanding stock options issued after March 31,</w:t>
      </w:r>
    </w:p>
    <w:p>
      <w:pPr>
        <w:ind w:left="1060"/>
        <w:spacing w:after="0"/>
        <w:tabs>
          <w:tab w:leader="none" w:pos="7500" w:val="left"/>
        </w:tabs>
        <w:rPr>
          <w:sz w:val="20"/>
          <w:szCs w:val="20"/>
          <w:color w:val="auto"/>
        </w:rPr>
      </w:pPr>
      <w:r>
        <w:rPr>
          <w:rFonts w:ascii="Arial" w:cs="Arial" w:eastAsia="Arial" w:hAnsi="Arial"/>
          <w:sz w:val="18"/>
          <w:szCs w:val="18"/>
          <w:color w:val="auto"/>
        </w:rPr>
        <w:t>2021 pursuant to our 2016 Plan with a weighted-average exercise price of $</w:t>
      </w:r>
      <w:r>
        <w:rPr>
          <w:sz w:val="20"/>
          <w:szCs w:val="20"/>
          <w:color w:val="auto"/>
        </w:rPr>
        <w:tab/>
      </w:r>
      <w:r>
        <w:rPr>
          <w:rFonts w:ascii="Arial" w:cs="Arial" w:eastAsia="Arial" w:hAnsi="Arial"/>
          <w:sz w:val="18"/>
          <w:szCs w:val="18"/>
          <w:color w:val="auto"/>
        </w:rPr>
        <w:t>per share;</w:t>
      </w:r>
    </w:p>
    <w:p>
      <w:pPr>
        <w:spacing w:after="0" w:line="114" w:lineRule="exact"/>
        <w:rPr>
          <w:sz w:val="20"/>
          <w:szCs w:val="20"/>
          <w:color w:val="auto"/>
        </w:rPr>
      </w:pPr>
    </w:p>
    <w:p>
      <w:pPr>
        <w:ind w:left="1060" w:right="440" w:hanging="190"/>
        <w:spacing w:after="0" w:line="23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112,026 shares of Class A common stock issuable upon the exercise of warrants outstanding as of March 31, 2021 with a weighted-average exercise price of $4.37 per share; and</w:t>
      </w:r>
    </w:p>
    <w:p>
      <w:pPr>
        <w:spacing w:after="0" w:line="102" w:lineRule="exact"/>
        <w:rPr>
          <w:rFonts w:ascii="Arial" w:cs="Arial" w:eastAsia="Arial" w:hAnsi="Arial"/>
          <w:sz w:val="18"/>
          <w:szCs w:val="18"/>
          <w:color w:val="auto"/>
        </w:rPr>
      </w:pPr>
    </w:p>
    <w:p>
      <w:pPr>
        <w:ind w:left="1900" w:hanging="1030"/>
        <w:spacing w:after="0"/>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Equity Incentive Plan, or 2021 Plan,</w:t>
      </w:r>
    </w:p>
    <w:p>
      <w:pPr>
        <w:ind w:left="1060" w:right="540"/>
        <w:spacing w:after="0" w:line="236" w:lineRule="auto"/>
        <w:rPr>
          <w:sz w:val="20"/>
          <w:szCs w:val="20"/>
          <w:color w:val="auto"/>
        </w:rPr>
      </w:pPr>
      <w:r>
        <w:rPr>
          <w:rFonts w:ascii="Arial" w:cs="Arial" w:eastAsia="Arial" w:hAnsi="Arial"/>
          <w:sz w:val="18"/>
          <w:szCs w:val="18"/>
          <w:color w:val="auto"/>
        </w:rPr>
        <w:t>which will become effective on , 2021, as well as any future increases, including annual automatic evergreen increases, in the number of shares of Class A common stock reserved for issuance under our 2021 Plan and any shares underlying outstanding stock awards granted under our 2016 Plan that expire or are repurchased, forfeited, cancelled or withheld, as more fully described in the section titled “Executive Compensation—Equity Incentive Plans”.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11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300" w:type="dxa"/>
            <w:vAlign w:val="bottom"/>
          </w:tcPr>
          <w:p>
            <w:pPr>
              <w:ind w:left="700"/>
              <w:spacing w:after="0"/>
              <w:rPr>
                <w:sz w:val="20"/>
                <w:szCs w:val="20"/>
                <w:color w:val="auto"/>
              </w:rPr>
            </w:pPr>
            <w:r>
              <w:rPr>
                <w:rFonts w:ascii="Arial" w:cs="Arial" w:eastAsia="Arial" w:hAnsi="Arial"/>
                <w:sz w:val="18"/>
                <w:szCs w:val="18"/>
                <w:color w:val="auto"/>
              </w:rPr>
              <w:t>•  a</w:t>
            </w:r>
          </w:p>
        </w:tc>
        <w:tc>
          <w:tcPr>
            <w:tcW w:w="800" w:type="dxa"/>
            <w:vAlign w:val="bottom"/>
          </w:tcPr>
          <w:p>
            <w:pPr>
              <w:ind w:left="300"/>
              <w:spacing w:after="0"/>
              <w:rPr>
                <w:sz w:val="20"/>
                <w:szCs w:val="20"/>
                <w:color w:val="auto"/>
              </w:rPr>
            </w:pPr>
            <w:r>
              <w:rPr>
                <w:rFonts w:ascii="Arial" w:cs="Arial" w:eastAsia="Arial" w:hAnsi="Arial"/>
                <w:sz w:val="18"/>
                <w:szCs w:val="18"/>
                <w:color w:val="auto"/>
              </w:rPr>
              <w:t>for</w:t>
            </w:r>
          </w:p>
        </w:tc>
        <w:tc>
          <w:tcPr>
            <w:tcW w:w="8820" w:type="dxa"/>
            <w:vAlign w:val="bottom"/>
          </w:tcPr>
          <w:p>
            <w:pPr>
              <w:jc w:val="right"/>
              <w:ind w:right="1791"/>
              <w:spacing w:after="0"/>
              <w:rPr>
                <w:sz w:val="20"/>
                <w:szCs w:val="20"/>
                <w:color w:val="auto"/>
              </w:rPr>
            </w:pPr>
            <w:r>
              <w:rPr>
                <w:rFonts w:ascii="Arial" w:cs="Arial" w:eastAsia="Arial" w:hAnsi="Arial"/>
                <w:sz w:val="18"/>
                <w:szCs w:val="18"/>
                <w:color w:val="auto"/>
              </w:rPr>
              <w:t>stock split of our common stock to be effected prior to the completion of this offering;</w:t>
            </w:r>
          </w:p>
        </w:tc>
      </w:tr>
      <w:tr>
        <w:trPr>
          <w:trHeight w:val="226"/>
        </w:trPr>
        <w:tc>
          <w:tcPr>
            <w:tcW w:w="1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20" w:type="dxa"/>
            <w:vAlign w:val="bottom"/>
            <w:tcBorders>
              <w:bottom w:val="single" w:sz="8" w:color="auto"/>
            </w:tcBorders>
          </w:tcPr>
          <w:p>
            <w:pPr>
              <w:spacing w:after="0"/>
              <w:rPr>
                <w:sz w:val="19"/>
                <w:szCs w:val="19"/>
                <w:color w:val="auto"/>
              </w:rPr>
            </w:pPr>
          </w:p>
        </w:tc>
      </w:tr>
      <w:tr>
        <w:trPr>
          <w:trHeight w:val="597"/>
        </w:trPr>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20" w:type="dxa"/>
            <w:vAlign w:val="bottom"/>
          </w:tcPr>
          <w:p>
            <w:pPr>
              <w:jc w:val="right"/>
              <w:ind w:right="5271"/>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080"/>
          </w:cols>
          <w:pgMar w:left="320" w:top="45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322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2322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48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which will be in effect on the completion of this offering, and associated authorization of our Class A common stock and Class B common stock;</w:t>
      </w:r>
    </w:p>
    <w:p>
      <w:pPr>
        <w:spacing w:after="0" w:line="109" w:lineRule="exact"/>
        <w:rPr>
          <w:rFonts w:ascii="Arial" w:cs="Arial" w:eastAsia="Arial" w:hAnsi="Arial"/>
          <w:sz w:val="18"/>
          <w:szCs w:val="18"/>
          <w:color w:val="auto"/>
        </w:rPr>
      </w:pPr>
    </w:p>
    <w:p>
      <w:pPr>
        <w:ind w:left="1060" w:right="44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reclassification of our outstanding common stock into Class A common stock, which will occur immediately prior to the completion of this offering;</w:t>
      </w:r>
    </w:p>
    <w:p>
      <w:pPr>
        <w:spacing w:after="0" w:line="109" w:lineRule="exact"/>
        <w:rPr>
          <w:rFonts w:ascii="Arial" w:cs="Arial" w:eastAsia="Arial" w:hAnsi="Arial"/>
          <w:sz w:val="18"/>
          <w:szCs w:val="18"/>
          <w:color w:val="auto"/>
        </w:rPr>
      </w:pPr>
    </w:p>
    <w:p>
      <w:pPr>
        <w:ind w:left="1060" w:right="42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conversion of all of our outstanding convertible preferred stock into an equal number of shares of our Class A common stock, which will occur immediately prior to the completion of this offering;</w:t>
      </w:r>
    </w:p>
    <w:p>
      <w:pPr>
        <w:spacing w:after="0" w:line="109" w:lineRule="exact"/>
        <w:rPr>
          <w:rFonts w:ascii="Arial" w:cs="Arial" w:eastAsia="Arial" w:hAnsi="Arial"/>
          <w:sz w:val="18"/>
          <w:szCs w:val="18"/>
          <w:color w:val="auto"/>
        </w:rPr>
      </w:pPr>
    </w:p>
    <w:p>
      <w:pPr>
        <w:ind w:left="1060" w:right="360" w:hanging="190"/>
        <w:spacing w:after="0" w:line="23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exchange of certain shares of Class A common stock held by our co-founders for shares of our Class B common stock, which will occur immediately prior to the completion of this offering;</w:t>
      </w:r>
    </w:p>
    <w:p>
      <w:pPr>
        <w:spacing w:after="0" w:line="109" w:lineRule="exact"/>
        <w:rPr>
          <w:rFonts w:ascii="Arial" w:cs="Arial" w:eastAsia="Arial" w:hAnsi="Arial"/>
          <w:sz w:val="18"/>
          <w:szCs w:val="18"/>
          <w:color w:val="auto"/>
        </w:rPr>
      </w:pPr>
    </w:p>
    <w:p>
      <w:pPr>
        <w:ind w:left="1060" w:right="240" w:hanging="190"/>
        <w:spacing w:after="0" w:line="23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reclassification of shares of convertible preferred stock issuable upon exercise of outstanding warrants into an equal number of shares of our Class A common stock issuable upon exercise of warrants, which will occur immediately prior to the completion of this offering; and</w:t>
      </w:r>
    </w:p>
    <w:p>
      <w:pPr>
        <w:spacing w:after="0" w:line="10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840" w:type="dxa"/>
            <w:vAlign w:val="bottom"/>
          </w:tcPr>
          <w:p>
            <w:pPr>
              <w:jc w:val="right"/>
              <w:ind w:right="351"/>
              <w:spacing w:after="0"/>
              <w:rPr>
                <w:sz w:val="20"/>
                <w:szCs w:val="20"/>
                <w:color w:val="auto"/>
              </w:rPr>
            </w:pPr>
            <w:r>
              <w:rPr>
                <w:rFonts w:ascii="Arial" w:cs="Arial" w:eastAsia="Arial" w:hAnsi="Arial"/>
                <w:sz w:val="18"/>
                <w:szCs w:val="18"/>
                <w:color w:val="auto"/>
              </w:rPr>
              <w:t>•  no exercise of the underwriters’ option to purchase up to an additional</w:t>
            </w:r>
          </w:p>
        </w:tc>
        <w:tc>
          <w:tcPr>
            <w:tcW w:w="4080" w:type="dxa"/>
            <w:vAlign w:val="bottom"/>
          </w:tcPr>
          <w:p>
            <w:pPr>
              <w:ind w:left="440"/>
              <w:spacing w:after="0"/>
              <w:rPr>
                <w:sz w:val="20"/>
                <w:szCs w:val="20"/>
                <w:color w:val="auto"/>
              </w:rPr>
            </w:pPr>
            <w:r>
              <w:rPr>
                <w:rFonts w:ascii="Arial" w:cs="Arial" w:eastAsia="Arial" w:hAnsi="Arial"/>
                <w:sz w:val="18"/>
                <w:szCs w:val="18"/>
                <w:color w:val="auto"/>
              </w:rPr>
              <w:t>shares of Class A common stock from us in</w:t>
            </w:r>
          </w:p>
        </w:tc>
      </w:tr>
      <w:tr>
        <w:trPr>
          <w:trHeight w:val="213"/>
        </w:trPr>
        <w:tc>
          <w:tcPr>
            <w:tcW w:w="6840" w:type="dxa"/>
            <w:vAlign w:val="bottom"/>
          </w:tcPr>
          <w:p>
            <w:pPr>
              <w:jc w:val="right"/>
              <w:ind w:right="4891"/>
              <w:spacing w:after="0"/>
              <w:rPr>
                <w:sz w:val="20"/>
                <w:szCs w:val="20"/>
                <w:color w:val="auto"/>
              </w:rPr>
            </w:pPr>
            <w:r>
              <w:rPr>
                <w:rFonts w:ascii="Arial" w:cs="Arial" w:eastAsia="Arial" w:hAnsi="Arial"/>
                <w:sz w:val="18"/>
                <w:szCs w:val="18"/>
                <w:color w:val="auto"/>
              </w:rPr>
              <w:t>this offering.</w:t>
            </w:r>
          </w:p>
        </w:tc>
        <w:tc>
          <w:tcPr>
            <w:tcW w:w="4080" w:type="dxa"/>
            <w:vAlign w:val="bottom"/>
          </w:tcPr>
          <w:p>
            <w:pPr>
              <w:spacing w:after="0"/>
              <w:rPr>
                <w:sz w:val="18"/>
                <w:szCs w:val="18"/>
                <w:color w:val="auto"/>
              </w:rPr>
            </w:pPr>
          </w:p>
        </w:tc>
      </w:tr>
      <w:tr>
        <w:trPr>
          <w:trHeight w:val="226"/>
        </w:trPr>
        <w:tc>
          <w:tcPr>
            <w:tcW w:w="684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spacing w:after="0"/>
              <w:rPr>
                <w:sz w:val="19"/>
                <w:szCs w:val="19"/>
                <w:color w:val="auto"/>
              </w:rPr>
            </w:pPr>
          </w:p>
        </w:tc>
      </w:tr>
      <w:tr>
        <w:trPr>
          <w:trHeight w:val="597"/>
        </w:trPr>
        <w:tc>
          <w:tcPr>
            <w:tcW w:w="6840" w:type="dxa"/>
            <w:vAlign w:val="bottom"/>
          </w:tcPr>
          <w:p>
            <w:pPr>
              <w:jc w:val="right"/>
              <w:ind w:right="1191"/>
              <w:spacing w:after="0"/>
              <w:rPr>
                <w:sz w:val="20"/>
                <w:szCs w:val="20"/>
                <w:color w:val="auto"/>
              </w:rPr>
            </w:pPr>
            <w:r>
              <w:rPr>
                <w:rFonts w:ascii="Arial" w:cs="Arial" w:eastAsia="Arial" w:hAnsi="Arial"/>
                <w:sz w:val="18"/>
                <w:szCs w:val="18"/>
                <w:color w:val="auto"/>
              </w:rPr>
              <w:t>14</w:t>
            </w:r>
          </w:p>
        </w:tc>
        <w:tc>
          <w:tcPr>
            <w:tcW w:w="408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51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56515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2" w:lineRule="exact"/>
        <w:rPr>
          <w:sz w:val="20"/>
          <w:szCs w:val="20"/>
          <w:color w:val="auto"/>
        </w:rPr>
      </w:pPr>
    </w:p>
    <w:p>
      <w:pPr>
        <w:ind w:left="340" w:firstLine="527"/>
        <w:spacing w:after="0" w:line="245" w:lineRule="auto"/>
        <w:rPr>
          <w:sz w:val="20"/>
          <w:szCs w:val="20"/>
          <w:color w:val="auto"/>
        </w:rPr>
      </w:pPr>
      <w:r>
        <w:rPr>
          <w:rFonts w:ascii="Arial" w:cs="Arial" w:eastAsia="Arial" w:hAnsi="Arial"/>
          <w:sz w:val="16"/>
          <w:szCs w:val="16"/>
          <w:color w:val="auto"/>
        </w:rPr>
        <w:t>The summary consolidated statement of operations data for the years ended December 31, 2019 and December 31, 2020 have been derived from our audited consolidated financial statements included elsewhere in this prospectus. We have derived the summary consolidated statements of operations data for the three months ended March 31, 2020 and 2021 and the consolidated balance sheet data as of March 31, 2021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management’s opinion, are necessary to state fairly the information set forth in those consolidated financial statements. Our historical results are not necessarily indicative of the results that may be expected in the future and our results for the three months ended March 31, 2021 are not necessarily indicative of the results that may be expected for the full year ending December 31, 2021 or any other period.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The summary consolidated statement of operations data is not intended to replace the consolidated financial statements and the accompanying notes and are qualified in their entirety by our consolidated financial statements and the accompanying notes included elsewhere in the prospectus.</w:t>
      </w:r>
    </w:p>
    <w:p>
      <w:pPr>
        <w:sectPr>
          <w:pgSz w:w="11900" w:h="16838" w:orient="portrait"/>
          <w:cols w:equalWidth="0" w:num="1">
            <w:col w:w="10900"/>
          </w:cols>
          <w:pgMar w:left="320" w:top="456" w:right="679" w:bottom="1440" w:gutter="0" w:footer="0" w:header="0"/>
        </w:sectPr>
      </w:pPr>
    </w:p>
    <w:p>
      <w:pPr>
        <w:spacing w:after="0" w:line="218"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Year Ended December 31,</w:t>
      </w:r>
    </w:p>
    <w:p>
      <w:pPr>
        <w:spacing w:after="0" w:line="26" w:lineRule="exact"/>
        <w:rPr>
          <w:sz w:val="20"/>
          <w:szCs w:val="20"/>
          <w:color w:val="auto"/>
        </w:rPr>
      </w:pPr>
    </w:p>
    <w:p>
      <w:pPr>
        <w:ind w:left="5760"/>
        <w:spacing w:after="0"/>
        <w:tabs>
          <w:tab w:leader="none" w:pos="72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Quarter Ended March 31,</w:t>
      </w:r>
    </w:p>
    <w:p>
      <w:pPr>
        <w:spacing w:after="0" w:line="26"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7960" w:space="720"/>
            <w:col w:w="2220"/>
          </w:cols>
          <w:pgMar w:left="320" w:top="456" w:right="679" w:bottom="1440" w:gutter="0" w:footer="0" w:header="0"/>
          <w:type w:val="continuous"/>
        </w:sectPr>
      </w:pPr>
    </w:p>
    <w:tbl>
      <w:tblPr>
        <w:tblLayout w:type="fixed"/>
        <w:tblInd w:w="360" w:type="dxa"/>
        <w:tblCellMar>
          <w:top w:w="0" w:type="dxa"/>
          <w:left w:w="0" w:type="dxa"/>
          <w:bottom w:w="0" w:type="dxa"/>
          <w:right w:w="0" w:type="dxa"/>
        </w:tblCellMar>
      </w:tblPr>
      <w:tr>
        <w:trPr>
          <w:trHeight w:val="141"/>
        </w:trPr>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80"/>
              <w:spacing w:after="0" w:line="141" w:lineRule="exact"/>
              <w:rPr>
                <w:sz w:val="20"/>
                <w:szCs w:val="20"/>
                <w:color w:val="auto"/>
              </w:rPr>
            </w:pPr>
            <w:r>
              <w:rPr>
                <w:rFonts w:ascii="Arial" w:cs="Arial" w:eastAsia="Arial" w:hAnsi="Arial"/>
                <w:sz w:val="14"/>
                <w:szCs w:val="14"/>
                <w:b w:val="1"/>
                <w:bCs w:val="1"/>
                <w:color w:val="auto"/>
              </w:rPr>
              <w:t>(unaudited)</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80,228</w:t>
            </w:r>
          </w:p>
        </w:tc>
        <w:tc>
          <w:tcPr>
            <w:tcW w:w="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141,406</w:t>
            </w:r>
          </w:p>
        </w:tc>
        <w:tc>
          <w:tcPr>
            <w:tcW w:w="28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26,689</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43,922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65,492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108,120</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21,324</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860" w:type="dxa"/>
            <w:vAlign w:val="bottom"/>
          </w:tcPr>
          <w:p>
            <w:pPr>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14,736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33,286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5,365</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14,599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22,567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4,730</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 and support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14,111</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ind w:left="280"/>
              <w:spacing w:after="0"/>
              <w:rPr>
                <w:sz w:val="20"/>
                <w:szCs w:val="20"/>
                <w:color w:val="auto"/>
              </w:rPr>
            </w:pPr>
            <w:r>
              <w:rPr>
                <w:rFonts w:ascii="Arial" w:cs="Arial" w:eastAsia="Arial" w:hAnsi="Arial"/>
                <w:sz w:val="14"/>
                <w:szCs w:val="14"/>
                <w:color w:val="auto"/>
              </w:rPr>
              <w:t>Product development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10,637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12,186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2,958</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12,046</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860" w:type="dxa"/>
            <w:vAlign w:val="bottom"/>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operating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45,285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62,502</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13,717</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(30,549)</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(29,216)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(8,352)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(10,049)</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(241)</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(1,089)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(153)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(204)</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(780)</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(102)</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Total other expenses</w:t>
            </w: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(445)</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(1,869)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(255)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(30,994)</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(31,085)</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(8,607)</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tcPr>
          <w:p>
            <w:pPr>
              <w:spacing w:after="0"/>
              <w:rPr>
                <w:sz w:val="20"/>
                <w:szCs w:val="20"/>
                <w:color w:val="auto"/>
              </w:rPr>
            </w:pPr>
            <w:r>
              <w:rPr>
                <w:rFonts w:ascii="Arial" w:cs="Arial" w:eastAsia="Arial" w:hAnsi="Arial"/>
                <w:sz w:val="14"/>
                <w:szCs w:val="14"/>
                <w:color w:val="auto"/>
              </w:rPr>
              <w:t>Deemed dividend to preferred stockholders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(8,801)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(30,994)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(39,886)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(8,607)</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60" w:type="dxa"/>
            <w:vAlign w:val="bottom"/>
          </w:tcPr>
          <w:p>
            <w:pPr>
              <w:spacing w:after="0" w:line="154" w:lineRule="exact"/>
              <w:rPr>
                <w:sz w:val="20"/>
                <w:szCs w:val="20"/>
                <w:color w:val="auto"/>
              </w:rPr>
            </w:pPr>
            <w:r>
              <w:rPr>
                <w:rFonts w:ascii="Arial" w:cs="Arial" w:eastAsia="Arial" w:hAnsi="Arial"/>
                <w:sz w:val="14"/>
                <w:szCs w:val="14"/>
                <w:color w:val="auto"/>
              </w:rPr>
              <w:t>Net loss per share attributable to common stockholders, basic and diluted</w:t>
            </w:r>
          </w:p>
        </w:tc>
        <w:tc>
          <w:tcPr>
            <w:tcW w:w="4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line="154" w:lineRule="exact"/>
              <w:rPr>
                <w:sz w:val="20"/>
                <w:szCs w:val="20"/>
                <w:color w:val="auto"/>
              </w:rPr>
            </w:pPr>
            <w:r>
              <w:rPr>
                <w:rFonts w:ascii="Arial" w:cs="Arial" w:eastAsia="Arial" w:hAnsi="Arial"/>
                <w:sz w:val="14"/>
                <w:szCs w:val="14"/>
                <w:color w:val="auto"/>
              </w:rPr>
              <w:t>(4.88)</w:t>
            </w:r>
          </w:p>
        </w:tc>
        <w:tc>
          <w:tcPr>
            <w:tcW w:w="6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(5.32)</w:t>
            </w:r>
          </w:p>
        </w:tc>
        <w:tc>
          <w:tcPr>
            <w:tcW w:w="42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(1.17)</w:t>
            </w:r>
          </w:p>
        </w:tc>
        <w:tc>
          <w:tcPr>
            <w:tcW w:w="28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6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Weighted-average shares used to compute net loss per share attributable</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60" w:type="dxa"/>
            <w:vAlign w:val="bottom"/>
            <w:shd w:val="clear" w:color="auto" w:fill="CCEEFF"/>
          </w:tcPr>
          <w:p>
            <w:pPr>
              <w:ind w:left="140"/>
              <w:spacing w:after="0" w:line="163" w:lineRule="exact"/>
              <w:rPr>
                <w:sz w:val="20"/>
                <w:szCs w:val="20"/>
                <w:color w:val="auto"/>
              </w:rPr>
            </w:pPr>
            <w:r>
              <w:rPr>
                <w:rFonts w:ascii="Arial" w:cs="Arial" w:eastAsia="Arial" w:hAnsi="Arial"/>
                <w:sz w:val="11"/>
                <w:szCs w:val="11"/>
                <w:color w:val="auto"/>
              </w:rPr>
              <w:t>to common stockholders, basic and diluted</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6,345,498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7,492,876</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7,354,673</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7,924,848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Pro forma earnings per share attributable to common stockholders, basic</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140"/>
              <w:spacing w:after="0" w:line="156" w:lineRule="exact"/>
              <w:rPr>
                <w:sz w:val="20"/>
                <w:szCs w:val="20"/>
                <w:color w:val="auto"/>
              </w:rPr>
            </w:pPr>
            <w:r>
              <w:rPr>
                <w:rFonts w:ascii="Arial" w:cs="Arial" w:eastAsia="Arial" w:hAnsi="Arial"/>
                <w:sz w:val="14"/>
                <w:szCs w:val="14"/>
                <w:color w:val="auto"/>
              </w:rPr>
              <w:t>and diluted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Weighted-average shares used to compute pro forma earnings per share</w:t>
      </w:r>
    </w:p>
    <w:p>
      <w:pPr>
        <w:ind w:left="500"/>
        <w:spacing w:after="0"/>
        <w:rPr>
          <w:sz w:val="20"/>
          <w:szCs w:val="20"/>
          <w:color w:val="auto"/>
        </w:rPr>
      </w:pPr>
      <w:r>
        <w:rPr>
          <w:rFonts w:ascii="Arial" w:cs="Arial" w:eastAsia="Arial" w:hAnsi="Arial"/>
          <w:sz w:val="14"/>
          <w:szCs w:val="14"/>
          <w:color w:val="auto"/>
        </w:rPr>
        <w:t>attributable to common stockholders, basic and diluted</w:t>
      </w:r>
      <w:r>
        <w:rPr>
          <w:rFonts w:ascii="Arial" w:cs="Arial" w:eastAsia="Arial" w:hAnsi="Arial"/>
          <w:sz w:val="24"/>
          <w:szCs w:val="24"/>
          <w:color w:val="auto"/>
          <w:vertAlign w:val="superscript"/>
        </w:rPr>
        <w:t>(1)</w:t>
      </w:r>
    </w:p>
    <w:p>
      <w:pPr>
        <w:spacing w:after="0" w:line="200" w:lineRule="exact"/>
        <w:rPr>
          <w:sz w:val="20"/>
          <w:szCs w:val="20"/>
          <w:color w:val="auto"/>
        </w:rPr>
      </w:pPr>
    </w:p>
    <w:p>
      <w:pPr>
        <w:spacing w:after="0" w:line="3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6" w:right="6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38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583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60" w:right="160" w:hanging="412"/>
        <w:spacing w:after="0" w:line="246" w:lineRule="auto"/>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Note 11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weighted-average number of shares used in the computation of the per share amounts.</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left="47"/>
              <w:spacing w:after="0"/>
              <w:rPr>
                <w:sz w:val="20"/>
                <w:szCs w:val="20"/>
                <w:color w:val="auto"/>
              </w:rPr>
            </w:pPr>
            <w:r>
              <w:rPr>
                <w:rFonts w:ascii="Arial" w:cs="Arial" w:eastAsia="Arial" w:hAnsi="Arial"/>
                <w:sz w:val="14"/>
                <w:szCs w:val="14"/>
                <w:b w:val="1"/>
                <w:bCs w:val="1"/>
                <w:color w:val="auto"/>
              </w:rPr>
              <w:t>As of March 31, 2021</w:t>
            </w:r>
          </w:p>
        </w:tc>
        <w:tc>
          <w:tcPr>
            <w:tcW w:w="1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7"/>
        </w:trPr>
        <w:tc>
          <w:tcPr>
            <w:tcW w:w="4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tcPr>
          <w:p>
            <w:pPr>
              <w:jc w:val="center"/>
              <w:ind w:right="27"/>
              <w:spacing w:after="0" w:line="137" w:lineRule="exact"/>
              <w:rPr>
                <w:sz w:val="20"/>
                <w:szCs w:val="20"/>
                <w:color w:val="auto"/>
              </w:rPr>
            </w:pPr>
            <w:r>
              <w:rPr>
                <w:rFonts w:ascii="Arial" w:cs="Arial" w:eastAsia="Arial" w:hAnsi="Arial"/>
                <w:sz w:val="14"/>
                <w:szCs w:val="14"/>
                <w:b w:val="1"/>
                <w:bCs w:val="1"/>
                <w:color w:val="auto"/>
              </w:rPr>
              <w:t>Pro</w:t>
            </w:r>
          </w:p>
        </w:tc>
        <w:tc>
          <w:tcPr>
            <w:tcW w:w="11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1"/>
                <w:szCs w:val="11"/>
                <w:color w:val="auto"/>
              </w:rPr>
            </w:pPr>
          </w:p>
        </w:tc>
      </w:tr>
      <w:tr>
        <w:trPr>
          <w:trHeight w:val="177"/>
        </w:trPr>
        <w:tc>
          <w:tcPr>
            <w:tcW w:w="4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jc w:val="right"/>
              <w:ind w:right="329"/>
              <w:spacing w:after="0"/>
              <w:rPr>
                <w:sz w:val="20"/>
                <w:szCs w:val="20"/>
                <w:color w:val="auto"/>
              </w:rPr>
            </w:pPr>
            <w:r>
              <w:rPr>
                <w:rFonts w:ascii="Arial" w:cs="Arial" w:eastAsia="Arial" w:hAnsi="Arial"/>
                <w:sz w:val="14"/>
                <w:szCs w:val="14"/>
                <w:b w:val="1"/>
                <w:bCs w:val="1"/>
                <w:color w:val="auto"/>
              </w:rPr>
              <w:t>Actual</w:t>
            </w:r>
          </w:p>
        </w:tc>
        <w:tc>
          <w:tcPr>
            <w:tcW w:w="1620" w:type="dxa"/>
            <w:vAlign w:val="bottom"/>
          </w:tcPr>
          <w:p>
            <w:pPr>
              <w:jc w:val="center"/>
              <w:ind w:right="47"/>
              <w:spacing w:after="0" w:line="177" w:lineRule="exact"/>
              <w:rPr>
                <w:sz w:val="20"/>
                <w:szCs w:val="20"/>
                <w:color w:val="auto"/>
              </w:rPr>
            </w:pPr>
            <w:r>
              <w:rPr>
                <w:rFonts w:ascii="Arial" w:cs="Arial" w:eastAsia="Arial" w:hAnsi="Arial"/>
                <w:sz w:val="12"/>
                <w:szCs w:val="12"/>
                <w:b w:val="1"/>
                <w:bCs w:val="1"/>
                <w:color w:val="auto"/>
              </w:rPr>
              <w:t>Forma</w:t>
            </w:r>
            <w:r>
              <w:rPr>
                <w:rFonts w:ascii="Arial" w:cs="Arial" w:eastAsia="Arial" w:hAnsi="Arial"/>
                <w:sz w:val="20"/>
                <w:szCs w:val="20"/>
                <w:b w:val="1"/>
                <w:bCs w:val="1"/>
                <w:color w:val="auto"/>
                <w:vertAlign w:val="superscript"/>
              </w:rPr>
              <w:t>(1)</w:t>
            </w:r>
          </w:p>
        </w:tc>
        <w:tc>
          <w:tcPr>
            <w:tcW w:w="1220" w:type="dxa"/>
            <w:vAlign w:val="bottom"/>
            <w:gridSpan w:val="2"/>
          </w:tcPr>
          <w:p>
            <w:pPr>
              <w:jc w:val="center"/>
              <w:ind w:right="20"/>
              <w:spacing w:after="0" w:line="177"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(2)(3)</w:t>
            </w:r>
          </w:p>
        </w:tc>
      </w:tr>
      <w:tr>
        <w:trPr>
          <w:trHeight w:val="141"/>
        </w:trPr>
        <w:tc>
          <w:tcPr>
            <w:tcW w:w="4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center"/>
              <w:ind w:left="47"/>
              <w:spacing w:after="0" w:line="141" w:lineRule="exact"/>
              <w:rPr>
                <w:sz w:val="20"/>
                <w:szCs w:val="20"/>
                <w:color w:val="auto"/>
              </w:rPr>
            </w:pPr>
            <w:r>
              <w:rPr>
                <w:rFonts w:ascii="Arial" w:cs="Arial" w:eastAsia="Arial" w:hAnsi="Arial"/>
                <w:sz w:val="14"/>
                <w:szCs w:val="14"/>
                <w:b w:val="1"/>
                <w:bCs w:val="1"/>
                <w:color w:val="auto"/>
              </w:rPr>
              <w:t>(in thousands)</w:t>
            </w:r>
          </w:p>
        </w:tc>
        <w:tc>
          <w:tcPr>
            <w:tcW w:w="1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4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20" w:type="dxa"/>
            <w:vAlign w:val="bottom"/>
          </w:tcPr>
          <w:p>
            <w:pPr>
              <w:jc w:val="center"/>
              <w:ind w:left="47"/>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Balance Sheet Data:</w:t>
            </w:r>
          </w:p>
        </w:tc>
        <w:tc>
          <w:tcPr>
            <w:tcW w:w="1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4780" w:type="dxa"/>
            <w:vAlign w:val="bottom"/>
          </w:tcPr>
          <w:p>
            <w:pPr>
              <w:spacing w:after="0" w:line="201" w:lineRule="exact"/>
              <w:rPr>
                <w:sz w:val="20"/>
                <w:szCs w:val="20"/>
                <w:color w:val="auto"/>
              </w:rPr>
            </w:pPr>
            <w:r>
              <w:rPr>
                <w:rFonts w:ascii="Arial" w:cs="Arial" w:eastAsia="Arial" w:hAnsi="Arial"/>
                <w:sz w:val="18"/>
                <w:szCs w:val="18"/>
                <w:color w:val="auto"/>
              </w:rPr>
              <w:t>Cash and cash equivalents</w:t>
            </w:r>
          </w:p>
        </w:tc>
        <w:tc>
          <w:tcPr>
            <w:tcW w:w="292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  49,512</w:t>
            </w:r>
          </w:p>
        </w:tc>
        <w:tc>
          <w:tcPr>
            <w:tcW w:w="1620" w:type="dxa"/>
            <w:vAlign w:val="bottom"/>
          </w:tcPr>
          <w:p>
            <w:pPr>
              <w:jc w:val="right"/>
              <w:ind w:right="1067"/>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866"/>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1"/>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assets</w:t>
            </w:r>
          </w:p>
        </w:tc>
        <w:tc>
          <w:tcPr>
            <w:tcW w:w="292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84,612</w:t>
            </w: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4780" w:type="dxa"/>
            <w:vAlign w:val="bottom"/>
          </w:tcPr>
          <w:p>
            <w:pPr>
              <w:spacing w:after="0" w:line="201"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292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30,319</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w:t>
            </w:r>
          </w:p>
        </w:tc>
        <w:tc>
          <w:tcPr>
            <w:tcW w:w="292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160,713</w:t>
            </w:r>
          </w:p>
        </w:tc>
        <w:tc>
          <w:tcPr>
            <w:tcW w:w="1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920" w:type="dxa"/>
            <w:vAlign w:val="bottom"/>
            <w:gridSpan w:val="2"/>
          </w:tcPr>
          <w:p>
            <w:pPr>
              <w:jc w:val="right"/>
              <w:ind w:right="89"/>
              <w:spacing w:after="0"/>
              <w:rPr>
                <w:sz w:val="20"/>
                <w:szCs w:val="20"/>
                <w:color w:val="auto"/>
              </w:rPr>
            </w:pPr>
            <w:r>
              <w:rPr>
                <w:rFonts w:ascii="Arial" w:cs="Arial" w:eastAsia="Arial" w:hAnsi="Arial"/>
                <w:sz w:val="18"/>
                <w:szCs w:val="18"/>
                <w:color w:val="auto"/>
              </w:rPr>
              <w:t>(120,369)</w:t>
            </w: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166" w:lineRule="exact"/>
        <w:rPr>
          <w:sz w:val="20"/>
          <w:szCs w:val="20"/>
          <w:color w:val="auto"/>
        </w:rPr>
      </w:pPr>
    </w:p>
    <w:p>
      <w:pPr>
        <w:ind w:left="760" w:right="80" w:hanging="412"/>
        <w:spacing w:after="0" w:line="239"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(a) the reclassification of our outstanding common stock into Class A common stock, (b) the automatic conversion of all of our outstanding shares of convertible preferred stock into an aggregate of 27,758,941 shares of Class A common stock in connection with this offering, (c) the exchange of certain shares of Class A common stock held by our co-founders for shares of our Class B common stock, and</w:t>
      </w:r>
    </w:p>
    <w:p>
      <w:pPr>
        <w:ind w:left="760"/>
        <w:spacing w:after="0"/>
        <w:rPr>
          <w:rFonts w:ascii="Arial" w:cs="Arial" w:eastAsia="Arial" w:hAnsi="Arial"/>
          <w:sz w:val="14"/>
          <w:szCs w:val="14"/>
          <w:color w:val="auto"/>
        </w:rPr>
      </w:pPr>
      <w:r>
        <w:rPr>
          <w:rFonts w:ascii="Arial" w:cs="Arial" w:eastAsia="Arial" w:hAnsi="Arial"/>
          <w:sz w:val="14"/>
          <w:szCs w:val="14"/>
          <w:color w:val="auto"/>
        </w:rPr>
        <w:t>(d) the filing and effectiveness of our amended and restated certificate of incorporation that will be in effect on the completion of this offering.</w:t>
      </w:r>
    </w:p>
    <w:p>
      <w:pPr>
        <w:ind w:left="760" w:hanging="412"/>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reflects (a) the items described in footnote (1) above, (b) our receipt of estimated net proceeds from</w:t>
      </w:r>
    </w:p>
    <w:tbl>
      <w:tblPr>
        <w:tblLayout w:type="fixed"/>
        <w:tblInd w:w="34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7360" w:type="dxa"/>
            <w:vAlign w:val="bottom"/>
            <w:gridSpan w:val="3"/>
          </w:tcPr>
          <w:p>
            <w:pPr>
              <w:ind w:left="120"/>
              <w:spacing w:after="0"/>
              <w:rPr>
                <w:sz w:val="20"/>
                <w:szCs w:val="20"/>
                <w:color w:val="auto"/>
              </w:rPr>
            </w:pPr>
            <w:r>
              <w:rPr>
                <w:rFonts w:ascii="Arial" w:cs="Arial" w:eastAsia="Arial" w:hAnsi="Arial"/>
                <w:sz w:val="14"/>
                <w:szCs w:val="14"/>
                <w:color w:val="auto"/>
              </w:rPr>
              <w:t>the sale of shares of Class A common stock that we are offering at an assumed initial public offering price of $</w:t>
            </w:r>
          </w:p>
        </w:tc>
        <w:tc>
          <w:tcPr>
            <w:tcW w:w="2840" w:type="dxa"/>
            <w:vAlign w:val="bottom"/>
            <w:gridSpan w:val="2"/>
          </w:tcPr>
          <w:p>
            <w:pPr>
              <w:ind w:left="300"/>
              <w:spacing w:after="0"/>
              <w:rPr>
                <w:sz w:val="20"/>
                <w:szCs w:val="20"/>
                <w:color w:val="auto"/>
              </w:rPr>
            </w:pPr>
            <w:r>
              <w:rPr>
                <w:rFonts w:ascii="Arial" w:cs="Arial" w:eastAsia="Arial" w:hAnsi="Arial"/>
                <w:sz w:val="14"/>
                <w:szCs w:val="14"/>
                <w:color w:val="auto"/>
              </w:rPr>
              <w:t>per share, the midpoint of the estimated</w:t>
            </w:r>
          </w:p>
        </w:tc>
      </w:tr>
      <w:tr>
        <w:trPr>
          <w:trHeight w:val="160"/>
        </w:trPr>
        <w:tc>
          <w:tcPr>
            <w:tcW w:w="300" w:type="dxa"/>
            <w:vAlign w:val="bottom"/>
          </w:tcPr>
          <w:p>
            <w:pPr>
              <w:spacing w:after="0"/>
              <w:rPr>
                <w:sz w:val="13"/>
                <w:szCs w:val="13"/>
                <w:color w:val="auto"/>
              </w:rPr>
            </w:pPr>
          </w:p>
        </w:tc>
        <w:tc>
          <w:tcPr>
            <w:tcW w:w="10200" w:type="dxa"/>
            <w:vAlign w:val="bottom"/>
            <w:gridSpan w:val="5"/>
          </w:tcPr>
          <w:p>
            <w:pPr>
              <w:ind w:left="120"/>
              <w:spacing w:after="0"/>
              <w:rPr>
                <w:sz w:val="20"/>
                <w:szCs w:val="20"/>
                <w:color w:val="auto"/>
              </w:rPr>
            </w:pPr>
            <w:r>
              <w:rPr>
                <w:rFonts w:ascii="Arial" w:cs="Arial" w:eastAsia="Arial" w:hAnsi="Arial"/>
                <w:sz w:val="14"/>
                <w:szCs w:val="14"/>
                <w:color w:val="auto"/>
              </w:rPr>
              <w:t>price range set forth on the cover page of this prospectus, after deducting the estimated underwriting discounts and commissions and estimated offering</w:t>
            </w:r>
          </w:p>
        </w:tc>
      </w:tr>
      <w:tr>
        <w:trPr>
          <w:trHeight w:val="160"/>
        </w:trPr>
        <w:tc>
          <w:tcPr>
            <w:tcW w:w="300" w:type="dxa"/>
            <w:vAlign w:val="bottom"/>
          </w:tcPr>
          <w:p>
            <w:pPr>
              <w:spacing w:after="0"/>
              <w:rPr>
                <w:sz w:val="13"/>
                <w:szCs w:val="13"/>
                <w:color w:val="auto"/>
              </w:rPr>
            </w:pPr>
          </w:p>
        </w:tc>
        <w:tc>
          <w:tcPr>
            <w:tcW w:w="10200" w:type="dxa"/>
            <w:vAlign w:val="bottom"/>
            <w:gridSpan w:val="5"/>
          </w:tcPr>
          <w:p>
            <w:pPr>
              <w:ind w:left="120"/>
              <w:spacing w:after="0"/>
              <w:rPr>
                <w:sz w:val="20"/>
                <w:szCs w:val="20"/>
                <w:color w:val="auto"/>
              </w:rPr>
            </w:pPr>
            <w:r>
              <w:rPr>
                <w:rFonts w:ascii="Arial" w:cs="Arial" w:eastAsia="Arial" w:hAnsi="Arial"/>
                <w:sz w:val="14"/>
                <w:szCs w:val="14"/>
                <w:color w:val="auto"/>
              </w:rPr>
              <w:t>expenses and (c) repayment of our outstanding indebtedness under our Amended Loan and Security Agreement, as described in “Use of Proceeds.”</w:t>
            </w:r>
          </w:p>
        </w:tc>
      </w:tr>
      <w:tr>
        <w:trPr>
          <w:trHeight w:val="160"/>
        </w:trPr>
        <w:tc>
          <w:tcPr>
            <w:tcW w:w="300" w:type="dxa"/>
            <w:vAlign w:val="bottom"/>
          </w:tcPr>
          <w:p>
            <w:pPr>
              <w:jc w:val="right"/>
              <w:ind w:right="49"/>
              <w:spacing w:after="0"/>
              <w:rPr>
                <w:sz w:val="20"/>
                <w:szCs w:val="20"/>
                <w:color w:val="auto"/>
              </w:rPr>
            </w:pPr>
            <w:r>
              <w:rPr>
                <w:rFonts w:ascii="Arial" w:cs="Arial" w:eastAsia="Arial" w:hAnsi="Arial"/>
                <w:sz w:val="14"/>
                <w:szCs w:val="14"/>
                <w:color w:val="auto"/>
                <w:w w:val="93"/>
              </w:rPr>
              <w:t>(3)</w:t>
            </w:r>
          </w:p>
        </w:tc>
        <w:tc>
          <w:tcPr>
            <w:tcW w:w="5080" w:type="dxa"/>
            <w:vAlign w:val="bottom"/>
            <w:gridSpan w:val="2"/>
          </w:tcPr>
          <w:p>
            <w:pPr>
              <w:ind w:left="120"/>
              <w:spacing w:after="0"/>
              <w:rPr>
                <w:sz w:val="20"/>
                <w:szCs w:val="20"/>
                <w:color w:val="auto"/>
              </w:rPr>
            </w:pPr>
            <w:r>
              <w:rPr>
                <w:rFonts w:ascii="Arial" w:cs="Arial" w:eastAsia="Arial" w:hAnsi="Arial"/>
                <w:sz w:val="14"/>
                <w:szCs w:val="14"/>
                <w:color w:val="auto"/>
              </w:rPr>
              <w:t>A $1.00 increase (decrease) in the assumed initial public offering price of $</w:t>
            </w:r>
          </w:p>
        </w:tc>
        <w:tc>
          <w:tcPr>
            <w:tcW w:w="5120" w:type="dxa"/>
            <w:vAlign w:val="bottom"/>
            <w:gridSpan w:val="3"/>
          </w:tcPr>
          <w:p>
            <w:pPr>
              <w:ind w:left="380"/>
              <w:spacing w:after="0"/>
              <w:rPr>
                <w:sz w:val="20"/>
                <w:szCs w:val="20"/>
                <w:color w:val="auto"/>
              </w:rPr>
            </w:pPr>
            <w:r>
              <w:rPr>
                <w:rFonts w:ascii="Arial" w:cs="Arial" w:eastAsia="Arial" w:hAnsi="Arial"/>
                <w:sz w:val="14"/>
                <w:szCs w:val="14"/>
                <w:color w:val="auto"/>
              </w:rPr>
              <w:t>per share, the midpoint of the estimated price range set forth on the cover</w:t>
            </w:r>
          </w:p>
        </w:tc>
      </w:tr>
      <w:tr>
        <w:trPr>
          <w:trHeight w:val="160"/>
        </w:trPr>
        <w:tc>
          <w:tcPr>
            <w:tcW w:w="300" w:type="dxa"/>
            <w:vAlign w:val="bottom"/>
          </w:tcPr>
          <w:p>
            <w:pPr>
              <w:spacing w:after="0"/>
              <w:rPr>
                <w:sz w:val="13"/>
                <w:szCs w:val="13"/>
                <w:color w:val="auto"/>
              </w:rPr>
            </w:pPr>
          </w:p>
        </w:tc>
        <w:tc>
          <w:tcPr>
            <w:tcW w:w="8520" w:type="dxa"/>
            <w:vAlign w:val="bottom"/>
            <w:gridSpan w:val="4"/>
          </w:tcPr>
          <w:p>
            <w:pPr>
              <w:ind w:left="120"/>
              <w:spacing w:after="0"/>
              <w:rPr>
                <w:sz w:val="20"/>
                <w:szCs w:val="20"/>
                <w:color w:val="auto"/>
              </w:rPr>
            </w:pPr>
            <w:r>
              <w:rPr>
                <w:rFonts w:ascii="Arial" w:cs="Arial" w:eastAsia="Arial" w:hAnsi="Arial"/>
                <w:sz w:val="14"/>
                <w:szCs w:val="14"/>
                <w:color w:val="auto"/>
              </w:rPr>
              <w:t>page of this prospectus, would increase (decrease) each of cash, total assets, working capital and total stockholders’ equity by $</w:t>
            </w:r>
          </w:p>
        </w:tc>
        <w:tc>
          <w:tcPr>
            <w:tcW w:w="1680" w:type="dxa"/>
            <w:vAlign w:val="bottom"/>
          </w:tcPr>
          <w:p>
            <w:pPr>
              <w:ind w:left="320"/>
              <w:spacing w:after="0"/>
              <w:rPr>
                <w:sz w:val="20"/>
                <w:szCs w:val="20"/>
                <w:color w:val="auto"/>
              </w:rPr>
            </w:pPr>
            <w:r>
              <w:rPr>
                <w:rFonts w:ascii="Arial" w:cs="Arial" w:eastAsia="Arial" w:hAnsi="Arial"/>
                <w:sz w:val="14"/>
                <w:szCs w:val="14"/>
                <w:color w:val="auto"/>
                <w:w w:val="99"/>
              </w:rPr>
              <w:t>million, assuming that</w:t>
            </w:r>
          </w:p>
        </w:tc>
      </w:tr>
      <w:tr>
        <w:trPr>
          <w:trHeight w:val="160"/>
        </w:trPr>
        <w:tc>
          <w:tcPr>
            <w:tcW w:w="300" w:type="dxa"/>
            <w:vAlign w:val="bottom"/>
          </w:tcPr>
          <w:p>
            <w:pPr>
              <w:spacing w:after="0"/>
              <w:rPr>
                <w:sz w:val="13"/>
                <w:szCs w:val="13"/>
                <w:color w:val="auto"/>
              </w:rPr>
            </w:pPr>
          </w:p>
        </w:tc>
        <w:tc>
          <w:tcPr>
            <w:tcW w:w="10200" w:type="dxa"/>
            <w:vAlign w:val="bottom"/>
            <w:gridSpan w:val="5"/>
          </w:tcPr>
          <w:p>
            <w:pPr>
              <w:ind w:left="120"/>
              <w:spacing w:after="0"/>
              <w:rPr>
                <w:sz w:val="20"/>
                <w:szCs w:val="20"/>
                <w:color w:val="auto"/>
              </w:rPr>
            </w:pPr>
            <w:r>
              <w:rPr>
                <w:rFonts w:ascii="Arial" w:cs="Arial" w:eastAsia="Arial" w:hAnsi="Arial"/>
                <w:sz w:val="14"/>
                <w:szCs w:val="14"/>
                <w:color w:val="auto"/>
              </w:rPr>
              <w:t>the number of shares offered by us, as set forth on the cover page of this prospectus, remains the same, and after deducting the estimated underwriting</w:t>
            </w:r>
          </w:p>
        </w:tc>
      </w:tr>
      <w:tr>
        <w:trPr>
          <w:trHeight w:val="160"/>
        </w:trPr>
        <w:tc>
          <w:tcPr>
            <w:tcW w:w="300" w:type="dxa"/>
            <w:vAlign w:val="bottom"/>
          </w:tcPr>
          <w:p>
            <w:pPr>
              <w:spacing w:after="0"/>
              <w:rPr>
                <w:sz w:val="13"/>
                <w:szCs w:val="13"/>
                <w:color w:val="auto"/>
              </w:rPr>
            </w:pPr>
          </w:p>
        </w:tc>
        <w:tc>
          <w:tcPr>
            <w:tcW w:w="10200" w:type="dxa"/>
            <w:vAlign w:val="bottom"/>
            <w:gridSpan w:val="5"/>
          </w:tcPr>
          <w:p>
            <w:pPr>
              <w:ind w:left="120"/>
              <w:spacing w:after="0"/>
              <w:rPr>
                <w:sz w:val="20"/>
                <w:szCs w:val="20"/>
                <w:color w:val="auto"/>
              </w:rPr>
            </w:pPr>
            <w:r>
              <w:rPr>
                <w:rFonts w:ascii="Arial" w:cs="Arial" w:eastAsia="Arial" w:hAnsi="Arial"/>
                <w:sz w:val="14"/>
                <w:szCs w:val="14"/>
                <w:color w:val="auto"/>
              </w:rPr>
              <w:t>discounts and commissions and estimated offering expenses. Similarly, each increase (decrease) of 1,000,000 shares in the number of shares of Class A</w:t>
            </w:r>
          </w:p>
        </w:tc>
      </w:tr>
      <w:tr>
        <w:trPr>
          <w:trHeight w:val="160"/>
        </w:trPr>
        <w:tc>
          <w:tcPr>
            <w:tcW w:w="300" w:type="dxa"/>
            <w:vAlign w:val="bottom"/>
          </w:tcPr>
          <w:p>
            <w:pPr>
              <w:spacing w:after="0"/>
              <w:rPr>
                <w:sz w:val="13"/>
                <w:szCs w:val="13"/>
                <w:color w:val="auto"/>
              </w:rPr>
            </w:pPr>
          </w:p>
        </w:tc>
        <w:tc>
          <w:tcPr>
            <w:tcW w:w="10200" w:type="dxa"/>
            <w:vAlign w:val="bottom"/>
            <w:gridSpan w:val="5"/>
          </w:tcPr>
          <w:p>
            <w:pPr>
              <w:ind w:left="120"/>
              <w:spacing w:after="0"/>
              <w:rPr>
                <w:sz w:val="20"/>
                <w:szCs w:val="20"/>
                <w:color w:val="auto"/>
              </w:rPr>
            </w:pPr>
            <w:r>
              <w:rPr>
                <w:rFonts w:ascii="Arial" w:cs="Arial" w:eastAsia="Arial" w:hAnsi="Arial"/>
                <w:sz w:val="14"/>
                <w:szCs w:val="14"/>
                <w:color w:val="auto"/>
              </w:rPr>
              <w:t>common stock offered by us would increase (decrease) each of cash and cash equivalents, total assets, working capital and total stockholders’ equity by</w:t>
            </w:r>
          </w:p>
        </w:tc>
      </w:tr>
      <w:tr>
        <w:trPr>
          <w:trHeight w:val="160"/>
        </w:trPr>
        <w:tc>
          <w:tcPr>
            <w:tcW w:w="300" w:type="dxa"/>
            <w:vAlign w:val="bottom"/>
          </w:tcPr>
          <w:p>
            <w:pPr>
              <w:spacing w:after="0"/>
              <w:rPr>
                <w:sz w:val="13"/>
                <w:szCs w:val="13"/>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w:t>
            </w:r>
          </w:p>
        </w:tc>
        <w:tc>
          <w:tcPr>
            <w:tcW w:w="4560" w:type="dxa"/>
            <w:vAlign w:val="bottom"/>
          </w:tcPr>
          <w:p>
            <w:pPr>
              <w:ind w:left="320"/>
              <w:spacing w:after="0"/>
              <w:rPr>
                <w:sz w:val="20"/>
                <w:szCs w:val="20"/>
                <w:color w:val="auto"/>
              </w:rPr>
            </w:pPr>
            <w:r>
              <w:rPr>
                <w:rFonts w:ascii="Arial" w:cs="Arial" w:eastAsia="Arial" w:hAnsi="Arial"/>
                <w:sz w:val="14"/>
                <w:szCs w:val="14"/>
                <w:color w:val="auto"/>
              </w:rPr>
              <w:t>million, assuming the assumed initial public offering price of $</w:t>
            </w:r>
          </w:p>
        </w:tc>
        <w:tc>
          <w:tcPr>
            <w:tcW w:w="5120" w:type="dxa"/>
            <w:vAlign w:val="bottom"/>
            <w:gridSpan w:val="3"/>
          </w:tcPr>
          <w:p>
            <w:pPr>
              <w:ind w:left="260"/>
              <w:spacing w:after="0"/>
              <w:rPr>
                <w:sz w:val="20"/>
                <w:szCs w:val="20"/>
                <w:color w:val="auto"/>
              </w:rPr>
            </w:pPr>
            <w:r>
              <w:rPr>
                <w:rFonts w:ascii="Arial" w:cs="Arial" w:eastAsia="Arial" w:hAnsi="Arial"/>
                <w:sz w:val="14"/>
                <w:szCs w:val="14"/>
                <w:color w:val="auto"/>
              </w:rPr>
              <w:t>per share of Class A common stock remains the same, and after deducting</w:t>
            </w:r>
          </w:p>
        </w:tc>
      </w:tr>
    </w:tbl>
    <w:p>
      <w:pPr>
        <w:ind w:left="760"/>
        <w:spacing w:after="0"/>
        <w:rPr>
          <w:sz w:val="20"/>
          <w:szCs w:val="20"/>
          <w:color w:val="auto"/>
        </w:rPr>
      </w:pPr>
      <w:r>
        <w:rPr>
          <w:rFonts w:ascii="Arial" w:cs="Arial" w:eastAsia="Arial" w:hAnsi="Arial"/>
          <w:sz w:val="14"/>
          <w:szCs w:val="14"/>
          <w:color w:val="auto"/>
        </w:rPr>
        <w:t>the estimated underwriting discounts and commissions and estimated offering expenses.</w:t>
      </w:r>
    </w:p>
    <w:p>
      <w:pPr>
        <w:ind w:left="760" w:hanging="41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March 31,</w:t>
            </w:r>
          </w:p>
        </w:tc>
      </w:tr>
      <w:tr>
        <w:trPr>
          <w:trHeight w:val="154"/>
        </w:trPr>
        <w:tc>
          <w:tcPr>
            <w:tcW w:w="5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Borders>
              <w:top w:val="single" w:sz="8" w:color="auto"/>
            </w:tcBorders>
          </w:tcPr>
          <w:p>
            <w:pPr>
              <w:jc w:val="right"/>
              <w:ind w:right="149"/>
              <w:spacing w:after="0" w:line="154"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00"/>
              <w:spacing w:after="0" w:line="154"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880" w:type="dxa"/>
            <w:vAlign w:val="bottom"/>
            <w:gridSpan w:val="2"/>
          </w:tcPr>
          <w:p>
            <w:pPr>
              <w:jc w:val="right"/>
              <w:ind w:right="109"/>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r>
      <w:tr>
        <w:trPr>
          <w:trHeight w:val="181"/>
        </w:trPr>
        <w:tc>
          <w:tcPr>
            <w:tcW w:w="58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Key Operational and Business Metrics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1"/>
        </w:trPr>
        <w:tc>
          <w:tcPr>
            <w:tcW w:w="5880" w:type="dxa"/>
            <w:vAlign w:val="bottom"/>
          </w:tcPr>
          <w:p>
            <w:pPr>
              <w:spacing w:after="0" w:line="201" w:lineRule="exact"/>
              <w:rPr>
                <w:sz w:val="20"/>
                <w:szCs w:val="20"/>
                <w:color w:val="auto"/>
              </w:rPr>
            </w:pPr>
            <w:r>
              <w:rPr>
                <w:rFonts w:ascii="Arial" w:cs="Arial" w:eastAsia="Arial" w:hAnsi="Arial"/>
                <w:sz w:val="18"/>
                <w:szCs w:val="18"/>
                <w:color w:val="auto"/>
              </w:rPr>
              <w:t>Active Buyers</w:t>
            </w:r>
          </w:p>
        </w:tc>
        <w:tc>
          <w:tcPr>
            <w:tcW w:w="224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11,527</w:t>
            </w:r>
          </w:p>
        </w:tc>
        <w:tc>
          <w:tcPr>
            <w:tcW w:w="1320" w:type="dxa"/>
            <w:vAlign w:val="bottom"/>
            <w:gridSpan w:val="3"/>
          </w:tcPr>
          <w:p>
            <w:pPr>
              <w:jc w:val="right"/>
              <w:ind w:right="380"/>
              <w:spacing w:after="0" w:line="201" w:lineRule="exact"/>
              <w:rPr>
                <w:sz w:val="20"/>
                <w:szCs w:val="20"/>
                <w:color w:val="auto"/>
              </w:rPr>
            </w:pPr>
            <w:r>
              <w:rPr>
                <w:rFonts w:ascii="Arial" w:cs="Arial" w:eastAsia="Arial" w:hAnsi="Arial"/>
                <w:sz w:val="18"/>
                <w:szCs w:val="18"/>
                <w:color w:val="auto"/>
              </w:rPr>
              <w:t>21,128</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24,160</w:t>
            </w:r>
          </w:p>
        </w:tc>
        <w:tc>
          <w:tcPr>
            <w:tcW w:w="22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Percentage of Revenue from Existing Accounts</w:t>
            </w:r>
          </w:p>
        </w:tc>
        <w:tc>
          <w:tcPr>
            <w:tcW w:w="224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94%</w:t>
            </w:r>
          </w:p>
        </w:tc>
        <w:tc>
          <w:tcPr>
            <w:tcW w:w="132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95%</w:t>
            </w:r>
          </w:p>
        </w:tc>
        <w:tc>
          <w:tcPr>
            <w:tcW w:w="11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95%</w:t>
            </w:r>
          </w:p>
        </w:tc>
      </w:tr>
      <w:tr>
        <w:trPr>
          <w:trHeight w:val="201"/>
        </w:trPr>
        <w:tc>
          <w:tcPr>
            <w:tcW w:w="5880" w:type="dxa"/>
            <w:vAlign w:val="bottom"/>
          </w:tcPr>
          <w:p>
            <w:pPr>
              <w:spacing w:after="0" w:line="201" w:lineRule="exact"/>
              <w:rPr>
                <w:sz w:val="20"/>
                <w:szCs w:val="20"/>
                <w:color w:val="auto"/>
              </w:rPr>
            </w:pPr>
            <w:r>
              <w:rPr>
                <w:rFonts w:ascii="Arial" w:cs="Arial" w:eastAsia="Arial" w:hAnsi="Arial"/>
                <w:sz w:val="18"/>
                <w:szCs w:val="18"/>
                <w:color w:val="auto"/>
              </w:rPr>
              <w:t>Accounts with Last Twelve-Month Spend of at least $50,000</w:t>
            </w:r>
          </w:p>
        </w:tc>
        <w:tc>
          <w:tcPr>
            <w:tcW w:w="1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266</w:t>
            </w:r>
          </w:p>
        </w:tc>
        <w:tc>
          <w:tcPr>
            <w:tcW w:w="36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389</w:t>
            </w:r>
          </w:p>
        </w:tc>
        <w:tc>
          <w:tcPr>
            <w:tcW w:w="380" w:type="dxa"/>
            <w:vAlign w:val="bottom"/>
          </w:tcPr>
          <w:p>
            <w:pPr>
              <w:spacing w:after="0"/>
              <w:rPr>
                <w:sz w:val="17"/>
                <w:szCs w:val="17"/>
                <w:color w:val="auto"/>
              </w:rPr>
            </w:pP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412</w:t>
            </w:r>
          </w:p>
        </w:tc>
        <w:tc>
          <w:tcPr>
            <w:tcW w:w="220" w:type="dxa"/>
            <w:vAlign w:val="bottom"/>
          </w:tcPr>
          <w:p>
            <w:pPr>
              <w:spacing w:after="0"/>
              <w:rPr>
                <w:sz w:val="17"/>
                <w:szCs w:val="17"/>
                <w:color w:val="auto"/>
              </w:rPr>
            </w:pPr>
          </w:p>
        </w:tc>
      </w:tr>
      <w:tr>
        <w:trPr>
          <w:trHeight w:val="201"/>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224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$(26,439)</w:t>
            </w:r>
          </w:p>
        </w:tc>
        <w:tc>
          <w:tcPr>
            <w:tcW w:w="132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$(23,498)</w:t>
            </w:r>
          </w:p>
        </w:tc>
        <w:tc>
          <w:tcPr>
            <w:tcW w:w="110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 (8,810)</w:t>
            </w:r>
          </w:p>
        </w:tc>
      </w:tr>
    </w:tbl>
    <w:p>
      <w:pPr>
        <w:spacing w:after="0" w:line="192" w:lineRule="exact"/>
        <w:rPr>
          <w:sz w:val="20"/>
          <w:szCs w:val="20"/>
          <w:color w:val="auto"/>
        </w:rPr>
      </w:pPr>
    </w:p>
    <w:p>
      <w:pPr>
        <w:ind w:left="760" w:right="40" w:hanging="412"/>
        <w:spacing w:after="0" w:line="239" w:lineRule="auto"/>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shown for Active Buyers and Accounts with Last Twelve-Month Spend of at least $50,000 are as of December 31, 2019 and 2020 and March 31, 2021, and Percentage of Revenue from Existing Accounts is presented for the quarters ended December 31, 2019 and 2020 and March 31, 2021. Adjusted EBITDA is presented for the years ended December 31, 2019 and 2020 and the quarter ended March 31, 2021. See the section titled “Management’s Discussion and Analysis of Financial Condition and Results of Operations—Key Operational and Business Metrics” included elsewhere in this prospectus for our definitions of these metrics.</w:t>
      </w:r>
    </w:p>
    <w:p>
      <w:pPr>
        <w:ind w:left="760" w:right="200" w:hanging="412"/>
        <w:spacing w:after="0" w:line="246" w:lineRule="auto"/>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Adjusted EBITDA is a non-GAAP financial measure. We define Adjusted EBITDA as net income (loss), adjusted to exclude interest and other expense, depreciation and amortization, stock-based compensation expense and goodwill and intangible asset impairment charges. Adjusted EBITDA is a performance measure that we use to assess our operating performance and the operating leverage in our business.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320" w:top="456"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849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4200" cy="28492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760" w:right="80"/>
        <w:spacing w:after="0" w:line="242" w:lineRule="auto"/>
        <w:rPr>
          <w:sz w:val="20"/>
          <w:szCs w:val="20"/>
          <w:color w:val="auto"/>
        </w:rPr>
      </w:pPr>
      <w:r>
        <w:rPr>
          <w:rFonts w:ascii="Arial" w:cs="Arial" w:eastAsia="Arial" w:hAnsi="Arial"/>
          <w:sz w:val="14"/>
          <w:szCs w:val="14"/>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w:t>
      </w:r>
    </w:p>
    <w:p>
      <w:pPr>
        <w:spacing w:after="0" w:line="109" w:lineRule="exact"/>
        <w:rPr>
          <w:sz w:val="20"/>
          <w:szCs w:val="20"/>
          <w:color w:val="auto"/>
        </w:rPr>
      </w:pPr>
    </w:p>
    <w:p>
      <w:pPr>
        <w:ind w:left="760" w:right="360"/>
        <w:spacing w:after="0" w:line="246" w:lineRule="auto"/>
        <w:rPr>
          <w:sz w:val="20"/>
          <w:szCs w:val="20"/>
          <w:color w:val="auto"/>
        </w:rPr>
      </w:pPr>
      <w:r>
        <w:rPr>
          <w:rFonts w:ascii="Arial" w:cs="Arial" w:eastAsia="Arial" w:hAnsi="Arial"/>
          <w:sz w:val="14"/>
          <w:szCs w:val="14"/>
          <w:color w:val="auto"/>
        </w:rPr>
        <w:t>We compensate for these limitations by providing a reconciliation of Adjusted EBITDA to net loss, the most related GAAP financial measure. We encourage investors and others to review our business, results of operations, and financial information in its entirety, not to rely on any single financial measure. The following tables provide a reconciliation of net loss to Adjusted EBITDA:</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54"/>
        </w:trPr>
        <w:tc>
          <w:tcPr>
            <w:tcW w:w="50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8"/>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8"/>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Adjusted EBITDA Reconciliation:</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020" w:type="dxa"/>
            <w:vAlign w:val="bottom"/>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(30,994)</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(31,085)</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(8,607)</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Add:</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020" w:type="dxa"/>
            <w:vAlign w:val="bottom"/>
          </w:tcPr>
          <w:p>
            <w:pPr>
              <w:ind w:left="280"/>
              <w:spacing w:after="0"/>
              <w:rPr>
                <w:sz w:val="20"/>
                <w:szCs w:val="20"/>
                <w:color w:val="auto"/>
              </w:rPr>
            </w:pPr>
            <w:r>
              <w:rPr>
                <w:rFonts w:ascii="Arial" w:cs="Arial" w:eastAsia="Arial" w:hAnsi="Arial"/>
                <w:sz w:val="14"/>
                <w:szCs w:val="14"/>
                <w:color w:val="auto"/>
              </w:rPr>
              <w:t>Interest and other expense</w:t>
            </w:r>
          </w:p>
        </w:tc>
        <w:tc>
          <w:tcPr>
            <w:tcW w:w="20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255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1,847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689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2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544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148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1,719</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1,592</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4"/>
                <w:szCs w:val="14"/>
                <w:color w:val="auto"/>
              </w:rPr>
              <w:t>Adjusted EBITDA</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(26,439)</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(23,498)</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(7,515)</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320" w:top="456" w:right="6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all or part of your original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Related to Our Business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incurred net losses in the past, expect to incur net losses in the future and may never achieve or sustain profitability.</w:t>
      </w:r>
    </w:p>
    <w:p>
      <w:pPr>
        <w:spacing w:after="0" w:line="12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have incurred net losses since our inception in 2013. We incurred a net loss of $31.1 million in 2020 and $31.0 million in 2019, and a net loss of $10.5 million for the three months ended March 31, 2021, and we expect to incur net losses for the foreseeable future. As a result of these losses, as of March 31, 2021, we had an accumulated deficit of $122.5 million.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123"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We have grown rapidly over the last several years, but our recent revenue growth rate and financial performance should not be considered indicative of our future performance. In 2020 and 2019, our revenue was $141.4 million and $80.2 million, respectively, representing a 76% growth rate. During the three months ended March 31, 2021 and March 31, 2020, our revenue was $43.9 million and $26.7 million, respectively, representing a growth rate of 65%. In addition, in 2020, unlike in many other industries, the COVID-19 pandemic contributed to an increase in our revenue, particularly in the third quarter of 2020. The circumstances that have accelerated the growth of our business stemming from the effects of the COVID-19 pandemic may not continue in the future. We may also experience declines in our revenue growth rate as a result of a number of factors, including slowing demand for our platform, insufficient growth in the number of buyers and sellers who transact on our marketplace, increasing competition, a decrease in the growth of our overall market, our failure to continue to capitalize on growth opportunities, failure to realize anticipated revenue growth from our seller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adversely affected.</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2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Our quarterly operating results have fluctuated in the past and may fluctuate in the future.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109" w:lineRule="exact"/>
        <w:rPr>
          <w:sz w:val="20"/>
          <w:szCs w:val="20"/>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buyers and sellers;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demand for and types of manufacturing processes, capabilities and materials that are sourced on our marketplace to sellers;</w:t>
      </w:r>
    </w:p>
    <w:p>
      <w:pPr>
        <w:spacing w:after="0" w:line="125" w:lineRule="exact"/>
        <w:rPr>
          <w:rFonts w:ascii="Arial" w:cs="Arial" w:eastAsia="Arial" w:hAnsi="Arial"/>
          <w:sz w:val="17"/>
          <w:szCs w:val="17"/>
          <w:color w:val="auto"/>
        </w:rPr>
      </w:pPr>
    </w:p>
    <w:p>
      <w:pPr>
        <w:ind w:left="920" w:right="12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large orders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holidays on purchase activity;</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prices charged to buyers transacting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3" w:lineRule="exact"/>
        <w:rPr>
          <w:rFonts w:ascii="Arial" w:cs="Arial" w:eastAsia="Arial" w:hAnsi="Arial"/>
          <w:sz w:val="18"/>
          <w:szCs w:val="18"/>
          <w:color w:val="auto"/>
        </w:rPr>
      </w:pPr>
    </w:p>
    <w:p>
      <w:pPr>
        <w:ind w:left="920" w:right="56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109" w:lineRule="exact"/>
        <w:rPr>
          <w:rFonts w:ascii="Arial" w:cs="Arial" w:eastAsia="Arial" w:hAnsi="Arial"/>
          <w:sz w:val="18"/>
          <w:szCs w:val="18"/>
          <w:color w:val="auto"/>
        </w:rPr>
      </w:pPr>
    </w:p>
    <w:p>
      <w:pPr>
        <w:ind w:left="920" w:right="6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13"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spacing w:after="0" w:line="109" w:lineRule="exact"/>
        <w:rPr>
          <w:rFonts w:ascii="Arial" w:cs="Arial" w:eastAsia="Arial" w:hAnsi="Arial"/>
          <w:sz w:val="18"/>
          <w:szCs w:val="18"/>
          <w:color w:val="auto"/>
        </w:rPr>
      </w:pPr>
    </w:p>
    <w:p>
      <w:pPr>
        <w:ind w:left="5520" w:right="120" w:hanging="4818"/>
        <w:spacing w:after="0" w:line="410" w:lineRule="auto"/>
        <w:tabs>
          <w:tab w:leader="none" w:pos="9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business and to remain competitive; 19</w:t>
      </w:r>
    </w:p>
    <w:p>
      <w:pPr>
        <w:sectPr>
          <w:pgSz w:w="11900" w:h="16838" w:orient="portrait"/>
          <w:cols w:equalWidth="0" w:num="1">
            <w:col w:w="11020"/>
          </w:cols>
          <w:pgMar w:left="320" w:top="456" w:right="5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64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impairments;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security or data privacy and associated remediation costs;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adverse judgments, settlements, or other litigation-related costs;</w:t>
      </w:r>
    </w:p>
    <w:p>
      <w:pPr>
        <w:spacing w:after="0" w:line="113" w:lineRule="exact"/>
        <w:rPr>
          <w:rFonts w:ascii="Arial" w:cs="Arial" w:eastAsia="Arial" w:hAnsi="Arial"/>
          <w:sz w:val="18"/>
          <w:szCs w:val="18"/>
          <w:color w:val="auto"/>
        </w:rPr>
      </w:pPr>
    </w:p>
    <w:p>
      <w:pPr>
        <w:ind w:left="920" w:right="42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property or proprietary rights;</w:t>
      </w:r>
    </w:p>
    <w:p>
      <w:pPr>
        <w:spacing w:after="0" w:line="109" w:lineRule="exact"/>
        <w:rPr>
          <w:rFonts w:ascii="Arial" w:cs="Arial" w:eastAsia="Arial" w:hAnsi="Arial"/>
          <w:sz w:val="18"/>
          <w:szCs w:val="18"/>
          <w:color w:val="auto"/>
        </w:rPr>
      </w:pPr>
    </w:p>
    <w:p>
      <w:pPr>
        <w:ind w:left="920" w:right="20" w:hanging="218"/>
        <w:spacing w:after="0" w:line="236"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3" w:lineRule="exact"/>
        <w:rPr>
          <w:rFonts w:ascii="Arial" w:cs="Arial" w:eastAsia="Arial" w:hAnsi="Arial"/>
          <w:sz w:val="18"/>
          <w:szCs w:val="18"/>
          <w:color w:val="auto"/>
        </w:rPr>
      </w:pPr>
    </w:p>
    <w:p>
      <w:pPr>
        <w:ind w:left="920" w:right="560" w:hanging="218"/>
        <w:spacing w:after="0" w:line="239"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such as earthquakes, hurricanes, wildfires, and threats to public health, such as the COVID-19 pandemic.</w:t>
      </w:r>
    </w:p>
    <w:p>
      <w:pPr>
        <w:spacing w:after="0" w:line="208"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spacing w:after="0" w:line="287" w:lineRule="exact"/>
        <w:rPr>
          <w:sz w:val="20"/>
          <w:szCs w:val="20"/>
          <w:color w:val="auto"/>
        </w:rPr>
      </w:pPr>
    </w:p>
    <w:p>
      <w:pPr>
        <w:jc w:val="both"/>
        <w:ind w:left="160" w:right="120"/>
        <w:spacing w:after="0" w:line="249" w:lineRule="auto"/>
        <w:rPr>
          <w:sz w:val="20"/>
          <w:szCs w:val="20"/>
          <w:color w:val="auto"/>
        </w:rPr>
      </w:pPr>
      <w:r>
        <w:rPr>
          <w:rFonts w:ascii="Arial" w:cs="Arial" w:eastAsia="Arial" w:hAnsi="Arial"/>
          <w:sz w:val="18"/>
          <w:szCs w:val="18"/>
          <w:b w:val="1"/>
          <w:bCs w:val="1"/>
          <w:i w:val="1"/>
          <w:iCs w:val="1"/>
          <w:color w:val="auto"/>
        </w:rPr>
        <w:t>Our growth depends on our ability to attract and retain a large community of buyers and sellers, and the loss of our buyers and sellers, or failure to attract new buyers and sellers, could materially and adversely affect our business, financial condition, and results of operations.</w:t>
      </w:r>
    </w:p>
    <w:p>
      <w:pPr>
        <w:spacing w:after="0" w:line="87"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derive substantially all of our revenue from sales to buyers transacting on our marketplace seeking sophisticated manufacturing solutions. The size and diversity of our community of buyers and sellers is critical to our success. Over the past few years, we have experienced strong growth in the number of buyers and sellers transacting on our marketplace, including the number of active buyers, but we do not know whether we will be able to achieve similar growth rates in the future. Sellers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sellers, such as engaging sellers directly, finding sellers through other online or offline platforms or marketplaces. Additionally, buyers may use in-house manufacturing processes. Use of these other options available to buyers and sellers may make our marketplace less attractive to them and could lead to decreased use of our marketplace, which could result in a decrease in revenue. In addition, a decrease in engagement from buyers, including due to a general decrease in spending or as a result of the COVID-19 pandemic, could diminish the network effects that results from expanding the number of buyers within a particular account, or decrease the attractiveness of our marketplace to sellers. If we fail to attract new buyers and sellers or our existing buyers or sellers decrease their use of or cease using our marketplace, the breadth and diversity of manufacturing processes offered on our marketplace may be reduced, or the quality of products manufactured by sellers transacting on our marketplace is not satisfactory to buyers, buyers and sellers may decrease their use of our marketplace.</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6"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Key factors in attracting and retaining buyers include our ability to grow our brand awareness, attract and retain high-quality sellers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sellers. The prices quoted must appeal to both buyers and sellers; if the quoted prices are unattractive to either buyers or sellers, we could incur losses on certain orders, or buyers or sellers could decrease their activity or stop transacting on our marketplace. A key factor in attracting and retaining sellers, in turn, is maintaining and increasing the number and diversity of buyers transacting on our marketplace. Achieving growth in our community of buyers and sellers may require us to increasingly engage in sophisticated and costly sales and marketing efforts that may not result in growth in our community of buyers and sellers.</w:t>
      </w:r>
    </w:p>
    <w:p>
      <w:pPr>
        <w:spacing w:after="0" w:line="196"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Buyers or sellers can stop transacting on our marketplace at any time. Buyers or sellers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sellers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sellers or fail to maintain existing buyers and existing sellers, our revenue may grow more slowly than expected, or decline, and our business, financial condition, and results of operations could be materially and adversely affected.</w:t>
      </w:r>
    </w:p>
    <w:p>
      <w:pPr>
        <w:spacing w:after="0" w:line="289" w:lineRule="exact"/>
        <w:rPr>
          <w:sz w:val="20"/>
          <w:szCs w:val="20"/>
          <w:color w:val="auto"/>
        </w:rPr>
      </w:pPr>
    </w:p>
    <w:p>
      <w:pPr>
        <w:ind w:left="160" w:right="900"/>
        <w:spacing w:after="0" w:line="265"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7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may be affected by changes in buyer requirements and preferences, including as a result of decreased consumer demand for buyer products, seller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on-demand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In particular, we plan to expand the network of sellers transacting on our marketplace to increase the number of sellers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320" w:firstLine="546"/>
        <w:spacing w:after="0" w:line="237" w:lineRule="auto"/>
        <w:rPr>
          <w:sz w:val="20"/>
          <w:szCs w:val="20"/>
          <w:color w:val="auto"/>
        </w:rPr>
      </w:pPr>
      <w:r>
        <w:rPr>
          <w:rFonts w:ascii="Arial" w:cs="Arial" w:eastAsia="Arial" w:hAnsi="Arial"/>
          <w:sz w:val="18"/>
          <w:szCs w:val="18"/>
          <w:color w:val="auto"/>
        </w:rPr>
        <w:t>Any failure to properly meet the needs of buyers and sellers or respond to changes in our industry on a cost-effective and timely basis, or at all, would likely have a material adverse effect on our business, financial condition, and results of operations and harm our competitive position.</w:t>
      </w:r>
    </w:p>
    <w:p>
      <w:pPr>
        <w:spacing w:after="0" w:line="28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If we fail to maintain and improve the quality of our platform, customer support and ancillary services available through our platform, we may not be able to attract and retain buyers and sellers.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To satisfy both buyers and sellers,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seller products and services, like Xometry Pay and the Xometry Advance Card, improving upon and introducing new design guides and industry playbooks, expanding the availability of sellers to additional geographic and industry segments and improving the user-friendliness of our platform and our ability to provide high-quality support. Our buyers and sellers depend on our support organization to resolve issues relating to our platform. Our ability to provide effective support is largely dependent on our ability to attract and retain employees who are well versed in our platform and the needs of buyers and sellers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 In addition, with the majority of our employees working from home as a result of the COVID-19 pandemic, our information technologies and support systems may be temporarily strained.</w:t>
      </w:r>
    </w:p>
    <w:p>
      <w:pPr>
        <w:spacing w:after="0" w:line="210" w:lineRule="exact"/>
        <w:rPr>
          <w:sz w:val="20"/>
          <w:szCs w:val="20"/>
          <w:color w:val="auto"/>
        </w:rPr>
      </w:pPr>
    </w:p>
    <w:p>
      <w:pPr>
        <w:ind w:left="160" w:right="20" w:firstLine="546"/>
        <w:spacing w:after="0" w:line="249" w:lineRule="auto"/>
        <w:rPr>
          <w:sz w:val="20"/>
          <w:szCs w:val="20"/>
          <w:color w:val="auto"/>
        </w:rPr>
      </w:pPr>
      <w:r>
        <w:rPr>
          <w:rFonts w:ascii="Arial" w:cs="Arial" w:eastAsia="Arial" w:hAnsi="Arial"/>
          <w:sz w:val="17"/>
          <w:szCs w:val="17"/>
          <w:color w:val="auto"/>
        </w:rPr>
        <w:t>In addition, we need to adapt, expand and improve our platform and user interfaces to keep up with changing user preferences. We invest substantial resources in researching and developing new seller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94"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95"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provide quality assurance to buyers.</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customer agreement with buyers provides that we will manufacture their order in accordance with their specifications. Whether or not the order is ultimately supplied by a seller, in the event that a buyer deems that an order does not conform to its specifications, we agree to replace the order. Our standard customer agreement allows buyers three days to specify non-conformance; however, the duration of our warranty varies by contract, and in some cases, we may be responsible for replacing non-conforming orders for longer periods. While we require sellers to meet certain quality standards before offering their services on our marketplace and provide operational support to our buyers and sellers, such efforts may not prevent us from losses due to poor quality of parts manufactured for our buyers.</w:t>
      </w:r>
    </w:p>
    <w:p>
      <w:pPr>
        <w:spacing w:after="0" w:line="291" w:lineRule="exact"/>
        <w:rPr>
          <w:sz w:val="20"/>
          <w:szCs w:val="20"/>
          <w:color w:val="auto"/>
        </w:rPr>
      </w:pPr>
    </w:p>
    <w:p>
      <w:pPr>
        <w:ind w:left="160" w:right="160"/>
        <w:spacing w:after="0" w:line="265" w:lineRule="auto"/>
        <w:rPr>
          <w:sz w:val="20"/>
          <w:szCs w:val="20"/>
          <w:color w:val="auto"/>
        </w:rPr>
      </w:pPr>
      <w:r>
        <w:rPr>
          <w:rFonts w:ascii="Arial" w:cs="Arial" w:eastAsia="Arial" w:hAnsi="Arial"/>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seller.</w:t>
      </w:r>
    </w:p>
    <w:p>
      <w:pPr>
        <w:spacing w:after="0" w:line="7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seller with requisite manufacturing process. From time to time we may quote buyers prices that are lower than the cost we agree with a seller. If our platform is unable to find a seller to source a manufacturing opportunity from a particular buyer at below the price we quote such buyer, or at all, our results of operations may be materially and adversely affected.</w:t>
      </w:r>
    </w:p>
    <w:p>
      <w:pPr>
        <w:spacing w:after="0" w:line="287"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b w:val="1"/>
          <w:bCs w:val="1"/>
          <w:i w:val="1"/>
          <w:iCs w:val="1"/>
          <w:color w:val="auto"/>
        </w:rPr>
        <w:t>We or our third-party partners or service providers may experience a security breach, including unauthorized parties obtaining access to buyers’ confidential information, personal or other data, or any other data privacy or data protection compliance issue. Any such security breach may harm our reputation and brand, and may expose us to liability.</w:t>
      </w:r>
    </w:p>
    <w:p>
      <w:pPr>
        <w:spacing w:after="0" w:line="8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involves the collection, storage, processing, transmission and other use of proprietary, confidential and personal data of buyers and sellers and other parties, as well as the use of third-party partners and service providers who collect, store, process, transmit and otherwise use such data. In particular, our platform stores and transmits to sellers confidential buyer information, including the intellectual property in their part designs and other sensitive data. We also maintain certain other proprietary and confidential data relating to our business and personal data of our personnel and job applicants. In addition, a security breach or incident that we or our third-party partners or service providers experience could result in unauthorized access to, misuse of, or unauthorized acquisition of such data, the loss, corruption, or alteration of such data, interruptions in our operations, damage to our computers or systems or those of our platform’s users, or the loss of access to our systems by us or our buyers and sellers.</w:t>
      </w:r>
    </w:p>
    <w:p>
      <w:pPr>
        <w:spacing w:after="0" w:line="204"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Any such incidents could expose us to claims, litigation, regulatory or other governmental investigations, administrative fines and potential liability in various jurisdictions, including under applicable data privacy and security laws and regulations. An increasing number of online platforms have disclosed breaches of their security, some of which have involved sophisticated and highly targeted attacks on portions of their networks or services.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6" w:right="5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If an actual or perceived breach of security of our networks or systems or those of any of our third-party partners’ or service providers’ security occurs, public perception of the effectiveness of our security measures and brand could be severely harmed, and we could lose buyers, sellers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covered by our insurance, in whole or in part. Any such compromise could also result in damage to our brand and a loss of confidence in our security and privacy or data protection measures.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buyers’ confidential, proprietary or personal data, or the belief that any of these have occurred, could damage our reputation and expose us to a risk of loss or litigation and possible liability.</w:t>
      </w:r>
    </w:p>
    <w:p>
      <w:pPr>
        <w:spacing w:after="0" w:line="209" w:lineRule="exact"/>
        <w:rPr>
          <w:sz w:val="20"/>
          <w:szCs w:val="20"/>
          <w:color w:val="auto"/>
        </w:rPr>
      </w:pPr>
    </w:p>
    <w:p>
      <w:pPr>
        <w:ind w:left="160" w:right="120" w:firstLine="546"/>
        <w:spacing w:after="0" w:line="233" w:lineRule="auto"/>
        <w:rPr>
          <w:sz w:val="20"/>
          <w:szCs w:val="20"/>
          <w:color w:val="auto"/>
        </w:rPr>
      </w:pPr>
      <w:r>
        <w:rPr>
          <w:rFonts w:ascii="Arial" w:cs="Arial" w:eastAsia="Arial" w:hAnsi="Arial"/>
          <w:sz w:val="18"/>
          <w:szCs w:val="18"/>
          <w:color w:val="auto"/>
        </w:rPr>
        <w:t>Our and our third-party partners’ along with those of our service may be vulnerable to computer viruses and other malicious software, physical or electronic break-ins, or weakness resulting from intentional or unintentional actions by us, our third-party partners or service providers, as well as similar disruptions that could make all or portions of our platform unavailable for periods of time. While we currently employ various antivirus and computer protection software in our operations, we cannot provide assurances that such protections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 Significant unavailability of our platform due to attacks could cause users to cease using our platform and transacting on our marketplace. Although we maintain cybersecurity liability insurance, we cannot be certain our coverage will be adequate for expenses or liabilities actually incurred or will continue to be available to us on reasonable terms, or at all. Any of the foregoing could materially and adversely affect our business, prospects, financial condition and results of operations.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Failure to deal effectively with bad actors engaging on our marketplace or platform could harm our business.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sellers engaging on our marketplace. Regulations requiring marketplaces to detect and limit illegal activities are increasing. Our measures may not always keep up with these changes.</w:t>
      </w:r>
    </w:p>
    <w:p>
      <w:pPr>
        <w:spacing w:after="0" w:line="206"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may suffer reputational harm for actual or perceived bad acts or actual or perceived illegal activities of buyers and sellers on our marketplaces, particularly related to factory or other workplace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180"/>
        <w:spacing w:after="0" w:line="237" w:lineRule="auto"/>
        <w:rPr>
          <w:sz w:val="20"/>
          <w:szCs w:val="20"/>
          <w:color w:val="auto"/>
        </w:rPr>
      </w:pPr>
      <w:r>
        <w:rPr>
          <w:rFonts w:ascii="Arial" w:cs="Arial" w:eastAsia="Arial" w:hAnsi="Arial"/>
          <w:sz w:val="18"/>
          <w:szCs w:val="18"/>
          <w:color w:val="auto"/>
        </w:rPr>
        <w:t>conditions. Failure to limit the impact of actual or perceived illegal activity on our marketplaces, could subject us to penalties, fines, other enforcement actions and expenses, significant reputation harm and our business, financial condition, and results of operations could be adversely affected.</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subject to disputes between sellers and suppliers on our platform.</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business model involves, in part, connecting sellers to suppliers to purchase materials that enable sellers to fulfill orders on our marketplace. It is possible that disputes may arise between sellers and such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sellers and the suppliers with whom we pair. If these disputes are not resolved amicably, the parties might escalate to formal proceedings, such as by filing claims with a court or arbitral authority. Given our role in facilitating and supporting the relationships between sellers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288" w:lineRule="exact"/>
        <w:rPr>
          <w:sz w:val="20"/>
          <w:szCs w:val="20"/>
          <w:color w:val="auto"/>
        </w:rPr>
      </w:pPr>
    </w:p>
    <w:p>
      <w:pPr>
        <w:ind w:left="160" w:right="120"/>
        <w:spacing w:after="0" w:line="249" w:lineRule="auto"/>
        <w:rPr>
          <w:sz w:val="20"/>
          <w:szCs w:val="20"/>
          <w:color w:val="auto"/>
        </w:rPr>
      </w:pPr>
      <w:r>
        <w:rPr>
          <w:rFonts w:ascii="Arial" w:cs="Arial" w:eastAsia="Arial" w:hAnsi="Arial"/>
          <w:sz w:val="18"/>
          <w:szCs w:val="18"/>
          <w:b w:val="1"/>
          <w:bCs w:val="1"/>
          <w:i w:val="1"/>
          <w:iCs w:val="1"/>
          <w:color w:val="auto"/>
        </w:rPr>
        <w:t>We rely on a third-party payment processor to process payments made by buyers and payments made to sellers and suppliers, and if we cannot manage our relationship with such third party and other payment-related risks, our business, financial condition, and results of operations could be adversely affected.</w:t>
      </w:r>
    </w:p>
    <w:p>
      <w:pPr>
        <w:spacing w:after="0" w:line="87"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We rely on a third-party payment processor, Stripe, to process payments made by buyers and payments made to sellers and suppliers. We also rely on Stripe for our Xometry Pay, an integrated payment processing tool for sellers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sellers or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sellers and suppliers.</w:t>
      </w:r>
    </w:p>
    <w:p>
      <w:pPr>
        <w:spacing w:after="0" w:line="200"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7" w:lineRule="auto"/>
        <w:rPr>
          <w:sz w:val="20"/>
          <w:szCs w:val="20"/>
          <w:color w:val="auto"/>
        </w:rPr>
      </w:pPr>
      <w:r>
        <w:rPr>
          <w:rFonts w:ascii="Arial" w:cs="Arial" w:eastAsia="Arial" w:hAnsi="Arial"/>
          <w:sz w:val="18"/>
          <w:szCs w:val="18"/>
          <w:color w:val="auto"/>
        </w:rPr>
        <w:t>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202" w:lineRule="exact"/>
        <w:rPr>
          <w:sz w:val="20"/>
          <w:szCs w:val="20"/>
          <w:color w:val="auto"/>
        </w:rPr>
      </w:pPr>
    </w:p>
    <w:p>
      <w:pPr>
        <w:ind w:left="160" w:right="40" w:firstLine="546"/>
        <w:spacing w:after="0" w:line="232" w:lineRule="auto"/>
        <w:rPr>
          <w:sz w:val="20"/>
          <w:szCs w:val="20"/>
          <w:color w:val="auto"/>
        </w:rPr>
      </w:pPr>
      <w:r>
        <w:rPr>
          <w:rFonts w:ascii="Arial" w:cs="Arial" w:eastAsia="Arial" w:hAnsi="Arial"/>
          <w:sz w:val="18"/>
          <w:szCs w:val="18"/>
          <w:color w:val="auto"/>
        </w:rPr>
        <w:t>Additionally, our third-party payment processor requires us to comply with payment card network operating rules, which are set and interpreted by the payment card networks. The payment card networks could adopt new operating rules or</w:t>
      </w:r>
    </w:p>
    <w:p>
      <w:pPr>
        <w:spacing w:after="0" w:line="1"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required to comply with payment card network operating rules.</w:t>
      </w:r>
    </w:p>
    <w:p>
      <w:pPr>
        <w:spacing w:after="0" w:line="123"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Payment Card Industry Data Security Standard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6"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00"/>
        <w:spacing w:after="0" w:line="239" w:lineRule="auto"/>
        <w:rPr>
          <w:sz w:val="20"/>
          <w:szCs w:val="20"/>
          <w:color w:val="auto"/>
        </w:rPr>
      </w:pPr>
      <w:r>
        <w:rPr>
          <w:rFonts w:ascii="Arial" w:cs="Arial" w:eastAsia="Arial" w:hAnsi="Arial"/>
          <w:sz w:val="18"/>
          <w:szCs w:val="18"/>
          <w:color w:val="auto"/>
        </w:rPr>
        <w:t>card networks could refuse to allow us to process through their networks. Any of the foregoing could materially adversely impact our business, financial condition or results of operations.</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third parties to fulfill buyer orders.</w:t>
      </w:r>
    </w:p>
    <w:p>
      <w:pPr>
        <w:spacing w:after="0" w:line="12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We rely on continued and unimpeded access to postal services and shipping carriers for us or our sellers to deliver manufactured parts reliably and timely to buyers. As a result of the COVID-19 pandemic and other factors, postal services and shipping carriers have experienced increased delays in delivery of their goods. If these shipping delays continue or worsen, or if shipping rates increase significantly, our sellers may have increased costs, and/or our buyers may have a poor purchasing experience and may lose trust in our marketplace, which could negatively impact our business, financial condition, and results of operations.</w:t>
      </w:r>
    </w:p>
    <w:p>
      <w:pPr>
        <w:spacing w:after="0" w:line="289" w:lineRule="exact"/>
        <w:rPr>
          <w:sz w:val="20"/>
          <w:szCs w:val="20"/>
          <w:color w:val="auto"/>
        </w:rPr>
      </w:pPr>
    </w:p>
    <w:p>
      <w:pPr>
        <w:ind w:left="160" w:right="120"/>
        <w:spacing w:after="0" w:line="265"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73" w:lineRule="exact"/>
        <w:rPr>
          <w:sz w:val="20"/>
          <w:szCs w:val="20"/>
          <w:color w:val="auto"/>
        </w:rPr>
      </w:pPr>
    </w:p>
    <w:p>
      <w:pPr>
        <w:ind w:left="160" w:firstLine="546"/>
        <w:spacing w:after="0" w:line="248" w:lineRule="auto"/>
        <w:rPr>
          <w:sz w:val="20"/>
          <w:szCs w:val="20"/>
          <w:color w:val="auto"/>
        </w:rPr>
      </w:pPr>
      <w:r>
        <w:rPr>
          <w:rFonts w:ascii="Arial" w:cs="Arial" w:eastAsia="Arial" w:hAnsi="Arial"/>
          <w:sz w:val="17"/>
          <w:szCs w:val="17"/>
          <w:color w:val="auto"/>
        </w:rPr>
        <w:t>The manufacturing market is fragmented and highly competitive. We compete for buyers with a wide variety of manufacturers. Some of our current and potential competitors include captive in-house product lines, on-demand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on-demand parts, implementation of interactive web-based and automated user interface and quoting systems and/or building scalable operating models specifically designed for efficient on-demand production. We may, from time to time, establish alliances or relationships with other competitors or potential competitors, and our competitors may also be sellers transacting on our marketplace. To the extent companies terminate such relationships and establish alliances and relationships with our competitors, our business could be harmed.</w:t>
      </w:r>
    </w:p>
    <w:p>
      <w:pPr>
        <w:spacing w:after="0" w:line="197"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6"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7"/>
          <w:szCs w:val="17"/>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280" w:lineRule="exact"/>
        <w:rPr>
          <w:sz w:val="20"/>
          <w:szCs w:val="20"/>
          <w:color w:val="auto"/>
        </w:rPr>
      </w:pPr>
    </w:p>
    <w:p>
      <w:pPr>
        <w:ind w:left="160" w:right="340"/>
        <w:spacing w:after="0" w:line="249" w:lineRule="auto"/>
        <w:rPr>
          <w:sz w:val="20"/>
          <w:szCs w:val="20"/>
          <w:color w:val="auto"/>
        </w:rPr>
      </w:pPr>
      <w:r>
        <w:rPr>
          <w:rFonts w:ascii="Arial" w:cs="Arial" w:eastAsia="Arial" w:hAnsi="Arial"/>
          <w:sz w:val="18"/>
          <w:szCs w:val="18"/>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87"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111" w:lineRule="exact"/>
        <w:rPr>
          <w:sz w:val="20"/>
          <w:szCs w:val="20"/>
          <w:color w:val="auto"/>
        </w:rPr>
      </w:pPr>
    </w:p>
    <w:p>
      <w:pPr>
        <w:ind w:left="920" w:right="18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recruiting, training and retaining talented and capable employees outside of the United States and Europe, and maintaining our company culture across all of our offices;</w:t>
      </w:r>
    </w:p>
    <w:p>
      <w:pPr>
        <w:spacing w:after="0" w:line="109" w:lineRule="exact"/>
        <w:rPr>
          <w:rFonts w:ascii="Arial" w:cs="Arial" w:eastAsia="Arial" w:hAnsi="Arial"/>
          <w:sz w:val="18"/>
          <w:szCs w:val="18"/>
          <w:color w:val="auto"/>
        </w:rPr>
      </w:pPr>
    </w:p>
    <w:p>
      <w:pPr>
        <w:ind w:left="920" w:right="240" w:hanging="218"/>
        <w:spacing w:after="0" w:line="268"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85" w:lineRule="exact"/>
        <w:rPr>
          <w:rFonts w:ascii="Arial" w:cs="Arial" w:eastAsia="Arial" w:hAnsi="Arial"/>
          <w:sz w:val="17"/>
          <w:szCs w:val="17"/>
          <w:color w:val="auto"/>
        </w:rPr>
      </w:pPr>
    </w:p>
    <w:p>
      <w:pPr>
        <w:ind w:left="920" w:right="620" w:hanging="218"/>
        <w:spacing w:after="0" w:line="23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108"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or other proprietary rights to the same extent as does the United States;</w:t>
      </w:r>
    </w:p>
    <w:p>
      <w:pPr>
        <w:spacing w:after="0" w:line="109" w:lineRule="exact"/>
        <w:rPr>
          <w:rFonts w:ascii="Arial" w:cs="Arial" w:eastAsia="Arial" w:hAnsi="Arial"/>
          <w:sz w:val="18"/>
          <w:szCs w:val="18"/>
          <w:color w:val="auto"/>
        </w:rPr>
      </w:pPr>
    </w:p>
    <w:p>
      <w:pPr>
        <w:ind w:left="920" w:right="120" w:hanging="218"/>
        <w:spacing w:after="0" w:line="23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3"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income and other tax laws of the United States or the international jurisdictions in which we operate; and</w:t>
      </w:r>
    </w:p>
    <w:p>
      <w:pPr>
        <w:spacing w:after="0" w:line="109" w:lineRule="exact"/>
        <w:rPr>
          <w:rFonts w:ascii="Arial" w:cs="Arial" w:eastAsia="Arial" w:hAnsi="Arial"/>
          <w:sz w:val="18"/>
          <w:szCs w:val="18"/>
          <w:color w:val="auto"/>
        </w:rPr>
      </w:pPr>
    </w:p>
    <w:p>
      <w:pPr>
        <w:ind w:left="920" w:right="240" w:hanging="218"/>
        <w:spacing w:after="0" w:line="23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legal, financial compliance, accounting, travel, infrastructure and other administrative costs.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287" w:lineRule="exact"/>
        <w:rPr>
          <w:sz w:val="20"/>
          <w:szCs w:val="20"/>
          <w:color w:val="auto"/>
        </w:rPr>
      </w:pPr>
    </w:p>
    <w:p>
      <w:pPr>
        <w:ind w:left="160" w:right="200"/>
        <w:spacing w:after="0" w:line="270" w:lineRule="auto"/>
        <w:rPr>
          <w:sz w:val="20"/>
          <w:szCs w:val="20"/>
          <w:color w:val="auto"/>
        </w:rPr>
      </w:pPr>
      <w:r>
        <w:rPr>
          <w:rFonts w:ascii="Arial" w:cs="Arial" w:eastAsia="Arial" w:hAnsi="Arial"/>
          <w:sz w:val="17"/>
          <w:szCs w:val="17"/>
          <w:b w:val="1"/>
          <w:bCs w:val="1"/>
          <w:i w:val="1"/>
          <w:iCs w:val="1"/>
          <w:color w:val="auto"/>
        </w:rPr>
        <w:t>The ongoing COVID-19 pandemic and measures intended to prevent its spread have had a material effect on our business and results of operations, and the ongoing nature of the COVID-19 pandemic and any future pandemic (including variants of the COVID-19 pandemic) may have material and adverse effects on our business, financial condition, and results of operations.</w:t>
      </w:r>
    </w:p>
    <w:p>
      <w:pPr>
        <w:spacing w:after="0" w:line="71"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Small businesses, which constitute a significant portion of our buyers and sellers, have been impacted particularly hard. The pandemic has resulted in government authorities and businesses implementing numerous measures to try to contain the virus, such as travel bans and restrictions, quarantines, shelter in place or total lock-down orders, school closures, and business limitations and shutdowns. Such measures have contributed significantly to increased unemployment and negatively impacted business spending.</w:t>
      </w:r>
    </w:p>
    <w:p>
      <w:pPr>
        <w:spacing w:after="0" w:line="19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or postponing meetings and events or holding them virtually. Although we have made every effort to comply with applicable COVID-19 measures and precautions, in light of the continually evolving situation, there is no certainty that the measures we have taken will be sufficient to mitigate the risks posed by the virus. In addition, implementing COVID-19 measures and precautions has diverted, and may continue to divert, resources and attention of our management.</w:t>
      </w:r>
    </w:p>
    <w:p>
      <w:pPr>
        <w:spacing w:after="0" w:line="206"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The extent to which the COVID-19 pandemic, any future variants of the COVID-19 pandemic, or any future pandemic unrelated to COVID-19 impacts our business, results of operations, and financial condition will depend on developments that continue to be highly uncertain and difficult to predict, including, but not limited to, the duration and spread of any pandemic, its severity, the actions to contain a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buyers and sellers, and recession or economic downturn.</w:t>
      </w:r>
    </w:p>
    <w:p>
      <w:pPr>
        <w:spacing w:after="0" w:line="206"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There are no comparable recent events that provide guidance as to the effect that the COVID-19 pandemic may have, and, as a result, the ultimate impact of the pandemic is highly uncertain and subject to change. We do not yet know the full extent of the impact on our business, our operations, or the global economy as a whole. However, the effects could have a material impact on our results of operations and heighten many of the known risks described throughout this “Risk Factors” section.</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business depends on users’ access to our platform via a personal computer or mobile device and the Internet. We have started to enable sellers to access our platform via a mobile browser, which</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6"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we believe is important to the growth of our business by adding sellers to our marketplace and enabling faster seller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29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7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sellers.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202" w:lineRule="exact"/>
        <w:rPr>
          <w:sz w:val="20"/>
          <w:szCs w:val="20"/>
          <w:color w:val="auto"/>
        </w:rPr>
      </w:pPr>
    </w:p>
    <w:p>
      <w:pPr>
        <w:ind w:left="160" w:right="100" w:firstLine="546"/>
        <w:spacing w:after="0" w:line="233" w:lineRule="auto"/>
        <w:rPr>
          <w:sz w:val="20"/>
          <w:szCs w:val="20"/>
          <w:color w:val="auto"/>
        </w:rPr>
      </w:pPr>
      <w:r>
        <w:rPr>
          <w:rFonts w:ascii="Arial" w:cs="Arial" w:eastAsia="Arial" w:hAnsi="Arial"/>
          <w:sz w:val="18"/>
          <w:szCs w:val="18"/>
          <w:color w:val="auto"/>
        </w:rPr>
        <w:t>A number of factors or events could cause such interruptions or problems, including: human and software errors, hackers, viruses, malware or other malicious activity, design faults, bugs,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210"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287"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b w:val="1"/>
          <w:bCs w:val="1"/>
          <w:i w:val="1"/>
          <w:iCs w:val="1"/>
          <w:color w:val="auto"/>
        </w:rPr>
        <w:t>We are subject to stringent and evolving laws and regulations relating to consumer data privacy and data protection, and any actual or perceived failure by us to comply with such laws and regulations or our privacy policies could materially and adversely affect our business.</w:t>
      </w:r>
    </w:p>
    <w:p>
      <w:pPr>
        <w:spacing w:after="0" w:line="87"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We receive, collect, store, process, transfer and otherwise use personal data and other sensitive data. The effectiveness of our technology, including our AI and platforms, and our ability to offer our platform to users rely on the collection, storage and use of this data, including personally identifying or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6"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other sensitive data. Our collection, storage, processing, transfer and other use of this data might raise privacy and data protection concerns, which could negatively impact the demand for our services. Privacy and data protection laws or misinterpretations of such laws could restrict or add regulatory and compliance processes to our ability to effectively use and profit from those services.</w:t>
      </w:r>
    </w:p>
    <w:p>
      <w:pPr>
        <w:spacing w:after="0" w:line="203" w:lineRule="exact"/>
        <w:rPr>
          <w:sz w:val="20"/>
          <w:szCs w:val="20"/>
          <w:color w:val="auto"/>
        </w:rPr>
      </w:pPr>
    </w:p>
    <w:p>
      <w:pPr>
        <w:ind w:left="160" w:right="180" w:firstLine="546"/>
        <w:spacing w:after="0" w:line="248" w:lineRule="auto"/>
        <w:rPr>
          <w:sz w:val="20"/>
          <w:szCs w:val="20"/>
          <w:color w:val="auto"/>
        </w:rPr>
      </w:pPr>
      <w:r>
        <w:rPr>
          <w:rFonts w:ascii="Arial" w:cs="Arial" w:eastAsia="Arial" w:hAnsi="Arial"/>
          <w:sz w:val="17"/>
          <w:szCs w:val="17"/>
          <w:color w:val="auto"/>
        </w:rPr>
        <w:t>There are numerous federal, state and international laws and regulations regarding privacy, data protection, information security and the collection, storing, sharing, use, processing, transfer, disclosure and protection of personal data and other content, the scope of which are changing, subject to differing interpretations, and may be inconsistent among countries or conflict with other laws and regulations. We are also subject to the terms of our privacy and information policies and contractual or other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personal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6"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If we were found to be in violation of any applicable privacy or data protection laws or regulations, our business may be materially and adversely affected and we would likely have to change our business practices and potentially the services and features available through our platform. In addition, these laws and regulations could impose significant costs on us and could make it more difficult for us to use our current technology to and connect buyers and sellers. In addition, if a breach of data security were to occur, or other violation of privacy or data protection laws and regulations were to be alleged, our solutions may be perceived as less desirable and our business, prospects, financial condition and results of operations could be materially and adversely affected.</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expect that there will continue to be new laws, regulations and industry standards concerning privacy, data protection and information security proposed and enacted in various jurisdictions. For example, European legislators adopted the General Data Protection Regulation (“GDPR”), which became effective on May 25, 2018, and are now in the process of finalizing the ePrivacy Regulation to replace the European ePrivacy Directive (Directive 2002/58/EC as amended by Directive 2009/136/EC). The GDPR further implemented through binding guidance by the European Data Protection Board (and supplemented by national laws in individual EU member states), applies extra-territorially, imposes stringent data protection compliance requirements and provides for significant penalties for noncompliance.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The GDPR has caused us to change, and we may in the future need to make further changes to, our business practices, and includes significant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are taking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Further, the exit of the United Kingdom (“UK”) from the EU, often referred to as Brexit, has created uncertainty with regard to data protection regulation in the UK. Specifically, the UK exited the EU on January 1, 2020, subject to a transition period that ended December 31, 2020.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210"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Additionally, California passed the California Consumer Privacy Act (“CCPA”), which became effective on January 1, 2020. The CCPA provides new data privacy rights for consumers and new operational requirements for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and the right to request deletion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 16. Given its nascency, we cannot yet predict the full impact of the CCPA on our business or operations, but it may require us to modify our data practices and policies and to incur substantial costs and expenses in an effort to comply. Additionally, the CCPA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with respect to data privacy issues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201"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456"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advocacy groups or others and could result in significant liability, cause our buyers, sellers or third-party partners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buyers, sellers or third-party partners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10" w:lineRule="exact"/>
        <w:rPr>
          <w:sz w:val="20"/>
          <w:szCs w:val="20"/>
          <w:color w:val="auto"/>
        </w:rPr>
      </w:pPr>
    </w:p>
    <w:p>
      <w:pPr>
        <w:ind w:left="160" w:right="160" w:firstLine="546"/>
        <w:spacing w:after="0" w:line="234" w:lineRule="auto"/>
        <w:rPr>
          <w:sz w:val="20"/>
          <w:szCs w:val="20"/>
          <w:color w:val="auto"/>
        </w:rPr>
      </w:pPr>
      <w:r>
        <w:rPr>
          <w:rFonts w:ascii="Arial" w:cs="Arial" w:eastAsia="Arial" w:hAnsi="Arial"/>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206"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287" w:lineRule="exact"/>
        <w:rPr>
          <w:sz w:val="20"/>
          <w:szCs w:val="20"/>
          <w:color w:val="auto"/>
        </w:rPr>
      </w:pPr>
    </w:p>
    <w:p>
      <w:pPr>
        <w:ind w:left="160" w:right="760"/>
        <w:spacing w:after="0" w:line="265"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6"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460"/>
        <w:spacing w:after="0" w:line="249" w:lineRule="auto"/>
        <w:rPr>
          <w:sz w:val="20"/>
          <w:szCs w:val="20"/>
          <w:color w:val="auto"/>
        </w:rPr>
      </w:pPr>
      <w:r>
        <w:rPr>
          <w:rFonts w:ascii="Arial" w:cs="Arial" w:eastAsia="Arial" w:hAnsi="Arial"/>
          <w:sz w:val="18"/>
          <w:szCs w:val="18"/>
          <w:b w:val="1"/>
          <w:bCs w:val="1"/>
          <w:i w:val="1"/>
          <w:iCs w:val="1"/>
          <w:color w:val="auto"/>
        </w:rPr>
        <w:t>Growth of our business will depend on a strong reputation and brand and any failure to maintain, protect, and enhance our brand would hurt our ability to retain or expand our base of buyers and sellers and our ability to increase their level of engagement.</w:t>
      </w:r>
    </w:p>
    <w:p>
      <w:pPr>
        <w:spacing w:after="0" w:line="87"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believe that building a strong reputation, identity and brand are critical to our ability to attract and retain buyers and sellers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sellers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210"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Our reputation, brand, and ability to build trust with existing and new buyers and sellers may be adversely affected by complaints and negative publicity about us, our buyers or our sellers, even if factually incorrect or based on isolated incidents. Negative perception of our platform, marketplace or company may harm our reputation, brand, and network effects, including as a result of:</w:t>
      </w:r>
    </w:p>
    <w:p>
      <w:pPr>
        <w:spacing w:after="0" w:line="109" w:lineRule="exact"/>
        <w:rPr>
          <w:sz w:val="20"/>
          <w:szCs w:val="20"/>
          <w:color w:val="auto"/>
        </w:rPr>
      </w:pPr>
    </w:p>
    <w:p>
      <w:pPr>
        <w:ind w:left="920" w:right="16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marketplace, our buyers, our sellers, or our policies and guidelines, including our pricing model;</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quote, production, lead time or shipping delays;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 or perceived manufacturing or quality control inadequacies;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fraud;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illegal, negligent, reckless, or otherwise inappropriate behavior by buyers, sellers or third parties;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pandemic or an outbreak of disease linked to us;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provide sellers with a sufficient level of orders or repeat business;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offer buyers or sellers competitive pricing and lead times;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provide a range of manufacturing processes sought by buyers;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provide manufacturing processes that limit environmental harm;</w:t>
      </w:r>
    </w:p>
    <w:p>
      <w:pPr>
        <w:spacing w:after="0" w:line="113" w:lineRule="exact"/>
        <w:rPr>
          <w:rFonts w:ascii="Arial" w:cs="Arial" w:eastAsia="Arial" w:hAnsi="Arial"/>
          <w:sz w:val="18"/>
          <w:szCs w:val="18"/>
          <w:color w:val="auto"/>
        </w:rPr>
      </w:pPr>
    </w:p>
    <w:p>
      <w:pPr>
        <w:ind w:left="920" w:right="380" w:hanging="218"/>
        <w:spacing w:after="0" w:line="23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108"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over, or investigations by regulators into, our company or the industry in which we operate;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buyers’ or sellers’ lack of awareness of, or compliance with, our policies;</w:t>
      </w:r>
    </w:p>
    <w:p>
      <w:pPr>
        <w:spacing w:after="0" w:line="113" w:lineRule="exact"/>
        <w:rPr>
          <w:rFonts w:ascii="Arial" w:cs="Arial" w:eastAsia="Arial" w:hAnsi="Arial"/>
          <w:sz w:val="18"/>
          <w:szCs w:val="18"/>
          <w:color w:val="auto"/>
        </w:rPr>
      </w:pPr>
    </w:p>
    <w:p>
      <w:pPr>
        <w:ind w:left="920" w:right="40" w:hanging="218"/>
        <w:spacing w:after="0" w:line="239"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our policies that users or others perceive as overly restrictive, unclear, inconsistent with our values or mission, or not clearly articulated;</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 as discussed elsewhere in this “Risk Factors” section;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456"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enforce our policies in a manner that users perceive as effective, fair, and transparent;</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inadequate or unsatisfactory support experiences;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illegal or otherwise inappropriate behavior by our management team or other employees or contractors;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responses by buyers or sellers to new services or manufacturing processes available on our marketplace;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register or to prevent infringement, misappropriation or other violation of our trademarks;</w:t>
      </w:r>
    </w:p>
    <w:p>
      <w:pPr>
        <w:spacing w:after="0" w:line="113" w:lineRule="exact"/>
        <w:rPr>
          <w:rFonts w:ascii="Arial" w:cs="Arial" w:eastAsia="Arial" w:hAnsi="Arial"/>
          <w:sz w:val="18"/>
          <w:szCs w:val="18"/>
          <w:color w:val="auto"/>
        </w:rPr>
      </w:pPr>
    </w:p>
    <w:p>
      <w:pPr>
        <w:ind w:left="920" w:right="480" w:hanging="218"/>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perception of our treatment of buyers and sellers and our response to buyer or seller sentiment related to political or social causes or actions of management; or</w:t>
      </w:r>
    </w:p>
    <w:p>
      <w:pPr>
        <w:spacing w:after="0" w:line="109" w:lineRule="exact"/>
        <w:rPr>
          <w:rFonts w:ascii="Arial" w:cs="Arial" w:eastAsia="Arial" w:hAnsi="Arial"/>
          <w:sz w:val="18"/>
          <w:szCs w:val="18"/>
          <w:color w:val="auto"/>
        </w:rPr>
      </w:pPr>
    </w:p>
    <w:p>
      <w:pPr>
        <w:ind w:left="920" w:right="700" w:hanging="218"/>
        <w:spacing w:after="0" w:line="239"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such resulting negative perception affects the public’s perception of us or our industry as a whole.</w:t>
      </w:r>
    </w:p>
    <w:p>
      <w:pPr>
        <w:spacing w:after="0" w:line="288" w:lineRule="exact"/>
        <w:rPr>
          <w:sz w:val="20"/>
          <w:szCs w:val="20"/>
          <w:color w:val="auto"/>
        </w:rPr>
      </w:pPr>
    </w:p>
    <w:p>
      <w:pPr>
        <w:ind w:left="160" w:right="60"/>
        <w:spacing w:after="0" w:line="265" w:lineRule="auto"/>
        <w:rPr>
          <w:sz w:val="20"/>
          <w:szCs w:val="20"/>
          <w:color w:val="auto"/>
        </w:rPr>
      </w:pPr>
      <w:r>
        <w:rPr>
          <w:rFonts w:ascii="Arial" w:cs="Arial" w:eastAsia="Arial" w:hAnsi="Arial"/>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7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believe that our company culture has been critical to our success. We face a number of challenges that may affect our ability to sustain our corporate culture, including:</w:t>
      </w:r>
    </w:p>
    <w:p>
      <w:pPr>
        <w:spacing w:after="0" w:line="109" w:lineRule="exact"/>
        <w:rPr>
          <w:sz w:val="20"/>
          <w:szCs w:val="20"/>
          <w:color w:val="auto"/>
        </w:rPr>
      </w:pPr>
    </w:p>
    <w:p>
      <w:pPr>
        <w:ind w:left="920" w:right="40" w:hanging="218"/>
        <w:spacing w:after="0" w:line="23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further our diversity efforts with respect to our leadership team and our offerings;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continued challenges of a rapidly evolving industry;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integration of new personnel and businesses from acquisitions.</w:t>
      </w:r>
    </w:p>
    <w:p>
      <w:pPr>
        <w:spacing w:after="0" w:line="208"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If we are not able to maintain and evolve our culture, our business, financial condition, and results of operations could be adversely affected.</w:t>
      </w:r>
    </w:p>
    <w:p>
      <w:pPr>
        <w:spacing w:after="0" w:line="288" w:lineRule="exact"/>
        <w:rPr>
          <w:sz w:val="20"/>
          <w:szCs w:val="20"/>
          <w:color w:val="auto"/>
        </w:rPr>
      </w:pPr>
    </w:p>
    <w:p>
      <w:pPr>
        <w:ind w:left="160" w:right="460"/>
        <w:spacing w:after="0" w:line="265" w:lineRule="auto"/>
        <w:rPr>
          <w:sz w:val="20"/>
          <w:szCs w:val="20"/>
          <w:color w:val="auto"/>
        </w:rPr>
      </w:pPr>
      <w:r>
        <w:rPr>
          <w:rFonts w:ascii="Arial" w:cs="Arial" w:eastAsia="Arial" w:hAnsi="Arial"/>
          <w:sz w:val="18"/>
          <w:szCs w:val="18"/>
          <w:b w:val="1"/>
          <w:bCs w:val="1"/>
          <w:i w:val="1"/>
          <w:iCs w:val="1"/>
          <w:color w:val="auto"/>
        </w:rPr>
        <w:t>Any failure to offer high-quality support may harm our relationships with buyers and sellers and could adversely affect our business, financial condition, and results of operations.</w:t>
      </w:r>
    </w:p>
    <w:p>
      <w:pPr>
        <w:spacing w:after="0" w:line="7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Our ability to attract and retain buyers and sellers is dependent in part on our ability to provide high-quality support. Buyers and sellers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320" w:top="456" w:right="5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40"/>
        <w:spacing w:after="0" w:line="239" w:lineRule="auto"/>
        <w:rPr>
          <w:sz w:val="20"/>
          <w:szCs w:val="20"/>
          <w:color w:val="auto"/>
        </w:rPr>
      </w:pPr>
      <w:r>
        <w:rPr>
          <w:rFonts w:ascii="Arial" w:cs="Arial" w:eastAsia="Arial" w:hAnsi="Arial"/>
          <w:sz w:val="18"/>
          <w:szCs w:val="18"/>
          <w:color w:val="auto"/>
        </w:rPr>
        <w:t>market perception that we do not maintain high-quality support, could harm our reputation and adversely affect our ability to scale our platform, marketplace and business, our financial condition, and results of operations.</w:t>
      </w:r>
    </w:p>
    <w:p>
      <w:pPr>
        <w:spacing w:after="0" w:line="288" w:lineRule="exact"/>
        <w:rPr>
          <w:sz w:val="20"/>
          <w:szCs w:val="20"/>
          <w:color w:val="auto"/>
        </w:rPr>
      </w:pPr>
    </w:p>
    <w:p>
      <w:pPr>
        <w:ind w:left="160" w:right="400"/>
        <w:spacing w:after="0" w:line="265" w:lineRule="auto"/>
        <w:rPr>
          <w:sz w:val="20"/>
          <w:szCs w:val="20"/>
          <w:color w:val="auto"/>
        </w:rPr>
      </w:pPr>
      <w:r>
        <w:rPr>
          <w:rFonts w:ascii="Arial" w:cs="Arial" w:eastAsia="Arial" w:hAnsi="Arial"/>
          <w:sz w:val="18"/>
          <w:szCs w:val="18"/>
          <w:b w:val="1"/>
          <w:bCs w:val="1"/>
          <w:i w:val="1"/>
          <w:iCs w:val="1"/>
          <w:color w:val="auto"/>
        </w:rPr>
        <w:t>Our business is subject to a variety of laws and regulations, both in the United States and internationally, many of which are evolving.</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sellers, are subject to additional requirements or that we are prohibited from conducting our business in or with certain jurisdictions. It is also possible that certain provisions in agreements with our service providers or between buyers and sellers may be found to be unenforceable or not compliant with applicable law.</w:t>
      </w:r>
    </w:p>
    <w:p>
      <w:pPr>
        <w:spacing w:after="0" w:line="210" w:lineRule="exact"/>
        <w:rPr>
          <w:sz w:val="20"/>
          <w:szCs w:val="20"/>
          <w:color w:val="auto"/>
        </w:rPr>
      </w:pPr>
    </w:p>
    <w:p>
      <w:pPr>
        <w:ind w:left="160" w:right="180" w:firstLine="546"/>
        <w:spacing w:after="0" w:line="234" w:lineRule="auto"/>
        <w:rPr>
          <w:sz w:val="20"/>
          <w:szCs w:val="20"/>
          <w:color w:val="auto"/>
        </w:rPr>
      </w:pPr>
      <w:r>
        <w:rPr>
          <w:rFonts w:ascii="Arial" w:cs="Arial" w:eastAsia="Arial" w:hAnsi="Arial"/>
          <w:sz w:val="18"/>
          <w:szCs w:val="18"/>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particular, we have received letters from certain jurisdictions indicating that we are required to pay taxes based on having certain minimum contacts in such jurisdictions. We may become subject to taxation in additional jurisdictions in the future.</w:t>
      </w:r>
    </w:p>
    <w:p>
      <w:pPr>
        <w:spacing w:after="0" w:line="291" w:lineRule="exact"/>
        <w:rPr>
          <w:sz w:val="20"/>
          <w:szCs w:val="20"/>
          <w:color w:val="auto"/>
        </w:rPr>
      </w:pPr>
    </w:p>
    <w:p>
      <w:pPr>
        <w:ind w:left="160" w:right="100"/>
        <w:spacing w:after="0" w:line="249" w:lineRule="auto"/>
        <w:rPr>
          <w:sz w:val="20"/>
          <w:szCs w:val="20"/>
          <w:color w:val="auto"/>
        </w:rPr>
      </w:pPr>
      <w:r>
        <w:rPr>
          <w:rFonts w:ascii="Arial" w:cs="Arial" w:eastAsia="Arial" w:hAnsi="Arial"/>
          <w:sz w:val="18"/>
          <w:szCs w:val="18"/>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r>
        <w:rPr>
          <w:rFonts w:ascii="Arial" w:cs="Arial" w:eastAsia="Arial" w:hAnsi="Arial"/>
          <w:sz w:val="18"/>
          <w:szCs w:val="18"/>
          <w:b w:val="1"/>
          <w:bCs w:val="1"/>
          <w:color w:val="auto"/>
        </w:rPr>
        <w:t>.</w:t>
      </w:r>
    </w:p>
    <w:p>
      <w:pPr>
        <w:spacing w:after="0" w:line="87"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do business worldwide, which requires us to comply with the laws and regulations of the U.S. government and various foreign jurisdictions. These laws and regulations place restrictions on our operations, trade practices, partners and investments.</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particular, our operations are subject to U.S. and foreign anti-corruption and trade control laws and regulations, such as the</w:t>
      </w:r>
    </w:p>
    <w:p>
      <w:pPr>
        <w:ind w:left="160"/>
        <w:spacing w:after="0" w:line="232" w:lineRule="auto"/>
        <w:rPr>
          <w:sz w:val="20"/>
          <w:szCs w:val="20"/>
          <w:color w:val="auto"/>
        </w:rPr>
      </w:pPr>
      <w:r>
        <w:rPr>
          <w:rFonts w:ascii="Arial" w:cs="Arial" w:eastAsia="Arial" w:hAnsi="Arial"/>
          <w:sz w:val="18"/>
          <w:szCs w:val="18"/>
          <w:color w:val="auto"/>
        </w:rPr>
        <w:t>Foreign Corrupt Practices Act (“FCPA”), export controls and economic sanctions programs, including those administered by the</w:t>
      </w:r>
    </w:p>
    <w:p>
      <w:pPr>
        <w:ind w:left="160"/>
        <w:spacing w:after="0" w:line="233" w:lineRule="auto"/>
        <w:rPr>
          <w:sz w:val="20"/>
          <w:szCs w:val="20"/>
          <w:color w:val="auto"/>
        </w:rPr>
      </w:pPr>
      <w:r>
        <w:rPr>
          <w:rFonts w:ascii="Arial" w:cs="Arial" w:eastAsia="Arial" w:hAnsi="Arial"/>
          <w:sz w:val="18"/>
          <w:szCs w:val="18"/>
          <w:color w:val="auto"/>
        </w:rPr>
        <w:t>U.S. Treasury Department’s Office of Foreign Assets Control (“OFAC”), the State Department’s Directorate of Defense Trade Controls</w:t>
      </w:r>
    </w:p>
    <w:p>
      <w:pPr>
        <w:ind w:left="160"/>
        <w:spacing w:after="0" w:line="232" w:lineRule="auto"/>
        <w:rPr>
          <w:sz w:val="20"/>
          <w:szCs w:val="20"/>
          <w:color w:val="auto"/>
        </w:rPr>
      </w:pPr>
      <w:r>
        <w:rPr>
          <w:rFonts w:ascii="Arial" w:cs="Arial" w:eastAsia="Arial" w:hAnsi="Arial"/>
          <w:sz w:val="18"/>
          <w:szCs w:val="18"/>
          <w:color w:val="auto"/>
        </w:rPr>
        <w:t>(“DDTC”) and the Bureau of Industry and Security (“BIS”) of the Department of Commerce. As a result of doing business in foreign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countries and with foreign customers, we are exposed to a heightened risk of violating anti-corruption and trade control laws and sanctions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regulations.</w:t>
      </w:r>
    </w:p>
    <w:p>
      <w:pPr>
        <w:spacing w:after="0" w:line="208" w:lineRule="exact"/>
        <w:rPr>
          <w:sz w:val="20"/>
          <w:szCs w:val="20"/>
          <w:color w:val="auto"/>
        </w:rPr>
      </w:pPr>
    </w:p>
    <w:p>
      <w:pPr>
        <w:ind w:left="160" w:right="180" w:firstLine="546"/>
        <w:spacing w:after="0" w:line="257" w:lineRule="auto"/>
        <w:rPr>
          <w:sz w:val="20"/>
          <w:szCs w:val="20"/>
          <w:color w:val="auto"/>
        </w:rPr>
      </w:pPr>
      <w:r>
        <w:rPr>
          <w:rFonts w:ascii="Arial" w:cs="Arial" w:eastAsia="Arial" w:hAnsi="Arial"/>
          <w:sz w:val="17"/>
          <w:szCs w:val="17"/>
          <w:color w:val="auto"/>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(“ITAR”) administered by the DDTC, the Export Administration Regulations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and restrictions on our ability to export our parts, and repeat failures could carry more significant penalties.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subject to various federal, state, local and non-U.S. laws and regulations relating to environmental protection.</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291"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7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202"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210"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3" w:lineRule="auto"/>
        <w:rPr>
          <w:sz w:val="20"/>
          <w:szCs w:val="20"/>
          <w:color w:val="auto"/>
        </w:rPr>
      </w:pPr>
      <w:r>
        <w:rPr>
          <w:rFonts w:ascii="Arial" w:cs="Arial" w:eastAsia="Arial" w:hAnsi="Arial"/>
          <w:sz w:val="18"/>
          <w:szCs w:val="18"/>
          <w:color w:val="auto"/>
        </w:rPr>
        <w:t>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21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209"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20" w:firstLine="546"/>
        <w:spacing w:after="0" w:line="236" w:lineRule="auto"/>
        <w:rPr>
          <w:sz w:val="20"/>
          <w:szCs w:val="20"/>
          <w:color w:val="auto"/>
        </w:rPr>
      </w:pPr>
      <w:r>
        <w:rPr>
          <w:rFonts w:ascii="Arial" w:cs="Arial" w:eastAsia="Arial" w:hAnsi="Arial"/>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288" w:lineRule="exact"/>
        <w:rPr>
          <w:sz w:val="20"/>
          <w:szCs w:val="20"/>
          <w:color w:val="auto"/>
        </w:rPr>
      </w:pPr>
    </w:p>
    <w:p>
      <w:pPr>
        <w:ind w:left="160" w:right="40"/>
        <w:spacing w:after="0" w:line="265" w:lineRule="auto"/>
        <w:rPr>
          <w:sz w:val="20"/>
          <w:szCs w:val="20"/>
          <w:color w:val="auto"/>
        </w:rPr>
      </w:pPr>
      <w:r>
        <w:rPr>
          <w:rFonts w:ascii="Arial" w:cs="Arial" w:eastAsia="Arial" w:hAnsi="Arial"/>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7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sellers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204"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6"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204"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109" w:lineRule="exact"/>
        <w:rPr>
          <w:sz w:val="20"/>
          <w:szCs w:val="20"/>
          <w:color w:val="auto"/>
        </w:rPr>
      </w:pPr>
    </w:p>
    <w:p>
      <w:pPr>
        <w:ind w:left="920" w:right="420" w:hanging="218"/>
        <w:spacing w:after="0" w:line="239"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109"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and attorneys’ fees if we are found liable for willful infringement;</w:t>
      </w:r>
    </w:p>
    <w:p>
      <w:pPr>
        <w:spacing w:after="0" w:line="109" w:lineRule="exact"/>
        <w:rPr>
          <w:rFonts w:ascii="Arial" w:cs="Arial" w:eastAsia="Arial" w:hAnsi="Arial"/>
          <w:sz w:val="18"/>
          <w:szCs w:val="18"/>
          <w:color w:val="auto"/>
        </w:rPr>
      </w:pPr>
    </w:p>
    <w:p>
      <w:pPr>
        <w:ind w:left="920" w:right="60" w:hanging="218"/>
        <w:spacing w:after="0" w:line="237"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108"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redesign the allegedly infringing, misappropriating or otherwise violating offerings to avoid infringement, misappropriation or other violation, which could be costly, time-consuming or impossible.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Any of the foregoing could materially and adversely affect our business, prospects, financial condition and results of operations.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successfully execute future acquisitions or efficiently manage any acquired business.</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21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2"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288" w:lineRule="exact"/>
        <w:rPr>
          <w:sz w:val="20"/>
          <w:szCs w:val="20"/>
          <w:color w:val="auto"/>
        </w:rPr>
      </w:pPr>
    </w:p>
    <w:p>
      <w:pPr>
        <w:ind w:left="160" w:right="640"/>
        <w:spacing w:after="0" w:line="265" w:lineRule="auto"/>
        <w:rPr>
          <w:sz w:val="20"/>
          <w:szCs w:val="20"/>
          <w:color w:val="auto"/>
        </w:rPr>
      </w:pPr>
      <w:r>
        <w:rPr>
          <w:rFonts w:ascii="Arial" w:cs="Arial" w:eastAsia="Arial" w:hAnsi="Arial"/>
          <w:sz w:val="18"/>
          <w:szCs w:val="18"/>
          <w:b w:val="1"/>
          <w:bCs w:val="1"/>
          <w:i w:val="1"/>
          <w:iCs w:val="1"/>
          <w:color w:val="auto"/>
        </w:rPr>
        <w:t>Natural or man-made disasters affecting the manufacturing facilities of our sellers or of our facilities could materially and adversely affect our business, financial condition, and results of operations.</w:t>
      </w:r>
    </w:p>
    <w:p>
      <w:pPr>
        <w:spacing w:after="0" w:line="7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Sellers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any of our sellers’ facilities or manufacturing equipment are affected by a disaster, sellers may:</w:t>
      </w:r>
    </w:p>
    <w:p>
      <w:pPr>
        <w:spacing w:after="0" w:line="114" w:lineRule="exact"/>
        <w:rPr>
          <w:sz w:val="20"/>
          <w:szCs w:val="20"/>
          <w:color w:val="auto"/>
        </w:rPr>
      </w:pPr>
    </w:p>
    <w:p>
      <w:pPr>
        <w:ind w:left="920" w:hanging="21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unable to meet the shipping deadlines of our buyers;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manufacture and ship orders;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forced to rely on third-party manufacturers or otherwise fail to fulfill orders of our buyers; or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unable to source materials required for orders.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6"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of any of our facilities are affected by a disaster, we may:</w:t>
      </w:r>
    </w:p>
    <w:p>
      <w:pPr>
        <w:spacing w:after="0" w:line="114" w:lineRule="exact"/>
        <w:rPr>
          <w:sz w:val="20"/>
          <w:szCs w:val="20"/>
          <w:color w:val="auto"/>
        </w:rPr>
      </w:pPr>
    </w:p>
    <w:p>
      <w:pPr>
        <w:ind w:left="920" w:hanging="218"/>
        <w:spacing w:after="0" w:line="239"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need to expend significant capital and other resources to address any damage caused by the disaster.</w:t>
      </w:r>
    </w:p>
    <w:p>
      <w:pPr>
        <w:spacing w:after="0" w:line="208"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Any disruption as a result of natural or man-made disaster strikes of the manufacturing facilities of our sellers or of our facilities, we may lose buyers, damage our brand and reputation, and we may be unable to regain those buyers or fail to attract new buyers.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sellers’ facilities or manufacturing equipment may cause.</w:t>
      </w:r>
    </w:p>
    <w:p>
      <w:pPr>
        <w:spacing w:after="0" w:line="288"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7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 Further, while we carry a key man life insurance policy covering Mr. Altschuler, we do not carry any key man life insurance policies on any of our other executive officers.</w:t>
      </w:r>
    </w:p>
    <w:p>
      <w:pPr>
        <w:spacing w:after="0" w:line="202"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are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23"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not successfully or efficiently manage our transition to a public company subject to significant regulatory oversight and reporting obligations under the U.S. federal securities laws and the continuous scrutiny of securities analysts and investors. These new obligations and constituents will require significant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0"/>
          </w:cols>
          <w:pgMar w:left="320" w:top="456"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attention from our senior management and could divert their attention away from the day-to-day management of our business, which could adversely affect our business, prospects, financial condition and results of operations.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or in the interpretation of, tax rules and regulations may impact our effective tax rate and future profitability.</w:t>
      </w:r>
    </w:p>
    <w:p>
      <w:pPr>
        <w:spacing w:after="0" w:line="12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including those set forth in the Tax Cuts and Jobs Act enacted in 2017, or the Tax Act,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202" w:lineRule="exact"/>
        <w:rPr>
          <w:sz w:val="20"/>
          <w:szCs w:val="20"/>
          <w:color w:val="auto"/>
        </w:rPr>
      </w:pPr>
    </w:p>
    <w:p>
      <w:pPr>
        <w:ind w:left="160" w:right="120" w:firstLine="546"/>
        <w:spacing w:after="0" w:line="257" w:lineRule="auto"/>
        <w:rPr>
          <w:sz w:val="20"/>
          <w:szCs w:val="20"/>
          <w:color w:val="auto"/>
        </w:rPr>
      </w:pPr>
      <w:r>
        <w:rPr>
          <w:rFonts w:ascii="Arial" w:cs="Arial" w:eastAsia="Arial" w:hAnsi="Arial"/>
          <w:sz w:val="17"/>
          <w:szCs w:val="17"/>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As of December 31, 2020, we have net operating loss (“NOL”) carryforwards for U.S. federal income tax purposes, and similar state amounts, of approximately $90.1 million available to reduce future income subject to income taxes before limitations of which $90.1 million is utilizable. U.S. federal NOL carryforwards generated prior to 2018 in the approximate amount of $26.6 million will begin to expire, if not utilized, in 2033. It is possible that we will not generate taxable income in time to use NOLs before their expiration, or at all.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w:t>
      </w:r>
    </w:p>
    <w:p>
      <w:pPr>
        <w:spacing w:after="0" w:line="204"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NOLs, these changes will not impact our balance sheet as of December 31, 2020.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2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209" w:lineRule="exact"/>
        <w:rPr>
          <w:sz w:val="20"/>
          <w:szCs w:val="20"/>
          <w:color w:val="auto"/>
        </w:rPr>
      </w:pPr>
    </w:p>
    <w:p>
      <w:pPr>
        <w:ind w:left="160" w:right="20" w:firstLine="546"/>
        <w:spacing w:after="0" w:line="233" w:lineRule="auto"/>
        <w:rPr>
          <w:sz w:val="20"/>
          <w:szCs w:val="20"/>
          <w:color w:val="auto"/>
        </w:rPr>
      </w:pPr>
      <w:r>
        <w:rPr>
          <w:rFonts w:ascii="Arial" w:cs="Arial" w:eastAsia="Arial" w:hAnsi="Arial"/>
          <w:sz w:val="18"/>
          <w:szCs w:val="18"/>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80"/>
        <w:spacing w:after="0" w:line="237" w:lineRule="auto"/>
        <w:rPr>
          <w:sz w:val="20"/>
          <w:szCs w:val="20"/>
          <w:color w:val="auto"/>
        </w:rPr>
      </w:pPr>
      <w:r>
        <w:rPr>
          <w:rFonts w:ascii="Arial" w:cs="Arial" w:eastAsia="Arial" w:hAnsi="Arial"/>
          <w:sz w:val="18"/>
          <w:szCs w:val="18"/>
          <w:color w:val="auto"/>
        </w:rPr>
        <w:t>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288"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operation of our platform depends on certain third-party service providers. In particular, we currently host our platform, serve our users and support our operations using Amazon Web Services, or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including any disruptions in light of increased usage during the COVID-19 pandemic.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failure to meet our buyers’ price expectations would adversely affect our business and results of operations.</w:t>
      </w:r>
    </w:p>
    <w:p>
      <w:pPr>
        <w:spacing w:after="0" w:line="123"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287" w:lineRule="exact"/>
        <w:rPr>
          <w:sz w:val="20"/>
          <w:szCs w:val="20"/>
          <w:color w:val="auto"/>
        </w:rPr>
      </w:pPr>
    </w:p>
    <w:p>
      <w:pPr>
        <w:ind w:left="160" w:right="200"/>
        <w:spacing w:after="0" w:line="265"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73"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We believe the volume and variety of designs and manufacturing processes we process and the size and diversity of our buyers give us valuable insight into the needs of our prospective buyers and the ability of our community of sellers to meet those needs. We utilize this industry knowledge to better match buyers and sellers and to improve pricing. If the number and diversity of designs and manufacturing processes we process, or the size and diversity of our buyer or seller bases decrease, our ability to expand our business and improve pricing could be negatively impacted. In addition, even if we do continue to process a large number and variety of designs and manufacturing processes and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6"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340"/>
        <w:spacing w:after="0" w:line="237" w:lineRule="auto"/>
        <w:rPr>
          <w:sz w:val="20"/>
          <w:szCs w:val="20"/>
          <w:color w:val="auto"/>
        </w:rPr>
      </w:pPr>
      <w:r>
        <w:rPr>
          <w:rFonts w:ascii="Arial" w:cs="Arial" w:eastAsia="Arial" w:hAnsi="Arial"/>
          <w:sz w:val="18"/>
          <w:szCs w:val="18"/>
          <w:color w:val="auto"/>
        </w:rPr>
        <w:t>work with significant and diverse buyer and seller bases, there are no guarantees that we will successfully identify significant business opportunities, improve the products and services available on our platform or increase the number of transactions on our platform as a result.</w:t>
      </w:r>
    </w:p>
    <w:p>
      <w:pPr>
        <w:spacing w:after="0" w:line="288" w:lineRule="exact"/>
        <w:rPr>
          <w:sz w:val="20"/>
          <w:szCs w:val="20"/>
          <w:color w:val="auto"/>
        </w:rPr>
      </w:pPr>
    </w:p>
    <w:p>
      <w:pPr>
        <w:ind w:left="160" w:right="180"/>
        <w:spacing w:after="0" w:line="265" w:lineRule="auto"/>
        <w:rPr>
          <w:sz w:val="20"/>
          <w:szCs w:val="20"/>
          <w:color w:val="auto"/>
        </w:rPr>
      </w:pPr>
      <w:r>
        <w:rPr>
          <w:rFonts w:ascii="Arial" w:cs="Arial" w:eastAsia="Arial" w:hAnsi="Arial"/>
          <w:sz w:val="18"/>
          <w:szCs w:val="18"/>
          <w:b w:val="1"/>
          <w:bCs w:val="1"/>
          <w:i w:val="1"/>
          <w:iCs w:val="1"/>
          <w:color w:val="auto"/>
        </w:rPr>
        <w:t>If our present single or limited source sellers become unavailable or inadequate, our buyer relationships, results of operations and financial condition may be adversely affected.</w:t>
      </w:r>
    </w:p>
    <w:p>
      <w:pPr>
        <w:spacing w:after="0" w:line="73" w:lineRule="exact"/>
        <w:rPr>
          <w:sz w:val="20"/>
          <w:szCs w:val="20"/>
          <w:color w:val="auto"/>
        </w:rPr>
      </w:pPr>
    </w:p>
    <w:p>
      <w:pPr>
        <w:jc w:val="both"/>
        <w:ind w:left="160" w:right="40" w:firstLine="546"/>
        <w:spacing w:after="0" w:line="251" w:lineRule="auto"/>
        <w:rPr>
          <w:sz w:val="20"/>
          <w:szCs w:val="20"/>
          <w:color w:val="auto"/>
        </w:rPr>
      </w:pPr>
      <w:r>
        <w:rPr>
          <w:rFonts w:ascii="Arial" w:cs="Arial" w:eastAsia="Arial" w:hAnsi="Arial"/>
          <w:sz w:val="17"/>
          <w:szCs w:val="17"/>
          <w:color w:val="auto"/>
        </w:rPr>
        <w:t>While most manufacturing equipment and materials for our buyers’ orders are available from multiple sellers, certain of those items are only available from single or limited sources. Should any of our present single or limited source sellers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seller could adversely affect our relationship with our buyers and our results of operations and financial condition.</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GAAP.</w:t>
      </w:r>
    </w:p>
    <w:p>
      <w:pPr>
        <w:spacing w:after="0" w:line="123" w:lineRule="exact"/>
        <w:rPr>
          <w:sz w:val="20"/>
          <w:szCs w:val="20"/>
          <w:color w:val="auto"/>
        </w:rPr>
      </w:pPr>
    </w:p>
    <w:p>
      <w:pPr>
        <w:ind w:left="160" w:right="120" w:firstLine="546"/>
        <w:spacing w:after="0" w:line="250" w:lineRule="auto"/>
        <w:rPr>
          <w:sz w:val="20"/>
          <w:szCs w:val="20"/>
          <w:color w:val="auto"/>
        </w:rPr>
      </w:pPr>
      <w:r>
        <w:rPr>
          <w:rFonts w:ascii="Arial" w:cs="Arial" w:eastAsia="Arial" w:hAnsi="Arial"/>
          <w:sz w:val="17"/>
          <w:szCs w:val="17"/>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As discussed in Note 2 to the consolidated financial statements, we changed our method of accounting for leases as of January 1, 2019 due to the adoption of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amended. It is difficult to predict the impact of future changes to accounting principles or our accounting policies, any of which could negatively affect our reported results of operations.</w:t>
      </w:r>
    </w:p>
    <w:p>
      <w:pPr>
        <w:spacing w:after="0" w:line="281" w:lineRule="exact"/>
        <w:rPr>
          <w:sz w:val="20"/>
          <w:szCs w:val="20"/>
          <w:color w:val="auto"/>
        </w:rPr>
      </w:pPr>
    </w:p>
    <w:p>
      <w:pPr>
        <w:ind w:left="160" w:right="300"/>
        <w:spacing w:after="0" w:line="265" w:lineRule="auto"/>
        <w:rPr>
          <w:sz w:val="20"/>
          <w:szCs w:val="20"/>
          <w:color w:val="auto"/>
        </w:rPr>
      </w:pPr>
      <w:r>
        <w:rPr>
          <w:rFonts w:ascii="Arial" w:cs="Arial" w:eastAsia="Arial" w:hAnsi="Arial"/>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73"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Our performance is in part subject to economic conditions and their impact on levels of consumer spending, as consumer spending impacts buyers and sellers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of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Further, small businesses that do not have substantial resources, like some of the buyers and sellers transacting on our marketplace, tend to be more adversely affected by poor economic conditions than large businesses. If buyers or sellers on our platform were to cease operations, temporarily or permanently, or face financial distress or other business disruption, our business, financial condition, and results of operation may be materially and adversely affected.</w:t>
      </w:r>
    </w:p>
    <w:p>
      <w:pPr>
        <w:spacing w:after="0" w:line="285"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b w:val="1"/>
          <w:bCs w:val="1"/>
          <w:i w:val="1"/>
          <w:iCs w:val="1"/>
          <w:color w:val="auto"/>
        </w:rPr>
        <w:t>The terms of our Amended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87"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are party to the Amended Loan and Security Agreement. Under the Amended Loan and Security Agreement, we can borrow up to $15.0 million under a term loan, or the term loan facility, all</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6"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60"/>
        <w:spacing w:after="0" w:line="239" w:lineRule="auto"/>
        <w:rPr>
          <w:sz w:val="20"/>
          <w:szCs w:val="20"/>
          <w:color w:val="auto"/>
        </w:rPr>
      </w:pPr>
      <w:r>
        <w:rPr>
          <w:rFonts w:ascii="Arial" w:cs="Arial" w:eastAsia="Arial" w:hAnsi="Arial"/>
          <w:sz w:val="18"/>
          <w:szCs w:val="18"/>
          <w:color w:val="auto"/>
        </w:rPr>
        <w:t>of which became available to us immediately on the agreement date. As of March 31, 2021, we had $15.8 million of outstanding borrowings under the term loan facility. We could also incur additional indebtedness in the future.</w:t>
      </w:r>
    </w:p>
    <w:p>
      <w:pPr>
        <w:spacing w:after="0" w:line="203" w:lineRule="exact"/>
        <w:rPr>
          <w:sz w:val="20"/>
          <w:szCs w:val="20"/>
          <w:color w:val="auto"/>
        </w:rPr>
      </w:pPr>
    </w:p>
    <w:p>
      <w:pPr>
        <w:ind w:left="160" w:right="200" w:firstLine="546"/>
        <w:spacing w:after="0" w:line="253" w:lineRule="auto"/>
        <w:rPr>
          <w:sz w:val="20"/>
          <w:szCs w:val="20"/>
          <w:color w:val="auto"/>
        </w:rPr>
      </w:pPr>
      <w:r>
        <w:rPr>
          <w:rFonts w:ascii="Arial" w:cs="Arial" w:eastAsia="Arial" w:hAnsi="Arial"/>
          <w:sz w:val="17"/>
          <w:szCs w:val="17"/>
          <w:color w:val="auto"/>
        </w:rPr>
        <w:t>Our payment obligations under the Amended Loan and Security Agreement reduce cash available to fund working capital, capital expenditures, product development and general corporate needs. In addition, indebtedness under the Amended Loan and Security Agreement may bear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92"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7"/>
          <w:szCs w:val="17"/>
          <w:color w:val="auto"/>
        </w:rPr>
        <w:t>Our obligations under the Amended Loan and Security Agreement are secured by substantially all of our assets. The security interest granted over our assets could limit our ability to obtain additional debt financing. In addition, the Amended Loan and Security Agreement contains customary affirmative and negative covenants restricting our activities, including limitations on: dispositions, mergers or acquisitions; encumbering our intellectual property; incurring indebtedness or liens; paying dividends or redeeming stock or making other distributions; making certain investments; liquidating our company; entering into sale-leaseback arrangements and engaging in certain other business transactions. In addition, we are required to maintain a minimum revenue amount as set forth more fully in the Amended Loan and Security Agreement. Failure to comply with the covenants in the Amended Loan and Security Agreement, including the minimum revenue covenant, could result in the acceleration of our obligations under the Amended Loan and Security Agreement, and, if such acceleration were to occur, it would materially and adversely affect our business, financial condition and results of operations.</w:t>
      </w:r>
    </w:p>
    <w:p>
      <w:pPr>
        <w:spacing w:after="0" w:line="19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may not have sufficient funds, and may be unable to arrange for additional financing, to pay the amounts due under our debt arrangements. The obligations under the Amended Loan and Security Agreement are subject to acceleration upon the occurrence of specified events of default, including payment default, change in control, bankruptcy, insolvency, certain defaults under other material debt, certain events with respect to regulatory approvals and a material adverse change in our business, operations or other financial condition. If an event of default (other than certain events of bankruptcy or insolvency) occurs and is continuing, Hercules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The term loan facility contains an end of term fee due and payable on the maturity date of May 1, 2022, in the amount of $1.2 million, however, if the term loan is paid prior to November 1, 2021, the amount owed would be $0.9 million.</w:t>
      </w:r>
    </w:p>
    <w:p>
      <w:pPr>
        <w:spacing w:after="0" w:line="202" w:lineRule="exact"/>
        <w:rPr>
          <w:sz w:val="20"/>
          <w:szCs w:val="20"/>
          <w:color w:val="auto"/>
        </w:rPr>
      </w:pPr>
    </w:p>
    <w:p>
      <w:pPr>
        <w:ind w:left="160" w:right="420" w:firstLine="546"/>
        <w:spacing w:after="0" w:line="236" w:lineRule="auto"/>
        <w:rPr>
          <w:sz w:val="20"/>
          <w:szCs w:val="20"/>
          <w:color w:val="auto"/>
        </w:rPr>
      </w:pPr>
      <w:r>
        <w:rPr>
          <w:rFonts w:ascii="Arial" w:cs="Arial" w:eastAsia="Arial" w:hAnsi="Arial"/>
          <w:sz w:val="18"/>
          <w:szCs w:val="18"/>
          <w:color w:val="auto"/>
        </w:rPr>
        <w:t>Our outstanding indebtedness and any future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2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report our financial results in U.S. dollars. We collect our revenue primarily in U.S. dollars. A portion of the cost of revenue, product development, sales and marketing and general and administrative expenses of our operations in jurisdictions outside the United States are incurred in foreign currency.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such jurisdictions exceeds the rate of decline in the relative value of the applicable foreign currency, then the U.S. dollar cost of our operations in non-U.S. jurisdictions would increase and our results of operations could be materially and adversely affected. We do not currently enter into hedging transactions and our business, financial condition and results of operations could be materially and adversely affected if we are unable to effectively hedge against currency fluctuations in the future.</w:t>
      </w:r>
    </w:p>
    <w:p>
      <w:pPr>
        <w:spacing w:after="0" w:line="28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Risks Related to Ownership of Our Class A Common Stock and this Offering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123"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109" w:lineRule="exact"/>
        <w:rPr>
          <w:sz w:val="20"/>
          <w:szCs w:val="20"/>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financial condition;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perceived data breaches, disruptions or other incidents involving our platform, marketplace or products or services;</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08"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9" w:lineRule="exact"/>
        <w:rPr>
          <w:sz w:val="20"/>
          <w:szCs w:val="20"/>
          <w:color w:val="auto"/>
        </w:rPr>
      </w:pPr>
    </w:p>
    <w:p>
      <w:pPr>
        <w:ind w:left="160" w:right="420"/>
        <w:spacing w:after="0" w:line="265"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7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6"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360"/>
        <w:spacing w:after="0" w:line="265"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 which could affect our results of operations and cause our stock price to decline.</w:t>
      </w:r>
    </w:p>
    <w:p>
      <w:pPr>
        <w:spacing w:after="0" w:line="7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Investors will need to rely upon the judgement of our management team with respect to the use of proceeds from this offering. If we do not use the net proceeds that we receive in this offering effectively, our business, financial condition, and results of operations could be harmed, and the market price of our Class A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288"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b w:val="1"/>
          <w:bCs w:val="1"/>
          <w:i w:val="1"/>
          <w:iCs w:val="1"/>
          <w:color w:val="auto"/>
        </w:rPr>
        <w:t>Future sales of our Class A common stock in the public market following the offering, including sales of a substantial number of shares of our Class A common stock by our existing stockholders, could cause the market price of our common stock to decline.</w:t>
      </w:r>
    </w:p>
    <w:p>
      <w:pPr>
        <w:spacing w:after="0" w:line="87"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could have substantial unrecognized gains on the value of the equity they hold based upon the expected price of this offering, and therefore they make take steps to sell their respective shares or otherwise secure the unrecognized gains on those shares. We are unable to predict the timing of or the effect that such sales may have on the prevailing market price of our Class A common stock.</w:t>
      </w:r>
    </w:p>
    <w:p>
      <w:pPr>
        <w:spacing w:after="0" w:line="202" w:lineRule="exact"/>
        <w:rPr>
          <w:sz w:val="20"/>
          <w:szCs w:val="20"/>
          <w:color w:val="auto"/>
        </w:rPr>
      </w:pPr>
    </w:p>
    <w:p>
      <w:pPr>
        <w:ind w:left="160" w:right="240" w:firstLine="546"/>
        <w:spacing w:after="0" w:line="234" w:lineRule="auto"/>
        <w:rPr>
          <w:sz w:val="20"/>
          <w:szCs w:val="20"/>
          <w:color w:val="auto"/>
        </w:rPr>
      </w:pPr>
      <w:r>
        <w:rPr>
          <w:rFonts w:ascii="Arial" w:cs="Arial" w:eastAsia="Arial" w:hAnsi="Arial"/>
          <w:sz w:val="18"/>
          <w:szCs w:val="18"/>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These lock-up agreements limit the number of shares of capital stock that may be sold immediately following this offering. Goldman Sachs &amp; Co. LLC and J.P. Morgan Securities LLC may, subject to certain exceptions, in their sole discretion, permit our stockholders who are subject to these lock-up agreements to sell shares prior to the expiration of the lock-up agreements, subject to applicable notice requirements. If not earlier released, all of the shares of common stock will become eligible for sale upon expiration of the 180-day lock-up period, except for any shares held by our affiliates as defined in Rule 144 under the Securities Act of 1933, as amended, or the Securities Act.</w:t>
      </w:r>
    </w:p>
    <w:p>
      <w:pPr>
        <w:spacing w:after="0" w:line="204"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In addition, there were and shares of Class A common stock and Class B common stock, respectively, issuable upon the exercise of options outstanding as of March 31, 2021. We intend to register all of the shares of Class A common stock issuable upon exercise of outstanding options or other equity incentives we may grant in the future, for public resale under the Securities Act. The shares of Class A common stock will become eligible for sale in the public market to the extent such options are exercised, subject to the lock-up agreements described above and compliance with applicable securities laws. Based on shares outstanding as of March 31, 2021,</w:t>
      </w:r>
    </w:p>
    <w:p>
      <w:pPr>
        <w:spacing w:after="0" w:line="3"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upon completion of this offering, holders of up to approximately shares, or % of our Class A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6"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280" w:firstLine="546"/>
        <w:spacing w:after="0" w:line="237" w:lineRule="auto"/>
        <w:rPr>
          <w:sz w:val="20"/>
          <w:szCs w:val="20"/>
          <w:color w:val="auto"/>
        </w:rPr>
      </w:pPr>
      <w:r>
        <w:rPr>
          <w:rFonts w:ascii="Arial" w:cs="Arial" w:eastAsia="Arial" w:hAnsi="Arial"/>
          <w:sz w:val="18"/>
          <w:szCs w:val="18"/>
          <w:color w:val="auto"/>
        </w:rPr>
        <w:t>We may issue our shares of Class A common stock or securities convertible into our Class A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288" w:lineRule="exact"/>
        <w:rPr>
          <w:sz w:val="20"/>
          <w:szCs w:val="20"/>
          <w:color w:val="auto"/>
        </w:rPr>
      </w:pPr>
    </w:p>
    <w:p>
      <w:pPr>
        <w:ind w:left="160" w:right="140"/>
        <w:spacing w:after="0" w:line="265"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73" w:lineRule="exact"/>
        <w:rPr>
          <w:sz w:val="20"/>
          <w:szCs w:val="20"/>
          <w:color w:val="auto"/>
        </w:rPr>
      </w:pPr>
    </w:p>
    <w:p>
      <w:pPr>
        <w:ind w:left="160" w:right="40" w:firstLine="546"/>
        <w:spacing w:after="0" w:line="251"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80"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or the expectations of investment analysts, the market price of our Class A common stock may decline.</w:t>
      </w:r>
    </w:p>
    <w:p>
      <w:pPr>
        <w:spacing w:after="0" w:line="73"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We may, but are not obligated to, provide public guidance on our expected operating and financial results for future periods. Any such guidance will comprise forward-looking statements, subject to the risks and uncertainties described in this prospectus and in our other public filings and public statements. Our ability to provide this public guidance, and our ability to accurately forecast our results of operations, may be impacted by the COVID-19 pandemic. Our actual results may not always be in line with or exceed any guidance we have provided, especially in times of economic uncertainty, such as the current global economic uncertainty being experienced as a result of the COVID-19 pandemic.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281" w:lineRule="exact"/>
        <w:rPr>
          <w:sz w:val="20"/>
          <w:szCs w:val="20"/>
          <w:color w:val="auto"/>
        </w:rPr>
      </w:pPr>
    </w:p>
    <w:p>
      <w:pPr>
        <w:ind w:left="160" w:right="100"/>
        <w:spacing w:after="0" w:line="26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7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9" w:lineRule="exact"/>
        <w:rPr>
          <w:sz w:val="20"/>
          <w:szCs w:val="20"/>
          <w:color w:val="auto"/>
        </w:rPr>
      </w:pPr>
    </w:p>
    <w:p>
      <w:pPr>
        <w:ind w:left="160" w:right="340"/>
        <w:spacing w:after="0" w:line="265"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73"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160"/>
        <w:spacing w:after="0"/>
        <w:tabs>
          <w:tab w:leader="none" w:pos="1040" w:val="left"/>
          <w:tab w:leader="none" w:pos="3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or $</w:t>
      </w:r>
      <w:r>
        <w:rPr>
          <w:sz w:val="20"/>
          <w:szCs w:val="20"/>
          <w:color w:val="auto"/>
        </w:rPr>
        <w:tab/>
      </w:r>
      <w:r>
        <w:rPr>
          <w:rFonts w:ascii="Arial" w:cs="Arial" w:eastAsia="Arial" w:hAnsi="Arial"/>
          <w:sz w:val="17"/>
          <w:szCs w:val="17"/>
          <w:color w:val="auto"/>
        </w:rPr>
        <w:t>per share if the underwriters exercise their option to purchase additional shares from us in full,</w:t>
      </w:r>
    </w:p>
    <w:p>
      <w:pPr>
        <w:ind w:left="160"/>
        <w:spacing w:after="0"/>
        <w:rPr>
          <w:sz w:val="20"/>
          <w:szCs w:val="20"/>
          <w:color w:val="auto"/>
        </w:rPr>
      </w:pPr>
      <w:r>
        <w:rPr>
          <w:rFonts w:ascii="Arial" w:cs="Arial" w:eastAsia="Arial" w:hAnsi="Arial"/>
          <w:sz w:val="17"/>
          <w:szCs w:val="17"/>
          <w:color w:val="auto"/>
        </w:rPr>
        <w:t>representing the difference between our pro forma as adjusted net tangible book value per share and the assumed public offering price of</w:t>
      </w:r>
    </w:p>
    <w:p>
      <w:pPr>
        <w:spacing w:after="0" w:line="5" w:lineRule="exact"/>
        <w:rPr>
          <w:sz w:val="20"/>
          <w:szCs w:val="20"/>
          <w:color w:val="auto"/>
        </w:rPr>
      </w:pPr>
    </w:p>
    <w:p>
      <w:pPr>
        <w:ind w:left="160" w:right="160" w:firstLine="7"/>
        <w:spacing w:after="0" w:line="239" w:lineRule="auto"/>
        <w:tabs>
          <w:tab w:leader="none" w:pos="10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See “Dilution.” If outstanding options or warrants to purchase our Class A common stock are exercised in the future, you will experience additional dilution.</w:t>
      </w:r>
    </w:p>
    <w:p>
      <w:pPr>
        <w:spacing w:after="0" w:line="288" w:lineRule="exact"/>
        <w:rPr>
          <w:sz w:val="20"/>
          <w:szCs w:val="20"/>
          <w:color w:val="auto"/>
        </w:rPr>
      </w:pPr>
    </w:p>
    <w:p>
      <w:pPr>
        <w:ind w:left="160" w:right="80"/>
        <w:spacing w:after="0" w:line="265"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7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Instead, we anticipate that all of our earnings, if any, in the foreseeable future will be used to provide working capital, to support our operations and to finance the growth and development of our business.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89" w:lineRule="exact"/>
        <w:rPr>
          <w:sz w:val="20"/>
          <w:szCs w:val="20"/>
          <w:color w:val="auto"/>
        </w:rPr>
      </w:pPr>
    </w:p>
    <w:p>
      <w:pPr>
        <w:ind w:left="160" w:right="240"/>
        <w:spacing w:after="0" w:line="265"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73"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We have funded our operations since inception primarily through equity financings and sales.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including Xometry Pay and FastPay, as they become more widely used by sellers.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21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As of March 31, 2021, we had $49.5 million in cash and cash equivalents. While we believe the net proceeds from this offering, together with our existing cash and cash equivalents, will be sufficient to meet our anticipated cash needs for at least twelve months following the date of this prospectus,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6"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60"/>
        <w:spacing w:after="0" w:line="243" w:lineRule="auto"/>
        <w:rPr>
          <w:sz w:val="20"/>
          <w:szCs w:val="20"/>
          <w:color w:val="auto"/>
        </w:rPr>
      </w:pPr>
      <w:r>
        <w:rPr>
          <w:rFonts w:ascii="Arial" w:cs="Arial" w:eastAsia="Arial" w:hAnsi="Arial"/>
          <w:sz w:val="18"/>
          <w:szCs w:val="18"/>
          <w:b w:val="1"/>
          <w:bCs w:val="1"/>
          <w:i w:val="1"/>
          <w:iCs w:val="1"/>
          <w:color w:val="auto"/>
        </w:rPr>
        <w:t>The dual-class structure of our common stock will have the effect of concentrating voting control with our co-founders, which will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93"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Our Class B common stock has twenty votes per share, whereas our Class A common stock, which is the stock we are offering in this offering, has one vote per share. Our co-founders will collectively own shares representing approximately % of the voting power of our outstanding capital stock immediately following the closing of this offering, based on the number of shares outstanding as of March 31, 2021.</w:t>
      </w:r>
    </w:p>
    <w:p>
      <w:pPr>
        <w:spacing w:after="0" w:line="202"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As a result, the holders of our Class B common stock will have the ability to control the outcome of matters requiring stockholder approval for the foreseeable future, including the election of directors and approval of significant corporate transactions, such as a merger or other sale of our company or our assets, even if their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206"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After the completion of this offering, any holder’s shares of Class B common stock will convert automatically into Class A common stock, on a one-to-one basis, upon: (1) the sale or transfer of such shares of Class B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 (2) the death of the Class B common stockholder; (3) such holder’s departure from our board of directors; and (4) on the final conversion date, defined as the earliest of (a) the first trading day after the date on which the outstanding shares of Class B common stock represent less than 5% of the then outstanding Class A and Class B common stock; (b) the seventh anniversary of this offering; or (c) the date specified by vote of the holders of a majority of the outstanding shares of Class B common stock. For a description of the dual-class structure, see “Description of Capital Stock.”</w:t>
      </w:r>
    </w:p>
    <w:p>
      <w:pPr>
        <w:spacing w:after="0" w:line="20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the listing of our Class A common stock on The Nasdaq Global Select Market, any future 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cannot predict the impact our dual-class structure may have on the market price of our Class A common stock.</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cannot predict whether our dual-class structure, combined with the concentrated control of our co-founders,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dual-class capital structure would make us ineligible for inclusion in any of these indices. Given the sustained flow of investment funds into passive strategies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that seek to track certain indexes, exclusion from stock indices would likely preclude investment by many of these funds and could make our Class A common stock less attractive to other investors. As a result, the market price of our Class A common stock could be adversely affected.</w:t>
      </w:r>
    </w:p>
    <w:p>
      <w:pPr>
        <w:spacing w:after="0" w:line="288" w:lineRule="exact"/>
        <w:rPr>
          <w:sz w:val="20"/>
          <w:szCs w:val="20"/>
          <w:color w:val="auto"/>
        </w:rPr>
      </w:pPr>
    </w:p>
    <w:p>
      <w:pPr>
        <w:ind w:left="160" w:right="520"/>
        <w:spacing w:after="0" w:line="26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7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06"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prospectus,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06"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and compensation committees.</w:t>
      </w:r>
    </w:p>
    <w:p>
      <w:pPr>
        <w:spacing w:after="0" w:line="202"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line="24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87"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upon the completion of this offering, may have the effect of delaying or preventing a change of control or changes in our management. Our amended and restated certificate of incorporation and amended and restated bylaws will include provisions that:</w:t>
      </w:r>
    </w:p>
    <w:p>
      <w:pPr>
        <w:spacing w:after="0" w:line="109" w:lineRule="exact"/>
        <w:rPr>
          <w:sz w:val="20"/>
          <w:szCs w:val="20"/>
          <w:color w:val="auto"/>
        </w:rPr>
      </w:pPr>
    </w:p>
    <w:p>
      <w:pPr>
        <w:ind w:left="920" w:right="10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109"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09" w:lineRule="exact"/>
        <w:rPr>
          <w:rFonts w:ascii="Arial" w:cs="Arial" w:eastAsia="Arial" w:hAnsi="Arial"/>
          <w:sz w:val="18"/>
          <w:szCs w:val="18"/>
          <w:color w:val="auto"/>
        </w:rPr>
      </w:pPr>
    </w:p>
    <w:p>
      <w:pPr>
        <w:ind w:left="920" w:right="32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09" w:lineRule="exact"/>
        <w:rPr>
          <w:rFonts w:ascii="Arial" w:cs="Arial" w:eastAsia="Arial" w:hAnsi="Arial"/>
          <w:sz w:val="18"/>
          <w:szCs w:val="18"/>
          <w:color w:val="auto"/>
        </w:rPr>
      </w:pPr>
    </w:p>
    <w:p>
      <w:pPr>
        <w:ind w:left="920" w:right="28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3" w:lineRule="exact"/>
        <w:rPr>
          <w:rFonts w:ascii="Arial" w:cs="Arial" w:eastAsia="Arial" w:hAnsi="Arial"/>
          <w:sz w:val="18"/>
          <w:szCs w:val="18"/>
          <w:color w:val="auto"/>
        </w:rPr>
      </w:pPr>
    </w:p>
    <w:p>
      <w:pPr>
        <w:ind w:left="920" w:right="48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sixty-six and two-thirds percent (66 2/3%) of our outstanding shares of our voting common stock;</w:t>
      </w:r>
    </w:p>
    <w:p>
      <w:pPr>
        <w:spacing w:after="0" w:line="109" w:lineRule="exact"/>
        <w:rPr>
          <w:rFonts w:ascii="Arial" w:cs="Arial" w:eastAsia="Arial" w:hAnsi="Arial"/>
          <w:sz w:val="18"/>
          <w:szCs w:val="18"/>
          <w:color w:val="auto"/>
        </w:rPr>
      </w:pPr>
    </w:p>
    <w:p>
      <w:pPr>
        <w:ind w:left="920" w:right="60" w:hanging="218"/>
        <w:spacing w:after="0" w:line="239"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09" w:lineRule="exact"/>
        <w:rPr>
          <w:rFonts w:ascii="Arial" w:cs="Arial" w:eastAsia="Arial" w:hAnsi="Arial"/>
          <w:sz w:val="18"/>
          <w:szCs w:val="18"/>
          <w:color w:val="auto"/>
        </w:rPr>
      </w:pPr>
    </w:p>
    <w:p>
      <w:pPr>
        <w:ind w:left="920" w:right="840" w:hanging="218"/>
        <w:spacing w:after="0" w:line="268"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79"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9" w:lineRule="exact"/>
        <w:rPr>
          <w:sz w:val="20"/>
          <w:szCs w:val="20"/>
          <w:color w:val="auto"/>
        </w:rPr>
      </w:pPr>
    </w:p>
    <w:p>
      <w:pPr>
        <w:ind w:left="160" w:right="8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93"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Our amended and restated certificate of incorporation to be effective upon the completion of this offering will provide that the Court of Chancery of the State of Delaware (or, if and only if the Court of</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4"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In addition, our amended and restated certificate of incorporation will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202" w:lineRule="exact"/>
        <w:rPr>
          <w:sz w:val="20"/>
          <w:szCs w:val="20"/>
          <w:color w:val="auto"/>
        </w:rPr>
      </w:pPr>
    </w:p>
    <w:p>
      <w:pPr>
        <w:ind w:left="160" w:right="40" w:firstLine="546"/>
        <w:spacing w:after="0" w:line="248"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General Risk Factors</w:t>
      </w:r>
    </w:p>
    <w:p>
      <w:pPr>
        <w:spacing w:after="0" w:line="208" w:lineRule="exact"/>
        <w:rPr>
          <w:sz w:val="20"/>
          <w:szCs w:val="20"/>
          <w:color w:val="auto"/>
        </w:rPr>
      </w:pPr>
    </w:p>
    <w:p>
      <w:pPr>
        <w:ind w:left="160" w:right="540"/>
        <w:spacing w:after="0" w:line="265"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personnel, our business and future growth prospects would be harmed.</w:t>
      </w:r>
    </w:p>
    <w:p>
      <w:pPr>
        <w:spacing w:after="0" w:line="7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as well as other key personnel. These executives and key personnel have been primarily responsible for determining the strategic direction of the business and executing our growth strategy and are integral to our brand, culture and reputation with buyers and sellers.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740"/>
        <w:spacing w:after="0" w:line="265" w:lineRule="auto"/>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7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204"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business, prospects, financial condition and operating results.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(the “IRS”) with respect to the Tax Act may affect us, and certain aspects of the Tax Act could be repealed or modified in future legislation. The Coronavirus Aid, Relief, and Economic Security Act (the “CARES Act”) has already modified certain provisions of the Tax Act. In addition, it is uncertain if and to what extent various states will conform to the Tax Act, the CARES Act or any newly enacted federal tax legislation.</w:t>
      </w:r>
    </w:p>
    <w:p>
      <w:pPr>
        <w:spacing w:after="0" w:line="291"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b w:val="1"/>
          <w:bCs w:val="1"/>
          <w:i w:val="1"/>
          <w:iCs w:val="1"/>
          <w:color w:val="auto"/>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71"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6" w:right="5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2" w:lineRule="auto"/>
        <w:rPr>
          <w:sz w:val="20"/>
          <w:szCs w:val="20"/>
          <w:color w:val="auto"/>
        </w:rPr>
      </w:pPr>
      <w:r>
        <w:rPr>
          <w:rFonts w:ascii="Arial" w:cs="Arial" w:eastAsia="Arial" w:hAnsi="Arial"/>
          <w:sz w:val="18"/>
          <w:szCs w:val="18"/>
          <w:color w:val="auto"/>
        </w:rPr>
        <w:t>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w:t>
      </w:r>
    </w:p>
    <w:p>
      <w:pPr>
        <w:spacing w:after="0" w:line="2" w:lineRule="exact"/>
        <w:rPr>
          <w:sz w:val="20"/>
          <w:szCs w:val="20"/>
          <w:color w:val="auto"/>
        </w:rPr>
      </w:pPr>
    </w:p>
    <w:p>
      <w:pPr>
        <w:ind w:left="160" w:right="80" w:firstLine="7"/>
        <w:spacing w:after="0" w:line="235" w:lineRule="auto"/>
        <w:tabs>
          <w:tab w:leader="none" w:pos="4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first sale of our Class A common stock in our initial public offering.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04"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emerging growth company which has opted out of using the extended transition period difficult or impossible because of the potential differences in accounting standards used.</w:t>
      </w:r>
    </w:p>
    <w:p>
      <w:pPr>
        <w:spacing w:after="0" w:line="287" w:lineRule="exact"/>
        <w:rPr>
          <w:sz w:val="20"/>
          <w:szCs w:val="20"/>
          <w:color w:val="auto"/>
        </w:rPr>
      </w:pPr>
    </w:p>
    <w:p>
      <w:pPr>
        <w:ind w:left="160" w:right="700"/>
        <w:spacing w:after="0" w:line="265"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3"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of 2002, or the Sarbanes- 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206"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209"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12" w:lineRule="exact"/>
        <w:rPr>
          <w:sz w:val="20"/>
          <w:szCs w:val="20"/>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3" w:lineRule="exact"/>
        <w:rPr>
          <w:rFonts w:ascii="Arial" w:cs="Arial" w:eastAsia="Arial" w:hAnsi="Arial"/>
          <w:sz w:val="18"/>
          <w:szCs w:val="18"/>
          <w:color w:val="auto"/>
        </w:rPr>
      </w:pPr>
    </w:p>
    <w:p>
      <w:pPr>
        <w:ind w:left="920" w:right="140" w:hanging="218"/>
        <w:spacing w:after="0" w:line="239"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seller services, our ability to effectively manage or sustain our growth and to achieve or sustain profitability;</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COVID-19 and the associated global economic uncertainty or other public health crises;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or other proprietary rights and any costs associated therewith;</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08"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96"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456" w:right="5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INDUSTRY AND OTHER DATA</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This prospectus contains statistical data, estimates and forecasts that are based on independent industry publications or other publicly available information, as well as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industry in which we operate is subject to a high degree of uncertainty and risk due to a variety of factors, including those described in the section titled “Risk Factors,” that could cause results to differ materially from those expressed in these publications and other publicly available information.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320" w:top="456"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3" w:lineRule="exact"/>
        <w:rPr>
          <w:sz w:val="20"/>
          <w:szCs w:val="20"/>
          <w:color w:val="auto"/>
        </w:rPr>
      </w:pPr>
    </w:p>
    <w:p>
      <w:pPr>
        <w:ind w:left="720"/>
        <w:spacing w:after="0"/>
        <w:tabs>
          <w:tab w:leader="none" w:pos="7980" w:val="left"/>
        </w:tabs>
        <w:rPr>
          <w:sz w:val="20"/>
          <w:szCs w:val="20"/>
          <w:color w:val="auto"/>
        </w:rPr>
      </w:pPr>
      <w:r>
        <w:rPr>
          <w:rFonts w:ascii="Arial" w:cs="Arial" w:eastAsia="Arial" w:hAnsi="Arial"/>
          <w:sz w:val="18"/>
          <w:szCs w:val="18"/>
          <w:color w:val="auto"/>
        </w:rPr>
        <w:t>We estimate that we will receive net proceeds from this offering of approximately $</w:t>
      </w:r>
      <w:r>
        <w:rPr>
          <w:sz w:val="20"/>
          <w:szCs w:val="20"/>
          <w:color w:val="auto"/>
        </w:rPr>
        <w:tab/>
      </w:r>
      <w:r>
        <w:rPr>
          <w:rFonts w:ascii="Arial" w:cs="Arial" w:eastAsia="Arial" w:hAnsi="Arial"/>
          <w:sz w:val="17"/>
          <w:szCs w:val="17"/>
          <w:color w:val="auto"/>
        </w:rPr>
        <w:t>million (or approximately</w:t>
      </w:r>
    </w:p>
    <w:p>
      <w:pPr>
        <w:ind w:left="1060" w:hanging="893"/>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million if the underwriters exercise their option to purchase additional shares of our Class A common stock in full) based on an</w:t>
      </w:r>
    </w:p>
    <w:p>
      <w:pPr>
        <w:spacing w:after="0" w:line="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assumed initial public offering price of $ per share of Class A common stock, the midpoint of the estimated price range set forth on the cover page of this prospectus, after deducting estimated underwriting discounts and commissions and estimated offering expenses.</w:t>
      </w:r>
    </w:p>
    <w:p>
      <w:pPr>
        <w:spacing w:after="0" w:line="203" w:lineRule="exact"/>
        <w:rPr>
          <w:sz w:val="20"/>
          <w:szCs w:val="20"/>
          <w:color w:val="auto"/>
        </w:rPr>
      </w:pPr>
    </w:p>
    <w:p>
      <w:pPr>
        <w:ind w:left="160" w:right="80" w:firstLine="546"/>
        <w:spacing w:after="0" w:line="232" w:lineRule="auto"/>
        <w:rPr>
          <w:sz w:val="20"/>
          <w:szCs w:val="20"/>
          <w:color w:val="auto"/>
        </w:rPr>
      </w:pPr>
      <w:r>
        <w:rPr>
          <w:rFonts w:ascii="Arial" w:cs="Arial" w:eastAsia="Arial" w:hAnsi="Arial"/>
          <w:sz w:val="18"/>
          <w:szCs w:val="18"/>
          <w:color w:val="auto"/>
        </w:rPr>
        <w:t>A $1.00 increase (decrease) in the assumed initial public offering price of $ per share of Class A common stock would increase (decrease) the net proceeds to us from this offering by approximately $ million, assuming the number of shares offered</w:t>
      </w:r>
    </w:p>
    <w:p>
      <w:pPr>
        <w:spacing w:after="0" w:line="1" w:lineRule="exact"/>
        <w:rPr>
          <w:sz w:val="20"/>
          <w:szCs w:val="20"/>
          <w:color w:val="auto"/>
        </w:rPr>
      </w:pPr>
    </w:p>
    <w:p>
      <w:pPr>
        <w:ind w:left="160" w:right="300"/>
        <w:spacing w:after="0" w:line="246" w:lineRule="auto"/>
        <w:rPr>
          <w:sz w:val="20"/>
          <w:szCs w:val="20"/>
          <w:color w:val="auto"/>
        </w:rPr>
      </w:pPr>
      <w:r>
        <w:rPr>
          <w:rFonts w:ascii="Arial" w:cs="Arial" w:eastAsia="Arial" w:hAnsi="Arial"/>
          <w:sz w:val="17"/>
          <w:szCs w:val="17"/>
          <w:color w:val="auto"/>
        </w:rPr>
        <w:t>by us, as set forth on the cover page of this prospectus, remains the same, and after deducting estimated underwriting discounts and commissions. Similarly, each increase (decrease) of 1,000,000 shares in the number of 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right="380"/>
        <w:spacing w:after="0" w:line="237" w:lineRule="auto"/>
        <w:rPr>
          <w:sz w:val="20"/>
          <w:szCs w:val="20"/>
          <w:color w:val="auto"/>
        </w:rPr>
      </w:pPr>
      <w:r>
        <w:rPr>
          <w:rFonts w:ascii="Arial" w:cs="Arial" w:eastAsia="Arial" w:hAnsi="Arial"/>
          <w:sz w:val="18"/>
          <w:szCs w:val="18"/>
          <w:color w:val="auto"/>
        </w:rPr>
        <w:t>would increase (decrease) the net proceeds to us from this offering by approximately $ million, assuming the assumed initial public offering price of $ per share of Class A common stock remains the same, and after deducting estimated underwriting discounts and commissions and estimated offering expenses.</w:t>
      </w:r>
    </w:p>
    <w:p>
      <w:pPr>
        <w:spacing w:after="0" w:line="20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will also use a portion of the net proceeds to repay our outstanding indebtedness under our Amended Loan and Security Agreement, which matures on May 1, 2022 and under which $15.8 million was outstanding at an annual interest rate of 8.7% as of March 31, 2021. In addition, we may also use a portion of the net proceeds from this offering to acquire complementary businesses, products, services or technologies. However, we do not have agreements or commitments to enter into any acquisitions at this time.</w:t>
      </w:r>
    </w:p>
    <w:p>
      <w:pPr>
        <w:spacing w:after="0" w:line="204"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We will have broad discretion over how to use the net proceeds to us from this offering. We intend to invest the net proceeds to us from the offering that are not used as described above in investment-grade, interest-bearing instruments.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6"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DIVIDEND POLICY</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20"/>
          </w:cols>
          <w:pgMar w:left="320" w:top="456" w:right="6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114" w:lineRule="exact"/>
        <w:rPr>
          <w:sz w:val="20"/>
          <w:szCs w:val="20"/>
          <w:color w:val="auto"/>
        </w:rPr>
      </w:pPr>
    </w:p>
    <w:p>
      <w:pPr>
        <w:ind w:left="920" w:hanging="218"/>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3" w:lineRule="exact"/>
        <w:rPr>
          <w:rFonts w:ascii="Arial" w:cs="Arial" w:eastAsia="Arial" w:hAnsi="Arial"/>
          <w:sz w:val="18"/>
          <w:szCs w:val="18"/>
          <w:color w:val="auto"/>
        </w:rPr>
      </w:pPr>
    </w:p>
    <w:p>
      <w:pPr>
        <w:ind w:left="920" w:hanging="218"/>
        <w:spacing w:after="0" w:line="235"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basis, giving effect to (1) the reclassification of our outstanding common stock into Class A common stock, (2) the automatic conversion of all of our outstanding shares of convertible preferred stock into an aggregate of 27,758,941 shares of Class A common stock in connection with this offering, (3) the exchange of certain shares of Class A common stock held by our co-founders for shares of our Class B common stock, and (4) the filing and effectiveness of our amended and restated certificate of incorporation which will be in effect on the completion of this offering; and</w:t>
      </w:r>
    </w:p>
    <w:p>
      <w:pPr>
        <w:spacing w:after="0" w:line="110" w:lineRule="exact"/>
        <w:rPr>
          <w:rFonts w:ascii="Arial" w:cs="Arial" w:eastAsia="Arial" w:hAnsi="Arial"/>
          <w:sz w:val="18"/>
          <w:szCs w:val="18"/>
          <w:color w:val="auto"/>
        </w:rPr>
      </w:pPr>
    </w:p>
    <w:p>
      <w:pPr>
        <w:ind w:left="920" w:right="160" w:hanging="218"/>
        <w:spacing w:after="0" w:line="246"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(1) the pro forma adjustments set forth above, (2) our receipt of estimated net proceeds from the sale of shares of Class A common stock that we are offering at an assumed initial public offering price of</w:t>
      </w:r>
    </w:p>
    <w:p>
      <w:pPr>
        <w:ind w:left="920" w:right="520" w:hanging="4"/>
        <w:spacing w:after="0" w:line="237" w:lineRule="auto"/>
        <w:tabs>
          <w:tab w:leader="none" w:pos="18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after deducting the estimated underwriting discounts and commissions and estimated offering expenses and (3) repayment of our outstanding indebtedness under our Amended Loan and Security Agreement, as described in “Use of Proceeds.”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6"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60" w:firstLine="546"/>
        <w:spacing w:after="0" w:line="239" w:lineRule="auto"/>
        <w:rPr>
          <w:sz w:val="20"/>
          <w:szCs w:val="20"/>
          <w:color w:val="auto"/>
        </w:rPr>
      </w:pPr>
      <w:r>
        <w:rPr>
          <w:rFonts w:ascii="Arial" w:cs="Arial" w:eastAsia="Arial" w:hAnsi="Arial"/>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As of March 31, 2021</w:t>
            </w: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2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5"/>
                <w:szCs w:val="15"/>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9"/>
              </w:rPr>
              <w:t>Pro Forma</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As Adjusted</w:t>
            </w:r>
          </w:p>
        </w:tc>
      </w:tr>
      <w:tr>
        <w:trPr>
          <w:trHeight w:val="141"/>
        </w:trPr>
        <w:tc>
          <w:tcPr>
            <w:tcW w:w="2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gridSpan w:val="7"/>
          </w:tcPr>
          <w:p>
            <w:pPr>
              <w:jc w:val="center"/>
              <w:ind w:right="118"/>
              <w:spacing w:after="0" w:line="141" w:lineRule="exact"/>
              <w:rPr>
                <w:sz w:val="20"/>
                <w:szCs w:val="20"/>
                <w:color w:val="auto"/>
              </w:rPr>
            </w:pPr>
            <w:r>
              <w:rPr>
                <w:rFonts w:ascii="Arial" w:cs="Arial" w:eastAsia="Arial" w:hAnsi="Arial"/>
                <w:sz w:val="14"/>
                <w:szCs w:val="14"/>
                <w:b w:val="1"/>
                <w:bCs w:val="1"/>
                <w:color w:val="auto"/>
              </w:rPr>
              <w:t>(in thousands except share and per share amounts)</w:t>
            </w:r>
          </w:p>
        </w:tc>
        <w:tc>
          <w:tcPr>
            <w:tcW w:w="6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49,512</w:t>
            </w: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9"/>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98"/>
              <w:spacing w:after="0" w:line="201"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0"/>
        </w:trPr>
        <w:tc>
          <w:tcPr>
            <w:tcW w:w="6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6640" w:type="dxa"/>
            <w:vAlign w:val="bottom"/>
            <w:gridSpan w:val="6"/>
          </w:tcPr>
          <w:p>
            <w:pPr>
              <w:spacing w:after="0" w:line="194" w:lineRule="exact"/>
              <w:rPr>
                <w:sz w:val="20"/>
                <w:szCs w:val="20"/>
                <w:color w:val="auto"/>
              </w:rPr>
            </w:pPr>
            <w:r>
              <w:rPr>
                <w:rFonts w:ascii="Arial" w:cs="Arial" w:eastAsia="Arial" w:hAnsi="Arial"/>
                <w:sz w:val="18"/>
                <w:szCs w:val="18"/>
                <w:color w:val="auto"/>
              </w:rPr>
              <w:t>Convertible preferred stock, $0.000001 par value, 27,970,966 shares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1"/>
        </w:trPr>
        <w:tc>
          <w:tcPr>
            <w:tcW w:w="6640" w:type="dxa"/>
            <w:vAlign w:val="bottom"/>
            <w:gridSpan w:val="6"/>
          </w:tcPr>
          <w:p>
            <w:pPr>
              <w:ind w:left="180"/>
              <w:spacing w:after="0" w:line="201" w:lineRule="exact"/>
              <w:rPr>
                <w:sz w:val="20"/>
                <w:szCs w:val="20"/>
                <w:color w:val="auto"/>
              </w:rPr>
            </w:pPr>
            <w:r>
              <w:rPr>
                <w:rFonts w:ascii="Arial" w:cs="Arial" w:eastAsia="Arial" w:hAnsi="Arial"/>
                <w:sz w:val="18"/>
                <w:szCs w:val="18"/>
                <w:color w:val="auto"/>
              </w:rPr>
              <w:t>authorized, 27,758,941 shares issued and outstanding, actual, and no</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6640" w:type="dxa"/>
            <w:vAlign w:val="bottom"/>
            <w:gridSpan w:val="6"/>
          </w:tcPr>
          <w:p>
            <w:pPr>
              <w:ind w:left="180"/>
              <w:spacing w:after="0" w:line="201" w:lineRule="exact"/>
              <w:rPr>
                <w:sz w:val="20"/>
                <w:szCs w:val="20"/>
                <w:color w:val="auto"/>
              </w:rPr>
            </w:pPr>
            <w:r>
              <w:rPr>
                <w:rFonts w:ascii="Arial" w:cs="Arial" w:eastAsia="Arial" w:hAnsi="Arial"/>
                <w:sz w:val="18"/>
                <w:szCs w:val="18"/>
                <w:color w:val="auto"/>
              </w:rPr>
              <w:t>shares authorized, issued and outstanding, pro forma and pro forma as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380" w:type="dxa"/>
            <w:vAlign w:val="bottom"/>
          </w:tcPr>
          <w:p>
            <w:pPr>
              <w:ind w:left="180"/>
              <w:spacing w:after="0" w:line="201" w:lineRule="exact"/>
              <w:rPr>
                <w:sz w:val="20"/>
                <w:szCs w:val="20"/>
                <w:color w:val="auto"/>
              </w:rPr>
            </w:pPr>
            <w:r>
              <w:rPr>
                <w:rFonts w:ascii="Arial" w:cs="Arial" w:eastAsia="Arial" w:hAnsi="Arial"/>
                <w:sz w:val="18"/>
                <w:szCs w:val="18"/>
                <w:color w:val="auto"/>
              </w:rPr>
              <w:t>adjusted</w:t>
            </w: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160,713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Stockholders’ equity:</w:t>
            </w: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6640" w:type="dxa"/>
            <w:vAlign w:val="bottom"/>
            <w:gridSpan w:val="6"/>
          </w:tcPr>
          <w:p>
            <w:pPr>
              <w:ind w:left="360"/>
              <w:spacing w:after="0" w:line="200" w:lineRule="exact"/>
              <w:rPr>
                <w:sz w:val="20"/>
                <w:szCs w:val="20"/>
                <w:color w:val="auto"/>
              </w:rPr>
            </w:pPr>
            <w:r>
              <w:rPr>
                <w:rFonts w:ascii="Arial" w:cs="Arial" w:eastAsia="Arial" w:hAnsi="Arial"/>
                <w:sz w:val="18"/>
                <w:szCs w:val="18"/>
                <w:color w:val="auto"/>
              </w:rPr>
              <w:t>Preferred stock, $0.000001 par value, no shares authorized, issued,</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324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and outstanding, actual, and</w:t>
            </w:r>
          </w:p>
        </w:tc>
        <w:tc>
          <w:tcPr>
            <w:tcW w:w="3400" w:type="dxa"/>
            <w:vAlign w:val="bottom"/>
            <w:gridSpan w:val="4"/>
          </w:tcPr>
          <w:p>
            <w:pPr>
              <w:jc w:val="right"/>
              <w:ind w:right="860"/>
              <w:spacing w:after="0" w:line="201" w:lineRule="exact"/>
              <w:rPr>
                <w:sz w:val="20"/>
                <w:szCs w:val="20"/>
                <w:color w:val="auto"/>
              </w:rPr>
            </w:pPr>
            <w:r>
              <w:rPr>
                <w:rFonts w:ascii="Arial" w:cs="Arial" w:eastAsia="Arial" w:hAnsi="Arial"/>
                <w:sz w:val="18"/>
                <w:szCs w:val="18"/>
                <w:color w:val="auto"/>
              </w:rPr>
              <w:t>shares authorized, no shares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6640" w:type="dxa"/>
            <w:vAlign w:val="bottom"/>
            <w:gridSpan w:val="6"/>
          </w:tcPr>
          <w:p>
            <w:pPr>
              <w:ind w:left="540"/>
              <w:spacing w:after="0" w:line="201" w:lineRule="exact"/>
              <w:rPr>
                <w:sz w:val="20"/>
                <w:szCs w:val="20"/>
                <w:color w:val="auto"/>
              </w:rPr>
            </w:pPr>
            <w:r>
              <w:rPr>
                <w:rFonts w:ascii="Arial" w:cs="Arial" w:eastAsia="Arial" w:hAnsi="Arial"/>
                <w:sz w:val="18"/>
                <w:szCs w:val="18"/>
                <w:color w:val="auto"/>
              </w:rPr>
              <w:t>issued and outstanding, pro forma and pro forma as adjusted</w:t>
            </w:r>
          </w:p>
        </w:tc>
        <w:tc>
          <w:tcPr>
            <w:tcW w:w="110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200" w:type="dxa"/>
            <w:vAlign w:val="bottom"/>
            <w:gridSpan w:val="3"/>
            <w:shd w:val="clear" w:color="auto" w:fill="CCEEFF"/>
          </w:tcPr>
          <w:p>
            <w:pPr>
              <w:ind w:left="360"/>
              <w:spacing w:after="0" w:line="200" w:lineRule="exact"/>
              <w:rPr>
                <w:sz w:val="20"/>
                <w:szCs w:val="20"/>
                <w:color w:val="auto"/>
              </w:rPr>
            </w:pPr>
            <w:r>
              <w:rPr>
                <w:rFonts w:ascii="Arial" w:cs="Arial" w:eastAsia="Arial" w:hAnsi="Arial"/>
                <w:sz w:val="18"/>
                <w:szCs w:val="18"/>
                <w:color w:val="auto"/>
                <w:w w:val="98"/>
              </w:rPr>
              <w:t>Common stock, $0.000001 par value, 42,000,000 authorized,</w:t>
            </w: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6640" w:type="dxa"/>
            <w:vAlign w:val="bottom"/>
            <w:gridSpan w:val="6"/>
            <w:shd w:val="clear" w:color="auto" w:fill="CCEEFF"/>
          </w:tcPr>
          <w:p>
            <w:pPr>
              <w:ind w:left="540"/>
              <w:spacing w:after="0" w:line="201" w:lineRule="exact"/>
              <w:rPr>
                <w:sz w:val="20"/>
                <w:szCs w:val="20"/>
                <w:color w:val="auto"/>
              </w:rPr>
            </w:pPr>
            <w:r>
              <w:rPr>
                <w:rFonts w:ascii="Arial" w:cs="Arial" w:eastAsia="Arial" w:hAnsi="Arial"/>
                <w:sz w:val="18"/>
                <w:szCs w:val="18"/>
                <w:color w:val="auto"/>
              </w:rPr>
              <w:t>8,239,494 shares issued and outstanding, actual, no shares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6640" w:type="dxa"/>
            <w:vAlign w:val="bottom"/>
            <w:gridSpan w:val="6"/>
            <w:shd w:val="clear" w:color="auto" w:fill="CCEEFF"/>
          </w:tcPr>
          <w:p>
            <w:pPr>
              <w:ind w:left="540"/>
              <w:spacing w:after="0" w:line="201" w:lineRule="exact"/>
              <w:rPr>
                <w:sz w:val="20"/>
                <w:szCs w:val="20"/>
                <w:color w:val="auto"/>
              </w:rPr>
            </w:pPr>
            <w:r>
              <w:rPr>
                <w:rFonts w:ascii="Arial" w:cs="Arial" w:eastAsia="Arial" w:hAnsi="Arial"/>
                <w:sz w:val="18"/>
                <w:szCs w:val="18"/>
                <w:color w:val="auto"/>
              </w:rPr>
              <w:t>authorized, issued and outstanding, pro forma and pro forma as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3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adjusted</w:t>
            </w: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6640" w:type="dxa"/>
            <w:vAlign w:val="bottom"/>
            <w:gridSpan w:val="6"/>
          </w:tcPr>
          <w:p>
            <w:pPr>
              <w:ind w:left="360"/>
              <w:spacing w:after="0" w:line="200" w:lineRule="exact"/>
              <w:rPr>
                <w:sz w:val="20"/>
                <w:szCs w:val="20"/>
                <w:color w:val="auto"/>
              </w:rPr>
            </w:pPr>
            <w:r>
              <w:rPr>
                <w:rFonts w:ascii="Arial" w:cs="Arial" w:eastAsia="Arial" w:hAnsi="Arial"/>
                <w:sz w:val="18"/>
                <w:szCs w:val="18"/>
                <w:color w:val="auto"/>
              </w:rPr>
              <w:t>Class A common stock, $0.000001 par value, no shares authorized,</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324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issued and outstanding, actual,</w:t>
            </w:r>
          </w:p>
        </w:tc>
        <w:tc>
          <w:tcPr>
            <w:tcW w:w="3400" w:type="dxa"/>
            <w:vAlign w:val="bottom"/>
            <w:gridSpan w:val="4"/>
          </w:tcPr>
          <w:p>
            <w:pPr>
              <w:jc w:val="right"/>
              <w:ind w:right="1180"/>
              <w:spacing w:after="0" w:line="201" w:lineRule="exact"/>
              <w:rPr>
                <w:sz w:val="20"/>
                <w:szCs w:val="20"/>
                <w:color w:val="auto"/>
              </w:rPr>
            </w:pPr>
            <w:r>
              <w:rPr>
                <w:rFonts w:ascii="Arial" w:cs="Arial" w:eastAsia="Arial" w:hAnsi="Arial"/>
                <w:sz w:val="18"/>
                <w:szCs w:val="18"/>
                <w:color w:val="auto"/>
              </w:rPr>
              <w:t>shares authorized and</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200" w:type="dxa"/>
            <w:vAlign w:val="bottom"/>
            <w:gridSpan w:val="3"/>
          </w:tcPr>
          <w:p>
            <w:pPr>
              <w:ind w:left="1180"/>
              <w:spacing w:after="0" w:line="201" w:lineRule="exact"/>
              <w:rPr>
                <w:sz w:val="20"/>
                <w:szCs w:val="20"/>
                <w:color w:val="auto"/>
              </w:rPr>
            </w:pPr>
            <w:r>
              <w:rPr>
                <w:rFonts w:ascii="Arial" w:cs="Arial" w:eastAsia="Arial" w:hAnsi="Arial"/>
                <w:sz w:val="18"/>
                <w:szCs w:val="18"/>
                <w:color w:val="auto"/>
              </w:rPr>
              <w:t>shares issued and outstanding, pro forma,</w:t>
            </w:r>
          </w:p>
        </w:tc>
        <w:tc>
          <w:tcPr>
            <w:tcW w:w="1440" w:type="dxa"/>
            <w:vAlign w:val="bottom"/>
            <w:gridSpan w:val="3"/>
          </w:tcPr>
          <w:p>
            <w:pPr>
              <w:jc w:val="right"/>
              <w:ind w:right="900"/>
              <w:spacing w:after="0" w:line="201" w:lineRule="exact"/>
              <w:rPr>
                <w:sz w:val="20"/>
                <w:szCs w:val="20"/>
                <w:color w:val="auto"/>
              </w:rPr>
            </w:pPr>
            <w:r>
              <w:rPr>
                <w:rFonts w:ascii="Arial" w:cs="Arial" w:eastAsia="Arial" w:hAnsi="Arial"/>
                <w:sz w:val="18"/>
                <w:szCs w:val="18"/>
                <w:color w:val="auto"/>
                <w:w w:val="96"/>
              </w:rPr>
              <w:t>shares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380" w:type="dxa"/>
            <w:vAlign w:val="bottom"/>
          </w:tcPr>
          <w:p>
            <w:pPr>
              <w:ind w:left="540"/>
              <w:spacing w:after="0" w:line="201" w:lineRule="exact"/>
              <w:rPr>
                <w:sz w:val="20"/>
                <w:szCs w:val="20"/>
                <w:color w:val="auto"/>
              </w:rPr>
            </w:pPr>
            <w:r>
              <w:rPr>
                <w:rFonts w:ascii="Arial" w:cs="Arial" w:eastAsia="Arial" w:hAnsi="Arial"/>
                <w:sz w:val="18"/>
                <w:szCs w:val="18"/>
                <w:color w:val="auto"/>
              </w:rPr>
              <w:t>authorized and</w:t>
            </w:r>
          </w:p>
        </w:tc>
        <w:tc>
          <w:tcPr>
            <w:tcW w:w="4260" w:type="dxa"/>
            <w:vAlign w:val="bottom"/>
            <w:gridSpan w:val="5"/>
          </w:tcPr>
          <w:p>
            <w:pPr>
              <w:jc w:val="right"/>
              <w:ind w:right="940"/>
              <w:spacing w:after="0" w:line="201" w:lineRule="exact"/>
              <w:rPr>
                <w:sz w:val="20"/>
                <w:szCs w:val="20"/>
                <w:color w:val="auto"/>
              </w:rPr>
            </w:pPr>
            <w:r>
              <w:rPr>
                <w:rFonts w:ascii="Arial" w:cs="Arial" w:eastAsia="Arial" w:hAnsi="Arial"/>
                <w:sz w:val="18"/>
                <w:szCs w:val="18"/>
                <w:color w:val="auto"/>
                <w:w w:val="99"/>
              </w:rPr>
              <w:t>shares issued and outstanding, pro forma</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380" w:type="dxa"/>
            <w:vAlign w:val="bottom"/>
          </w:tcPr>
          <w:p>
            <w:pPr>
              <w:ind w:left="540"/>
              <w:spacing w:after="0" w:line="201" w:lineRule="exact"/>
              <w:rPr>
                <w:sz w:val="20"/>
                <w:szCs w:val="20"/>
                <w:color w:val="auto"/>
              </w:rPr>
            </w:pPr>
            <w:r>
              <w:rPr>
                <w:rFonts w:ascii="Arial" w:cs="Arial" w:eastAsia="Arial" w:hAnsi="Arial"/>
                <w:sz w:val="18"/>
                <w:szCs w:val="18"/>
                <w:color w:val="auto"/>
              </w:rPr>
              <w:t>as adjusted</w:t>
            </w: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640" w:type="dxa"/>
            <w:vAlign w:val="bottom"/>
            <w:gridSpan w:val="6"/>
            <w:shd w:val="clear" w:color="auto" w:fill="CCEEFF"/>
          </w:tcPr>
          <w:p>
            <w:pPr>
              <w:ind w:left="360"/>
              <w:spacing w:after="0" w:line="200" w:lineRule="exact"/>
              <w:rPr>
                <w:sz w:val="20"/>
                <w:szCs w:val="20"/>
                <w:color w:val="auto"/>
              </w:rPr>
            </w:pPr>
            <w:r>
              <w:rPr>
                <w:rFonts w:ascii="Arial" w:cs="Arial" w:eastAsia="Arial" w:hAnsi="Arial"/>
                <w:sz w:val="18"/>
                <w:szCs w:val="18"/>
                <w:color w:val="auto"/>
              </w:rPr>
              <w:t>Class B common stock, $0.000001 par value, no shares authorized,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3240" w:type="dxa"/>
            <w:vAlign w:val="bottom"/>
            <w:gridSpan w:val="2"/>
            <w:shd w:val="clear" w:color="auto" w:fill="CCEEFF"/>
          </w:tcPr>
          <w:p>
            <w:pPr>
              <w:ind w:left="540"/>
              <w:spacing w:after="0" w:line="201" w:lineRule="exact"/>
              <w:rPr>
                <w:sz w:val="20"/>
                <w:szCs w:val="20"/>
                <w:color w:val="auto"/>
              </w:rPr>
            </w:pPr>
            <w:r>
              <w:rPr>
                <w:rFonts w:ascii="Arial" w:cs="Arial" w:eastAsia="Arial" w:hAnsi="Arial"/>
                <w:sz w:val="18"/>
                <w:szCs w:val="18"/>
                <w:color w:val="auto"/>
              </w:rPr>
              <w:t>issued and outstanding, actual,</w:t>
            </w:r>
          </w:p>
        </w:tc>
        <w:tc>
          <w:tcPr>
            <w:tcW w:w="3400" w:type="dxa"/>
            <w:vAlign w:val="bottom"/>
            <w:gridSpan w:val="4"/>
            <w:shd w:val="clear" w:color="auto" w:fill="CCEEFF"/>
          </w:tcPr>
          <w:p>
            <w:pPr>
              <w:jc w:val="right"/>
              <w:ind w:right="1180"/>
              <w:spacing w:after="0" w:line="201" w:lineRule="exact"/>
              <w:rPr>
                <w:sz w:val="20"/>
                <w:szCs w:val="20"/>
                <w:color w:val="auto"/>
              </w:rPr>
            </w:pPr>
            <w:r>
              <w:rPr>
                <w:rFonts w:ascii="Arial" w:cs="Arial" w:eastAsia="Arial" w:hAnsi="Arial"/>
                <w:sz w:val="18"/>
                <w:szCs w:val="18"/>
                <w:color w:val="auto"/>
              </w:rPr>
              <w:t>shares authorized and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6640" w:type="dxa"/>
            <w:vAlign w:val="bottom"/>
            <w:gridSpan w:val="6"/>
            <w:shd w:val="clear" w:color="auto" w:fill="CCEEFF"/>
          </w:tcPr>
          <w:p>
            <w:pPr>
              <w:ind w:left="1180"/>
              <w:spacing w:after="0" w:line="201" w:lineRule="exact"/>
              <w:rPr>
                <w:sz w:val="20"/>
                <w:szCs w:val="20"/>
                <w:color w:val="auto"/>
              </w:rPr>
            </w:pPr>
            <w:r>
              <w:rPr>
                <w:rFonts w:ascii="Arial" w:cs="Arial" w:eastAsia="Arial" w:hAnsi="Arial"/>
                <w:sz w:val="18"/>
                <w:szCs w:val="18"/>
                <w:color w:val="auto"/>
              </w:rPr>
              <w:t>shares issued and outstanding, pro forma and pro forma as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3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adjusted</w:t>
            </w: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380" w:type="dxa"/>
            <w:vAlign w:val="bottom"/>
          </w:tcPr>
          <w:p>
            <w:pPr>
              <w:ind w:left="360"/>
              <w:spacing w:after="0" w:line="201" w:lineRule="exact"/>
              <w:rPr>
                <w:sz w:val="20"/>
                <w:szCs w:val="20"/>
                <w:color w:val="auto"/>
              </w:rPr>
            </w:pPr>
            <w:r>
              <w:rPr>
                <w:rFonts w:ascii="Arial" w:cs="Arial" w:eastAsia="Arial" w:hAnsi="Arial"/>
                <w:sz w:val="18"/>
                <w:szCs w:val="18"/>
                <w:color w:val="auto"/>
              </w:rPr>
              <w:t>Additional paid-in capital</w:t>
            </w: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1,854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520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Accumulated other comprehensive income</w:t>
            </w: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380" w:type="dxa"/>
            <w:vAlign w:val="bottom"/>
          </w:tcPr>
          <w:p>
            <w:pPr>
              <w:ind w:left="360"/>
              <w:spacing w:after="0" w:line="201" w:lineRule="exact"/>
              <w:rPr>
                <w:sz w:val="20"/>
                <w:szCs w:val="20"/>
                <w:color w:val="auto"/>
              </w:rPr>
            </w:pPr>
            <w:r>
              <w:rPr>
                <w:rFonts w:ascii="Arial" w:cs="Arial" w:eastAsia="Arial" w:hAnsi="Arial"/>
                <w:sz w:val="18"/>
                <w:szCs w:val="18"/>
                <w:color w:val="auto"/>
              </w:rPr>
              <w:t>Accumulated deficit</w:t>
            </w:r>
          </w:p>
        </w:tc>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(122,463)</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1"/>
        </w:trPr>
        <w:tc>
          <w:tcPr>
            <w:tcW w:w="23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Total stockholders’ deficit</w:t>
            </w:r>
          </w:p>
        </w:tc>
        <w:tc>
          <w:tcPr>
            <w:tcW w:w="8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(120,369)</w:t>
            </w:r>
          </w:p>
        </w:tc>
        <w:tc>
          <w:tcPr>
            <w:tcW w:w="1420" w:type="dxa"/>
            <w:vAlign w:val="bottom"/>
            <w:gridSpan w:val="2"/>
            <w:shd w:val="clear" w:color="auto" w:fill="CCEEFF"/>
          </w:tcPr>
          <w:p>
            <w:pPr>
              <w:jc w:val="right"/>
              <w:ind w:right="809"/>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98"/>
              <w:spacing w:after="0" w:line="201"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38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40,344</w:t>
            </w:r>
          </w:p>
        </w:tc>
        <w:tc>
          <w:tcPr>
            <w:tcW w:w="240" w:type="dxa"/>
            <w:vAlign w:val="bottom"/>
          </w:tcPr>
          <w:p>
            <w:pPr>
              <w:spacing w:after="0"/>
              <w:rPr>
                <w:sz w:val="18"/>
                <w:szCs w:val="18"/>
                <w:color w:val="auto"/>
              </w:rPr>
            </w:pPr>
          </w:p>
        </w:tc>
        <w:tc>
          <w:tcPr>
            <w:tcW w:w="1420" w:type="dxa"/>
            <w:vAlign w:val="bottom"/>
            <w:gridSpan w:val="2"/>
          </w:tcPr>
          <w:p>
            <w:pPr>
              <w:jc w:val="right"/>
              <w:ind w:right="80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80" w:type="dxa"/>
            <w:vAlign w:val="bottom"/>
          </w:tcPr>
          <w:p>
            <w:pPr>
              <w:jc w:val="right"/>
              <w:ind w:right="898"/>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
        </w:trPr>
        <w:tc>
          <w:tcPr>
            <w:tcW w:w="6440" w:type="dxa"/>
            <w:vAlign w:val="bottom"/>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6640" w:type="dxa"/>
            <w:vAlign w:val="bottom"/>
            <w:gridSpan w:val="6"/>
          </w:tcPr>
          <w:p>
            <w:pPr>
              <w:ind w:left="56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280" w:type="dxa"/>
            <w:vAlign w:val="bottom"/>
            <w:gridSpan w:val="8"/>
          </w:tcPr>
          <w:p>
            <w:pPr>
              <w:ind w:left="600"/>
              <w:spacing w:after="0"/>
              <w:rPr>
                <w:sz w:val="20"/>
                <w:szCs w:val="20"/>
                <w:color w:val="auto"/>
              </w:rPr>
            </w:pPr>
            <w:r>
              <w:rPr>
                <w:rFonts w:ascii="Arial" w:cs="Arial" w:eastAsia="Arial" w:hAnsi="Arial"/>
                <w:sz w:val="18"/>
                <w:szCs w:val="18"/>
                <w:color w:val="auto"/>
              </w:rPr>
              <w:t>per share of Class A common stock, the</w:t>
            </w:r>
          </w:p>
        </w:tc>
      </w:tr>
    </w:tbl>
    <w:p>
      <w:pPr>
        <w:jc w:val="both"/>
        <w:ind w:left="160" w:right="180"/>
        <w:spacing w:after="0" w:line="232" w:lineRule="auto"/>
        <w:rPr>
          <w:sz w:val="20"/>
          <w:szCs w:val="20"/>
          <w:color w:val="auto"/>
        </w:rPr>
      </w:pPr>
      <w:r>
        <w:rPr>
          <w:rFonts w:ascii="Arial" w:cs="Arial" w:eastAsia="Arial" w:hAnsi="Arial"/>
          <w:sz w:val="18"/>
          <w:szCs w:val="18"/>
          <w:color w:val="auto"/>
        </w:rPr>
        <w:t>midpoint of the estimated price range set forth on the cover page of this prospectus, would increase (decrease) each of our pro forma as adjusted cash and cash equivalents, additional paid-in capital, total stockholders’ equity and total capitalization by approximately</w:t>
      </w:r>
    </w:p>
    <w:p>
      <w:pPr>
        <w:spacing w:after="0" w:line="1" w:lineRule="exact"/>
        <w:rPr>
          <w:sz w:val="20"/>
          <w:szCs w:val="20"/>
          <w:color w:val="auto"/>
        </w:rPr>
      </w:pPr>
    </w:p>
    <w:p>
      <w:pPr>
        <w:jc w:val="both"/>
        <w:ind w:left="160" w:right="20" w:firstLine="7"/>
        <w:spacing w:after="0" w:line="246" w:lineRule="auto"/>
        <w:tabs>
          <w:tab w:leader="none" w:pos="10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million, assuming the number of shares offered by us, as set forth on the cover page of this prospectus, remains the same, and after deducting estimated underwriting discounts and commissions. Similarly, each increase (decrease) of 1,000,000 shares in the number</w:t>
      </w:r>
    </w:p>
    <w:p>
      <w:pPr>
        <w:ind w:left="160"/>
        <w:spacing w:after="0"/>
        <w:rPr>
          <w:rFonts w:ascii="Arial" w:cs="Arial" w:eastAsia="Arial" w:hAnsi="Arial"/>
          <w:sz w:val="17"/>
          <w:szCs w:val="17"/>
          <w:color w:val="auto"/>
        </w:rPr>
      </w:pPr>
      <w:r>
        <w:rPr>
          <w:rFonts w:ascii="Arial" w:cs="Arial" w:eastAsia="Arial" w:hAnsi="Arial"/>
          <w:sz w:val="18"/>
          <w:szCs w:val="18"/>
          <w:color w:val="auto"/>
        </w:rPr>
        <w:t>of shares of Class A common stock offered by us would increase (decrease) each of our pro forma as adjusted cash and cash</w:t>
      </w:r>
    </w:p>
    <w:p>
      <w:pPr>
        <w:spacing w:after="0" w:line="201"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equivalents, additional paid-in capital, total stockholders’ equity and total capitalization by approximately $ million, assuming the assumed initial public offering price of $ per</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share of Class A common stock remains the same, and after deducting estimated underwriting discounts and commissions and estimated offering expenses.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number of shares of Class A common stock and Class B common stock that will be outstanding after this offering is based on</w:t>
      </w:r>
    </w:p>
    <w:p>
      <w:pPr>
        <w:ind w:left="960"/>
        <w:spacing w:after="0"/>
        <w:tabs>
          <w:tab w:leader="none" w:pos="4720" w:val="left"/>
        </w:tabs>
        <w:rPr>
          <w:sz w:val="20"/>
          <w:szCs w:val="20"/>
          <w:color w:val="auto"/>
        </w:rPr>
      </w:pPr>
      <w:r>
        <w:rPr>
          <w:rFonts w:ascii="Arial" w:cs="Arial" w:eastAsia="Arial" w:hAnsi="Arial"/>
          <w:sz w:val="18"/>
          <w:szCs w:val="18"/>
          <w:color w:val="auto"/>
        </w:rPr>
        <w:t>shares of Class A common stock and</w:t>
      </w:r>
      <w:r>
        <w:rPr>
          <w:sz w:val="20"/>
          <w:szCs w:val="20"/>
          <w:color w:val="auto"/>
        </w:rPr>
        <w:tab/>
      </w:r>
      <w:r>
        <w:rPr>
          <w:rFonts w:ascii="Arial" w:cs="Arial" w:eastAsia="Arial" w:hAnsi="Arial"/>
          <w:sz w:val="17"/>
          <w:szCs w:val="17"/>
          <w:color w:val="auto"/>
        </w:rPr>
        <w:t>shares of Class B common stock outstanding as of March 31, 2021 and</w:t>
      </w:r>
    </w:p>
    <w:p>
      <w:pPr>
        <w:ind w:left="160"/>
        <w:spacing w:after="0"/>
        <w:rPr>
          <w:sz w:val="20"/>
          <w:szCs w:val="20"/>
          <w:color w:val="auto"/>
        </w:rPr>
      </w:pPr>
      <w:r>
        <w:rPr>
          <w:rFonts w:ascii="Arial" w:cs="Arial" w:eastAsia="Arial" w:hAnsi="Arial"/>
          <w:sz w:val="18"/>
          <w:szCs w:val="18"/>
          <w:color w:val="auto"/>
        </w:rPr>
        <w:t>excludes:</w:t>
      </w:r>
    </w:p>
    <w:p>
      <w:pPr>
        <w:spacing w:after="0" w:line="114" w:lineRule="exact"/>
        <w:rPr>
          <w:sz w:val="20"/>
          <w:szCs w:val="20"/>
          <w:color w:val="auto"/>
        </w:rPr>
      </w:pPr>
    </w:p>
    <w:p>
      <w:pPr>
        <w:ind w:left="920" w:right="200" w:hanging="218"/>
        <w:spacing w:after="0" w:line="239"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Plan with a weighted-average exercise price of $3.43 per share;</w:t>
      </w:r>
    </w:p>
    <w:p>
      <w:pPr>
        <w:spacing w:after="0" w:line="102" w:lineRule="exact"/>
        <w:rPr>
          <w:rFonts w:ascii="Arial" w:cs="Arial" w:eastAsia="Arial" w:hAnsi="Arial"/>
          <w:sz w:val="18"/>
          <w:szCs w:val="18"/>
          <w:color w:val="auto"/>
        </w:rPr>
      </w:pPr>
    </w:p>
    <w:p>
      <w:pPr>
        <w:ind w:left="1760" w:hanging="1058"/>
        <w:spacing w:after="0"/>
        <w:tabs>
          <w:tab w:leader="none" w:pos="1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of Class A common stock issuable on the exercise of outstanding stock options issued after March 31, 2021</w:t>
      </w:r>
    </w:p>
    <w:p>
      <w:pPr>
        <w:ind w:left="920"/>
        <w:spacing w:after="0"/>
        <w:tabs>
          <w:tab w:leader="none" w:pos="7220" w:val="left"/>
        </w:tabs>
        <w:rPr>
          <w:sz w:val="20"/>
          <w:szCs w:val="20"/>
          <w:color w:val="auto"/>
        </w:rPr>
      </w:pPr>
      <w:r>
        <w:rPr>
          <w:rFonts w:ascii="Arial" w:cs="Arial" w:eastAsia="Arial" w:hAnsi="Arial"/>
          <w:sz w:val="18"/>
          <w:szCs w:val="18"/>
          <w:color w:val="auto"/>
        </w:rPr>
        <w:t>pursuant to our 2016 Plan with a weighted-average exercise price of $</w:t>
      </w:r>
      <w:r>
        <w:rPr>
          <w:sz w:val="20"/>
          <w:szCs w:val="20"/>
          <w:color w:val="auto"/>
        </w:rPr>
        <w:tab/>
      </w:r>
      <w:r>
        <w:rPr>
          <w:rFonts w:ascii="Arial" w:cs="Arial" w:eastAsia="Arial" w:hAnsi="Arial"/>
          <w:sz w:val="17"/>
          <w:szCs w:val="17"/>
          <w:color w:val="auto"/>
        </w:rPr>
        <w:t>per share;</w:t>
      </w:r>
    </w:p>
    <w:p>
      <w:pPr>
        <w:spacing w:after="0" w:line="114" w:lineRule="exact"/>
        <w:rPr>
          <w:sz w:val="20"/>
          <w:szCs w:val="20"/>
          <w:color w:val="auto"/>
        </w:rPr>
      </w:pPr>
    </w:p>
    <w:p>
      <w:pPr>
        <w:ind w:left="920" w:right="700" w:hanging="218"/>
        <w:spacing w:after="0" w:line="239"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112,026 shares of Class A common stock issuable on the exercise of warrants outstanding as of March 31, 2021 with a weighted-average exercise price of $4.37 per share; and</w:t>
      </w:r>
    </w:p>
    <w:p>
      <w:pPr>
        <w:spacing w:after="0" w:line="102" w:lineRule="exact"/>
        <w:rPr>
          <w:rFonts w:ascii="Arial" w:cs="Arial" w:eastAsia="Arial" w:hAnsi="Arial"/>
          <w:sz w:val="18"/>
          <w:szCs w:val="18"/>
          <w:color w:val="auto"/>
        </w:rPr>
      </w:pPr>
    </w:p>
    <w:p>
      <w:pPr>
        <w:ind w:left="1760" w:hanging="1058"/>
        <w:spacing w:after="0"/>
        <w:tabs>
          <w:tab w:leader="none" w:pos="1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Plan, which became effective on</w:t>
      </w:r>
    </w:p>
    <w:p>
      <w:pPr>
        <w:ind w:left="920" w:firstLine="789"/>
        <w:spacing w:after="0" w:line="236" w:lineRule="auto"/>
        <w:tabs>
          <w:tab w:leader="none" w:pos="1811" w:val="left"/>
        </w:tabs>
        <w:numPr>
          <w:ilvl w:val="1"/>
          <w:numId w:val="40"/>
        </w:numPr>
        <w:rPr>
          <w:rFonts w:ascii="Arial" w:cs="Arial" w:eastAsia="Arial" w:hAnsi="Arial"/>
          <w:sz w:val="18"/>
          <w:szCs w:val="18"/>
          <w:color w:val="auto"/>
        </w:rPr>
      </w:pPr>
      <w:r>
        <w:rPr>
          <w:rFonts w:ascii="Arial" w:cs="Arial" w:eastAsia="Arial" w:hAnsi="Arial"/>
          <w:sz w:val="18"/>
          <w:szCs w:val="18"/>
          <w:color w:val="auto"/>
        </w:rPr>
        <w:t>2021, as well as any future increases, including annual automatic evergreen increases, in the number of shares of Class A common stock reserved for issuance under our 2021 Plan and any shares underlying outstanding stock awards granted under our 2012 Plan that expire or are repurchased, forfeited, cancelled or withheld, as more fully described in the section titled “Executive Compensation—Equity Incentive Plans”.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320" w:top="456" w:right="5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30"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of Class A common stock immediately after this offering.</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historical net tangible book value (deficit) as of March 31, 2021 was $(122.8) million, or $(14.90) per share. Our pro forma net</w:t>
      </w:r>
    </w:p>
    <w:p>
      <w:pPr>
        <w:ind w:left="160" w:right="220"/>
        <w:spacing w:after="0" w:line="235" w:lineRule="auto"/>
        <w:rPr>
          <w:sz w:val="20"/>
          <w:szCs w:val="20"/>
          <w:color w:val="auto"/>
        </w:rPr>
      </w:pPr>
      <w:r>
        <w:rPr>
          <w:rFonts w:ascii="Arial" w:cs="Arial" w:eastAsia="Arial" w:hAnsi="Arial"/>
          <w:sz w:val="18"/>
          <w:szCs w:val="18"/>
          <w:color w:val="auto"/>
        </w:rPr>
        <w:t>tangible book value as of March 31, 2021 was $ million, or $ per share. Pro forma net tangible book value per share represents the amount of our total tangible assets less our total liabilities, divided by the number of our shares of common stock outstanding as of March 31, 2021, after giving effect to the automatic conversion of all outstanding shares of preferred stock into an aggregate of 27,758,941 shares of Class A common stock in connection with this offering and the exchange of certain shares of Class A common stock held by our co-founders for shares of Class B common stock.</w:t>
      </w:r>
    </w:p>
    <w:p>
      <w:pPr>
        <w:spacing w:after="0" w:line="204" w:lineRule="exact"/>
        <w:rPr>
          <w:sz w:val="20"/>
          <w:szCs w:val="20"/>
          <w:color w:val="auto"/>
        </w:rPr>
      </w:pPr>
    </w:p>
    <w:p>
      <w:pPr>
        <w:ind w:left="160" w:right="240" w:firstLine="546"/>
        <w:spacing w:after="0" w:line="232" w:lineRule="auto"/>
        <w:rPr>
          <w:sz w:val="20"/>
          <w:szCs w:val="20"/>
          <w:color w:val="auto"/>
        </w:rPr>
      </w:pPr>
      <w:r>
        <w:rPr>
          <w:rFonts w:ascii="Arial" w:cs="Arial" w:eastAsia="Arial" w:hAnsi="Arial"/>
          <w:sz w:val="18"/>
          <w:szCs w:val="18"/>
          <w:color w:val="auto"/>
        </w:rPr>
        <w:t>After giving effect to the sale by us of shares of Class A common stock in this offering at an assumed initial public offering price of $ per share, the midpoint of the estimated price range set forth on the cover page of this prospectus, and after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deducting estimated underwriting discounts and commissions and estimated offering expenses, our pro forma as adjusted net tangible</w:t>
      </w:r>
    </w:p>
    <w:p>
      <w:pPr>
        <w:spacing w:after="0" w:line="200" w:lineRule="exact"/>
        <w:rPr>
          <w:sz w:val="20"/>
          <w:szCs w:val="20"/>
          <w:color w:val="auto"/>
        </w:rPr>
      </w:pPr>
    </w:p>
    <w:p>
      <w:pPr>
        <w:spacing w:after="0" w:line="208" w:lineRule="exact"/>
        <w:rPr>
          <w:sz w:val="20"/>
          <w:szCs w:val="20"/>
          <w:color w:val="auto"/>
        </w:rPr>
      </w:pPr>
    </w:p>
    <w:p>
      <w:pPr>
        <w:ind w:left="160" w:right="20"/>
        <w:spacing w:after="0" w:line="232" w:lineRule="auto"/>
        <w:rPr>
          <w:sz w:val="20"/>
          <w:szCs w:val="20"/>
          <w:color w:val="auto"/>
        </w:rPr>
      </w:pPr>
      <w:r>
        <w:rPr>
          <w:rFonts w:ascii="Arial" w:cs="Arial" w:eastAsia="Arial" w:hAnsi="Arial"/>
          <w:sz w:val="18"/>
          <w:szCs w:val="18"/>
          <w:color w:val="auto"/>
        </w:rPr>
        <w:t>book value as of March 31, 2021 would have been $ million, or $ per share. This amount represents an immediate increase in pro forma as adjusted net tangible book value of $ per share to our existing stockholders and an immediate dilution in pro forma as adjusted net tangible book value of $ per share to new investors purchasing Class A common stock in this offering.</w:t>
      </w:r>
    </w:p>
    <w:p>
      <w:pPr>
        <w:spacing w:after="0" w:line="2" w:lineRule="exact"/>
        <w:rPr>
          <w:sz w:val="20"/>
          <w:szCs w:val="20"/>
          <w:color w:val="auto"/>
        </w:rPr>
      </w:pPr>
    </w:p>
    <w:p>
      <w:pPr>
        <w:ind w:left="160" w:right="360"/>
        <w:spacing w:after="0" w:line="268" w:lineRule="auto"/>
        <w:rPr>
          <w:sz w:val="20"/>
          <w:szCs w:val="20"/>
          <w:color w:val="auto"/>
        </w:rPr>
      </w:pPr>
      <w:r>
        <w:rPr>
          <w:rFonts w:ascii="Arial" w:cs="Arial" w:eastAsia="Arial" w:hAnsi="Arial"/>
          <w:sz w:val="17"/>
          <w:szCs w:val="17"/>
          <w:color w:val="auto"/>
        </w:rPr>
        <w:t>We determine dilution by subtracting the pro forma as adjusted net tangible book value per share after this offering from the amount of cash that a new investor paid for a share of Class A common stock. The following table illustrates this dilution on a per share basis: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rPr>
              <w:t>Historical net tangible book (deficit) per share</w:t>
            </w:r>
          </w:p>
        </w:tc>
        <w:tc>
          <w:tcPr>
            <w:tcW w:w="520" w:type="dxa"/>
            <w:vAlign w:val="bottom"/>
          </w:tcPr>
          <w:p>
            <w:pPr>
              <w:spacing w:after="0"/>
              <w:rPr>
                <w:sz w:val="18"/>
                <w:szCs w:val="18"/>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(14.90)</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 forma net tangible book value per share</w:t>
            </w:r>
          </w:p>
        </w:tc>
        <w:tc>
          <w:tcPr>
            <w:tcW w:w="5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8460" w:type="dxa"/>
            <w:vAlign w:val="bottom"/>
          </w:tcPr>
          <w:p>
            <w:pPr>
              <w:ind w:left="340"/>
              <w:spacing w:after="0" w:line="200" w:lineRule="exact"/>
              <w:rPr>
                <w:sz w:val="20"/>
                <w:szCs w:val="20"/>
                <w:color w:val="auto"/>
              </w:rPr>
            </w:pPr>
            <w:r>
              <w:rPr>
                <w:rFonts w:ascii="Arial" w:cs="Arial" w:eastAsia="Arial" w:hAnsi="Arial"/>
                <w:sz w:val="18"/>
                <w:szCs w:val="18"/>
                <w:color w:val="auto"/>
              </w:rPr>
              <w:t>Increase in pro forma as adjusted net tangible book value per share attributable to new investors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8460" w:type="dxa"/>
            <w:vAlign w:val="bottom"/>
          </w:tcPr>
          <w:p>
            <w:pPr>
              <w:ind w:left="520"/>
              <w:spacing w:after="0" w:line="201" w:lineRule="exact"/>
              <w:rPr>
                <w:sz w:val="20"/>
                <w:szCs w:val="20"/>
                <w:color w:val="auto"/>
              </w:rPr>
            </w:pPr>
            <w:r>
              <w:rPr>
                <w:rFonts w:ascii="Arial" w:cs="Arial" w:eastAsia="Arial" w:hAnsi="Arial"/>
                <w:sz w:val="18"/>
                <w:szCs w:val="18"/>
                <w:color w:val="auto"/>
              </w:rPr>
              <w:t>purchasing shares in this offering</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8480" w:type="dxa"/>
            <w:vAlign w:val="bottom"/>
            <w:gridSpan w:val="2"/>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 terms of this offering.</w:t>
      </w:r>
    </w:p>
    <w:p>
      <w:pPr>
        <w:spacing w:after="0" w:line="203" w:lineRule="exact"/>
        <w:rPr>
          <w:sz w:val="20"/>
          <w:szCs w:val="20"/>
          <w:color w:val="auto"/>
        </w:rPr>
      </w:pPr>
    </w:p>
    <w:p>
      <w:pPr>
        <w:ind w:left="160" w:right="100" w:firstLine="546"/>
        <w:spacing w:after="0" w:line="232" w:lineRule="auto"/>
        <w:rPr>
          <w:sz w:val="20"/>
          <w:szCs w:val="20"/>
          <w:color w:val="auto"/>
        </w:rPr>
      </w:pPr>
      <w:r>
        <w:rPr>
          <w:rFonts w:ascii="Arial" w:cs="Arial" w:eastAsia="Arial" w:hAnsi="Arial"/>
          <w:sz w:val="18"/>
          <w:szCs w:val="18"/>
          <w:color w:val="auto"/>
        </w:rPr>
        <w:t>A $1.00 increase (decrease) in the assumed initial public offering price of $ per share of Class A common stock, the midpoint of the estimated price range set forth on the cover page of this prospectus, would increase (decrease) our pro forma as adjusted</w:t>
      </w:r>
    </w:p>
    <w:p>
      <w:pPr>
        <w:ind w:left="160"/>
        <w:spacing w:after="0"/>
        <w:tabs>
          <w:tab w:leader="none" w:pos="5340" w:val="left"/>
        </w:tabs>
        <w:rPr>
          <w:sz w:val="20"/>
          <w:szCs w:val="20"/>
          <w:color w:val="auto"/>
        </w:rPr>
      </w:pPr>
      <w:r>
        <w:rPr>
          <w:rFonts w:ascii="Arial" w:cs="Arial" w:eastAsia="Arial" w:hAnsi="Arial"/>
          <w:sz w:val="18"/>
          <w:szCs w:val="18"/>
          <w:color w:val="auto"/>
        </w:rPr>
        <w:t>net tangible book value per share after this offering by $</w:t>
      </w:r>
      <w:r>
        <w:rPr>
          <w:sz w:val="20"/>
          <w:szCs w:val="20"/>
          <w:color w:val="auto"/>
        </w:rPr>
        <w:tab/>
      </w:r>
      <w:r>
        <w:rPr>
          <w:rFonts w:ascii="Arial" w:cs="Arial" w:eastAsia="Arial" w:hAnsi="Arial"/>
          <w:sz w:val="17"/>
          <w:szCs w:val="17"/>
          <w:color w:val="auto"/>
        </w:rPr>
        <w:t>per share and increase (decrease) the dilution to new investors by</w:t>
      </w:r>
    </w:p>
    <w:p>
      <w:pPr>
        <w:spacing w:after="0" w:line="1" w:lineRule="exact"/>
        <w:rPr>
          <w:sz w:val="20"/>
          <w:szCs w:val="20"/>
          <w:color w:val="auto"/>
        </w:rPr>
      </w:pPr>
    </w:p>
    <w:p>
      <w:pPr>
        <w:ind w:left="160" w:right="40" w:firstLine="7"/>
        <w:spacing w:after="0" w:line="246" w:lineRule="auto"/>
        <w:tabs>
          <w:tab w:leader="none" w:pos="10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per share, in each case assuming the number of shares of Class A common stock offered by us, as set forth on the cover page of this prospectus, remains the same, and after deducting estimated underwriting discounts and commissions. Similarly, each increase or</w:t>
      </w:r>
    </w:p>
    <w:p>
      <w:pPr>
        <w:ind w:left="160"/>
        <w:spacing w:after="0"/>
        <w:rPr>
          <w:rFonts w:ascii="Arial" w:cs="Arial" w:eastAsia="Arial" w:hAnsi="Arial"/>
          <w:sz w:val="17"/>
          <w:szCs w:val="17"/>
          <w:color w:val="auto"/>
        </w:rPr>
      </w:pPr>
      <w:r>
        <w:rPr>
          <w:rFonts w:ascii="Arial" w:cs="Arial" w:eastAsia="Arial" w:hAnsi="Arial"/>
          <w:sz w:val="17"/>
          <w:szCs w:val="17"/>
          <w:color w:val="auto"/>
        </w:rPr>
        <w:t>decrease of 1,000,000 shares in the number of shares of Class A common stock offered by us would increase (decrease) our pro forma as</w:t>
      </w:r>
    </w:p>
    <w:p>
      <w:pPr>
        <w:spacing w:after="0" w:line="201" w:lineRule="exact"/>
        <w:rPr>
          <w:sz w:val="20"/>
          <w:szCs w:val="20"/>
          <w:color w:val="auto"/>
        </w:rPr>
      </w:pPr>
    </w:p>
    <w:p>
      <w:pPr>
        <w:ind w:left="160" w:right="340"/>
        <w:spacing w:after="0" w:line="232" w:lineRule="auto"/>
        <w:rPr>
          <w:sz w:val="20"/>
          <w:szCs w:val="20"/>
          <w:color w:val="auto"/>
        </w:rPr>
      </w:pPr>
      <w:r>
        <w:rPr>
          <w:rFonts w:ascii="Arial" w:cs="Arial" w:eastAsia="Arial" w:hAnsi="Arial"/>
          <w:sz w:val="18"/>
          <w:szCs w:val="18"/>
          <w:color w:val="auto"/>
        </w:rPr>
        <w:t>adjusted net tangible book value by approximately $ per share and decrease (increase) the dilution to new investors by approximately $ per share, in each case assuming the assumed initial public offering price of $ per share of Class A</w:t>
      </w:r>
    </w:p>
    <w:p>
      <w:pPr>
        <w:spacing w:after="0" w:line="1" w:lineRule="exact"/>
        <w:rPr>
          <w:sz w:val="20"/>
          <w:szCs w:val="20"/>
          <w:color w:val="auto"/>
        </w:rPr>
      </w:pPr>
    </w:p>
    <w:p>
      <w:pPr>
        <w:ind w:left="160" w:right="800"/>
        <w:spacing w:after="0" w:line="239" w:lineRule="auto"/>
        <w:rPr>
          <w:sz w:val="20"/>
          <w:szCs w:val="20"/>
          <w:color w:val="auto"/>
        </w:rPr>
      </w:pPr>
      <w:r>
        <w:rPr>
          <w:rFonts w:ascii="Arial" w:cs="Arial" w:eastAsia="Arial" w:hAnsi="Arial"/>
          <w:sz w:val="18"/>
          <w:szCs w:val="18"/>
          <w:color w:val="auto"/>
        </w:rPr>
        <w:t>common stock remains the same, and after deducting estimated underwriting discounts and commissions and estimated offering expenses.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the underwriters exercise their option to purchase additional shares of Class A common stock in full, the pro forma net tangible</w:t>
      </w:r>
    </w:p>
    <w:p>
      <w:pPr>
        <w:jc w:val="both"/>
        <w:ind w:left="160" w:right="220"/>
        <w:spacing w:after="0" w:line="239" w:lineRule="auto"/>
        <w:rPr>
          <w:sz w:val="20"/>
          <w:szCs w:val="20"/>
          <w:color w:val="auto"/>
        </w:rPr>
      </w:pPr>
      <w:r>
        <w:rPr>
          <w:rFonts w:ascii="Arial" w:cs="Arial" w:eastAsia="Arial" w:hAnsi="Arial"/>
          <w:sz w:val="18"/>
          <w:szCs w:val="18"/>
          <w:color w:val="auto"/>
        </w:rPr>
        <w:t>book value per share, as adjusted to give effect to this offering, would be $ per share, and the dilution in pro forma net tangible book value per share to investors in this offering would be $ per share.</w:t>
      </w:r>
    </w:p>
    <w:p>
      <w:pPr>
        <w:spacing w:after="0" w:line="203" w:lineRule="exact"/>
        <w:rPr>
          <w:sz w:val="20"/>
          <w:szCs w:val="20"/>
          <w:color w:val="auto"/>
        </w:rPr>
      </w:pPr>
    </w:p>
    <w:p>
      <w:pPr>
        <w:ind w:left="160" w:right="40" w:firstLine="546"/>
        <w:spacing w:after="0" w:line="246" w:lineRule="auto"/>
        <w:rPr>
          <w:sz w:val="20"/>
          <w:szCs w:val="20"/>
          <w:color w:val="auto"/>
        </w:rPr>
      </w:pPr>
      <w:r>
        <w:rPr>
          <w:rFonts w:ascii="Arial" w:cs="Arial" w:eastAsia="Arial" w:hAnsi="Arial"/>
          <w:sz w:val="17"/>
          <w:szCs w:val="17"/>
          <w:color w:val="auto"/>
        </w:rPr>
        <w:t>The following table summarizes, as of March 31, 2021, on a pro forma as adjusted basis as described above, the number of shares of our common stock, the total consideration and the average price per share (1) paid to us by existing stockholders, and (2) to be paid by</w:t>
      </w:r>
    </w:p>
    <w:p>
      <w:pPr>
        <w:jc w:val="both"/>
        <w:ind w:left="160" w:right="220"/>
        <w:spacing w:after="0" w:line="237" w:lineRule="auto"/>
        <w:rPr>
          <w:sz w:val="20"/>
          <w:szCs w:val="20"/>
          <w:color w:val="auto"/>
        </w:rPr>
      </w:pPr>
      <w:r>
        <w:rPr>
          <w:rFonts w:ascii="Arial" w:cs="Arial" w:eastAsia="Arial" w:hAnsi="Arial"/>
          <w:sz w:val="18"/>
          <w:szCs w:val="18"/>
          <w:color w:val="auto"/>
        </w:rPr>
        <w:t>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2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 Price</w:t>
            </w:r>
          </w:p>
        </w:tc>
      </w:t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Total Consideration</w:t>
            </w:r>
          </w:p>
        </w:tc>
        <w:tc>
          <w:tcPr>
            <w:tcW w:w="5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60" w:type="dxa"/>
            <w:vAlign w:val="bottom"/>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2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Number</w:t>
            </w:r>
          </w:p>
        </w:tc>
        <w:tc>
          <w:tcPr>
            <w:tcW w:w="660" w:type="dxa"/>
            <w:vAlign w:val="bottom"/>
            <w:gridSpan w:val="2"/>
          </w:tcPr>
          <w:p>
            <w:pPr>
              <w:jc w:val="right"/>
              <w:ind w:right="71"/>
              <w:spacing w:after="0" w:line="154" w:lineRule="exact"/>
              <w:rPr>
                <w:sz w:val="20"/>
                <w:szCs w:val="20"/>
                <w:color w:val="auto"/>
              </w:rPr>
            </w:pPr>
            <w:r>
              <w:rPr>
                <w:rFonts w:ascii="Arial" w:cs="Arial" w:eastAsia="Arial" w:hAnsi="Arial"/>
                <w:sz w:val="14"/>
                <w:szCs w:val="14"/>
                <w:color w:val="auto"/>
                <w:w w:val="99"/>
              </w:rPr>
              <w:t>Percent</w:t>
            </w:r>
          </w:p>
        </w:tc>
        <w:tc>
          <w:tcPr>
            <w:tcW w:w="360" w:type="dxa"/>
            <w:vAlign w:val="bottom"/>
          </w:tcPr>
          <w:p>
            <w:pPr>
              <w:spacing w:after="0"/>
              <w:rPr>
                <w:sz w:val="13"/>
                <w:szCs w:val="13"/>
                <w:color w:val="auto"/>
              </w:rPr>
            </w:pPr>
          </w:p>
        </w:tc>
        <w:tc>
          <w:tcPr>
            <w:tcW w:w="640" w:type="dxa"/>
            <w:vAlign w:val="bottom"/>
          </w:tcPr>
          <w:p>
            <w:pPr>
              <w:ind w:left="80"/>
              <w:spacing w:after="0" w:line="154"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3"/>
                <w:szCs w:val="13"/>
                <w:color w:val="auto"/>
              </w:rPr>
            </w:pPr>
          </w:p>
        </w:tc>
        <w:tc>
          <w:tcPr>
            <w:tcW w:w="1040" w:type="dxa"/>
            <w:vAlign w:val="bottom"/>
            <w:gridSpan w:val="2"/>
          </w:tcPr>
          <w:p>
            <w:pPr>
              <w:jc w:val="right"/>
              <w:ind w:right="431"/>
              <w:spacing w:after="0" w:line="154" w:lineRule="exact"/>
              <w:rPr>
                <w:sz w:val="20"/>
                <w:szCs w:val="20"/>
                <w:color w:val="auto"/>
              </w:rPr>
            </w:pPr>
            <w:r>
              <w:rPr>
                <w:rFonts w:ascii="Arial" w:cs="Arial" w:eastAsia="Arial" w:hAnsi="Arial"/>
                <w:sz w:val="14"/>
                <w:szCs w:val="14"/>
                <w:color w:val="auto"/>
              </w:rPr>
              <w:t>Percent</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58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Existing stockholders</w:t>
            </w: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87"/>
              </w:rPr>
              <w:t>%</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jc w:val="right"/>
              <w:ind w:right="271"/>
              <w:spacing w:after="0" w:line="194"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CCEEFF"/>
            </w:tcBorders>
            <w:shd w:val="clear" w:color="auto" w:fill="CCEEFF"/>
          </w:tcPr>
          <w:p>
            <w:pPr>
              <w:jc w:val="right"/>
              <w:ind w:right="703"/>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rPr>
              <w:t>New investors</w:t>
            </w:r>
          </w:p>
        </w:tc>
        <w:tc>
          <w:tcPr>
            <w:tcW w:w="6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Totals</w:t>
            </w: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429"/>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71"/>
              <w:spacing w:after="0" w:line="201" w:lineRule="exact"/>
              <w:rPr>
                <w:sz w:val="20"/>
                <w:szCs w:val="20"/>
                <w:color w:val="auto"/>
              </w:rPr>
            </w:pPr>
            <w:r>
              <w:rPr>
                <w:rFonts w:ascii="Arial" w:cs="Arial" w:eastAsia="Arial" w:hAnsi="Arial"/>
                <w:sz w:val="18"/>
                <w:szCs w:val="18"/>
                <w:color w:val="auto"/>
              </w:rPr>
              <w:t>100.0%</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6840" w:type="dxa"/>
            <w:vAlign w:val="bottom"/>
            <w:gridSpan w:val="3"/>
          </w:tcPr>
          <w:p>
            <w:pPr>
              <w:ind w:left="540"/>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8"/>
                <w:szCs w:val="18"/>
                <w:color w:val="auto"/>
              </w:rPr>
              <w:t>per share, the midpoint of the estimated</w:t>
            </w:r>
          </w:p>
        </w:tc>
      </w:tr>
    </w:tbl>
    <w:p>
      <w:pPr>
        <w:ind w:left="160"/>
        <w:spacing w:after="0" w:line="232" w:lineRule="auto"/>
        <w:rPr>
          <w:sz w:val="20"/>
          <w:szCs w:val="20"/>
          <w:color w:val="auto"/>
        </w:rPr>
      </w:pPr>
      <w:r>
        <w:rPr>
          <w:rFonts w:ascii="Arial" w:cs="Arial" w:eastAsia="Arial" w:hAnsi="Arial"/>
          <w:sz w:val="18"/>
          <w:szCs w:val="18"/>
          <w:color w:val="auto"/>
        </w:rPr>
        <w:t>price range set forth on the cover page of this prospectus, would increase (decrease) the total consideration paid by new investors and</w:t>
      </w:r>
    </w:p>
    <w:p>
      <w:pPr>
        <w:spacing w:after="0" w:line="1"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total consideration paid by all stockholders by approximately $ million, assuming that the number of shares of Class A common stock offered by us, as set forth on the cover page of this prospectus, remains the same and after deducting estimated underwriting discounts and commissions and estimated offering expenses.</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w:t>
      </w:r>
    </w:p>
    <w:p>
      <w:pPr>
        <w:ind w:left="960"/>
        <w:spacing w:after="0"/>
        <w:tabs>
          <w:tab w:leader="none" w:pos="4720" w:val="left"/>
        </w:tabs>
        <w:rPr>
          <w:sz w:val="20"/>
          <w:szCs w:val="20"/>
          <w:color w:val="auto"/>
        </w:rPr>
      </w:pPr>
      <w:r>
        <w:rPr>
          <w:rFonts w:ascii="Arial" w:cs="Arial" w:eastAsia="Arial" w:hAnsi="Arial"/>
          <w:sz w:val="18"/>
          <w:szCs w:val="18"/>
          <w:color w:val="auto"/>
        </w:rPr>
        <w:t>shares of Class A common stock and</w:t>
      </w:r>
      <w:r>
        <w:rPr>
          <w:sz w:val="20"/>
          <w:szCs w:val="20"/>
          <w:color w:val="auto"/>
        </w:rPr>
        <w:tab/>
      </w:r>
      <w:r>
        <w:rPr>
          <w:rFonts w:ascii="Arial" w:cs="Arial" w:eastAsia="Arial" w:hAnsi="Arial"/>
          <w:sz w:val="17"/>
          <w:szCs w:val="17"/>
          <w:color w:val="auto"/>
        </w:rPr>
        <w:t>shares of Class B common stock outstanding as of March 31, 2021 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excludes:</w:t>
      </w:r>
    </w:p>
    <w:p>
      <w:pPr>
        <w:spacing w:after="0" w:line="114" w:lineRule="exact"/>
        <w:rPr>
          <w:sz w:val="20"/>
          <w:szCs w:val="20"/>
          <w:color w:val="auto"/>
        </w:rPr>
      </w:pPr>
    </w:p>
    <w:p>
      <w:pPr>
        <w:ind w:left="920" w:right="280" w:hanging="218"/>
        <w:spacing w:after="0" w:line="239"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Plan with a weighted-average exercise price of $3.43 per share;</w:t>
      </w:r>
    </w:p>
    <w:p>
      <w:pPr>
        <w:spacing w:after="0" w:line="102" w:lineRule="exact"/>
        <w:rPr>
          <w:rFonts w:ascii="Arial" w:cs="Arial" w:eastAsia="Arial" w:hAnsi="Arial"/>
          <w:sz w:val="18"/>
          <w:szCs w:val="18"/>
          <w:color w:val="auto"/>
        </w:rPr>
      </w:pPr>
    </w:p>
    <w:p>
      <w:pPr>
        <w:ind w:left="1520" w:hanging="818"/>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Class A common stock issuable on the exercise of outstanding stock options issued after March 31, 2021</w:t>
      </w:r>
    </w:p>
    <w:p>
      <w:pPr>
        <w:ind w:left="920"/>
        <w:spacing w:after="0"/>
        <w:tabs>
          <w:tab w:leader="none" w:pos="7260" w:val="left"/>
        </w:tabs>
        <w:rPr>
          <w:sz w:val="20"/>
          <w:szCs w:val="20"/>
          <w:color w:val="auto"/>
        </w:rPr>
      </w:pPr>
      <w:r>
        <w:rPr>
          <w:rFonts w:ascii="Arial" w:cs="Arial" w:eastAsia="Arial" w:hAnsi="Arial"/>
          <w:sz w:val="18"/>
          <w:szCs w:val="18"/>
          <w:color w:val="auto"/>
        </w:rPr>
        <w:t>pursuant to our 2016 Plan with a weighted-average exercise price of $</w:t>
      </w:r>
      <w:r>
        <w:rPr>
          <w:sz w:val="20"/>
          <w:szCs w:val="20"/>
          <w:color w:val="auto"/>
        </w:rPr>
        <w:tab/>
      </w:r>
      <w:r>
        <w:rPr>
          <w:rFonts w:ascii="Arial" w:cs="Arial" w:eastAsia="Arial" w:hAnsi="Arial"/>
          <w:sz w:val="18"/>
          <w:szCs w:val="18"/>
          <w:color w:val="auto"/>
        </w:rPr>
        <w:t>per share;</w:t>
      </w:r>
    </w:p>
    <w:p>
      <w:pPr>
        <w:spacing w:after="0" w:line="114" w:lineRule="exact"/>
        <w:rPr>
          <w:sz w:val="20"/>
          <w:szCs w:val="20"/>
          <w:color w:val="auto"/>
        </w:rPr>
      </w:pPr>
    </w:p>
    <w:p>
      <w:pPr>
        <w:ind w:left="920" w:right="780" w:hanging="218"/>
        <w:spacing w:after="0" w:line="239"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112,026 shares of Class A common stock issuable on the exercise of warrants outstanding as of March 31, 2021 with a weighted-average exercise price of $4.37 per share; and</w:t>
      </w:r>
    </w:p>
    <w:p>
      <w:pPr>
        <w:spacing w:after="0" w:line="102" w:lineRule="exact"/>
        <w:rPr>
          <w:rFonts w:ascii="Arial" w:cs="Arial" w:eastAsia="Arial" w:hAnsi="Arial"/>
          <w:sz w:val="18"/>
          <w:szCs w:val="18"/>
          <w:color w:val="auto"/>
        </w:rPr>
      </w:pPr>
    </w:p>
    <w:p>
      <w:pPr>
        <w:ind w:left="1760" w:hanging="1058"/>
        <w:spacing w:after="0"/>
        <w:tabs>
          <w:tab w:leader="none" w:pos="1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Plan, which became effective on</w:t>
      </w:r>
    </w:p>
    <w:p>
      <w:pPr>
        <w:ind w:left="920" w:right="80" w:firstLine="789"/>
        <w:spacing w:after="0" w:line="236" w:lineRule="auto"/>
        <w:tabs>
          <w:tab w:leader="none" w:pos="1811" w:val="left"/>
        </w:tabs>
        <w:numPr>
          <w:ilvl w:val="1"/>
          <w:numId w:val="43"/>
        </w:numPr>
        <w:rPr>
          <w:rFonts w:ascii="Arial" w:cs="Arial" w:eastAsia="Arial" w:hAnsi="Arial"/>
          <w:sz w:val="18"/>
          <w:szCs w:val="18"/>
          <w:color w:val="auto"/>
        </w:rPr>
      </w:pPr>
      <w:r>
        <w:rPr>
          <w:rFonts w:ascii="Arial" w:cs="Arial" w:eastAsia="Arial" w:hAnsi="Arial"/>
          <w:sz w:val="18"/>
          <w:szCs w:val="18"/>
          <w:color w:val="auto"/>
        </w:rPr>
        <w:t>2021, as well as any future increases, including annual automatic evergreen increases, in the number of shares of Class A common stock reserved for issuance under our 2019 Plan and any shares underlying outstanding stock awards granted under our 2016 Plan that expire or are repurchased, forfeited, cancelled or withheld, as more fully described in the section titled “Executive Compensation—Equity Incentive Plans”.</w:t>
      </w:r>
    </w:p>
    <w:p>
      <w:pPr>
        <w:spacing w:after="0" w:line="202" w:lineRule="exact"/>
        <w:rPr>
          <w:sz w:val="20"/>
          <w:szCs w:val="20"/>
          <w:color w:val="auto"/>
        </w:rPr>
      </w:pPr>
    </w:p>
    <w:p>
      <w:pPr>
        <w:ind w:left="160" w:right="160" w:firstLine="546"/>
        <w:spacing w:after="0" w:line="232" w:lineRule="auto"/>
        <w:rPr>
          <w:sz w:val="20"/>
          <w:szCs w:val="20"/>
          <w:color w:val="auto"/>
        </w:rPr>
      </w:pPr>
      <w:r>
        <w:rPr>
          <w:rFonts w:ascii="Arial" w:cs="Arial" w:eastAsia="Arial" w:hAnsi="Arial"/>
          <w:sz w:val="18"/>
          <w:szCs w:val="18"/>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 If all outstanding options under our 2016 Plan as of March 31, 2021 were exercised or settled, then our existing stockholders, including the</w:t>
      </w:r>
    </w:p>
    <w:p>
      <w:pPr>
        <w:spacing w:after="0" w:line="2" w:lineRule="exact"/>
        <w:rPr>
          <w:sz w:val="20"/>
          <w:szCs w:val="20"/>
          <w:color w:val="auto"/>
        </w:rPr>
      </w:pPr>
    </w:p>
    <w:p>
      <w:pPr>
        <w:ind w:left="160" w:right="560"/>
        <w:spacing w:after="0" w:line="239" w:lineRule="auto"/>
        <w:rPr>
          <w:sz w:val="20"/>
          <w:szCs w:val="20"/>
          <w:color w:val="auto"/>
        </w:rPr>
      </w:pPr>
      <w:r>
        <w:rPr>
          <w:rFonts w:ascii="Arial" w:cs="Arial" w:eastAsia="Arial" w:hAnsi="Arial"/>
          <w:sz w:val="18"/>
          <w:szCs w:val="18"/>
          <w:color w:val="auto"/>
        </w:rPr>
        <w:t>holders of these options, would own % and our new investors would own % of the total number of shares of our common stock outstanding on the completion of this offering.</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2"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i w:val="1"/>
          <w:iCs w:val="1"/>
          <w:color w:val="auto"/>
        </w:rPr>
        <w:t>The following discussion and analysis summarizes the significant factors affecting the operating results, financial condition, liquidity, and cash flows of our company as of and for the periods presented below. The following discussion and analysis should be read in conjunction with our financial statements and the related notes thereto included elsewhere in this prospectus.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prospectus, particularly in the sections entitled “Risk Factors” and “Special Note Regarding Forward-Looking Statements.”</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Overview</w:t>
      </w:r>
    </w:p>
    <w:p>
      <w:pPr>
        <w:spacing w:after="0" w:line="230"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who have been approved by us to either manufacture a product on our platform for a buyer or have utilized our seller services, including our financial services or the purchase of supplies.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Our revenue is generated by the sale of part(s) and assemblies to our customers. The sellers on our platform offer a diversified mix of manufacturing processes. These manufacturing processes include CNC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 We enable buyers to source these processes to meet complex and specific design and order needs across several industries, including Aerospace and Defense, Healthcare, Automotive, Consumer Goods, Industrial, Robotics, Government, and Education.</w:t>
      </w:r>
    </w:p>
    <w:p>
      <w:pPr>
        <w:spacing w:after="0" w:line="206" w:lineRule="exact"/>
        <w:rPr>
          <w:sz w:val="20"/>
          <w:szCs w:val="20"/>
          <w:color w:val="auto"/>
        </w:rPr>
      </w:pPr>
    </w:p>
    <w:p>
      <w:pPr>
        <w:jc w:val="both"/>
        <w:ind w:left="160" w:right="280" w:firstLine="546"/>
        <w:spacing w:after="0" w:line="236" w:lineRule="auto"/>
        <w:rPr>
          <w:sz w:val="20"/>
          <w:szCs w:val="20"/>
          <w:color w:val="auto"/>
        </w:rPr>
      </w:pPr>
      <w:r>
        <w:rPr>
          <w:rFonts w:ascii="Arial" w:cs="Arial" w:eastAsia="Arial" w:hAnsi="Arial"/>
          <w:sz w:val="18"/>
          <w:szCs w:val="18"/>
          <w:color w:val="auto"/>
        </w:rPr>
        <w:t>In addition, in mid-2020 we launched a suite of financial products and services to help our sellers better manage cash flow at all stages of job production from which we have generated a marginal amount of revenue to date. Our financial services products, such as Xometry Pay, enable sellers to stabilize and enhance their cash flows, supply discounts that allow sellers to lower their operating costs, and resource management tools to optimize their businesses.</w:t>
      </w:r>
    </w:p>
    <w:p>
      <w:pPr>
        <w:spacing w:after="0" w:line="202"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Geographically, substantially all of our revenue has been generated from sales to buyers and sellers in the United States, with over 95% of our revenue in each of 2019 and 2020 generated from buyers and sellers located in the United States. However, in 2020, we had sales to customers in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51 countries. As we add accounts, buyers and sellers in additional countries, the geographic mix of our revenue could change over time. We have expanded our European base of operations, headquartered in Germany, and have made significant investments in growing our network of European buyers and sellers. In addition, we currently have a small team in China that is managing our manufacturing network in that region. We expect to make significant investments in growing that team, as the Asia-Pacific region is an important opportunity for the growth of our marketplace.</w:t>
      </w:r>
    </w:p>
    <w:p>
      <w:pPr>
        <w:spacing w:after="0" w:line="204"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Our business benefits from a virtuous network liquidity effect, because adding buyers to our platform generates greater demand on our marketplace which in turn attracts more sellers to the platform, allowing us to rapidly scale and increase the number of manufacturing processes offered on our platform. In order to continue to meet the needs of buyers and remain highly competitive, we expect to continue to add sellers to our platform that have new and innovative manufacturing processes. Thus, our platform is unbounded by the in-house manufacturing capacity and processes of our current sellers. For the year ended December 31, 2020, we had one significant account, ClearMask, which accounted for approximately 11% of our revenue. Our revenue is well diversified across our buyers, with no other account contributing more than 10% of revenue in the year ended December 31, 2020 or 2019.</w:t>
      </w:r>
    </w:p>
    <w:p>
      <w:pPr>
        <w:spacing w:after="0" w:line="206" w:lineRule="exact"/>
        <w:rPr>
          <w:sz w:val="20"/>
          <w:szCs w:val="20"/>
          <w:color w:val="auto"/>
        </w:rPr>
      </w:pPr>
    </w:p>
    <w:p>
      <w:pPr>
        <w:ind w:left="160" w:right="660" w:firstLine="546"/>
        <w:spacing w:after="0" w:line="239" w:lineRule="auto"/>
        <w:rPr>
          <w:sz w:val="20"/>
          <w:szCs w:val="20"/>
          <w:color w:val="auto"/>
        </w:rPr>
      </w:pPr>
      <w:r>
        <w:rPr>
          <w:rFonts w:ascii="Arial" w:cs="Arial" w:eastAsia="Arial" w:hAnsi="Arial"/>
          <w:sz w:val="18"/>
          <w:szCs w:val="18"/>
          <w:color w:val="auto"/>
        </w:rPr>
        <w:t>During the quarters ended March 31, 2021 and 2020, no one customer accounted for more than 10% of our revenue. As of March 31, 2021, one customer accounted for approximately 10% of our accounts receivable.</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generated revenue of $38.4 million in 2018, $80.2 million in 2019, and $141.4 million in 2020, representing year-over-year growth of 109% in 2019 and 76% in 2020. Our revenue growth has been driven primarily by increased buyer activity on our platform. Our gross profit was $6.5 million in 2018, $14.7 million in 2019, and $33.3 million in 2020, representing an 17% gross margin in 2018, 18% gross margin in 2019, and 24% gross margin in 2020. Our net losses were $20.1 million in 2018, $31.0 million in 2019 and $31.1 million in 2020.</w:t>
      </w:r>
    </w:p>
    <w:p>
      <w:pPr>
        <w:spacing w:after="0" w:line="204"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year-over-year growth of 65%. Our gross profit for the quarters ended March 31, 2021 and 2020, was $ 9.8 million and $5.4 million, respectively, representing a 22% gross margin for the quarter ended March 31, 2021, as compared to a 20% gross margin for the quarter ended March 31, 2020. Our net loss for the quarters ended March 31, 2021 and 2020, was $10.5 million and $8.6 million, respectively.</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History</w:t>
      </w:r>
    </w:p>
    <w:p>
      <w:pPr>
        <w:spacing w:after="0" w:line="230"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Xometry was founded in 2013 in Gaithersburg, Maryland to solve what we believe are two core problems in the manufacturing industry. For buyers around the world, sourcing the optimal manufacturing solution for their needs is time-consuming, costly and opaque. For sellers, significant human and capital resources are dedicated to sourcing and developing business and improving cash flow and workflow management. By building and deploying our AI technology and emphasizing our unyielding commitment to an excellent experience for our buyers and sellers, we have been able to substantially grow the number of buyers and sellers on our platform and our related revenue.</w:t>
      </w:r>
    </w:p>
    <w:p>
      <w:pPr>
        <w:spacing w:after="0" w:line="202"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We received our first angel investment in 2013 and completed our first transaction in January 2014, which was a 3D printed part. Since then, we focused on expanding our platform to include new manufacturing processes like sheet metal and injection molding in 2017 and geographies like Europe in 2019. We achieved business performance milestones including our first month of greater than $1.0 million in revenue in March 2017 and our first year of greater than $100.0 million revenue in 2020.</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56"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420" w:firstLine="546"/>
        <w:spacing w:after="0" w:line="237" w:lineRule="auto"/>
        <w:rPr>
          <w:sz w:val="20"/>
          <w:szCs w:val="20"/>
          <w:color w:val="auto"/>
        </w:rPr>
      </w:pPr>
      <w:r>
        <w:rPr>
          <w:rFonts w:ascii="Arial" w:cs="Arial" w:eastAsia="Arial" w:hAnsi="Arial"/>
          <w:sz w:val="18"/>
          <w:szCs w:val="18"/>
          <w:color w:val="auto"/>
        </w:rPr>
        <w:t>Since our first transaction in January 2014, our platform has experienced significant growth. From inception through March 31, 2021, we have enabled the production of more than 6.0 million parts on our marketplace. In addition, we have achieved a number of significant milestones since inception,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-6350</wp:posOffset>
            </wp:positionV>
            <wp:extent cx="5137785" cy="2692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37785" cy="269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Business Model</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generate the majority of our revenue from the prices we charge our buyers on our platform. Beginning with an engineering schematic that contains 3D design specifications, typically a computer-aided design, or a CAD file, uploaded by the buyer, transactions are instantly priced by our AI-enabled instant quoting engine based on volume, manufacturing process and material. Once we commit to fulfill the buyer’s manufacturing order, we utilize our platform to offer the opportunity to one or more of our sellers.</w:t>
      </w:r>
    </w:p>
    <w:p>
      <w:pPr>
        <w:spacing w:after="0" w:line="202"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the seller more than anticipated to manufacture the order. We record the gross amount of revenue from our buyers because of the following conditions of the sale: (i) we have the obligation to provide the products purchased on our platform to buyers, (ii) we have discretion with respect to establishing the price of the product and the price we pay our sellers, (iii) we have discretion to determine how to fulfil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 to Market</w:t>
      </w:r>
    </w:p>
    <w:p>
      <w:pPr>
        <w:spacing w:after="0" w:line="123" w:lineRule="exact"/>
        <w:rPr>
          <w:sz w:val="20"/>
          <w:szCs w:val="20"/>
          <w:color w:val="auto"/>
        </w:rPr>
      </w:pPr>
    </w:p>
    <w:p>
      <w:pPr>
        <w:jc w:val="both"/>
        <w:ind w:left="160" w:right="300" w:firstLine="546"/>
        <w:spacing w:after="0" w:line="257" w:lineRule="auto"/>
        <w:rPr>
          <w:sz w:val="20"/>
          <w:szCs w:val="20"/>
          <w:color w:val="auto"/>
        </w:rPr>
      </w:pPr>
      <w:r>
        <w:rPr>
          <w:rFonts w:ascii="Arial" w:cs="Arial" w:eastAsia="Arial" w:hAnsi="Arial"/>
          <w:sz w:val="17"/>
          <w:szCs w:val="17"/>
          <w:color w:val="auto"/>
        </w:rPr>
        <w:t>We primarily drive our account acquisition through digital marketing strategies. We drive buyer acquisition through our “land and expand” strategy, where we focus on bringing in new accounts and working directly with potential buyers inside those organizations to educate them on our breadth of capabilities. These buyers then may recommend our platform to other potential buyers within their</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organizations who design other end products and who may use an entirely different set of manufacturing processes, deepening our reach and stickiness with an account.</w:t>
      </w:r>
    </w:p>
    <w:p>
      <w:pPr>
        <w:spacing w:after="0" w:line="203" w:lineRule="exact"/>
        <w:rPr>
          <w:sz w:val="20"/>
          <w:szCs w:val="20"/>
          <w:color w:val="auto"/>
        </w:rPr>
      </w:pPr>
    </w:p>
    <w:p>
      <w:pPr>
        <w:ind w:left="160" w:right="200" w:firstLine="546"/>
        <w:spacing w:after="0" w:line="235" w:lineRule="auto"/>
        <w:rPr>
          <w:sz w:val="20"/>
          <w:szCs w:val="20"/>
          <w:color w:val="auto"/>
        </w:rPr>
      </w:pPr>
      <w:r>
        <w:rPr>
          <w:rFonts w:ascii="Arial" w:cs="Arial" w:eastAsia="Arial" w:hAnsi="Arial"/>
          <w:sz w:val="18"/>
          <w:szCs w:val="18"/>
          <w:color w:val="auto"/>
        </w:rPr>
        <w:t>Our organic buyer growth results from the embedded network effect of our marketplace model and our continued growth in brand awareness. We continue to diversify and strengthen our marketing capabilities and invest in data science technologies to enable us to acquire more accounts and buyers as well as increase the lifetime value of buyers that utilize our marketplace. In addition, while the majority of our marketing dollars historically have been spent on account and buyer acquisition, we intend to continue to expand our marketing strategies to include seller acquisition.</w:t>
      </w:r>
    </w:p>
    <w:p>
      <w:pPr>
        <w:spacing w:after="0" w:line="204"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The majority of our new buyers in both 2020 and 2019 came from our digital marketing efforts, direct sales initiatives and organic and direct sources, such as referrals by existing buyers, word-of-mouth and direct visits to our website. We view our ability to efficiently acquire buyers at scale as a differentiated competitive advantage and continuously seek to diversify our user acquisition investments through a variety of channels in a disciplined manner.</w:t>
      </w:r>
    </w:p>
    <w:p>
      <w:pPr>
        <w:spacing w:after="0" w:line="28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Ability to Cost-effectively Attract, Retain and Engage Buyers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order to grow our business, we must cost-effectively attract and retain buyers and increase their engagement with our platform over time. Our AI-driven ordering process enables efficient platform pricing though the continuous learning of our AI technology. As our AI technology learns buyer needs and preferences, it becomes more precise and efficient, driving greater buyer engagement on the platform. We believe this increases customer stickiness and fuels an efficient go-to-market model. As we continue to add new offerings, we expect buyer loyalty and spend to continue to increase. We also generate highly attractive buyer economics. While we are continuously focused on adding new active buyers to our platform, we are also focused on increasing their purchase frequency and volume after their initial purchase, while lowering retention expenditure. Our growth depends in significant part on our success in adding new buyers and increasing the spending of our buyers.</w:t>
      </w:r>
    </w:p>
    <w:p>
      <w:pPr>
        <w:spacing w:after="0" w:line="204" w:lineRule="exact"/>
        <w:rPr>
          <w:sz w:val="20"/>
          <w:szCs w:val="20"/>
          <w:color w:val="auto"/>
        </w:rPr>
      </w:pPr>
    </w:p>
    <w:p>
      <w:pPr>
        <w:ind w:left="160" w:right="220" w:firstLine="546"/>
        <w:spacing w:after="0" w:line="237" w:lineRule="auto"/>
        <w:rPr>
          <w:sz w:val="20"/>
          <w:szCs w:val="20"/>
          <w:color w:val="auto"/>
        </w:rPr>
      </w:pPr>
      <w:r>
        <w:rPr>
          <w:rFonts w:ascii="Arial" w:cs="Arial" w:eastAsia="Arial" w:hAnsi="Arial"/>
          <w:sz w:val="18"/>
          <w:szCs w:val="18"/>
          <w:color w:val="auto"/>
        </w:rPr>
        <w:t>In determining how successful our buyer acquisition and retention strategy is, we closely monitor the initial customer acquisition cost, or CAC, and the lifetime value of a buyer, or LTV. These performance indicators enable us to assess the strength of our short-term and long-term buyer unit economics.</w:t>
      </w:r>
    </w:p>
    <w:p>
      <w:pPr>
        <w:spacing w:after="0" w:line="91" w:lineRule="exact"/>
        <w:rPr>
          <w:sz w:val="20"/>
          <w:szCs w:val="20"/>
          <w:color w:val="auto"/>
        </w:rPr>
      </w:pPr>
    </w:p>
    <w:p>
      <w:pPr>
        <w:ind w:left="920" w:right="120" w:hanging="218"/>
        <w:spacing w:after="0" w:line="242"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CAC </w:t>
      </w:r>
      <w:r>
        <w:rPr>
          <w:rFonts w:ascii="Arial" w:cs="Arial" w:eastAsia="Arial" w:hAnsi="Arial"/>
          <w:sz w:val="18"/>
          <w:szCs w:val="18"/>
          <w:color w:val="auto"/>
        </w:rPr>
        <w:t>means the costs of our digital marketing strategies, branding costs and other advertising costs, certain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expenses, and compensation expenses, including stock-based compensation, to our sales and marketing employees, which we refer to in the aggregate as our sales and marketing expenses for the relevant time period, divided by the number of new buyers acquired during the same period.</w:t>
      </w:r>
    </w:p>
    <w:p>
      <w:pPr>
        <w:spacing w:after="0" w:line="87" w:lineRule="exact"/>
        <w:rPr>
          <w:rFonts w:ascii="Arial" w:cs="Arial" w:eastAsia="Arial" w:hAnsi="Arial"/>
          <w:sz w:val="18"/>
          <w:szCs w:val="18"/>
          <w:color w:val="auto"/>
        </w:rPr>
      </w:pPr>
    </w:p>
    <w:p>
      <w:pPr>
        <w:ind w:left="920" w:hanging="218"/>
        <w:spacing w:after="0" w:line="236"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LTV </w:t>
      </w:r>
      <w:r>
        <w:rPr>
          <w:rFonts w:ascii="Arial" w:cs="Arial" w:eastAsia="Arial" w:hAnsi="Arial"/>
          <w:sz w:val="18"/>
          <w:szCs w:val="18"/>
          <w:color w:val="auto"/>
        </w:rPr>
        <w:t>means the estimated cumulative lifetime gross profit attributable to a particular buyer cohort divided by the number of buyers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during the cohort period. Each buyer cohort is defined as all buyers who were acquired during a specific period. To estimate the cumulative lifetime gross profit, we use a Markov chain Monte Carlo statistical analysis that samples thousands of typical lifetime histories in order to model mean lifetimes, expected order counts and order values. We also utilize neural networks to estimate customer-specific distribution parameters. The simulations provide the distribution of outcomes for each customer, including mean lifetimes, expected revenue and churn, which are used to calculate the cumulative lifetime gross profit. The assumptions underlying our calculation of LTV represent estimates, which involve inherent uncertainties and the application of judgment. In addition, because we estimate LTV over the lifetime of a buyer cohort, rather than a defined period of time, our assumptions with respect to lifetime buyer activity are subject to the risk that we may</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6"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spacing w:after="0" w:line="239" w:lineRule="auto"/>
        <w:rPr>
          <w:sz w:val="20"/>
          <w:szCs w:val="20"/>
          <w:color w:val="auto"/>
        </w:rPr>
      </w:pPr>
      <w:r>
        <w:rPr>
          <w:rFonts w:ascii="Arial" w:cs="Arial" w:eastAsia="Arial" w:hAnsi="Arial"/>
          <w:sz w:val="18"/>
          <w:szCs w:val="18"/>
          <w:color w:val="auto"/>
        </w:rPr>
        <w:t>overestimate the value of a buyer for a particular period. As a result, if factors or expected outcomes change, or our assumptions or estimates prove incorrect, our LTV could be materially different.</w:t>
      </w:r>
    </w:p>
    <w:p>
      <w:pPr>
        <w:spacing w:after="0" w:line="203"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The LTV/CAC ratio illustrates the average LTV buyers are expected to generate as a multiple of CAC. The U.S. LTV/CAC ratio for the year ended December 31, 2020 was 6.1x, compared to 5.3x for the year ended December 31, 2019. Our U.S. CAC payback period, which is the average number of months required to fully recoup the CAC in the relevant reporting period, was 2.1 months for the year ended December 31, 2020, compared to 3.5 months for the year ended December 31, 2019.</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Existing Accounts</w:t>
      </w:r>
    </w:p>
    <w:p>
      <w:pPr>
        <w:spacing w:after="0" w:line="123" w:lineRule="exact"/>
        <w:rPr>
          <w:sz w:val="20"/>
          <w:szCs w:val="20"/>
          <w:color w:val="auto"/>
        </w:rPr>
      </w:pPr>
    </w:p>
    <w:p>
      <w:pPr>
        <w:ind w:left="160" w:right="180" w:firstLine="546"/>
        <w:spacing w:after="0" w:line="235" w:lineRule="auto"/>
        <w:rPr>
          <w:sz w:val="20"/>
          <w:szCs w:val="20"/>
          <w:color w:val="auto"/>
        </w:rPr>
      </w:pPr>
      <w:r>
        <w:rPr>
          <w:rFonts w:ascii="Arial" w:cs="Arial" w:eastAsia="Arial" w:hAnsi="Arial"/>
          <w:sz w:val="18"/>
          <w:szCs w:val="18"/>
          <w:color w:val="auto"/>
        </w:rPr>
        <w:t>Our business has historically benefited from strong revenue growth from account cohorts over time. To track our growth and the underlying dynamics of our business, we closely monitor and analyze the revenue attributable to buyer activity of our annual account cohorts. We define an annual account cohort based on the year when the account first purchased a part on our marketplace. We have observed significant buyer revenue growth across our annual account cohorts, demonstrating that once an account utilizes our marketplace, they typically increase their spend by increasing the number of buyers within an account using our marketplace, increasing the number of parts ordered, and utilizing additional manufacturing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145415</wp:posOffset>
            </wp:positionV>
            <wp:extent cx="4500880" cy="22847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00880"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Continued Growth in Our Broad Base of Sellers</w:t>
      </w:r>
    </w:p>
    <w:p>
      <w:pPr>
        <w:spacing w:after="0" w:line="123"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We must maintain and grow our broad selection of sellers and add to our diverse array of manufacturing processes in order to continue to grow our business and maximize the efficiency of our network.</w:t>
      </w:r>
    </w:p>
    <w:p>
      <w:pPr>
        <w:spacing w:after="0" w:line="203"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We rely on our network of sellers to provide the sophisticated manufacturing processes that we offer to our buyers. We believe the value proposition for sellers, in particular increasing utilization of their manufacturing operations, is compelling. If we fail to attract new sellers to our platform and retain existing sellers, the attractiveness of our platform to buyers would decrease and we would not be able to grow our revenue.</w:t>
      </w:r>
    </w:p>
    <w:p>
      <w:pPr>
        <w:spacing w:after="0" w:line="202"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In order to increase our efficiency, we intend to continue to expand our large and growing network of sellers. The number of active sellers, which we define as sellers that have used our platform at least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6"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spacing w:after="0" w:line="236" w:lineRule="auto"/>
        <w:rPr>
          <w:sz w:val="20"/>
          <w:szCs w:val="20"/>
          <w:color w:val="auto"/>
        </w:rPr>
      </w:pPr>
      <w:r>
        <w:rPr>
          <w:rFonts w:ascii="Arial" w:cs="Arial" w:eastAsia="Arial" w:hAnsi="Arial"/>
          <w:sz w:val="18"/>
          <w:szCs w:val="18"/>
          <w:color w:val="auto"/>
        </w:rPr>
        <w:t>once during the last twelve months to manufacture a product or buy tools or supplies, has grown from 774 for the year ended December 31, 2019 to 1,410 for the year ended December 31, 2020. As we add to our seller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Investments in Technology and Expansion of Our Platform</w:t>
      </w:r>
    </w:p>
    <w:p>
      <w:pPr>
        <w:spacing w:after="0" w:line="123"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have invested, and intend to continue to invest, in developing technology, tools, features, and products that provide targeted and useful solutions for our buyers and sellers.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Offering of Seller Financial Products and Services</w:t>
      </w:r>
    </w:p>
    <w:p>
      <w:pPr>
        <w:spacing w:after="0" w:line="12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In 2019, we launched seller services, beginning with Xometry Supplies, which enables our sellers to access experienced suppliers who sell competitively priced goods from leading brands. In mid-2020, we launched a suite of financial products and services to help our sellers manage cash flow at all stages of job production. These services help sellers manage their business more efficiently, even on jobs that they source outside of our platform. The percentage of our active sellers who have purchased supplies or accessed one of our financial services products through our platform was 40% for the year ended December 31, 2020. Our revenue from recently launched seller services offerings has not been a material driver of our overall revenue to date; however, we expect revenue from seller services to grow over time. We believe that increased revenue from seller services will have a favorable impact on our gross margin.</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International Operations</w:t>
      </w:r>
    </w:p>
    <w:p>
      <w:pPr>
        <w:spacing w:after="0" w:line="123" w:lineRule="exact"/>
        <w:rPr>
          <w:sz w:val="20"/>
          <w:szCs w:val="20"/>
          <w:color w:val="auto"/>
        </w:rPr>
      </w:pPr>
    </w:p>
    <w:p>
      <w:pPr>
        <w:ind w:left="160" w:right="60" w:firstLine="546"/>
        <w:spacing w:after="0" w:line="251" w:lineRule="auto"/>
        <w:rPr>
          <w:sz w:val="20"/>
          <w:szCs w:val="20"/>
          <w:color w:val="auto"/>
        </w:rPr>
      </w:pPr>
      <w:r>
        <w:rPr>
          <w:rFonts w:ascii="Arial" w:cs="Arial" w:eastAsia="Arial" w:hAnsi="Arial"/>
          <w:sz w:val="17"/>
          <w:szCs w:val="17"/>
          <w:color w:val="auto"/>
        </w:rPr>
        <w:t>In 2019, we launched Xometry in Europe. We believe there is significant opportunity in the global manufacturing ecosystem for our marketplace.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current outbreak of COVID-19 has globally resulted in loss of life, business closures impacting our buyers and sellers, restrictions on travel, and closures of certain aspects of our operations. The extent to which the COVID-19 pandemic will impact our business in the future is highly uncertain and cannot be predicted at this time. 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have taken will be sufficient to mitigate the risks posed by the virus and we may not have sufficient protection or recovery plans to continue to deal with the COVID-19 pandemic. Even after the COVID-19 pandemic subsides, it may have a continued and lasting impact on the global economy, including our business.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80" w:firstLine="546"/>
        <w:spacing w:after="0" w:line="268" w:lineRule="auto"/>
        <w:rPr>
          <w:sz w:val="20"/>
          <w:szCs w:val="20"/>
          <w:color w:val="auto"/>
        </w:rPr>
      </w:pPr>
      <w:r>
        <w:rPr>
          <w:rFonts w:ascii="Arial" w:cs="Arial" w:eastAsia="Arial" w:hAnsi="Arial"/>
          <w:sz w:val="17"/>
          <w:szCs w:val="17"/>
          <w:color w:val="auto"/>
        </w:rPr>
        <w:t>In addition, future shelter-in-place orders and similar regulations impact the ability of our buyers and sellers to operate their businesses. Any limitations on or disruptions or closures of buyers’ and sellers’ businesses could adversely affect our business.</w:t>
      </w:r>
    </w:p>
    <w:p>
      <w:pPr>
        <w:spacing w:after="0" w:line="179"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COVID-19 pandemic to date has not significantly adversely impacted the growth of our business. We experienced a significant increase in revenue in the third quarter of 2020 due to increased demand for certain pandemic-related supplies, including personal protective equipment and parts for pharmaceutical manufacturing machinery. We believe the COVID-19 pandemic has validated our platform, highlighting the need for resilient supply chains, and reshaping the way buyers source their manufacturing needs.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30" w:lineRule="exact"/>
        <w:rPr>
          <w:sz w:val="20"/>
          <w:szCs w:val="20"/>
          <w:color w:val="auto"/>
        </w:rPr>
      </w:pPr>
    </w:p>
    <w:p>
      <w:pPr>
        <w:jc w:val="both"/>
        <w:ind w:left="160" w:right="220" w:firstLine="546"/>
        <w:spacing w:after="0" w:line="237"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prospectus, we use the following key operational and business metrics to help us evaluate our business, measure our performance, identify trends affecting our business, formulate business plans and develop forecasts, and make strategic decisions: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Active Buyers</w:t>
      </w:r>
    </w:p>
    <w:p>
      <w:pPr>
        <w:spacing w:after="0" w:line="123" w:lineRule="exact"/>
        <w:rPr>
          <w:sz w:val="20"/>
          <w:szCs w:val="20"/>
          <w:color w:val="auto"/>
        </w:rPr>
      </w:pPr>
    </w:p>
    <w:p>
      <w:pPr>
        <w:jc w:val="both"/>
        <w:ind w:left="160" w:firstLine="546"/>
        <w:spacing w:after="0" w:line="237" w:lineRule="auto"/>
        <w:rPr>
          <w:sz w:val="20"/>
          <w:szCs w:val="20"/>
          <w:color w:val="auto"/>
        </w:rPr>
      </w:pPr>
      <w:r>
        <w:rPr>
          <w:rFonts w:ascii="Arial" w:cs="Arial" w:eastAsia="Arial" w:hAnsi="Arial"/>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203" w:lineRule="exact"/>
        <w:rPr>
          <w:sz w:val="20"/>
          <w:szCs w:val="20"/>
          <w:color w:val="auto"/>
        </w:rPr>
      </w:pPr>
    </w:p>
    <w:p>
      <w:pPr>
        <w:ind w:left="160" w:right="240" w:firstLine="546"/>
        <w:spacing w:after="0" w:line="237"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24,160 as of March 31, 2021, up 83% from 13,195 as of March 31, 2020.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154940</wp:posOffset>
            </wp:positionV>
            <wp:extent cx="5137785" cy="15284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3778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For the quarter ended March 31, 2021, 95%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154940</wp:posOffset>
            </wp:positionV>
            <wp:extent cx="5137785" cy="15963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412 as of March 31, 2021, up 34% from 307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146685</wp:posOffset>
            </wp:positionV>
            <wp:extent cx="5137785" cy="15963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We define Adjusted EBITDA as net income (loss), adjusted to exclude interest and other expense, depreciation and amortization, stock-based compensation expense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202"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For the year ended December 31, 2020, Adjusted EBITDA improved to $(23.5) million, compared to Adjusted EBITDA of $ (26.4) million in 2019. For the year ended December 31, 2020, Adjusted EBITDA increased to (17)% of revenue, as compared to (33)% of revenue in 2019, driven by increased operating efficiencies as we grew our revenue faster than our supporting expenses and increased margin as we grew our gross profit faster than our revenue.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46" w:lineRule="auto"/>
        <w:rPr>
          <w:sz w:val="20"/>
          <w:szCs w:val="20"/>
          <w:color w:val="auto"/>
        </w:rPr>
      </w:pPr>
      <w:r>
        <w:rPr>
          <w:rFonts w:ascii="Arial" w:cs="Arial" w:eastAsia="Arial" w:hAnsi="Arial"/>
          <w:sz w:val="17"/>
          <w:szCs w:val="17"/>
          <w:color w:val="auto"/>
        </w:rPr>
        <w:t>For the quarter ended March 31, 2021, Adjusted EBITDA declined to $(8.8) million, compared to Adjusted EBITDA of $(7.5) million for the same quarter in 2020. For the quarter ended March 31, 2021, Adjusted EBITDA improved to (20)% of revenue, as compared to</w:t>
      </w:r>
    </w:p>
    <w:p>
      <w:pPr>
        <w:ind w:left="160"/>
        <w:spacing w:after="0" w:line="239" w:lineRule="auto"/>
        <w:rPr>
          <w:sz w:val="20"/>
          <w:szCs w:val="20"/>
          <w:color w:val="auto"/>
        </w:rPr>
      </w:pPr>
      <w:r>
        <w:rPr>
          <w:rFonts w:ascii="Arial" w:cs="Arial" w:eastAsia="Arial" w:hAnsi="Arial"/>
          <w:sz w:val="18"/>
          <w:szCs w:val="18"/>
          <w:color w:val="auto"/>
        </w:rPr>
        <w:t>(28)% of revenue for the same quarter in 2020, driven by increased operating efficiencies as we continued to grow our revenue faster than our supporting expenses and improved our margin as we increased our gross profit.</w:t>
      </w:r>
    </w:p>
    <w:p>
      <w:pPr>
        <w:spacing w:after="0" w:line="203"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 See the section titled “Summary Consolidated Financial Data” for additional information and for reconciliations of Adjusted EBITDA to net loss, the most directly comparable GAAP measure.</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60" w:right="260" w:firstLine="546"/>
        <w:spacing w:after="0" w:line="235" w:lineRule="auto"/>
        <w:rPr>
          <w:sz w:val="20"/>
          <w:szCs w:val="20"/>
          <w:color w:val="auto"/>
        </w:rPr>
      </w:pPr>
      <w:r>
        <w:rPr>
          <w:rFonts w:ascii="Arial" w:cs="Arial" w:eastAsia="Arial" w:hAnsi="Arial"/>
          <w:sz w:val="18"/>
          <w:szCs w:val="18"/>
          <w:color w:val="auto"/>
        </w:rPr>
        <w:t>Our revenue is primarily comprised of sales to buyers through our platform. Buyers purchase specialized CNC manufacturing, sheet metal manufacturing, 3D printing, injection molding, urethane casting, finishing services. Buyer purchases range from rapid prototyping of single parts to high-volume production on our marketplace. These products are primarily manufactured by our network of sellers. We also derive an immaterial portion of our revenue from our offerings to sellers, which includes seller services and financial products.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Cost of revenue primarily consists of the cost to us of the products that are manufactured by our sellers for delivery to buyers on our platform internal production costs, shipping costs and certain internal depreciation. We expect cost of revenue to increase in absolute dollars to the extent our revenue increases and transaction volume increases. As we add sellers to our platform and are able to expand our network liquidity effect, we expect cost of revenue to decline as a percent of revenue over time.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w:t>
      </w:r>
    </w:p>
    <w:p>
      <w:pPr>
        <w:spacing w:after="0" w:line="123"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seller network and the efficiency of our pricing and will be benefited by increasing the use of existing seller services and the variety of seller services offerings over time.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3" w:lineRule="exact"/>
        <w:rPr>
          <w:sz w:val="20"/>
          <w:szCs w:val="20"/>
          <w:color w:val="auto"/>
        </w:rPr>
      </w:pPr>
    </w:p>
    <w:p>
      <w:pPr>
        <w:ind w:left="160" w:right="980" w:firstLine="546"/>
        <w:spacing w:after="0" w:line="239" w:lineRule="auto"/>
        <w:rPr>
          <w:sz w:val="20"/>
          <w:szCs w:val="20"/>
          <w:color w:val="auto"/>
        </w:rPr>
      </w:pPr>
      <w:r>
        <w:rPr>
          <w:rFonts w:ascii="Arial" w:cs="Arial" w:eastAsia="Arial" w:hAnsi="Arial"/>
          <w:sz w:val="18"/>
          <w:szCs w:val="18"/>
          <w:color w:val="auto"/>
        </w:rPr>
        <w:t>Our operating expenses consist of sales and marketing, operations and support, product development and general and administrative functions.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0" w:lineRule="exact"/>
        <w:rPr>
          <w:sz w:val="20"/>
          <w:szCs w:val="20"/>
          <w:color w:val="auto"/>
        </w:rPr>
      </w:pPr>
    </w:p>
    <w:p>
      <w:pPr>
        <w:ind w:left="160" w:right="200" w:firstLine="546"/>
        <w:spacing w:after="0" w:line="237" w:lineRule="auto"/>
        <w:rPr>
          <w:sz w:val="20"/>
          <w:szCs w:val="20"/>
          <w:color w:val="auto"/>
        </w:rPr>
      </w:pPr>
      <w:r>
        <w:rPr>
          <w:rFonts w:ascii="Arial" w:cs="Arial" w:eastAsia="Arial" w:hAnsi="Arial"/>
          <w:sz w:val="18"/>
          <w:szCs w:val="18"/>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6"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0"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Operations and support expenses are the costs we incur in support of the customers and sellers on our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0"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 We expect our general and administrative expenses to increase. Following the completion of this offering, we expect to incur additional general and administrative expenses as a result of operating as a public company, including as a result of increased legal, accounting and directors’ and officers’ insurance expenses.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left="160" w:right="300" w:firstLine="546"/>
        <w:spacing w:after="0" w:line="237" w:lineRule="auto"/>
        <w:rPr>
          <w:sz w:val="20"/>
          <w:szCs w:val="20"/>
          <w:color w:val="auto"/>
        </w:rPr>
      </w:pPr>
      <w:r>
        <w:rPr>
          <w:rFonts w:ascii="Arial" w:cs="Arial" w:eastAsia="Arial" w:hAnsi="Arial"/>
          <w:sz w:val="18"/>
          <w:szCs w:val="18"/>
          <w:color w:val="auto"/>
        </w:rPr>
        <w:t>Interest expense, net consists of interest incurred on our outstanding borrowings under our outstanding debt facility. In 2020, we amended our term loan agreement, increasing the principal by $4.0 million for total borrowings of $15.0 million. See “Management’s Discussion and Analysis of Financial Condition and Results of Operations—Liquidity and Capital Resources.”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expenses consist primarily of sales tax collected from customers and remitted to governmental authorities.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for the years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98"/>
              <w:spacing w:after="0" w:line="154"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17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Revenue</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$ 80,228</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w w:val="95"/>
              </w:rPr>
              <w:t>$ 141,406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spacing w:after="0" w:line="187" w:lineRule="exact"/>
              <w:rPr>
                <w:sz w:val="20"/>
                <w:szCs w:val="20"/>
                <w:color w:val="auto"/>
              </w:rPr>
            </w:pPr>
            <w:r>
              <w:rPr>
                <w:rFonts w:ascii="Arial" w:cs="Arial" w:eastAsia="Arial" w:hAnsi="Arial"/>
                <w:sz w:val="17"/>
                <w:szCs w:val="17"/>
                <w:color w:val="auto"/>
              </w:rPr>
              <w:t>Cost of revenue</w:t>
            </w: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65,492</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108,120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Gross profit</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14,736</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33,286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spacing w:after="0" w:line="187" w:lineRule="exact"/>
              <w:rPr>
                <w:sz w:val="20"/>
                <w:szCs w:val="20"/>
                <w:color w:val="auto"/>
              </w:rPr>
            </w:pPr>
            <w:r>
              <w:rPr>
                <w:rFonts w:ascii="Arial" w:cs="Arial" w:eastAsia="Arial" w:hAnsi="Arial"/>
                <w:sz w:val="17"/>
                <w:szCs w:val="17"/>
                <w:color w:val="auto"/>
              </w:rPr>
              <w:t>Operating expenses: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Sales and marketing</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14,599</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22,567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ind w:left="320"/>
              <w:spacing w:after="0" w:line="187" w:lineRule="exact"/>
              <w:rPr>
                <w:sz w:val="20"/>
                <w:szCs w:val="20"/>
                <w:color w:val="auto"/>
              </w:rPr>
            </w:pPr>
            <w:r>
              <w:rPr>
                <w:rFonts w:ascii="Arial" w:cs="Arial" w:eastAsia="Arial" w:hAnsi="Arial"/>
                <w:sz w:val="17"/>
                <w:szCs w:val="17"/>
                <w:color w:val="auto"/>
              </w:rPr>
              <w:t>Operations and support</w:t>
            </w: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10,314</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14,111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Product development</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10,637</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12,186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ind w:left="320"/>
              <w:spacing w:after="0" w:line="187" w:lineRule="exact"/>
              <w:rPr>
                <w:sz w:val="20"/>
                <w:szCs w:val="20"/>
                <w:color w:val="auto"/>
              </w:rPr>
            </w:pPr>
            <w:r>
              <w:rPr>
                <w:rFonts w:ascii="Arial" w:cs="Arial" w:eastAsia="Arial" w:hAnsi="Arial"/>
                <w:sz w:val="17"/>
                <w:szCs w:val="17"/>
                <w:color w:val="auto"/>
              </w:rPr>
              <w:t>General and administrative</w:t>
            </w:r>
          </w:p>
        </w:tc>
        <w:tc>
          <w:tcPr>
            <w:tcW w:w="10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8,016</w:t>
            </w:r>
          </w:p>
        </w:tc>
        <w:tc>
          <w:tcPr>
            <w:tcW w:w="8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12,046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Impairment of goodwill and other intangible assets</w:t>
            </w:r>
          </w:p>
        </w:tc>
        <w:tc>
          <w:tcPr>
            <w:tcW w:w="10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1,719</w:t>
            </w: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ind w:left="660"/>
              <w:spacing w:after="0"/>
              <w:rPr>
                <w:sz w:val="20"/>
                <w:szCs w:val="20"/>
                <w:color w:val="auto"/>
              </w:rPr>
            </w:pPr>
            <w:r>
              <w:rPr>
                <w:rFonts w:ascii="Arial" w:cs="Arial" w:eastAsia="Arial" w:hAnsi="Arial"/>
                <w:sz w:val="17"/>
                <w:szCs w:val="17"/>
                <w:color w:val="auto"/>
              </w:rPr>
              <w:t>Total operating expenses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vMerge w:val="continue"/>
          </w:tcPr>
          <w:p>
            <w:pPr>
              <w:spacing w:after="0"/>
              <w:rPr>
                <w:sz w:val="16"/>
                <w:szCs w:val="16"/>
                <w:color w:val="auto"/>
              </w:rPr>
            </w:pPr>
          </w:p>
        </w:tc>
        <w:tc>
          <w:tcPr>
            <w:tcW w:w="10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45,285</w:t>
            </w: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62,502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from operations</w:t>
            </w: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(30,549)</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(29,216)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Interest expense, net</w:t>
            </w: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(241)</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(1,089)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tcPr>
          <w:p>
            <w:pPr>
              <w:ind w:left="320"/>
              <w:spacing w:after="0" w:line="187" w:lineRule="exact"/>
              <w:rPr>
                <w:sz w:val="20"/>
                <w:szCs w:val="20"/>
                <w:color w:val="auto"/>
              </w:rPr>
            </w:pPr>
            <w:r>
              <w:rPr>
                <w:rFonts w:ascii="Arial" w:cs="Arial" w:eastAsia="Arial" w:hAnsi="Arial"/>
                <w:sz w:val="17"/>
                <w:szCs w:val="17"/>
                <w:color w:val="auto"/>
              </w:rPr>
              <w:t>Other expenses</w:t>
            </w:r>
          </w:p>
        </w:tc>
        <w:tc>
          <w:tcPr>
            <w:tcW w:w="102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(204)</w:t>
            </w:r>
          </w:p>
        </w:tc>
        <w:tc>
          <w:tcPr>
            <w:tcW w:w="86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9020" w:type="dxa"/>
            <w:vAlign w:val="bottom"/>
            <w:shd w:val="clear" w:color="auto" w:fill="CCEEFF"/>
          </w:tcPr>
          <w:p>
            <w:pPr>
              <w:ind w:left="660"/>
              <w:spacing w:after="0" w:line="187" w:lineRule="exact"/>
              <w:rPr>
                <w:sz w:val="20"/>
                <w:szCs w:val="20"/>
                <w:color w:val="auto"/>
              </w:rPr>
            </w:pPr>
            <w:r>
              <w:rPr>
                <w:rFonts w:ascii="Arial" w:cs="Arial" w:eastAsia="Arial" w:hAnsi="Arial"/>
                <w:sz w:val="17"/>
                <w:szCs w:val="17"/>
                <w:color w:val="auto"/>
              </w:rPr>
              <w:t>Total other expenses</w:t>
            </w:r>
          </w:p>
        </w:tc>
        <w:tc>
          <w:tcPr>
            <w:tcW w:w="102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(445)</w:t>
            </w: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040" w:type="dxa"/>
            <w:vAlign w:val="bottom"/>
            <w:gridSpan w:val="2"/>
            <w:vMerge w:val="continue"/>
          </w:tcPr>
          <w:p>
            <w:pPr>
              <w:spacing w:after="0"/>
              <w:rPr>
                <w:sz w:val="16"/>
                <w:szCs w:val="16"/>
                <w:color w:val="auto"/>
              </w:rPr>
            </w:pPr>
          </w:p>
        </w:tc>
        <w:tc>
          <w:tcPr>
            <w:tcW w:w="10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(30,994)</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(31,085)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0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Deemed dividend to preferred stockholders</w:t>
            </w:r>
          </w:p>
        </w:tc>
        <w:tc>
          <w:tcPr>
            <w:tcW w:w="700" w:type="dxa"/>
            <w:vAlign w:val="bottom"/>
            <w:shd w:val="clear" w:color="auto" w:fill="CCEEFF"/>
          </w:tcPr>
          <w:p>
            <w:pPr>
              <w:jc w:val="right"/>
              <w:ind w:right="18"/>
              <w:spacing w:after="0" w:line="187"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(8,801)</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040" w:type="dxa"/>
            <w:vAlign w:val="bottom"/>
            <w:gridSpan w:val="2"/>
            <w:vMerge w:val="continue"/>
          </w:tcPr>
          <w:p>
            <w:pPr>
              <w:spacing w:after="0"/>
              <w:rPr>
                <w:sz w:val="16"/>
                <w:szCs w:val="16"/>
                <w:color w:val="auto"/>
              </w:rPr>
            </w:pPr>
          </w:p>
        </w:tc>
        <w:tc>
          <w:tcPr>
            <w:tcW w:w="10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w w:val="95"/>
              </w:rPr>
              <w:t>$ (30,994)</w:t>
            </w: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 (39,886)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years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7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tcBorders>
              <w:bottom w:val="single" w:sz="8" w:color="CCEEFF"/>
            </w:tcBorders>
          </w:tcPr>
          <w:p>
            <w:pPr>
              <w:spacing w:after="0"/>
              <w:rPr>
                <w:sz w:val="13"/>
                <w:szCs w:val="13"/>
                <w:color w:val="auto"/>
              </w:rPr>
            </w:pPr>
          </w:p>
        </w:tc>
        <w:tc>
          <w:tcPr>
            <w:tcW w:w="46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Revenue</w:t>
            </w:r>
          </w:p>
        </w:tc>
        <w:tc>
          <w:tcPr>
            <w:tcW w:w="46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0"/>
              <w:spacing w:after="0" w:line="180" w:lineRule="exact"/>
              <w:rPr>
                <w:sz w:val="20"/>
                <w:szCs w:val="20"/>
                <w:color w:val="auto"/>
              </w:rPr>
            </w:pPr>
            <w:r>
              <w:rPr>
                <w:rFonts w:ascii="Arial" w:cs="Arial" w:eastAsia="Arial" w:hAnsi="Arial"/>
                <w:sz w:val="17"/>
                <w:szCs w:val="17"/>
                <w:color w:val="auto"/>
              </w:rPr>
              <w:t>100.0%</w:t>
            </w:r>
          </w:p>
        </w:tc>
        <w:tc>
          <w:tcPr>
            <w:tcW w:w="74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spacing w:after="0" w:line="187" w:lineRule="exact"/>
              <w:rPr>
                <w:sz w:val="20"/>
                <w:szCs w:val="20"/>
                <w:color w:val="auto"/>
              </w:rPr>
            </w:pPr>
            <w:r>
              <w:rPr>
                <w:rFonts w:ascii="Arial" w:cs="Arial" w:eastAsia="Arial" w:hAnsi="Arial"/>
                <w:sz w:val="17"/>
                <w:szCs w:val="17"/>
                <w:color w:val="auto"/>
              </w:rPr>
              <w:t>Cost of revenue</w:t>
            </w:r>
          </w:p>
        </w:tc>
        <w:tc>
          <w:tcPr>
            <w:tcW w:w="4620" w:type="dxa"/>
            <w:vAlign w:val="bottom"/>
          </w:tcPr>
          <w:p>
            <w:pPr>
              <w:spacing w:after="0"/>
              <w:rPr>
                <w:sz w:val="16"/>
                <w:szCs w:val="16"/>
                <w:color w:val="auto"/>
              </w:rPr>
            </w:pPr>
          </w:p>
        </w:tc>
        <w:tc>
          <w:tcPr>
            <w:tcW w:w="1040" w:type="dxa"/>
            <w:vAlign w:val="bottom"/>
            <w:gridSpan w:val="2"/>
          </w:tcPr>
          <w:p>
            <w:pPr>
              <w:jc w:val="right"/>
              <w:ind w:right="560"/>
              <w:spacing w:after="0" w:line="187" w:lineRule="exact"/>
              <w:rPr>
                <w:sz w:val="20"/>
                <w:szCs w:val="20"/>
                <w:color w:val="auto"/>
              </w:rPr>
            </w:pPr>
            <w:r>
              <w:rPr>
                <w:rFonts w:ascii="Arial" w:cs="Arial" w:eastAsia="Arial" w:hAnsi="Arial"/>
                <w:sz w:val="17"/>
                <w:szCs w:val="17"/>
                <w:color w:val="auto"/>
              </w:rPr>
              <w:t>81.6</w:t>
            </w:r>
          </w:p>
        </w:tc>
        <w:tc>
          <w:tcPr>
            <w:tcW w:w="74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Gross profit</w:t>
            </w:r>
          </w:p>
        </w:tc>
        <w:tc>
          <w:tcPr>
            <w:tcW w:w="46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18.4</w:t>
            </w:r>
          </w:p>
        </w:tc>
        <w:tc>
          <w:tcPr>
            <w:tcW w:w="74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94"/>
        </w:trPr>
        <w:tc>
          <w:tcPr>
            <w:tcW w:w="4520" w:type="dxa"/>
            <w:vAlign w:val="bottom"/>
            <w:gridSpan w:val="2"/>
          </w:tcPr>
          <w:p>
            <w:pPr>
              <w:spacing w:after="0" w:line="194" w:lineRule="exact"/>
              <w:rPr>
                <w:sz w:val="20"/>
                <w:szCs w:val="20"/>
                <w:color w:val="auto"/>
              </w:rPr>
            </w:pPr>
            <w:r>
              <w:rPr>
                <w:rFonts w:ascii="Arial" w:cs="Arial" w:eastAsia="Arial" w:hAnsi="Arial"/>
                <w:sz w:val="17"/>
                <w:szCs w:val="17"/>
                <w:color w:val="auto"/>
              </w:rPr>
              <w:t>Operating expenses:</w:t>
            </w:r>
          </w:p>
        </w:tc>
        <w:tc>
          <w:tcPr>
            <w:tcW w:w="46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Sales and marketing</w:t>
            </w:r>
          </w:p>
        </w:tc>
        <w:tc>
          <w:tcPr>
            <w:tcW w:w="5660" w:type="dxa"/>
            <w:vAlign w:val="bottom"/>
            <w:gridSpan w:val="3"/>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18.2</w:t>
            </w:r>
          </w:p>
        </w:tc>
        <w:tc>
          <w:tcPr>
            <w:tcW w:w="740" w:type="dxa"/>
            <w:vAlign w:val="bottom"/>
            <w:gridSpan w:val="2"/>
            <w:shd w:val="clear" w:color="auto" w:fill="CCEEFF"/>
          </w:tcPr>
          <w:p>
            <w:pPr>
              <w:jc w:val="right"/>
              <w:ind w:right="260"/>
              <w:spacing w:after="0" w:line="187"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ind w:left="320"/>
              <w:spacing w:after="0" w:line="187" w:lineRule="exact"/>
              <w:rPr>
                <w:sz w:val="20"/>
                <w:szCs w:val="20"/>
                <w:color w:val="auto"/>
              </w:rPr>
            </w:pPr>
            <w:r>
              <w:rPr>
                <w:rFonts w:ascii="Arial" w:cs="Arial" w:eastAsia="Arial" w:hAnsi="Arial"/>
                <w:sz w:val="17"/>
                <w:szCs w:val="17"/>
                <w:color w:val="auto"/>
              </w:rPr>
              <w:t>Operations and support</w:t>
            </w:r>
          </w:p>
        </w:tc>
        <w:tc>
          <w:tcPr>
            <w:tcW w:w="5660" w:type="dxa"/>
            <w:vAlign w:val="bottom"/>
            <w:gridSpan w:val="3"/>
          </w:tcPr>
          <w:p>
            <w:pPr>
              <w:jc w:val="right"/>
              <w:ind w:right="560"/>
              <w:spacing w:after="0" w:line="187" w:lineRule="exact"/>
              <w:rPr>
                <w:sz w:val="20"/>
                <w:szCs w:val="20"/>
                <w:color w:val="auto"/>
              </w:rPr>
            </w:pPr>
            <w:r>
              <w:rPr>
                <w:rFonts w:ascii="Arial" w:cs="Arial" w:eastAsia="Arial" w:hAnsi="Arial"/>
                <w:sz w:val="17"/>
                <w:szCs w:val="17"/>
                <w:color w:val="auto"/>
              </w:rPr>
              <w:t>12.9</w:t>
            </w:r>
          </w:p>
        </w:tc>
        <w:tc>
          <w:tcPr>
            <w:tcW w:w="740" w:type="dxa"/>
            <w:vAlign w:val="bottom"/>
            <w:gridSpan w:val="2"/>
          </w:tcPr>
          <w:p>
            <w:pPr>
              <w:jc w:val="right"/>
              <w:ind w:right="260"/>
              <w:spacing w:after="0" w:line="187"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Product development</w:t>
            </w:r>
          </w:p>
        </w:tc>
        <w:tc>
          <w:tcPr>
            <w:tcW w:w="5660" w:type="dxa"/>
            <w:vAlign w:val="bottom"/>
            <w:gridSpan w:val="3"/>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13.3</w:t>
            </w:r>
          </w:p>
        </w:tc>
        <w:tc>
          <w:tcPr>
            <w:tcW w:w="4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8.6</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ind w:left="320"/>
              <w:spacing w:after="0" w:line="187" w:lineRule="exact"/>
              <w:rPr>
                <w:sz w:val="20"/>
                <w:szCs w:val="20"/>
                <w:color w:val="auto"/>
              </w:rPr>
            </w:pPr>
            <w:r>
              <w:rPr>
                <w:rFonts w:ascii="Arial" w:cs="Arial" w:eastAsia="Arial" w:hAnsi="Arial"/>
                <w:sz w:val="17"/>
                <w:szCs w:val="17"/>
                <w:color w:val="auto"/>
              </w:rPr>
              <w:t>General and administrative</w:t>
            </w:r>
          </w:p>
        </w:tc>
        <w:tc>
          <w:tcPr>
            <w:tcW w:w="5660" w:type="dxa"/>
            <w:vAlign w:val="bottom"/>
            <w:gridSpan w:val="3"/>
          </w:tcPr>
          <w:p>
            <w:pPr>
              <w:jc w:val="right"/>
              <w:ind w:right="560"/>
              <w:spacing w:after="0" w:line="187" w:lineRule="exact"/>
              <w:rPr>
                <w:sz w:val="20"/>
                <w:szCs w:val="20"/>
                <w:color w:val="auto"/>
              </w:rPr>
            </w:pPr>
            <w:r>
              <w:rPr>
                <w:rFonts w:ascii="Arial" w:cs="Arial" w:eastAsia="Arial" w:hAnsi="Arial"/>
                <w:sz w:val="17"/>
                <w:szCs w:val="17"/>
                <w:color w:val="auto"/>
              </w:rPr>
              <w:t>10.0</w:t>
            </w:r>
          </w:p>
        </w:tc>
        <w:tc>
          <w:tcPr>
            <w:tcW w:w="480" w:type="dxa"/>
            <w:vAlign w:val="bottom"/>
          </w:tcPr>
          <w:p>
            <w:pPr>
              <w:jc w:val="right"/>
              <w:spacing w:after="0" w:line="187" w:lineRule="exact"/>
              <w:rPr>
                <w:sz w:val="20"/>
                <w:szCs w:val="20"/>
                <w:color w:val="auto"/>
              </w:rPr>
            </w:pPr>
            <w:r>
              <w:rPr>
                <w:rFonts w:ascii="Arial" w:cs="Arial" w:eastAsia="Arial" w:hAnsi="Arial"/>
                <w:sz w:val="17"/>
                <w:szCs w:val="17"/>
                <w:color w:val="auto"/>
              </w:rPr>
              <w:t>8.5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Impairment of goodwill and intangible assets</w:t>
            </w:r>
          </w:p>
        </w:tc>
        <w:tc>
          <w:tcPr>
            <w:tcW w:w="46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2.1</w:t>
            </w:r>
          </w:p>
        </w:tc>
        <w:tc>
          <w:tcPr>
            <w:tcW w:w="5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6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56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from operations</w:t>
            </w:r>
          </w:p>
        </w:tc>
        <w:tc>
          <w:tcPr>
            <w:tcW w:w="5660" w:type="dxa"/>
            <w:vAlign w:val="bottom"/>
            <w:gridSpan w:val="3"/>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(38.1)</w:t>
            </w: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spacing w:after="0" w:line="187" w:lineRule="exact"/>
              <w:rPr>
                <w:sz w:val="20"/>
                <w:szCs w:val="20"/>
                <w:color w:val="auto"/>
              </w:rPr>
            </w:pPr>
            <w:r>
              <w:rPr>
                <w:rFonts w:ascii="Arial" w:cs="Arial" w:eastAsia="Arial" w:hAnsi="Arial"/>
                <w:sz w:val="17"/>
                <w:szCs w:val="17"/>
                <w:color w:val="auto"/>
              </w:rPr>
              <w:t>Other expenses:</w:t>
            </w:r>
          </w:p>
        </w:tc>
        <w:tc>
          <w:tcPr>
            <w:tcW w:w="4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CEEFF"/>
          </w:tcPr>
          <w:p>
            <w:pPr>
              <w:ind w:left="320"/>
              <w:spacing w:after="0" w:line="187" w:lineRule="exact"/>
              <w:rPr>
                <w:sz w:val="20"/>
                <w:szCs w:val="20"/>
                <w:color w:val="auto"/>
              </w:rPr>
            </w:pPr>
            <w:r>
              <w:rPr>
                <w:rFonts w:ascii="Arial" w:cs="Arial" w:eastAsia="Arial" w:hAnsi="Arial"/>
                <w:sz w:val="17"/>
                <w:szCs w:val="17"/>
                <w:color w:val="auto"/>
              </w:rPr>
              <w:t>Interest expense, net</w:t>
            </w:r>
          </w:p>
        </w:tc>
        <w:tc>
          <w:tcPr>
            <w:tcW w:w="5660" w:type="dxa"/>
            <w:vAlign w:val="bottom"/>
            <w:gridSpan w:val="3"/>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(0.3)</w:t>
            </w: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ind w:left="320"/>
              <w:spacing w:after="0" w:line="187" w:lineRule="exact"/>
              <w:rPr>
                <w:sz w:val="20"/>
                <w:szCs w:val="20"/>
                <w:color w:val="auto"/>
              </w:rPr>
            </w:pPr>
            <w:r>
              <w:rPr>
                <w:rFonts w:ascii="Arial" w:cs="Arial" w:eastAsia="Arial" w:hAnsi="Arial"/>
                <w:sz w:val="17"/>
                <w:szCs w:val="17"/>
                <w:color w:val="auto"/>
              </w:rPr>
              <w:t>Other expenses</w:t>
            </w:r>
          </w:p>
        </w:tc>
        <w:tc>
          <w:tcPr>
            <w:tcW w:w="4620" w:type="dxa"/>
            <w:vAlign w:val="bottom"/>
          </w:tcPr>
          <w:p>
            <w:pPr>
              <w:spacing w:after="0"/>
              <w:rPr>
                <w:sz w:val="16"/>
                <w:szCs w:val="16"/>
                <w:color w:val="auto"/>
              </w:rPr>
            </w:pPr>
          </w:p>
        </w:tc>
        <w:tc>
          <w:tcPr>
            <w:tcW w:w="104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(0.3)</w:t>
            </w:r>
          </w:p>
        </w:tc>
        <w:tc>
          <w:tcPr>
            <w:tcW w:w="74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5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other expenses</w:t>
            </w:r>
          </w:p>
        </w:tc>
        <w:tc>
          <w:tcPr>
            <w:tcW w:w="46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(0.6)</w:t>
            </w:r>
          </w:p>
        </w:tc>
        <w:tc>
          <w:tcPr>
            <w:tcW w:w="7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4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20" w:type="dxa"/>
            <w:vAlign w:val="bottom"/>
            <w:gridSpan w:val="2"/>
            <w:vMerge w:val="continue"/>
          </w:tcPr>
          <w:p>
            <w:pPr>
              <w:spacing w:after="0"/>
              <w:rPr>
                <w:sz w:val="16"/>
                <w:szCs w:val="16"/>
                <w:color w:val="auto"/>
              </w:rPr>
            </w:pPr>
          </w:p>
        </w:tc>
        <w:tc>
          <w:tcPr>
            <w:tcW w:w="4620" w:type="dxa"/>
            <w:vAlign w:val="bottom"/>
          </w:tcPr>
          <w:p>
            <w:pPr>
              <w:spacing w:after="0"/>
              <w:rPr>
                <w:sz w:val="16"/>
                <w:szCs w:val="16"/>
                <w:color w:val="auto"/>
              </w:rPr>
            </w:pPr>
          </w:p>
        </w:tc>
        <w:tc>
          <w:tcPr>
            <w:tcW w:w="104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(38.7)</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Deemed dividend to preferred stockholders</w:t>
            </w:r>
          </w:p>
        </w:tc>
        <w:tc>
          <w:tcPr>
            <w:tcW w:w="46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8"/>
              <w:spacing w:after="0" w:line="187"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4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20" w:type="dxa"/>
            <w:vAlign w:val="bottom"/>
            <w:gridSpan w:val="2"/>
            <w:vMerge w:val="continue"/>
          </w:tcPr>
          <w:p>
            <w:pPr>
              <w:spacing w:after="0"/>
              <w:rPr>
                <w:sz w:val="16"/>
                <w:szCs w:val="16"/>
                <w:color w:val="auto"/>
              </w:rPr>
            </w:pPr>
          </w:p>
        </w:tc>
        <w:tc>
          <w:tcPr>
            <w:tcW w:w="4620" w:type="dxa"/>
            <w:vAlign w:val="bottom"/>
          </w:tcPr>
          <w:p>
            <w:pPr>
              <w:spacing w:after="0"/>
              <w:rPr>
                <w:sz w:val="16"/>
                <w:szCs w:val="16"/>
                <w:color w:val="auto"/>
              </w:rPr>
            </w:pPr>
          </w:p>
        </w:tc>
        <w:tc>
          <w:tcPr>
            <w:tcW w:w="104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(38.7)%</w:t>
            </w:r>
          </w:p>
        </w:tc>
        <w:tc>
          <w:tcPr>
            <w:tcW w:w="7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620" w:type="dxa"/>
            <w:vAlign w:val="bottom"/>
            <w:vMerge w:val="restart"/>
          </w:tcPr>
          <w:p>
            <w:pPr>
              <w:jc w:val="right"/>
              <w:ind w:right="3495"/>
              <w:spacing w:after="0"/>
              <w:rPr>
                <w:sz w:val="20"/>
                <w:szCs w:val="20"/>
                <w:color w:val="auto"/>
              </w:rPr>
            </w:pPr>
            <w:r>
              <w:rPr>
                <w:rFonts w:ascii="Arial" w:cs="Arial" w:eastAsia="Arial" w:hAnsi="Arial"/>
                <w:sz w:val="18"/>
                <w:szCs w:val="18"/>
                <w:color w:val="auto"/>
              </w:rPr>
              <w:t>80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Comparison of the Quarters Ended March 31, 2020 and 2021</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unaudited statement of operations data for the quarters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72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8"/>
              </w:rPr>
              <w:t>$26,689</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9"/>
              </w:rPr>
              <w:t>$ 43,922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21,324</w:t>
            </w: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34,087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5,365</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rPr>
              <w:t>Operations and support</w:t>
            </w: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3,293</w:t>
            </w: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Product development</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2,958</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2,736</w:t>
            </w: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operating expenses</w:t>
            </w:r>
          </w:p>
        </w:tc>
        <w:tc>
          <w:tcPr>
            <w:tcW w:w="10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13,717</w:t>
            </w:r>
          </w:p>
        </w:tc>
        <w:tc>
          <w:tcPr>
            <w:tcW w:w="8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19,884</w:t>
            </w:r>
          </w:p>
        </w:tc>
        <w:tc>
          <w:tcPr>
            <w:tcW w:w="0" w:type="dxa"/>
            <w:vAlign w:val="bottom"/>
          </w:tcPr>
          <w:p>
            <w:pPr>
              <w:spacing w:after="0"/>
              <w:rPr>
                <w:sz w:val="1"/>
                <w:szCs w:val="1"/>
                <w:color w:val="auto"/>
              </w:rPr>
            </w:pPr>
          </w:p>
        </w:tc>
      </w:tr>
      <w:tr>
        <w:trPr>
          <w:trHeight w:val="20"/>
        </w:trPr>
        <w:tc>
          <w:tcPr>
            <w:tcW w:w="90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(8,352)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expenses:</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rPr>
              <w:t>Interest expense, net</w:t>
            </w:r>
          </w:p>
        </w:tc>
        <w:tc>
          <w:tcPr>
            <w:tcW w:w="10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(153)</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expenses</w:t>
            </w:r>
          </w:p>
        </w:tc>
        <w:tc>
          <w:tcPr>
            <w:tcW w:w="10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(102)</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Total other expenses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(8,607)</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20"/>
        </w:trPr>
        <w:tc>
          <w:tcPr>
            <w:tcW w:w="90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 (8,607)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620" w:firstLine="546"/>
        <w:spacing w:after="0" w:line="239" w:lineRule="auto"/>
        <w:rPr>
          <w:sz w:val="20"/>
          <w:szCs w:val="20"/>
          <w:color w:val="auto"/>
        </w:rPr>
      </w:pPr>
      <w:r>
        <w:rPr>
          <w:rFonts w:ascii="Arial" w:cs="Arial" w:eastAsia="Arial" w:hAnsi="Arial"/>
          <w:sz w:val="18"/>
          <w:szCs w:val="18"/>
          <w:color w:val="auto"/>
        </w:rPr>
        <w:t>The following table sets forth our unaudited statement of operations data expressed as a percentage of total revenue for the quarters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0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5740" w:type="dxa"/>
            <w:vAlign w:val="bottom"/>
            <w:tcBorders>
              <w:right w:val="single" w:sz="8" w:color="CCEEFF"/>
            </w:tcBorders>
            <w:gridSpan w:val="3"/>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4600" w:type="dxa"/>
            <w:vAlign w:val="bottom"/>
          </w:tcPr>
          <w:p>
            <w:pPr>
              <w:spacing w:after="0"/>
              <w:rPr>
                <w:sz w:val="17"/>
                <w:szCs w:val="17"/>
                <w:color w:val="auto"/>
              </w:rPr>
            </w:pP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79.9</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77.6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20.1</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Sales and marketing</w:t>
            </w:r>
          </w:p>
        </w:tc>
        <w:tc>
          <w:tcPr>
            <w:tcW w:w="5740" w:type="dxa"/>
            <w:vAlign w:val="bottom"/>
            <w:tcBorders>
              <w:right w:val="single" w:sz="8" w:color="CCEEFF"/>
            </w:tcBorders>
            <w:gridSpan w:val="3"/>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Operations and support</w:t>
            </w:r>
          </w:p>
        </w:tc>
        <w:tc>
          <w:tcPr>
            <w:tcW w:w="5740" w:type="dxa"/>
            <w:vAlign w:val="bottom"/>
            <w:gridSpan w:val="3"/>
          </w:tcPr>
          <w:p>
            <w:pPr>
              <w:jc w:val="right"/>
              <w:ind w:right="640"/>
              <w:spacing w:after="0" w:line="201" w:lineRule="exact"/>
              <w:rPr>
                <w:sz w:val="20"/>
                <w:szCs w:val="20"/>
                <w:color w:val="auto"/>
              </w:rPr>
            </w:pPr>
            <w:r>
              <w:rPr>
                <w:rFonts w:ascii="Arial" w:cs="Arial" w:eastAsia="Arial" w:hAnsi="Arial"/>
                <w:sz w:val="18"/>
                <w:szCs w:val="18"/>
                <w:color w:val="auto"/>
              </w:rPr>
              <w:t>12.3</w:t>
            </w:r>
          </w:p>
        </w:tc>
        <w:tc>
          <w:tcPr>
            <w:tcW w:w="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Product development</w:t>
            </w:r>
          </w:p>
        </w:tc>
        <w:tc>
          <w:tcPr>
            <w:tcW w:w="5740" w:type="dxa"/>
            <w:vAlign w:val="bottom"/>
            <w:tcBorders>
              <w:right w:val="single" w:sz="8" w:color="CCEEFF"/>
            </w:tcBorders>
            <w:gridSpan w:val="3"/>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11.1</w:t>
            </w:r>
          </w:p>
        </w:tc>
        <w:tc>
          <w:tcPr>
            <w:tcW w:w="7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General and administrative</w:t>
            </w:r>
          </w:p>
        </w:tc>
        <w:tc>
          <w:tcPr>
            <w:tcW w:w="4600" w:type="dxa"/>
            <w:vAlign w:val="bottom"/>
          </w:tcPr>
          <w:p>
            <w:pPr>
              <w:spacing w:after="0"/>
              <w:rPr>
                <w:sz w:val="17"/>
                <w:szCs w:val="17"/>
                <w:color w:val="auto"/>
              </w:rPr>
            </w:pP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10.3</w:t>
            </w:r>
          </w:p>
        </w:tc>
        <w:tc>
          <w:tcPr>
            <w:tcW w:w="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operating expenses</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51.4</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6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(31.3)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expense, net</w:t>
            </w:r>
          </w:p>
        </w:tc>
        <w:tc>
          <w:tcPr>
            <w:tcW w:w="5740" w:type="dxa"/>
            <w:vAlign w:val="bottom"/>
            <w:tcBorders>
              <w:right w:val="single" w:sz="8" w:color="CCEEFF"/>
            </w:tcBorders>
            <w:gridSpan w:val="3"/>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Other expenses</w:t>
            </w:r>
          </w:p>
        </w:tc>
        <w:tc>
          <w:tcPr>
            <w:tcW w:w="4600" w:type="dxa"/>
            <w:vAlign w:val="bottom"/>
          </w:tcPr>
          <w:p>
            <w:pPr>
              <w:spacing w:after="0"/>
              <w:rPr>
                <w:sz w:val="17"/>
                <w:szCs w:val="17"/>
                <w:color w:val="auto"/>
              </w:rPr>
            </w:pPr>
          </w:p>
        </w:tc>
        <w:tc>
          <w:tcPr>
            <w:tcW w:w="114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(0.4)</w:t>
            </w:r>
          </w:p>
        </w:tc>
        <w:tc>
          <w:tcPr>
            <w:tcW w:w="7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other expenses</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6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(32.3)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46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(32.3)%</w:t>
            </w:r>
          </w:p>
        </w:tc>
        <w:tc>
          <w:tcPr>
            <w:tcW w:w="72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00" w:type="dxa"/>
            <w:vAlign w:val="bottom"/>
            <w:vMerge w:val="restart"/>
          </w:tcPr>
          <w:p>
            <w:pPr>
              <w:jc w:val="right"/>
              <w:ind w:right="3411"/>
              <w:spacing w:after="0"/>
              <w:rPr>
                <w:sz w:val="20"/>
                <w:szCs w:val="20"/>
                <w:color w:val="auto"/>
              </w:rPr>
            </w:pPr>
            <w:r>
              <w:rPr>
                <w:rFonts w:ascii="Arial" w:cs="Arial" w:eastAsia="Arial" w:hAnsi="Arial"/>
                <w:sz w:val="18"/>
                <w:szCs w:val="18"/>
                <w:color w:val="auto"/>
              </w:rPr>
              <w:t>81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Total revenue increased $17.2 million, or 65%, from $26.7 million for the quarter ended March 31, 2020 to $43.9 million for the quarter ended March 31, 2021. This increase was primarily the result of an 83% increase in the number of active buyers resulting from investment in sales and marketing, as well as existing buyers increasing their spend on the platform for the quarter ended March 31, 2021 as compared to the prior quarter.</w:t>
      </w:r>
    </w:p>
    <w:p>
      <w:pPr>
        <w:spacing w:after="0" w:line="202"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Total revenue from our U.S. and Europe operating segments for the quarters ended March 31, 2021 and 2020, was $41.3 million and $26.3 million, for the U.S. respectively, and $2.6 million and $0.4 million, for Europe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Total cost of revenue increased $ 12.8 million, or 60%, from $21.3 million for the quarter ended March 31, 2020 to $34.1 million for the quarter ended March 31, 2021. This increase was primarily the result of an increase in payments to sellers on our platform due to the growth in our buyer base and increased activity by existing accounts on our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23"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Gross profit increased $4.5 million, or 83%, from $5.4 million for the quarter ended March 31, 2020 to $9.8 million for the quarter ended March 31, 2021. The increase in gross profit was due primarily to the increase in revenue described above.</w:t>
      </w:r>
    </w:p>
    <w:p>
      <w:pPr>
        <w:spacing w:after="0" w:line="203" w:lineRule="exact"/>
        <w:rPr>
          <w:sz w:val="20"/>
          <w:szCs w:val="20"/>
          <w:color w:val="auto"/>
        </w:rPr>
      </w:pPr>
    </w:p>
    <w:p>
      <w:pPr>
        <w:ind w:left="160" w:right="360" w:firstLine="546"/>
        <w:spacing w:after="0" w:line="236" w:lineRule="auto"/>
        <w:rPr>
          <w:sz w:val="20"/>
          <w:szCs w:val="20"/>
          <w:color w:val="auto"/>
        </w:rPr>
      </w:pPr>
      <w:r>
        <w:rPr>
          <w:rFonts w:ascii="Arial" w:cs="Arial" w:eastAsia="Arial" w:hAnsi="Arial"/>
          <w:sz w:val="18"/>
          <w:szCs w:val="18"/>
          <w:color w:val="auto"/>
        </w:rPr>
        <w:t>Gross margin increased to 22% for the quarter ended March 31, 2021 from 20% for the quarter ended March 31, 2020. This increase was primarily the result of a growing number of active sellers from the prior year quarter, which continues to create greater competition among sellers and lower cost of revenue. Additionally, our AI-driven platform pricing has become more efficient due to the increased number of orders, improving the data set and thus making our pricing decisions more accurate.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p>
      <w:pPr>
        <w:jc w:val="both"/>
        <w:ind w:left="160" w:firstLine="546"/>
        <w:spacing w:after="0" w:line="236" w:lineRule="auto"/>
        <w:rPr>
          <w:sz w:val="20"/>
          <w:szCs w:val="20"/>
          <w:color w:val="auto"/>
        </w:rPr>
      </w:pPr>
      <w:r>
        <w:rPr>
          <w:rFonts w:ascii="Arial" w:cs="Arial" w:eastAsia="Arial" w:hAnsi="Arial"/>
          <w:sz w:val="18"/>
          <w:szCs w:val="18"/>
          <w:color w:val="auto"/>
        </w:rPr>
        <w:t>Sales and marketing expense increased $ 2.8 million, or 60%, from $4.7 million for the quarter ended March 31, 2020 to $7.6 million for the quarter ended March 31, 2021, a result of continued investment to drive revenue growth and our hiring of additional employees. As a percent of total revenue, sales and marketing expenses remained flat at approximately 17% for the quarters ended March 31, 2021 and 2020.</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23"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Operations and support increased $1.0 million, or 31%, from $3.3 million for the quarter ended March 31, 2020 to $4.3 million for the quarter ended March 31, 2021, primarily as a result of additional compensation-related expenses due to additional headcount to support the growth of buyer and seller activity on our platform. As a percent of total revenue, operations and support expenses decreased to 10% for the quarter ended March 31, 2021 from 12% for the quarter ended March 31, 2020, as we continued to increase operating leverage resulting from the additional scale of our business.</w:t>
      </w:r>
    </w:p>
    <w:p>
      <w:pPr>
        <w:spacing w:after="0" w:line="28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23" w:lineRule="exact"/>
        <w:rPr>
          <w:sz w:val="20"/>
          <w:szCs w:val="20"/>
          <w:color w:val="auto"/>
        </w:rPr>
      </w:pPr>
    </w:p>
    <w:p>
      <w:pPr>
        <w:ind w:left="160" w:right="900" w:firstLine="546"/>
        <w:spacing w:after="0" w:line="239" w:lineRule="auto"/>
        <w:rPr>
          <w:sz w:val="20"/>
          <w:szCs w:val="20"/>
          <w:color w:val="auto"/>
        </w:rPr>
      </w:pPr>
      <w:r>
        <w:rPr>
          <w:rFonts w:ascii="Arial" w:cs="Arial" w:eastAsia="Arial" w:hAnsi="Arial"/>
          <w:sz w:val="18"/>
          <w:szCs w:val="18"/>
          <w:color w:val="auto"/>
        </w:rPr>
        <w:t>Product development expense increased $0.7 million, or 24%, from $3.0 million for the quarter ended March 31, 2020 to $3.7 million for the quarter ended March 31, 2021, a result of increased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80"/>
        <w:spacing w:after="0" w:line="237" w:lineRule="auto"/>
        <w:rPr>
          <w:sz w:val="20"/>
          <w:szCs w:val="20"/>
          <w:color w:val="auto"/>
        </w:rPr>
      </w:pPr>
      <w:r>
        <w:rPr>
          <w:rFonts w:ascii="Arial" w:cs="Arial" w:eastAsia="Arial" w:hAnsi="Arial"/>
          <w:sz w:val="18"/>
          <w:szCs w:val="18"/>
          <w:color w:val="auto"/>
        </w:rPr>
        <w:t>compensation-related expenses not eligible for capitalization. As a percent of total revenue, product development expenses decreased to 8% for the quarter ended March 31, 2021 from 11% for the quarter ended March 31, 2020, as we continue to increase operating leverage resulting from the additional scale of our business.</w:t>
      </w:r>
    </w:p>
    <w:p>
      <w:pPr>
        <w:spacing w:after="0" w:line="28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General and administrative expense increased $1.6 million, or 58%, from $2.7 million for the quarter ended March 31, 2020 to $4.3 million for the quarter ended March 31, 2021, primarily as a result of an increase in compensation-related expenses related to additional legal, accounting and financial headcount and third party expenses as we prepare to become a public company, as well as additional overhead expenses to support the growth of our business operations. As a percent of total revenue, general and administrative expenses remained flat at approximately 10% of revenue for both quarters.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Interest expense, net increased by $0.2 million, or 116%, from $ 0.2 million for the quarter ended March 31, 2020 to $0.3 million for the quarter ended March 31, 2021, as a result of additional borrowings under our term loan facility.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segment loss from our U.S. operating segment for the quarters ended March 31, 2021 and 2020, was $8.2 million and</w:t>
      </w:r>
    </w:p>
    <w:p>
      <w:pPr>
        <w:ind w:left="160"/>
        <w:spacing w:after="0" w:line="232" w:lineRule="auto"/>
        <w:rPr>
          <w:sz w:val="20"/>
          <w:szCs w:val="20"/>
          <w:color w:val="auto"/>
        </w:rPr>
      </w:pPr>
      <w:r>
        <w:rPr>
          <w:rFonts w:ascii="Arial" w:cs="Arial" w:eastAsia="Arial" w:hAnsi="Arial"/>
          <w:sz w:val="18"/>
          <w:szCs w:val="18"/>
          <w:color w:val="auto"/>
        </w:rPr>
        <w:t>$7.4 million, respectively. Total segment loss from our Europe operating segment for the quarters ended March 31, 2021 and 2020, was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$2.3 million and $1.2 million, respectively.</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segment property and equipment for our U.S. operating segment for the quarter ended March 31, 2021, was $6.1 million.</w:t>
      </w:r>
    </w:p>
    <w:p>
      <w:pPr>
        <w:ind w:left="160"/>
        <w:spacing w:after="0"/>
        <w:rPr>
          <w:sz w:val="20"/>
          <w:szCs w:val="20"/>
          <w:color w:val="auto"/>
        </w:rPr>
      </w:pPr>
      <w:r>
        <w:rPr>
          <w:rFonts w:ascii="Arial" w:cs="Arial" w:eastAsia="Arial" w:hAnsi="Arial"/>
          <w:sz w:val="18"/>
          <w:szCs w:val="18"/>
          <w:color w:val="auto"/>
        </w:rPr>
        <w:t>Total segment property and equipment for our Europe operating segment for the quarter ended March 31, 2021, was $0.6 million.</w:t>
      </w:r>
    </w:p>
    <w:p>
      <w:pPr>
        <w:spacing w:after="0" w:line="208" w:lineRule="exact"/>
        <w:rPr>
          <w:sz w:val="20"/>
          <w:szCs w:val="20"/>
          <w:color w:val="auto"/>
        </w:rPr>
      </w:pPr>
    </w:p>
    <w:p>
      <w:pPr>
        <w:jc w:val="both"/>
        <w:ind w:left="160" w:right="60" w:firstLine="546"/>
        <w:spacing w:after="0" w:line="237" w:lineRule="auto"/>
        <w:rPr>
          <w:sz w:val="20"/>
          <w:szCs w:val="20"/>
          <w:color w:val="auto"/>
        </w:rPr>
      </w:pPr>
      <w:r>
        <w:rPr>
          <w:rFonts w:ascii="Arial" w:cs="Arial" w:eastAsia="Arial" w:hAnsi="Arial"/>
          <w:sz w:val="18"/>
          <w:szCs w:val="18"/>
          <w:color w:val="auto"/>
        </w:rPr>
        <w:t>Total segment depreciation and amortization for our U.S. operating segment for the quarters ended March 31, 2021 and 2020, was $0.6 million and $0.5 million, respectively. Total segment depreciation and amortization for our Europe operating segment for the quarters ended March 31, 2021 and 2020, was $0.1 million and $0.2 million, respectively.</w:t>
      </w:r>
    </w:p>
    <w:p>
      <w:pPr>
        <w:spacing w:after="0" w:line="203" w:lineRule="exact"/>
        <w:rPr>
          <w:sz w:val="20"/>
          <w:szCs w:val="20"/>
          <w:color w:val="auto"/>
        </w:rPr>
      </w:pPr>
    </w:p>
    <w:p>
      <w:pPr>
        <w:ind w:left="160" w:firstLine="546"/>
        <w:spacing w:after="0" w:line="257" w:lineRule="auto"/>
        <w:rPr>
          <w:sz w:val="20"/>
          <w:szCs w:val="20"/>
          <w:color w:val="auto"/>
        </w:rPr>
      </w:pPr>
      <w:r>
        <w:rPr>
          <w:rFonts w:ascii="Arial" w:cs="Arial" w:eastAsia="Arial" w:hAnsi="Arial"/>
          <w:sz w:val="17"/>
          <w:szCs w:val="17"/>
          <w:color w:val="auto"/>
        </w:rPr>
        <w:t>Total cash paid to acquire property, equipment and long-lived assets for our U.S. operating segment during the quarters ended March 31, 2021 and 2020, was $1.1 million and $1.0 million, respectively. Total cash paid to acquire property, equipment and long-lived assets for our Europe operating segment during the quarters ended March 31, 2021 and 2020, was $0.2 million and $10,000, respectively.</w:t>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jc w:val="both"/>
        <w:ind w:left="160" w:right="220" w:firstLine="546"/>
        <w:spacing w:after="0" w:line="237" w:lineRule="auto"/>
        <w:rPr>
          <w:sz w:val="20"/>
          <w:szCs w:val="20"/>
          <w:color w:val="auto"/>
        </w:rPr>
      </w:pPr>
      <w:r>
        <w:rPr>
          <w:rFonts w:ascii="Arial" w:cs="Arial" w:eastAsia="Arial" w:hAnsi="Arial"/>
          <w:sz w:val="18"/>
          <w:szCs w:val="18"/>
          <w:color w:val="auto"/>
        </w:rPr>
        <w:t>Total revenue increased $ 61.2 million, or 76%, from $ 80.2 million for the year ended December 31, 2019 to $141.4 million for the year ended December 31, 2020. This increase was primarily the result of an 83% increase in active buyers resulting from investment in sales and marketing, as well as existing buyers increasing their spend on the platform from the prior year.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6"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Total revenue from our U.S. and Europe operating segments for the year ended December 31, 2020, was $138.3 million and $3.1 million,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Total cost of revenue increased $42.6 million, or 65%, from $ 65.5 million for the year ended December 31, 2019 to $108.1 million for the year ended December 31, 2020. This increase was primarily the result of an increase in payments to sellers on our platform due to the growth in our buyer base and increased activity by existing accounts on our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23" w:lineRule="exact"/>
        <w:rPr>
          <w:sz w:val="20"/>
          <w:szCs w:val="20"/>
          <w:color w:val="auto"/>
        </w:rPr>
      </w:pPr>
    </w:p>
    <w:p>
      <w:pPr>
        <w:ind w:left="160" w:right="340" w:firstLine="546"/>
        <w:spacing w:after="0" w:line="239" w:lineRule="auto"/>
        <w:rPr>
          <w:sz w:val="20"/>
          <w:szCs w:val="20"/>
          <w:color w:val="auto"/>
        </w:rPr>
      </w:pPr>
      <w:r>
        <w:rPr>
          <w:rFonts w:ascii="Arial" w:cs="Arial" w:eastAsia="Arial" w:hAnsi="Arial"/>
          <w:sz w:val="18"/>
          <w:szCs w:val="18"/>
          <w:color w:val="auto"/>
        </w:rPr>
        <w:t>Gross profit increased $18.6 million, or 126%, from $14.7 million for the year ended December 31, 2019 to $33.3 million for the year ended December 31, 2020. The increase in gross profit was due primarily to the increase in revenue described above.</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Gross margin increased to 24% for the year ended December 31, 2020 from 18% for the year ended December 31, 2019. This increase was primarily the result of a growing number of active sellers, which increased 82% as of December 31, 2020 from the prior year, which continues to create greater competition and lower cost of revenue. Additionally, our AI-driven platform pricing has become more efficient due to the increased number of orders, improving the data set and thus making our pricing more accurate.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Sales and marketing expense increased $8.0 million, or 55%, from $14.6 million for the year ended December 31, 2019 to</w:t>
      </w:r>
    </w:p>
    <w:p>
      <w:pPr>
        <w:ind w:left="160"/>
        <w:spacing w:after="0" w:line="232" w:lineRule="auto"/>
        <w:rPr>
          <w:sz w:val="20"/>
          <w:szCs w:val="20"/>
          <w:color w:val="auto"/>
        </w:rPr>
      </w:pPr>
      <w:r>
        <w:rPr>
          <w:rFonts w:ascii="Arial" w:cs="Arial" w:eastAsia="Arial" w:hAnsi="Arial"/>
          <w:sz w:val="18"/>
          <w:szCs w:val="18"/>
          <w:color w:val="auto"/>
        </w:rPr>
        <w:t>$22.6 million for the year ended December 31, 2020, a result of continued investment to drive revenue growth and additional employees.</w:t>
      </w:r>
    </w:p>
    <w:p>
      <w:pPr>
        <w:ind w:left="160"/>
        <w:spacing w:after="0" w:line="233" w:lineRule="auto"/>
        <w:rPr>
          <w:sz w:val="20"/>
          <w:szCs w:val="20"/>
          <w:color w:val="auto"/>
        </w:rPr>
      </w:pPr>
      <w:r>
        <w:rPr>
          <w:rFonts w:ascii="Arial" w:cs="Arial" w:eastAsia="Arial" w:hAnsi="Arial"/>
          <w:sz w:val="18"/>
          <w:szCs w:val="18"/>
          <w:color w:val="auto"/>
        </w:rPr>
        <w:t>As a percent of total revenue, sales and marketing expenses decreased to 16% for the year ended December 31, 2020 from 18% for the</w:t>
      </w:r>
    </w:p>
    <w:p>
      <w:pPr>
        <w:ind w:left="160"/>
        <w:spacing w:after="0"/>
        <w:rPr>
          <w:sz w:val="20"/>
          <w:szCs w:val="20"/>
          <w:color w:val="auto"/>
        </w:rPr>
      </w:pPr>
      <w:r>
        <w:rPr>
          <w:rFonts w:ascii="Arial" w:cs="Arial" w:eastAsia="Arial" w:hAnsi="Arial"/>
          <w:sz w:val="18"/>
          <w:szCs w:val="18"/>
          <w:color w:val="auto"/>
        </w:rPr>
        <w:t>year ended December 31, 2019, as we continued to increase operating leverage resulting from the additional scale of our business.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Operations and support increased $3.8 million, or 37%, from $10.3 million for the year ended December 31, 2019 to $14.1 million for the year ended December 31, 2020, primarily as a result of additional compensation-related expenses due to additional headcount to support the growth of buyer and seller activity on our platform. As a percent of total revenue, operations and support expenses decreased to 10% for the year ended December 31, 2020 from 13% for the year ended December 31, 2019, as we continued to increase operating leverage resulting from the additional scale of our business.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0" w:lineRule="exact"/>
        <w:rPr>
          <w:sz w:val="20"/>
          <w:szCs w:val="20"/>
          <w:color w:val="auto"/>
        </w:rPr>
      </w:pPr>
    </w:p>
    <w:p>
      <w:pPr>
        <w:ind w:left="160" w:right="220" w:firstLine="546"/>
        <w:spacing w:after="0" w:line="235" w:lineRule="auto"/>
        <w:rPr>
          <w:sz w:val="20"/>
          <w:szCs w:val="20"/>
          <w:color w:val="auto"/>
        </w:rPr>
      </w:pPr>
      <w:r>
        <w:rPr>
          <w:rFonts w:ascii="Arial" w:cs="Arial" w:eastAsia="Arial" w:hAnsi="Arial"/>
          <w:sz w:val="18"/>
          <w:szCs w:val="18"/>
          <w:color w:val="auto"/>
        </w:rPr>
        <w:t>Product development expense increased $1.5 million, or 15%, from $10.6 million for the year ended December 31, 2019 to $12.2 million for the year ended December 31, 2020, a result of increased compensation-related expenses resulting from continued investment in improvements to our platform and our buyer and seller products and services, as well as, to a lesser extent, platform infrastructure cost increases. As a percent of total revenue, product development expenses decreased to 9% for the year ended December 31, 2020 from 13% for the year ended December 31, 2019, as we continue to increase operating leverage resulting from the additional scale of our business.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40"/>
          </w:cols>
          <w:pgMar w:left="320" w:top="456" w:right="5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General and administrative expense increased $4.0 million, or 50%, from $8.0 million for the year ended December 31, 2019 to $12.0 million for the year ended December 31, 2020, primarily as a result of an increase in compensation-related expenses related to additional legal, accounting and financial headcount as we prepare to become a public company, as well as additional overhead expenses to support the growth of our business operations. As a percent of total revenue, general and administrative expenses decreased to 9% for the year ended December 31, 2020 from 10% for the year ended December 31, 2019.</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30" w:lineRule="exact"/>
        <w:rPr>
          <w:sz w:val="20"/>
          <w:szCs w:val="20"/>
          <w:color w:val="auto"/>
        </w:rPr>
      </w:pPr>
    </w:p>
    <w:p>
      <w:pPr>
        <w:ind w:left="160" w:right="500" w:firstLine="546"/>
        <w:spacing w:after="0" w:line="236" w:lineRule="auto"/>
        <w:rPr>
          <w:sz w:val="20"/>
          <w:szCs w:val="20"/>
          <w:color w:val="auto"/>
        </w:rPr>
      </w:pPr>
      <w:r>
        <w:rPr>
          <w:rFonts w:ascii="Arial" w:cs="Arial" w:eastAsia="Arial" w:hAnsi="Arial"/>
          <w:sz w:val="18"/>
          <w:szCs w:val="18"/>
          <w:color w:val="auto"/>
        </w:rPr>
        <w:t>Goodwill and intangible assets impairment expense for the year ended December 31, 2020, was $1.6 million, as compared to $1.7 million for the year ended December 31, 2019. The impairment of goodwill and intangible assets expense for the years ended December 31, 2020 and 2019, was primarily attributable to lower-than-expected growth rates and non-realized synergies related to previous acquisitions.</w:t>
      </w:r>
    </w:p>
    <w:p>
      <w:pPr>
        <w:spacing w:after="0" w:line="202"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Total impairment of goodwill and intangible assets from our U.S. and Europe operating segments for the year ended December 31, 2020, was $0.1 million and $1.5 million, respectively.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Interest expense, net increased by $0.8 million, or 352%, from $0.2 million for the year ended December 31, 2019 to $1.1 million for the year ended December 31, 2020, as a result of borrowings under our term loan facility.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230"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Other expenses increased by $0.6 million, or 282%, from $0.2 million for the year ended December 31, 2019 to $0.8 million for the year ended December 31, 2020, as a result of additional sales tax remitted to certain governmental authorities.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230"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Total segment losses from our U.S. and Europe operating segments for the year ended December 31, 2020, were $22.1 million and $9.0 million, respectively.</w:t>
      </w:r>
    </w:p>
    <w:p>
      <w:pPr>
        <w:spacing w:after="0" w:line="20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Total segment property and equipment for our U.S. and Europe operating segments as of December 31, 2020, was $5.6 million and $0.5 million, respectively.</w:t>
      </w:r>
    </w:p>
    <w:p>
      <w:pPr>
        <w:spacing w:after="0" w:line="20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Total segment depreciation and amortization for our U.S. and Europe operating segments for the year ended December 31, 2020, was $2.4 million and $0.7 million, respectively.</w:t>
      </w:r>
    </w:p>
    <w:p>
      <w:pPr>
        <w:spacing w:after="0" w:line="20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Total cash paid to acquire property, equipment and long-lived assets for our U.S. and Europe operating segments during the year ended December 31, 2020, was $3.7 million and $0.5 million, respectively.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Results of Operations</w:t>
      </w:r>
    </w:p>
    <w:p>
      <w:pPr>
        <w:spacing w:after="0" w:line="230"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nine quarters and as a percentage of revenue for the quarters indicated. The information for each of these quarters has been prepared on a basis consistent with our audited annual financial statements appearing elsewhere in this prospectus and, in our opinion, include all normal recurring adjustments necessary for the fair statement of the financial information contained in those statements. The following unaudited quarterly financial data should be read in conjunction with our annual financial statements and the related notes included elsewhere in this prospectus. These quarterly results are not necessarily indicative of our operating results for a full year or any future period.</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7"/>
          </w:tcPr>
          <w:p>
            <w:pPr>
              <w:jc w:val="right"/>
              <w:ind w:right="18"/>
              <w:spacing w:after="0"/>
              <w:rPr>
                <w:sz w:val="20"/>
                <w:szCs w:val="20"/>
                <w:color w:val="auto"/>
              </w:rPr>
            </w:pPr>
            <w:r>
              <w:rPr>
                <w:rFonts w:ascii="Arial" w:cs="Arial" w:eastAsia="Arial" w:hAnsi="Arial"/>
                <w:sz w:val="11"/>
                <w:szCs w:val="11"/>
                <w:b w:val="1"/>
                <w:bCs w:val="1"/>
                <w:color w:val="auto"/>
              </w:rPr>
              <w:t>Quarter Ended</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4"/>
          </w:tcPr>
          <w:p>
            <w:pPr>
              <w:jc w:val="right"/>
              <w:ind w:right="60"/>
              <w:spacing w:after="0" w:line="99" w:lineRule="exact"/>
              <w:rPr>
                <w:sz w:val="20"/>
                <w:szCs w:val="20"/>
                <w:color w:val="auto"/>
              </w:rPr>
            </w:pPr>
            <w:r>
              <w:rPr>
                <w:rFonts w:ascii="Arial" w:cs="Arial" w:eastAsia="Arial" w:hAnsi="Arial"/>
                <w:sz w:val="11"/>
                <w:szCs w:val="11"/>
                <w:b w:val="1"/>
                <w:bCs w:val="1"/>
                <w:color w:val="auto"/>
                <w:w w:val="94"/>
              </w:rPr>
              <w:t>March 31,</w:t>
            </w:r>
          </w:p>
        </w:tc>
        <w:tc>
          <w:tcPr>
            <w:tcW w:w="120" w:type="dxa"/>
            <w:vAlign w:val="bottom"/>
          </w:tcPr>
          <w:p>
            <w:pPr>
              <w:spacing w:after="0"/>
              <w:rPr>
                <w:sz w:val="8"/>
                <w:szCs w:val="8"/>
                <w:color w:val="auto"/>
              </w:rPr>
            </w:pPr>
          </w:p>
        </w:tc>
        <w:tc>
          <w:tcPr>
            <w:tcW w:w="660" w:type="dxa"/>
            <w:vAlign w:val="bottom"/>
            <w:gridSpan w:val="3"/>
          </w:tcPr>
          <w:p>
            <w:pPr>
              <w:jc w:val="center"/>
              <w:ind w:right="200"/>
              <w:spacing w:after="0" w:line="99" w:lineRule="exact"/>
              <w:rPr>
                <w:sz w:val="20"/>
                <w:szCs w:val="20"/>
                <w:color w:val="auto"/>
              </w:rPr>
            </w:pPr>
            <w:r>
              <w:rPr>
                <w:rFonts w:ascii="Arial" w:cs="Arial" w:eastAsia="Arial" w:hAnsi="Arial"/>
                <w:sz w:val="11"/>
                <w:szCs w:val="11"/>
                <w:b w:val="1"/>
                <w:bCs w:val="1"/>
                <w:color w:val="auto"/>
                <w:w w:val="95"/>
              </w:rPr>
              <w:t>June 30,</w:t>
            </w:r>
          </w:p>
        </w:tc>
        <w:tc>
          <w:tcPr>
            <w:tcW w:w="780" w:type="dxa"/>
            <w:vAlign w:val="bottom"/>
            <w:gridSpan w:val="4"/>
          </w:tcPr>
          <w:p>
            <w:pPr>
              <w:spacing w:after="0" w:line="99" w:lineRule="exact"/>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8"/>
                <w:szCs w:val="8"/>
                <w:color w:val="auto"/>
              </w:rPr>
            </w:pPr>
          </w:p>
        </w:tc>
        <w:tc>
          <w:tcPr>
            <w:tcW w:w="840" w:type="dxa"/>
            <w:vAlign w:val="bottom"/>
            <w:gridSpan w:val="5"/>
          </w:tcPr>
          <w:p>
            <w:pPr>
              <w:spacing w:after="0" w:line="99" w:lineRule="exact"/>
              <w:rPr>
                <w:sz w:val="20"/>
                <w:szCs w:val="20"/>
                <w:color w:val="auto"/>
              </w:rPr>
            </w:pPr>
            <w:r>
              <w:rPr>
                <w:rFonts w:ascii="Arial" w:cs="Arial" w:eastAsia="Arial" w:hAnsi="Arial"/>
                <w:sz w:val="11"/>
                <w:szCs w:val="11"/>
                <w:b w:val="1"/>
                <w:bCs w:val="1"/>
                <w:color w:val="auto"/>
              </w:rPr>
              <w:t>December 31,</w:t>
            </w:r>
          </w:p>
        </w:tc>
        <w:tc>
          <w:tcPr>
            <w:tcW w:w="20" w:type="dxa"/>
            <w:vAlign w:val="bottom"/>
          </w:tcPr>
          <w:p>
            <w:pPr>
              <w:spacing w:after="0"/>
              <w:rPr>
                <w:sz w:val="8"/>
                <w:szCs w:val="8"/>
                <w:color w:val="auto"/>
              </w:rPr>
            </w:pPr>
          </w:p>
        </w:tc>
        <w:tc>
          <w:tcPr>
            <w:tcW w:w="700" w:type="dxa"/>
            <w:vAlign w:val="bottom"/>
            <w:gridSpan w:val="4"/>
          </w:tcPr>
          <w:p>
            <w:pPr>
              <w:spacing w:after="0" w:line="99" w:lineRule="exact"/>
              <w:rPr>
                <w:sz w:val="20"/>
                <w:szCs w:val="20"/>
                <w:color w:val="auto"/>
              </w:rPr>
            </w:pPr>
            <w:r>
              <w:rPr>
                <w:rFonts w:ascii="Arial" w:cs="Arial" w:eastAsia="Arial" w:hAnsi="Arial"/>
                <w:sz w:val="11"/>
                <w:szCs w:val="11"/>
                <w:b w:val="1"/>
                <w:bCs w:val="1"/>
                <w:color w:val="auto"/>
              </w:rPr>
              <w:t>March 31,</w:t>
            </w: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1"/>
                <w:szCs w:val="11"/>
                <w:b w:val="1"/>
                <w:bCs w:val="1"/>
                <w:color w:val="auto"/>
                <w:w w:val="90"/>
              </w:rPr>
              <w:t>June 30,</w:t>
            </w:r>
          </w:p>
        </w:tc>
        <w:tc>
          <w:tcPr>
            <w:tcW w:w="120" w:type="dxa"/>
            <w:vAlign w:val="bottom"/>
          </w:tcPr>
          <w:p>
            <w:pPr>
              <w:spacing w:after="0"/>
              <w:rPr>
                <w:sz w:val="8"/>
                <w:szCs w:val="8"/>
                <w:color w:val="auto"/>
              </w:rPr>
            </w:pPr>
          </w:p>
        </w:tc>
        <w:tc>
          <w:tcPr>
            <w:tcW w:w="840" w:type="dxa"/>
            <w:vAlign w:val="bottom"/>
            <w:gridSpan w:val="5"/>
          </w:tcPr>
          <w:p>
            <w:pPr>
              <w:jc w:val="right"/>
              <w:ind w:right="67"/>
              <w:spacing w:after="0" w:line="99" w:lineRule="exact"/>
              <w:rPr>
                <w:sz w:val="20"/>
                <w:szCs w:val="20"/>
                <w:color w:val="auto"/>
              </w:rPr>
            </w:pPr>
            <w:r>
              <w:rPr>
                <w:rFonts w:ascii="Arial" w:cs="Arial" w:eastAsia="Arial" w:hAnsi="Arial"/>
                <w:sz w:val="11"/>
                <w:szCs w:val="11"/>
                <w:b w:val="1"/>
                <w:bCs w:val="1"/>
                <w:color w:val="auto"/>
                <w:w w:val="93"/>
              </w:rPr>
              <w:t>September 30,</w:t>
            </w:r>
          </w:p>
        </w:tc>
        <w:tc>
          <w:tcPr>
            <w:tcW w:w="80" w:type="dxa"/>
            <w:vAlign w:val="bottom"/>
          </w:tcPr>
          <w:p>
            <w:pPr>
              <w:spacing w:after="0"/>
              <w:rPr>
                <w:sz w:val="8"/>
                <w:szCs w:val="8"/>
                <w:color w:val="auto"/>
              </w:rPr>
            </w:pPr>
          </w:p>
        </w:tc>
        <w:tc>
          <w:tcPr>
            <w:tcW w:w="800" w:type="dxa"/>
            <w:vAlign w:val="bottom"/>
            <w:gridSpan w:val="4"/>
          </w:tcPr>
          <w:p>
            <w:pPr>
              <w:spacing w:after="0" w:line="99" w:lineRule="exact"/>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8"/>
                <w:szCs w:val="8"/>
                <w:color w:val="auto"/>
              </w:rPr>
            </w:pPr>
          </w:p>
        </w:tc>
        <w:tc>
          <w:tcPr>
            <w:tcW w:w="500" w:type="dxa"/>
            <w:vAlign w:val="bottom"/>
            <w:gridSpan w:val="2"/>
          </w:tcPr>
          <w:p>
            <w:pPr>
              <w:jc w:val="center"/>
              <w:spacing w:after="0" w:line="99"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78"/>
              <w:spacing w:after="0"/>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11"/>
                <w:szCs w:val="11"/>
                <w:color w:val="auto"/>
              </w:rPr>
            </w:pPr>
          </w:p>
        </w:tc>
        <w:tc>
          <w:tcPr>
            <w:tcW w:w="580" w:type="dxa"/>
            <w:vAlign w:val="bottom"/>
            <w:gridSpan w:val="2"/>
          </w:tcPr>
          <w:p>
            <w:pPr>
              <w:jc w:val="center"/>
              <w:ind w:left="79"/>
              <w:spacing w:after="0"/>
              <w:rPr>
                <w:sz w:val="20"/>
                <w:szCs w:val="20"/>
                <w:color w:val="auto"/>
              </w:rPr>
            </w:pPr>
            <w:r>
              <w:rPr>
                <w:rFonts w:ascii="Arial" w:cs="Arial" w:eastAsia="Arial" w:hAnsi="Arial"/>
                <w:sz w:val="11"/>
                <w:szCs w:val="11"/>
                <w:b w:val="1"/>
                <w:bCs w:val="1"/>
                <w:color w:val="auto"/>
                <w:w w:val="97"/>
              </w:rPr>
              <w:t>2019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2"/>
              <w:spacing w:after="0"/>
              <w:rPr>
                <w:sz w:val="20"/>
                <w:szCs w:val="20"/>
                <w:color w:val="auto"/>
              </w:rPr>
            </w:pPr>
            <w:r>
              <w:rPr>
                <w:rFonts w:ascii="Arial" w:cs="Arial" w:eastAsia="Arial" w:hAnsi="Arial"/>
                <w:sz w:val="11"/>
                <w:szCs w:val="11"/>
                <w:b w:val="1"/>
                <w:bCs w:val="1"/>
                <w:color w:val="auto"/>
              </w:rPr>
              <w:t>2019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62"/>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jc w:val="right"/>
              <w:ind w:right="81"/>
              <w:spacing w:after="0"/>
              <w:rPr>
                <w:sz w:val="20"/>
                <w:szCs w:val="20"/>
                <w:color w:val="auto"/>
              </w:rPr>
            </w:pPr>
            <w:r>
              <w:rPr>
                <w:rFonts w:ascii="Arial" w:cs="Arial" w:eastAsia="Arial" w:hAnsi="Arial"/>
                <w:sz w:val="11"/>
                <w:szCs w:val="11"/>
                <w:b w:val="1"/>
                <w:bCs w:val="1"/>
                <w:color w:val="auto"/>
                <w:w w:val="97"/>
              </w:rPr>
              <w:t>2020</w:t>
            </w:r>
          </w:p>
        </w:tc>
        <w:tc>
          <w:tcPr>
            <w:tcW w:w="200" w:type="dxa"/>
            <w:vAlign w:val="bottom"/>
          </w:tcPr>
          <w:p>
            <w:pPr>
              <w:spacing w:after="0"/>
              <w:rPr>
                <w:sz w:val="11"/>
                <w:szCs w:val="11"/>
                <w:color w:val="auto"/>
              </w:rPr>
            </w:pPr>
          </w:p>
        </w:tc>
        <w:tc>
          <w:tcPr>
            <w:tcW w:w="440" w:type="dxa"/>
            <w:vAlign w:val="bottom"/>
            <w:gridSpan w:val="2"/>
          </w:tcPr>
          <w:p>
            <w:pPr>
              <w:jc w:val="right"/>
              <w:ind w:right="47"/>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left="118"/>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8"/>
          </w:tcPr>
          <w:p>
            <w:pPr>
              <w:jc w:val="right"/>
              <w:ind w:right="358"/>
              <w:spacing w:after="0" w:line="99" w:lineRule="exact"/>
              <w:rPr>
                <w:sz w:val="20"/>
                <w:szCs w:val="20"/>
                <w:color w:val="auto"/>
              </w:rPr>
            </w:pPr>
            <w:r>
              <w:rPr>
                <w:rFonts w:ascii="Arial" w:cs="Arial" w:eastAsia="Arial" w:hAnsi="Arial"/>
                <w:sz w:val="11"/>
                <w:szCs w:val="11"/>
                <w:b w:val="1"/>
                <w:bCs w:val="1"/>
                <w:color w:val="auto"/>
              </w:rPr>
              <w:t>(in thousands)</w:t>
            </w: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8"/>
          </w:tcPr>
          <w:p>
            <w:pPr>
              <w:ind w:left="180"/>
              <w:spacing w:after="0"/>
              <w:rPr>
                <w:sz w:val="20"/>
                <w:szCs w:val="20"/>
                <w:color w:val="auto"/>
              </w:rPr>
            </w:pPr>
            <w:r>
              <w:rPr>
                <w:rFonts w:ascii="Arial" w:cs="Arial" w:eastAsia="Arial" w:hAnsi="Arial"/>
                <w:sz w:val="11"/>
                <w:szCs w:val="11"/>
                <w:b w:val="1"/>
                <w:bCs w:val="1"/>
                <w:color w:val="auto"/>
              </w:rPr>
              <w:t>(unaudited)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center"/>
              <w:ind w:left="99"/>
              <w:spacing w:after="0" w:line="134" w:lineRule="exact"/>
              <w:rPr>
                <w:sz w:val="20"/>
                <w:szCs w:val="20"/>
                <w:color w:val="auto"/>
              </w:rPr>
            </w:pPr>
            <w:r>
              <w:rPr>
                <w:rFonts w:ascii="Arial" w:cs="Arial" w:eastAsia="Arial" w:hAnsi="Arial"/>
                <w:sz w:val="12"/>
                <w:szCs w:val="12"/>
                <w:color w:val="auto"/>
                <w:w w:val="89"/>
              </w:rPr>
              <w:t>$</w:t>
            </w:r>
          </w:p>
        </w:tc>
        <w:tc>
          <w:tcPr>
            <w:tcW w:w="4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15,248</w:t>
            </w:r>
          </w:p>
        </w:tc>
        <w:tc>
          <w:tcPr>
            <w:tcW w:w="7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$ 18,799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21,923</w:t>
            </w:r>
          </w:p>
        </w:tc>
        <w:tc>
          <w:tcPr>
            <w:tcW w:w="36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24,258</w:t>
            </w: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26,689</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89"/>
              </w:rPr>
              <w:t>$ 34,783</w:t>
            </w:r>
          </w:p>
        </w:tc>
        <w:tc>
          <w:tcPr>
            <w:tcW w:w="200" w:type="dxa"/>
            <w:vAlign w:val="bottom"/>
            <w:gridSpan w:val="2"/>
            <w:shd w:val="clear" w:color="auto" w:fill="CCEEFF"/>
          </w:tcPr>
          <w:p>
            <w:pPr>
              <w:jc w:val="center"/>
              <w:ind w:left="41"/>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41,953</w:t>
            </w:r>
          </w:p>
        </w:tc>
        <w:tc>
          <w:tcPr>
            <w:tcW w:w="20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37,980</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$ 43,922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12,368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15,141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17,999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87"/>
              <w:spacing w:after="0" w:line="134" w:lineRule="exact"/>
              <w:rPr>
                <w:sz w:val="20"/>
                <w:szCs w:val="20"/>
                <w:color w:val="auto"/>
              </w:rPr>
            </w:pPr>
            <w:r>
              <w:rPr>
                <w:rFonts w:ascii="Arial" w:cs="Arial" w:eastAsia="Arial" w:hAnsi="Arial"/>
                <w:sz w:val="12"/>
                <w:szCs w:val="12"/>
                <w:color w:val="auto"/>
              </w:rPr>
              <w:t>19,984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138"/>
              <w:spacing w:after="0" w:line="134" w:lineRule="exact"/>
              <w:rPr>
                <w:sz w:val="20"/>
                <w:szCs w:val="20"/>
                <w:color w:val="auto"/>
              </w:rPr>
            </w:pPr>
            <w:r>
              <w:rPr>
                <w:rFonts w:ascii="Arial" w:cs="Arial" w:eastAsia="Arial" w:hAnsi="Arial"/>
                <w:sz w:val="12"/>
                <w:szCs w:val="12"/>
                <w:color w:val="auto"/>
              </w:rPr>
              <w:t>21,324</w:t>
            </w:r>
          </w:p>
        </w:tc>
        <w:tc>
          <w:tcPr>
            <w:tcW w:w="5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26,518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right"/>
              <w:ind w:right="67"/>
              <w:spacing w:after="0" w:line="134" w:lineRule="exact"/>
              <w:rPr>
                <w:sz w:val="20"/>
                <w:szCs w:val="20"/>
                <w:color w:val="auto"/>
              </w:rPr>
            </w:pPr>
            <w:r>
              <w:rPr>
                <w:rFonts w:ascii="Arial" w:cs="Arial" w:eastAsia="Arial" w:hAnsi="Arial"/>
                <w:sz w:val="12"/>
                <w:szCs w:val="12"/>
                <w:color w:val="auto"/>
              </w:rPr>
              <w:t>31,778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28,501</w:t>
            </w:r>
          </w:p>
        </w:tc>
        <w:tc>
          <w:tcPr>
            <w:tcW w:w="680" w:type="dxa"/>
            <w:vAlign w:val="bottom"/>
            <w:gridSpan w:val="4"/>
          </w:tcPr>
          <w:p>
            <w:pPr>
              <w:jc w:val="right"/>
              <w:ind w:right="80"/>
              <w:spacing w:after="0" w:line="134" w:lineRule="exact"/>
              <w:rPr>
                <w:sz w:val="20"/>
                <w:szCs w:val="20"/>
                <w:color w:val="auto"/>
              </w:rPr>
            </w:pPr>
            <w:r>
              <w:rPr>
                <w:rFonts w:ascii="Arial" w:cs="Arial" w:eastAsia="Arial" w:hAnsi="Arial"/>
                <w:sz w:val="12"/>
                <w:szCs w:val="12"/>
                <w:color w:val="auto"/>
              </w:rPr>
              <w:t>34,087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2,880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3,658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3,924</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4,274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5,365</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8,265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10,175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9,479</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9,835</w:t>
            </w:r>
          </w:p>
        </w:tc>
        <w:tc>
          <w:tcPr>
            <w:tcW w:w="0" w:type="dxa"/>
            <w:vAlign w:val="bottom"/>
          </w:tcPr>
          <w:p>
            <w:pPr>
              <w:spacing w:after="0"/>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2,681</w:t>
            </w:r>
          </w:p>
        </w:tc>
        <w:tc>
          <w:tcPr>
            <w:tcW w:w="7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3,426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4,139</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4,352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4,730</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5,126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5,986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6,725</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7,563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2,300</w:t>
            </w:r>
          </w:p>
        </w:tc>
        <w:tc>
          <w:tcPr>
            <w:tcW w:w="74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2,326</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2,673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87"/>
              <w:spacing w:after="0" w:line="134" w:lineRule="exact"/>
              <w:rPr>
                <w:sz w:val="20"/>
                <w:szCs w:val="20"/>
                <w:color w:val="auto"/>
              </w:rPr>
            </w:pPr>
            <w:r>
              <w:rPr>
                <w:rFonts w:ascii="Arial" w:cs="Arial" w:eastAsia="Arial" w:hAnsi="Arial"/>
                <w:sz w:val="12"/>
                <w:szCs w:val="12"/>
                <w:color w:val="auto"/>
              </w:rPr>
              <w:t>3,015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138"/>
              <w:spacing w:after="0" w:line="134" w:lineRule="exact"/>
              <w:rPr>
                <w:sz w:val="20"/>
                <w:szCs w:val="20"/>
                <w:color w:val="auto"/>
              </w:rPr>
            </w:pPr>
            <w:r>
              <w:rPr>
                <w:rFonts w:ascii="Arial" w:cs="Arial" w:eastAsia="Arial" w:hAnsi="Arial"/>
                <w:sz w:val="12"/>
                <w:szCs w:val="12"/>
                <w:color w:val="auto"/>
              </w:rPr>
              <w:t>3,293</w:t>
            </w:r>
          </w:p>
        </w:tc>
        <w:tc>
          <w:tcPr>
            <w:tcW w:w="5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3,173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right"/>
              <w:ind w:right="67"/>
              <w:spacing w:after="0" w:line="134" w:lineRule="exact"/>
              <w:rPr>
                <w:sz w:val="20"/>
                <w:szCs w:val="20"/>
                <w:color w:val="auto"/>
              </w:rPr>
            </w:pPr>
            <w:r>
              <w:rPr>
                <w:rFonts w:ascii="Arial" w:cs="Arial" w:eastAsia="Arial" w:hAnsi="Arial"/>
                <w:sz w:val="12"/>
                <w:szCs w:val="12"/>
                <w:color w:val="auto"/>
              </w:rPr>
              <w:t>3,671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3,973</w:t>
            </w:r>
          </w:p>
        </w:tc>
        <w:tc>
          <w:tcPr>
            <w:tcW w:w="680" w:type="dxa"/>
            <w:vAlign w:val="bottom"/>
            <w:gridSpan w:val="4"/>
          </w:tcPr>
          <w:p>
            <w:pPr>
              <w:jc w:val="right"/>
              <w:ind w:right="80"/>
              <w:spacing w:after="0" w:line="134" w:lineRule="exact"/>
              <w:rPr>
                <w:sz w:val="20"/>
                <w:szCs w:val="20"/>
                <w:color w:val="auto"/>
              </w:rPr>
            </w:pPr>
            <w:r>
              <w:rPr>
                <w:rFonts w:ascii="Arial" w:cs="Arial" w:eastAsia="Arial" w:hAnsi="Arial"/>
                <w:sz w:val="12"/>
                <w:szCs w:val="12"/>
                <w:color w:val="auto"/>
              </w:rPr>
              <w:t>4,330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2,020</w:t>
            </w:r>
          </w:p>
        </w:tc>
        <w:tc>
          <w:tcPr>
            <w:tcW w:w="7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2,479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2,879</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3,260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2,958</w:t>
            </w:r>
          </w:p>
        </w:tc>
        <w:tc>
          <w:tcPr>
            <w:tcW w:w="520" w:type="dxa"/>
            <w:vAlign w:val="bottom"/>
            <w:tcBorders>
              <w:left w:val="single" w:sz="8" w:color="CCEEFF"/>
            </w:tcBorders>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2,919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3,003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3,307</w:t>
            </w:r>
          </w:p>
        </w:tc>
        <w:tc>
          <w:tcPr>
            <w:tcW w:w="680" w:type="dxa"/>
            <w:vAlign w:val="bottom"/>
            <w:gridSpan w:val="4"/>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3,664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1,490</w:t>
            </w:r>
          </w:p>
        </w:tc>
        <w:tc>
          <w:tcPr>
            <w:tcW w:w="740" w:type="dxa"/>
            <w:vAlign w:val="bottom"/>
            <w:gridSpan w:val="3"/>
          </w:tcPr>
          <w:p>
            <w:pPr>
              <w:jc w:val="right"/>
              <w:ind w:right="140"/>
              <w:spacing w:after="0" w:line="134" w:lineRule="exact"/>
              <w:rPr>
                <w:sz w:val="20"/>
                <w:szCs w:val="20"/>
                <w:color w:val="auto"/>
              </w:rPr>
            </w:pPr>
            <w:r>
              <w:rPr>
                <w:rFonts w:ascii="Arial" w:cs="Arial" w:eastAsia="Arial" w:hAnsi="Arial"/>
                <w:sz w:val="12"/>
                <w:szCs w:val="12"/>
                <w:color w:val="auto"/>
              </w:rPr>
              <w:t>2,028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2,175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87"/>
              <w:spacing w:after="0" w:line="134" w:lineRule="exact"/>
              <w:rPr>
                <w:sz w:val="20"/>
                <w:szCs w:val="20"/>
                <w:color w:val="auto"/>
              </w:rPr>
            </w:pPr>
            <w:r>
              <w:rPr>
                <w:rFonts w:ascii="Arial" w:cs="Arial" w:eastAsia="Arial" w:hAnsi="Arial"/>
                <w:sz w:val="12"/>
                <w:szCs w:val="12"/>
                <w:color w:val="auto"/>
              </w:rPr>
              <w:t>2,323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138"/>
              <w:spacing w:after="0" w:line="134" w:lineRule="exact"/>
              <w:rPr>
                <w:sz w:val="20"/>
                <w:szCs w:val="20"/>
                <w:color w:val="auto"/>
              </w:rPr>
            </w:pPr>
            <w:r>
              <w:rPr>
                <w:rFonts w:ascii="Arial" w:cs="Arial" w:eastAsia="Arial" w:hAnsi="Arial"/>
                <w:sz w:val="12"/>
                <w:szCs w:val="12"/>
                <w:color w:val="auto"/>
              </w:rPr>
              <w:t>2,736</w:t>
            </w:r>
          </w:p>
        </w:tc>
        <w:tc>
          <w:tcPr>
            <w:tcW w:w="5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2,774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tcPr>
          <w:p>
            <w:pPr>
              <w:jc w:val="right"/>
              <w:ind w:right="67"/>
              <w:spacing w:after="0" w:line="134" w:lineRule="exact"/>
              <w:rPr>
                <w:sz w:val="20"/>
                <w:szCs w:val="20"/>
                <w:color w:val="auto"/>
              </w:rPr>
            </w:pPr>
            <w:r>
              <w:rPr>
                <w:rFonts w:ascii="Arial" w:cs="Arial" w:eastAsia="Arial" w:hAnsi="Arial"/>
                <w:sz w:val="12"/>
                <w:szCs w:val="12"/>
                <w:color w:val="auto"/>
              </w:rPr>
              <w:t>3,282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3,255</w:t>
            </w:r>
          </w:p>
        </w:tc>
        <w:tc>
          <w:tcPr>
            <w:tcW w:w="680" w:type="dxa"/>
            <w:vAlign w:val="bottom"/>
            <w:gridSpan w:val="4"/>
          </w:tcPr>
          <w:p>
            <w:pPr>
              <w:jc w:val="right"/>
              <w:ind w:right="80"/>
              <w:spacing w:after="0" w:line="134" w:lineRule="exact"/>
              <w:rPr>
                <w:sz w:val="20"/>
                <w:szCs w:val="20"/>
                <w:color w:val="auto"/>
              </w:rPr>
            </w:pPr>
            <w:r>
              <w:rPr>
                <w:rFonts w:ascii="Arial" w:cs="Arial" w:eastAsia="Arial" w:hAnsi="Arial"/>
                <w:sz w:val="12"/>
                <w:szCs w:val="12"/>
                <w:color w:val="auto"/>
              </w:rPr>
              <w:t>4,327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42"/>
              <w:spacing w:after="0" w:line="134"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1,719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tcBorders>
              <w:right w:val="single" w:sz="8" w:color="CCEEFF"/>
            </w:tcBorders>
            <w:gridSpan w:val="2"/>
            <w:shd w:val="clear" w:color="auto" w:fill="CCEEFF"/>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520" w:type="dxa"/>
            <w:vAlign w:val="bottom"/>
            <w:tcBorders>
              <w:left w:val="single" w:sz="8" w:color="CCEEFF"/>
            </w:tcBorders>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1,592</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8,491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10,259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11,866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ind w:right="87"/>
              <w:spacing w:after="0"/>
              <w:rPr>
                <w:sz w:val="20"/>
                <w:szCs w:val="20"/>
                <w:color w:val="auto"/>
              </w:rPr>
            </w:pPr>
            <w:r>
              <w:rPr>
                <w:rFonts w:ascii="Arial" w:cs="Arial" w:eastAsia="Arial" w:hAnsi="Arial"/>
                <w:sz w:val="12"/>
                <w:szCs w:val="12"/>
                <w:color w:val="auto"/>
              </w:rPr>
              <w:t>14,669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138"/>
              <w:spacing w:after="0"/>
              <w:rPr>
                <w:sz w:val="20"/>
                <w:szCs w:val="20"/>
                <w:color w:val="auto"/>
              </w:rPr>
            </w:pPr>
            <w:r>
              <w:rPr>
                <w:rFonts w:ascii="Arial" w:cs="Arial" w:eastAsia="Arial" w:hAnsi="Arial"/>
                <w:sz w:val="12"/>
                <w:szCs w:val="12"/>
                <w:color w:val="auto"/>
              </w:rPr>
              <w:t>13,717</w:t>
            </w: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13,992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right"/>
              <w:ind w:right="67"/>
              <w:spacing w:after="0"/>
              <w:rPr>
                <w:sz w:val="20"/>
                <w:szCs w:val="20"/>
                <w:color w:val="auto"/>
              </w:rPr>
            </w:pPr>
            <w:r>
              <w:rPr>
                <w:rFonts w:ascii="Arial" w:cs="Arial" w:eastAsia="Arial" w:hAnsi="Arial"/>
                <w:sz w:val="12"/>
                <w:szCs w:val="12"/>
                <w:color w:val="auto"/>
              </w:rPr>
              <w:t>15,942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2"/>
                <w:szCs w:val="12"/>
                <w:color w:val="auto"/>
              </w:rPr>
              <w:t>18,852</w:t>
            </w:r>
          </w:p>
        </w:tc>
        <w:tc>
          <w:tcPr>
            <w:tcW w:w="680" w:type="dxa"/>
            <w:vAlign w:val="bottom"/>
            <w:gridSpan w:val="4"/>
          </w:tcPr>
          <w:p>
            <w:pPr>
              <w:jc w:val="right"/>
              <w:ind w:right="80"/>
              <w:spacing w:after="0"/>
              <w:rPr>
                <w:sz w:val="20"/>
                <w:szCs w:val="20"/>
                <w:color w:val="auto"/>
              </w:rPr>
            </w:pPr>
            <w:r>
              <w:rPr>
                <w:rFonts w:ascii="Arial" w:cs="Arial" w:eastAsia="Arial" w:hAnsi="Arial"/>
                <w:sz w:val="12"/>
                <w:szCs w:val="12"/>
                <w:color w:val="auto"/>
              </w:rPr>
              <w:t>19,884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(5,611)</w:t>
            </w:r>
          </w:p>
        </w:tc>
        <w:tc>
          <w:tcPr>
            <w:tcW w:w="7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(6,601)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(7,942)</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(10,395)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(8,352)</w:t>
            </w:r>
          </w:p>
        </w:tc>
        <w:tc>
          <w:tcPr>
            <w:tcW w:w="520" w:type="dxa"/>
            <w:vAlign w:val="bottom"/>
            <w:tcBorders>
              <w:left w:val="single" w:sz="8" w:color="CCEEFF"/>
            </w:tcBorders>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(5,727)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(5,767)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(9,373)</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(10,049)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(170)</w:t>
            </w:r>
          </w:p>
        </w:tc>
        <w:tc>
          <w:tcPr>
            <w:tcW w:w="7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(73)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59</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(56)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(153)</w:t>
            </w:r>
          </w:p>
        </w:tc>
        <w:tc>
          <w:tcPr>
            <w:tcW w:w="520" w:type="dxa"/>
            <w:vAlign w:val="bottom"/>
            <w:tcBorders>
              <w:left w:val="single" w:sz="8" w:color="CCEEFF"/>
            </w:tcBorders>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(264)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w w:val="99"/>
              </w:rPr>
              <w:t>(307)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(365)</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46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(75)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(94)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ind w:right="27"/>
              <w:spacing w:after="0" w:line="134" w:lineRule="exact"/>
              <w:rPr>
                <w:sz w:val="20"/>
                <w:szCs w:val="20"/>
                <w:color w:val="auto"/>
              </w:rPr>
            </w:pPr>
            <w:r>
              <w:rPr>
                <w:rFonts w:ascii="Arial" w:cs="Arial" w:eastAsia="Arial" w:hAnsi="Arial"/>
                <w:sz w:val="12"/>
                <w:szCs w:val="12"/>
                <w:color w:val="auto"/>
              </w:rPr>
              <w:t>(80)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ind w:right="98"/>
              <w:spacing w:after="0" w:line="134" w:lineRule="exact"/>
              <w:rPr>
                <w:sz w:val="20"/>
                <w:szCs w:val="20"/>
                <w:color w:val="auto"/>
              </w:rPr>
            </w:pPr>
            <w:r>
              <w:rPr>
                <w:rFonts w:ascii="Arial" w:cs="Arial" w:eastAsia="Arial" w:hAnsi="Arial"/>
                <w:sz w:val="12"/>
                <w:szCs w:val="12"/>
                <w:color w:val="auto"/>
              </w:rPr>
              <w:t>(102)</w:t>
            </w:r>
          </w:p>
        </w:tc>
        <w:tc>
          <w:tcPr>
            <w:tcW w:w="520" w:type="dxa"/>
            <w:vAlign w:val="bottom"/>
            <w:gridSpan w:val="3"/>
          </w:tcPr>
          <w:p>
            <w:pPr>
              <w:jc w:val="right"/>
              <w:ind w:right="40"/>
              <w:spacing w:after="0" w:line="134" w:lineRule="exact"/>
              <w:rPr>
                <w:sz w:val="20"/>
                <w:szCs w:val="20"/>
                <w:color w:val="auto"/>
              </w:rPr>
            </w:pPr>
            <w:r>
              <w:rPr>
                <w:rFonts w:ascii="Arial" w:cs="Arial" w:eastAsia="Arial" w:hAnsi="Arial"/>
                <w:sz w:val="12"/>
                <w:szCs w:val="12"/>
                <w:color w:val="auto"/>
              </w:rPr>
              <w:t>(129)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jc w:val="right"/>
              <w:ind w:right="7"/>
              <w:spacing w:after="0" w:line="134" w:lineRule="exact"/>
              <w:rPr>
                <w:sz w:val="20"/>
                <w:szCs w:val="20"/>
                <w:color w:val="auto"/>
              </w:rPr>
            </w:pPr>
            <w:r>
              <w:rPr>
                <w:rFonts w:ascii="Arial" w:cs="Arial" w:eastAsia="Arial" w:hAnsi="Arial"/>
                <w:sz w:val="12"/>
                <w:szCs w:val="12"/>
                <w:color w:val="auto"/>
                <w:w w:val="99"/>
              </w:rPr>
              <w:t>(109)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(440)</w:t>
            </w:r>
          </w:p>
        </w:tc>
        <w:tc>
          <w:tcPr>
            <w:tcW w:w="6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(124)</w:t>
            </w:r>
          </w:p>
        </w:tc>
        <w:tc>
          <w:tcPr>
            <w:tcW w:w="7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(148)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(35)</w:t>
            </w: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(136)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(255)</w:t>
            </w:r>
          </w:p>
        </w:tc>
        <w:tc>
          <w:tcPr>
            <w:tcW w:w="520" w:type="dxa"/>
            <w:vAlign w:val="bottom"/>
            <w:tcBorders>
              <w:left w:val="single" w:sz="8" w:color="CCEEFF"/>
            </w:tcBorders>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w w:val="99"/>
              </w:rPr>
              <w:t>(416)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(805)</w:t>
            </w:r>
          </w:p>
        </w:tc>
        <w:tc>
          <w:tcPr>
            <w:tcW w:w="6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2"/>
                <w:szCs w:val="12"/>
                <w:color w:val="auto"/>
              </w:rPr>
              <w:t>(5,735)</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color w:val="auto"/>
              </w:rPr>
              <w:t>(6,749)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(7,977)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ind w:right="27"/>
              <w:spacing w:after="0"/>
              <w:rPr>
                <w:sz w:val="20"/>
                <w:szCs w:val="20"/>
                <w:color w:val="auto"/>
              </w:rPr>
            </w:pPr>
            <w:r>
              <w:rPr>
                <w:rFonts w:ascii="Arial" w:cs="Arial" w:eastAsia="Arial" w:hAnsi="Arial"/>
                <w:sz w:val="12"/>
                <w:szCs w:val="12"/>
                <w:color w:val="auto"/>
              </w:rPr>
              <w:t>(10,531)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98"/>
              <w:spacing w:after="0"/>
              <w:rPr>
                <w:sz w:val="20"/>
                <w:szCs w:val="20"/>
                <w:color w:val="auto"/>
              </w:rPr>
            </w:pPr>
            <w:r>
              <w:rPr>
                <w:rFonts w:ascii="Arial" w:cs="Arial" w:eastAsia="Arial" w:hAnsi="Arial"/>
                <w:sz w:val="12"/>
                <w:szCs w:val="12"/>
                <w:color w:val="auto"/>
              </w:rPr>
              <w:t>(8,607)</w:t>
            </w: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rPr>
              <w:t>(6,120)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right"/>
              <w:ind w:right="7"/>
              <w:spacing w:after="0"/>
              <w:rPr>
                <w:sz w:val="20"/>
                <w:szCs w:val="20"/>
                <w:color w:val="auto"/>
              </w:rPr>
            </w:pPr>
            <w:r>
              <w:rPr>
                <w:rFonts w:ascii="Arial" w:cs="Arial" w:eastAsia="Arial" w:hAnsi="Arial"/>
                <w:sz w:val="12"/>
                <w:szCs w:val="12"/>
                <w:color w:val="auto"/>
              </w:rPr>
              <w:t>(6,183)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(10,178)</w:t>
            </w: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(10,501)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42"/>
              <w:spacing w:after="0" w:line="134" w:lineRule="exact"/>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ind w:left="180"/>
              <w:spacing w:after="0" w:line="134"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21"/>
              <w:spacing w:after="0" w:line="134"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left w:val="single" w:sz="8" w:color="CCEEFF"/>
            </w:tcBorders>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(8,801)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 attributable to common stockholders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center"/>
              <w:ind w:left="99"/>
              <w:spacing w:after="0"/>
              <w:rPr>
                <w:sz w:val="20"/>
                <w:szCs w:val="20"/>
                <w:color w:val="auto"/>
              </w:rPr>
            </w:pPr>
            <w:r>
              <w:rPr>
                <w:rFonts w:ascii="Arial" w:cs="Arial" w:eastAsia="Arial" w:hAnsi="Arial"/>
                <w:sz w:val="12"/>
                <w:szCs w:val="12"/>
                <w:color w:val="auto"/>
                <w:w w:val="89"/>
              </w:rPr>
              <w:t>$</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color w:val="auto"/>
              </w:rPr>
              <w:t>(5,735)</w:t>
            </w:r>
          </w:p>
        </w:tc>
        <w:tc>
          <w:tcPr>
            <w:tcW w:w="740" w:type="dxa"/>
            <w:vAlign w:val="bottom"/>
            <w:gridSpan w:val="3"/>
          </w:tcPr>
          <w:p>
            <w:pPr>
              <w:jc w:val="right"/>
              <w:ind w:right="100"/>
              <w:spacing w:after="0"/>
              <w:rPr>
                <w:sz w:val="20"/>
                <w:szCs w:val="20"/>
                <w:color w:val="auto"/>
              </w:rPr>
            </w:pPr>
            <w:r>
              <w:rPr>
                <w:rFonts w:ascii="Arial" w:cs="Arial" w:eastAsia="Arial" w:hAnsi="Arial"/>
                <w:sz w:val="12"/>
                <w:szCs w:val="12"/>
                <w:color w:val="auto"/>
              </w:rPr>
              <w:t>$ (6,749)</w:t>
            </w:r>
          </w:p>
        </w:tc>
        <w:tc>
          <w:tcPr>
            <w:tcW w:w="4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(7,977)</w:t>
            </w:r>
          </w:p>
        </w:tc>
        <w:tc>
          <w:tcPr>
            <w:tcW w:w="3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27"/>
              <w:spacing w:after="0"/>
              <w:rPr>
                <w:sz w:val="20"/>
                <w:szCs w:val="20"/>
                <w:color w:val="auto"/>
              </w:rPr>
            </w:pPr>
            <w:r>
              <w:rPr>
                <w:rFonts w:ascii="Arial" w:cs="Arial" w:eastAsia="Arial" w:hAnsi="Arial"/>
                <w:sz w:val="12"/>
                <w:szCs w:val="12"/>
                <w:color w:val="auto"/>
              </w:rPr>
              <w:t>(10,531)</w:t>
            </w:r>
          </w:p>
        </w:tc>
        <w:tc>
          <w:tcPr>
            <w:tcW w:w="40" w:type="dxa"/>
            <w:vAlign w:val="bottom"/>
          </w:tcPr>
          <w:p>
            <w:pPr>
              <w:spacing w:after="0"/>
              <w:rPr>
                <w:sz w:val="12"/>
                <w:szCs w:val="12"/>
                <w:color w:val="auto"/>
              </w:rPr>
            </w:pPr>
          </w:p>
        </w:tc>
        <w:tc>
          <w:tcPr>
            <w:tcW w:w="12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98"/>
              <w:spacing w:after="0"/>
              <w:rPr>
                <w:sz w:val="20"/>
                <w:szCs w:val="20"/>
                <w:color w:val="auto"/>
              </w:rPr>
            </w:pPr>
            <w:r>
              <w:rPr>
                <w:rFonts w:ascii="Arial" w:cs="Arial" w:eastAsia="Arial" w:hAnsi="Arial"/>
                <w:sz w:val="12"/>
                <w:szCs w:val="12"/>
                <w:color w:val="auto"/>
              </w:rPr>
              <w:t>(8,607)</w:t>
            </w: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w w:val="95"/>
              </w:rPr>
              <w:t>$ (6,120)</w:t>
            </w:r>
          </w:p>
        </w:tc>
        <w:tc>
          <w:tcPr>
            <w:tcW w:w="200" w:type="dxa"/>
            <w:vAlign w:val="bottom"/>
            <w:gridSpan w:val="2"/>
          </w:tcPr>
          <w:p>
            <w:pPr>
              <w:jc w:val="center"/>
              <w:ind w:left="41"/>
              <w:spacing w:after="0"/>
              <w:rPr>
                <w:sz w:val="20"/>
                <w:szCs w:val="20"/>
                <w:color w:val="auto"/>
              </w:rPr>
            </w:pPr>
            <w:r>
              <w:rPr>
                <w:rFonts w:ascii="Arial" w:cs="Arial" w:eastAsia="Arial" w:hAnsi="Arial"/>
                <w:sz w:val="12"/>
                <w:szCs w:val="12"/>
                <w:color w:val="auto"/>
                <w:w w:val="89"/>
              </w:rPr>
              <w:t>$</w:t>
            </w:r>
          </w:p>
        </w:tc>
        <w:tc>
          <w:tcPr>
            <w:tcW w:w="760" w:type="dxa"/>
            <w:vAlign w:val="bottom"/>
            <w:gridSpan w:val="4"/>
          </w:tcPr>
          <w:p>
            <w:pPr>
              <w:jc w:val="right"/>
              <w:ind w:right="7"/>
              <w:spacing w:after="0"/>
              <w:rPr>
                <w:sz w:val="20"/>
                <w:szCs w:val="20"/>
                <w:color w:val="auto"/>
              </w:rPr>
            </w:pPr>
            <w:r>
              <w:rPr>
                <w:rFonts w:ascii="Arial" w:cs="Arial" w:eastAsia="Arial" w:hAnsi="Arial"/>
                <w:sz w:val="12"/>
                <w:szCs w:val="12"/>
                <w:color w:val="auto"/>
              </w:rPr>
              <w:t>(14,984)</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(10,178)</w:t>
            </w:r>
          </w:p>
        </w:tc>
        <w:tc>
          <w:tcPr>
            <w:tcW w:w="680" w:type="dxa"/>
            <w:vAlign w:val="bottom"/>
            <w:gridSpan w:val="4"/>
          </w:tcPr>
          <w:p>
            <w:pPr>
              <w:jc w:val="right"/>
              <w:ind w:right="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(10,501)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96"/>
              </w:rPr>
              <w:t>Quarter Ended</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80" w:type="dxa"/>
            <w:vAlign w:val="bottom"/>
            <w:gridSpan w:val="2"/>
          </w:tcPr>
          <w:p>
            <w:pPr>
              <w:jc w:val="right"/>
              <w:ind w:right="280"/>
              <w:spacing w:after="0" w:line="99" w:lineRule="exact"/>
              <w:rPr>
                <w:sz w:val="20"/>
                <w:szCs w:val="20"/>
                <w:color w:val="auto"/>
              </w:rPr>
            </w:pPr>
            <w:r>
              <w:rPr>
                <w:rFonts w:ascii="Arial" w:cs="Arial" w:eastAsia="Arial" w:hAnsi="Arial"/>
                <w:sz w:val="11"/>
                <w:szCs w:val="11"/>
                <w:b w:val="1"/>
                <w:bCs w:val="1"/>
                <w:color w:val="auto"/>
                <w:w w:val="94"/>
              </w:rPr>
              <w:t>March 31,</w:t>
            </w:r>
          </w:p>
        </w:tc>
        <w:tc>
          <w:tcPr>
            <w:tcW w:w="740" w:type="dxa"/>
            <w:vAlign w:val="bottom"/>
            <w:gridSpan w:val="5"/>
          </w:tcPr>
          <w:p>
            <w:pPr>
              <w:jc w:val="center"/>
              <w:ind w:right="280"/>
              <w:spacing w:after="0" w:line="99" w:lineRule="exact"/>
              <w:rPr>
                <w:sz w:val="20"/>
                <w:szCs w:val="20"/>
                <w:color w:val="auto"/>
              </w:rPr>
            </w:pPr>
            <w:r>
              <w:rPr>
                <w:rFonts w:ascii="Arial" w:cs="Arial" w:eastAsia="Arial" w:hAnsi="Arial"/>
                <w:sz w:val="11"/>
                <w:szCs w:val="11"/>
                <w:b w:val="1"/>
                <w:bCs w:val="1"/>
                <w:color w:val="auto"/>
                <w:w w:val="95"/>
              </w:rPr>
              <w:t>June 30,</w:t>
            </w:r>
          </w:p>
        </w:tc>
        <w:tc>
          <w:tcPr>
            <w:tcW w:w="780" w:type="dxa"/>
            <w:vAlign w:val="bottom"/>
            <w:gridSpan w:val="4"/>
          </w:tcPr>
          <w:p>
            <w:pPr>
              <w:jc w:val="center"/>
              <w:ind w:right="40"/>
              <w:spacing w:after="0" w:line="99" w:lineRule="exact"/>
              <w:rPr>
                <w:sz w:val="20"/>
                <w:szCs w:val="20"/>
                <w:color w:val="auto"/>
              </w:rPr>
            </w:pPr>
            <w:r>
              <w:rPr>
                <w:rFonts w:ascii="Arial" w:cs="Arial" w:eastAsia="Arial" w:hAnsi="Arial"/>
                <w:sz w:val="11"/>
                <w:szCs w:val="11"/>
                <w:b w:val="1"/>
                <w:bCs w:val="1"/>
                <w:color w:val="auto"/>
                <w:w w:val="98"/>
              </w:rPr>
              <w:t>September 30,</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4"/>
          </w:tcPr>
          <w:p>
            <w:pPr>
              <w:jc w:val="center"/>
              <w:ind w:right="127"/>
              <w:spacing w:after="0" w:line="99" w:lineRule="exact"/>
              <w:rPr>
                <w:sz w:val="20"/>
                <w:szCs w:val="20"/>
                <w:color w:val="auto"/>
              </w:rPr>
            </w:pPr>
            <w:r>
              <w:rPr>
                <w:rFonts w:ascii="Arial" w:cs="Arial" w:eastAsia="Arial" w:hAnsi="Arial"/>
                <w:sz w:val="11"/>
                <w:szCs w:val="11"/>
                <w:b w:val="1"/>
                <w:bCs w:val="1"/>
                <w:color w:val="auto"/>
                <w:w w:val="97"/>
              </w:rPr>
              <w:t>December 31,</w:t>
            </w:r>
          </w:p>
        </w:tc>
        <w:tc>
          <w:tcPr>
            <w:tcW w:w="120" w:type="dxa"/>
            <w:vAlign w:val="bottom"/>
          </w:tcPr>
          <w:p>
            <w:pPr>
              <w:spacing w:after="0"/>
              <w:rPr>
                <w:sz w:val="8"/>
                <w:szCs w:val="8"/>
                <w:color w:val="auto"/>
              </w:rPr>
            </w:pPr>
          </w:p>
        </w:tc>
        <w:tc>
          <w:tcPr>
            <w:tcW w:w="540" w:type="dxa"/>
            <w:vAlign w:val="bottom"/>
            <w:gridSpan w:val="3"/>
          </w:tcPr>
          <w:p>
            <w:pPr>
              <w:jc w:val="right"/>
              <w:ind w:right="40"/>
              <w:spacing w:after="0" w:line="99" w:lineRule="exact"/>
              <w:rPr>
                <w:sz w:val="20"/>
                <w:szCs w:val="20"/>
                <w:color w:val="auto"/>
              </w:rPr>
            </w:pPr>
            <w:r>
              <w:rPr>
                <w:rFonts w:ascii="Arial" w:cs="Arial" w:eastAsia="Arial" w:hAnsi="Arial"/>
                <w:sz w:val="11"/>
                <w:szCs w:val="11"/>
                <w:b w:val="1"/>
                <w:bCs w:val="1"/>
                <w:color w:val="auto"/>
                <w:w w:val="94"/>
              </w:rPr>
              <w:t>March 31,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2"/>
          </w:tcPr>
          <w:p>
            <w:pPr>
              <w:jc w:val="right"/>
              <w:spacing w:after="0" w:line="99" w:lineRule="exact"/>
              <w:rPr>
                <w:sz w:val="20"/>
                <w:szCs w:val="20"/>
                <w:color w:val="auto"/>
              </w:rPr>
            </w:pPr>
            <w:r>
              <w:rPr>
                <w:rFonts w:ascii="Arial" w:cs="Arial" w:eastAsia="Arial" w:hAnsi="Arial"/>
                <w:sz w:val="11"/>
                <w:szCs w:val="11"/>
                <w:b w:val="1"/>
                <w:bCs w:val="1"/>
                <w:color w:val="auto"/>
                <w:w w:val="95"/>
              </w:rPr>
              <w:t>June 30,</w:t>
            </w:r>
          </w:p>
        </w:tc>
        <w:tc>
          <w:tcPr>
            <w:tcW w:w="300" w:type="dxa"/>
            <w:vAlign w:val="bottom"/>
          </w:tcPr>
          <w:p>
            <w:pPr>
              <w:spacing w:after="0"/>
              <w:rPr>
                <w:sz w:val="8"/>
                <w:szCs w:val="8"/>
                <w:color w:val="auto"/>
              </w:rPr>
            </w:pPr>
          </w:p>
        </w:tc>
        <w:tc>
          <w:tcPr>
            <w:tcW w:w="820" w:type="dxa"/>
            <w:vAlign w:val="bottom"/>
            <w:gridSpan w:val="6"/>
          </w:tcPr>
          <w:p>
            <w:pPr>
              <w:jc w:val="right"/>
              <w:ind w:right="80"/>
              <w:spacing w:after="0" w:line="99" w:lineRule="exact"/>
              <w:rPr>
                <w:sz w:val="20"/>
                <w:szCs w:val="20"/>
                <w:color w:val="auto"/>
              </w:rPr>
            </w:pPr>
            <w:r>
              <w:rPr>
                <w:rFonts w:ascii="Arial" w:cs="Arial" w:eastAsia="Arial" w:hAnsi="Arial"/>
                <w:sz w:val="11"/>
                <w:szCs w:val="11"/>
                <w:b w:val="1"/>
                <w:bCs w:val="1"/>
                <w:color w:val="auto"/>
                <w:w w:val="95"/>
              </w:rPr>
              <w:t>September 30,</w:t>
            </w:r>
          </w:p>
        </w:tc>
        <w:tc>
          <w:tcPr>
            <w:tcW w:w="240" w:type="dxa"/>
            <w:vAlign w:val="bottom"/>
          </w:tcPr>
          <w:p>
            <w:pPr>
              <w:spacing w:after="0"/>
              <w:rPr>
                <w:sz w:val="8"/>
                <w:szCs w:val="8"/>
                <w:color w:val="auto"/>
              </w:rPr>
            </w:pPr>
          </w:p>
        </w:tc>
        <w:tc>
          <w:tcPr>
            <w:tcW w:w="1000" w:type="dxa"/>
            <w:vAlign w:val="bottom"/>
            <w:gridSpan w:val="6"/>
          </w:tcPr>
          <w:p>
            <w:pPr>
              <w:jc w:val="right"/>
              <w:ind w:right="320"/>
              <w:spacing w:after="0" w:line="99" w:lineRule="exact"/>
              <w:rPr>
                <w:sz w:val="20"/>
                <w:szCs w:val="20"/>
                <w:color w:val="auto"/>
              </w:rPr>
            </w:pPr>
            <w:r>
              <w:rPr>
                <w:rFonts w:ascii="Arial" w:cs="Arial" w:eastAsia="Arial" w:hAnsi="Arial"/>
                <w:sz w:val="11"/>
                <w:szCs w:val="11"/>
                <w:b w:val="1"/>
                <w:bCs w:val="1"/>
                <w:color w:val="auto"/>
                <w:w w:val="92"/>
              </w:rPr>
              <w:t>December 31,</w:t>
            </w:r>
          </w:p>
        </w:tc>
        <w:tc>
          <w:tcPr>
            <w:tcW w:w="500" w:type="dxa"/>
            <w:vAlign w:val="bottom"/>
            <w:gridSpan w:val="2"/>
          </w:tcPr>
          <w:p>
            <w:pPr>
              <w:jc w:val="right"/>
              <w:spacing w:after="0" w:line="99" w:lineRule="exact"/>
              <w:rPr>
                <w:sz w:val="20"/>
                <w:szCs w:val="20"/>
                <w:color w:val="auto"/>
              </w:rPr>
            </w:pPr>
            <w:r>
              <w:rPr>
                <w:rFonts w:ascii="Arial" w:cs="Arial" w:eastAsia="Arial" w:hAnsi="Arial"/>
                <w:sz w:val="11"/>
                <w:szCs w:val="11"/>
                <w:b w:val="1"/>
                <w:bCs w:val="1"/>
                <w:color w:val="auto"/>
                <w:w w:val="94"/>
              </w:rPr>
              <w:t>March 31,</w:t>
            </w:r>
          </w:p>
        </w:tc>
        <w:tc>
          <w:tcPr>
            <w:tcW w:w="1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7"/>
              </w:rPr>
              <w:t>2019</w:t>
            </w: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center"/>
              <w:ind w:left="218"/>
              <w:spacing w:after="0"/>
              <w:rPr>
                <w:sz w:val="20"/>
                <w:szCs w:val="20"/>
                <w:color w:val="auto"/>
              </w:rPr>
            </w:pPr>
            <w:r>
              <w:rPr>
                <w:rFonts w:ascii="Arial" w:cs="Arial" w:eastAsia="Arial" w:hAnsi="Arial"/>
                <w:sz w:val="11"/>
                <w:szCs w:val="11"/>
                <w:b w:val="1"/>
                <w:bCs w:val="1"/>
                <w:color w:val="auto"/>
                <w:w w:val="97"/>
              </w:rPr>
              <w:t>2019</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jc w:val="center"/>
              <w:ind w:right="178"/>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8"/>
          </w:tcPr>
          <w:p>
            <w:pPr>
              <w:jc w:val="right"/>
              <w:ind w:right="180"/>
              <w:spacing w:after="0" w:line="99" w:lineRule="exact"/>
              <w:rPr>
                <w:sz w:val="20"/>
                <w:szCs w:val="20"/>
                <w:color w:val="auto"/>
              </w:rPr>
            </w:pPr>
            <w:r>
              <w:rPr>
                <w:rFonts w:ascii="Arial" w:cs="Arial" w:eastAsia="Arial" w:hAnsi="Arial"/>
                <w:sz w:val="11"/>
                <w:szCs w:val="11"/>
                <w:b w:val="1"/>
                <w:bCs w:val="1"/>
                <w:color w:val="auto"/>
              </w:rPr>
              <w:t>(as a % of revenue)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6"/>
          </w:tcPr>
          <w:p>
            <w:pPr>
              <w:jc w:val="right"/>
              <w:ind w:right="380"/>
              <w:spacing w:after="0"/>
              <w:rPr>
                <w:sz w:val="20"/>
                <w:szCs w:val="20"/>
                <w:color w:val="auto"/>
              </w:rPr>
            </w:pPr>
            <w:r>
              <w:rPr>
                <w:rFonts w:ascii="Arial" w:cs="Arial" w:eastAsia="Arial" w:hAnsi="Arial"/>
                <w:sz w:val="11"/>
                <w:szCs w:val="11"/>
                <w:b w:val="1"/>
                <w:bCs w:val="1"/>
                <w:color w:val="auto"/>
              </w:rPr>
              <w:t>(unaudited)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w:t>
            </w:r>
          </w:p>
        </w:tc>
        <w:tc>
          <w:tcPr>
            <w:tcW w:w="680" w:type="dxa"/>
            <w:vAlign w:val="bottom"/>
            <w:gridSpan w:val="4"/>
            <w:shd w:val="clear" w:color="auto" w:fill="CCEEFF"/>
          </w:tcPr>
          <w:p>
            <w:pPr>
              <w:jc w:val="right"/>
              <w:ind w:right="58"/>
              <w:spacing w:after="0"/>
              <w:rPr>
                <w:sz w:val="20"/>
                <w:szCs w:val="20"/>
                <w:color w:val="auto"/>
              </w:rPr>
            </w:pPr>
            <w:r>
              <w:rPr>
                <w:rFonts w:ascii="Arial" w:cs="Arial" w:eastAsia="Arial" w:hAnsi="Arial"/>
                <w:sz w:val="12"/>
                <w:szCs w:val="12"/>
                <w:color w:val="auto"/>
              </w:rPr>
              <w:t>100.0%</w:t>
            </w:r>
          </w:p>
        </w:tc>
        <w:tc>
          <w:tcPr>
            <w:tcW w:w="6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61"/>
              <w:spacing w:after="0"/>
              <w:rPr>
                <w:sz w:val="20"/>
                <w:szCs w:val="20"/>
                <w:color w:val="auto"/>
              </w:rPr>
            </w:pPr>
            <w:r>
              <w:rPr>
                <w:rFonts w:ascii="Arial" w:cs="Arial" w:eastAsia="Arial" w:hAnsi="Arial"/>
                <w:sz w:val="12"/>
                <w:szCs w:val="12"/>
                <w:color w:val="auto"/>
              </w:rPr>
              <w:t>100.0%</w:t>
            </w:r>
          </w:p>
        </w:tc>
        <w:tc>
          <w:tcPr>
            <w:tcW w:w="960" w:type="dxa"/>
            <w:vAlign w:val="bottom"/>
            <w:gridSpan w:val="5"/>
            <w:shd w:val="clear" w:color="auto" w:fill="CCEEFF"/>
          </w:tcPr>
          <w:p>
            <w:pPr>
              <w:jc w:val="right"/>
              <w:ind w:right="7"/>
              <w:spacing w:after="0"/>
              <w:rPr>
                <w:sz w:val="20"/>
                <w:szCs w:val="20"/>
                <w:color w:val="auto"/>
              </w:rPr>
            </w:pPr>
            <w:r>
              <w:rPr>
                <w:rFonts w:ascii="Arial" w:cs="Arial" w:eastAsia="Arial" w:hAnsi="Arial"/>
                <w:sz w:val="12"/>
                <w:szCs w:val="12"/>
                <w:color w:val="auto"/>
              </w:rPr>
              <w:t>100.0%</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900" w:type="dxa"/>
            <w:vAlign w:val="bottom"/>
            <w:gridSpan w:val="4"/>
            <w:shd w:val="clear" w:color="auto" w:fill="CCEEFF"/>
          </w:tcPr>
          <w:p>
            <w:pPr>
              <w:jc w:val="right"/>
              <w:ind w:right="139"/>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2"/>
                <w:szCs w:val="12"/>
                <w:color w:val="auto"/>
                <w:w w:val="98"/>
              </w:rPr>
              <w:t>100.0%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81.1</w:t>
            </w:r>
          </w:p>
        </w:tc>
        <w:tc>
          <w:tcPr>
            <w:tcW w:w="280" w:type="dxa"/>
            <w:vAlign w:val="bottom"/>
          </w:tcPr>
          <w:p>
            <w:pPr>
              <w:spacing w:after="0"/>
              <w:rPr>
                <w:sz w:val="11"/>
                <w:szCs w:val="11"/>
                <w:color w:val="auto"/>
              </w:rPr>
            </w:pPr>
          </w:p>
        </w:tc>
        <w:tc>
          <w:tcPr>
            <w:tcW w:w="680" w:type="dxa"/>
            <w:vAlign w:val="bottom"/>
            <w:gridSpan w:val="4"/>
          </w:tcPr>
          <w:p>
            <w:pPr>
              <w:jc w:val="right"/>
              <w:ind w:right="178"/>
              <w:spacing w:after="0" w:line="134" w:lineRule="exact"/>
              <w:rPr>
                <w:sz w:val="20"/>
                <w:szCs w:val="20"/>
                <w:color w:val="auto"/>
              </w:rPr>
            </w:pPr>
            <w:r>
              <w:rPr>
                <w:rFonts w:ascii="Arial" w:cs="Arial" w:eastAsia="Arial" w:hAnsi="Arial"/>
                <w:sz w:val="12"/>
                <w:szCs w:val="12"/>
                <w:color w:val="auto"/>
              </w:rPr>
              <w:t>80.5</w:t>
            </w:r>
          </w:p>
        </w:tc>
        <w:tc>
          <w:tcPr>
            <w:tcW w:w="60" w:type="dxa"/>
            <w:vAlign w:val="bottom"/>
          </w:tcPr>
          <w:p>
            <w:pPr>
              <w:spacing w:after="0"/>
              <w:rPr>
                <w:sz w:val="11"/>
                <w:szCs w:val="11"/>
                <w:color w:val="auto"/>
              </w:rPr>
            </w:pPr>
          </w:p>
        </w:tc>
        <w:tc>
          <w:tcPr>
            <w:tcW w:w="7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82.1</w:t>
            </w:r>
          </w:p>
        </w:tc>
        <w:tc>
          <w:tcPr>
            <w:tcW w:w="180" w:type="dxa"/>
            <w:vAlign w:val="bottom"/>
          </w:tcPr>
          <w:p>
            <w:pPr>
              <w:spacing w:after="0"/>
              <w:rPr>
                <w:sz w:val="11"/>
                <w:szCs w:val="11"/>
                <w:color w:val="auto"/>
              </w:rPr>
            </w:pPr>
          </w:p>
        </w:tc>
        <w:tc>
          <w:tcPr>
            <w:tcW w:w="960" w:type="dxa"/>
            <w:vAlign w:val="bottom"/>
            <w:gridSpan w:val="5"/>
          </w:tcPr>
          <w:p>
            <w:pPr>
              <w:jc w:val="right"/>
              <w:ind w:right="127"/>
              <w:spacing w:after="0" w:line="134" w:lineRule="exact"/>
              <w:rPr>
                <w:sz w:val="20"/>
                <w:szCs w:val="20"/>
                <w:color w:val="auto"/>
              </w:rPr>
            </w:pPr>
            <w:r>
              <w:rPr>
                <w:rFonts w:ascii="Arial" w:cs="Arial" w:eastAsia="Arial" w:hAnsi="Arial"/>
                <w:sz w:val="12"/>
                <w:szCs w:val="12"/>
                <w:color w:val="auto"/>
              </w:rPr>
              <w:t>82.4</w:t>
            </w:r>
          </w:p>
        </w:tc>
        <w:tc>
          <w:tcPr>
            <w:tcW w:w="66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79.9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76.2</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75.7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75.0</w:t>
            </w:r>
          </w:p>
        </w:tc>
        <w:tc>
          <w:tcPr>
            <w:tcW w:w="100" w:type="dxa"/>
            <w:vAlign w:val="bottom"/>
          </w:tcPr>
          <w:p>
            <w:pPr>
              <w:spacing w:after="0"/>
              <w:rPr>
                <w:sz w:val="11"/>
                <w:szCs w:val="11"/>
                <w:color w:val="auto"/>
              </w:rPr>
            </w:pPr>
          </w:p>
        </w:tc>
        <w:tc>
          <w:tcPr>
            <w:tcW w:w="60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77.6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18.9</w:t>
            </w:r>
          </w:p>
        </w:tc>
        <w:tc>
          <w:tcPr>
            <w:tcW w:w="280" w:type="dxa"/>
            <w:vAlign w:val="bottom"/>
            <w:shd w:val="clear" w:color="auto" w:fill="CCEEFF"/>
          </w:tcPr>
          <w:p>
            <w:pPr>
              <w:spacing w:after="0"/>
              <w:rPr>
                <w:sz w:val="11"/>
                <w:szCs w:val="11"/>
                <w:color w:val="auto"/>
              </w:rPr>
            </w:pPr>
          </w:p>
        </w:tc>
        <w:tc>
          <w:tcPr>
            <w:tcW w:w="680" w:type="dxa"/>
            <w:vAlign w:val="bottom"/>
            <w:gridSpan w:val="4"/>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19.5</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17.9</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17.6</w:t>
            </w:r>
          </w:p>
        </w:tc>
        <w:tc>
          <w:tcPr>
            <w:tcW w:w="66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20.1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23.8</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24.3</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22.4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78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17.6</w:t>
            </w:r>
          </w:p>
        </w:tc>
        <w:tc>
          <w:tcPr>
            <w:tcW w:w="680" w:type="dxa"/>
            <w:vAlign w:val="bottom"/>
            <w:gridSpan w:val="4"/>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18.2</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18.9</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17.9</w:t>
            </w:r>
          </w:p>
        </w:tc>
        <w:tc>
          <w:tcPr>
            <w:tcW w:w="66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17.7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14.7</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14.3</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78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15.1</w:t>
            </w:r>
          </w:p>
        </w:tc>
        <w:tc>
          <w:tcPr>
            <w:tcW w:w="680" w:type="dxa"/>
            <w:vAlign w:val="bottom"/>
            <w:gridSpan w:val="4"/>
          </w:tcPr>
          <w:p>
            <w:pPr>
              <w:jc w:val="right"/>
              <w:ind w:right="178"/>
              <w:spacing w:after="0" w:line="134" w:lineRule="exact"/>
              <w:rPr>
                <w:sz w:val="20"/>
                <w:szCs w:val="20"/>
                <w:color w:val="auto"/>
              </w:rPr>
            </w:pPr>
            <w:r>
              <w:rPr>
                <w:rFonts w:ascii="Arial" w:cs="Arial" w:eastAsia="Arial" w:hAnsi="Arial"/>
                <w:sz w:val="12"/>
                <w:szCs w:val="12"/>
                <w:color w:val="auto"/>
              </w:rPr>
              <w:t>12.4</w:t>
            </w:r>
          </w:p>
        </w:tc>
        <w:tc>
          <w:tcPr>
            <w:tcW w:w="60" w:type="dxa"/>
            <w:vAlign w:val="bottom"/>
          </w:tcPr>
          <w:p>
            <w:pPr>
              <w:spacing w:after="0"/>
              <w:rPr>
                <w:sz w:val="11"/>
                <w:szCs w:val="11"/>
                <w:color w:val="auto"/>
              </w:rPr>
            </w:pPr>
          </w:p>
        </w:tc>
        <w:tc>
          <w:tcPr>
            <w:tcW w:w="7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12.2</w:t>
            </w:r>
          </w:p>
        </w:tc>
        <w:tc>
          <w:tcPr>
            <w:tcW w:w="180" w:type="dxa"/>
            <w:vAlign w:val="bottom"/>
          </w:tcPr>
          <w:p>
            <w:pPr>
              <w:spacing w:after="0"/>
              <w:rPr>
                <w:sz w:val="11"/>
                <w:szCs w:val="11"/>
                <w:color w:val="auto"/>
              </w:rPr>
            </w:pPr>
          </w:p>
        </w:tc>
        <w:tc>
          <w:tcPr>
            <w:tcW w:w="960" w:type="dxa"/>
            <w:vAlign w:val="bottom"/>
            <w:gridSpan w:val="5"/>
          </w:tcPr>
          <w:p>
            <w:pPr>
              <w:jc w:val="right"/>
              <w:ind w:right="127"/>
              <w:spacing w:after="0" w:line="134" w:lineRule="exact"/>
              <w:rPr>
                <w:sz w:val="20"/>
                <w:szCs w:val="20"/>
                <w:color w:val="auto"/>
              </w:rPr>
            </w:pPr>
            <w:r>
              <w:rPr>
                <w:rFonts w:ascii="Arial" w:cs="Arial" w:eastAsia="Arial" w:hAnsi="Arial"/>
                <w:sz w:val="12"/>
                <w:szCs w:val="12"/>
                <w:color w:val="auto"/>
              </w:rPr>
              <w:t>12.4</w:t>
            </w:r>
          </w:p>
        </w:tc>
        <w:tc>
          <w:tcPr>
            <w:tcW w:w="66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12.3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9.1</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10.5</w:t>
            </w:r>
          </w:p>
        </w:tc>
        <w:tc>
          <w:tcPr>
            <w:tcW w:w="100" w:type="dxa"/>
            <w:vAlign w:val="bottom"/>
          </w:tcPr>
          <w:p>
            <w:pPr>
              <w:spacing w:after="0"/>
              <w:rPr>
                <w:sz w:val="11"/>
                <w:szCs w:val="11"/>
                <w:color w:val="auto"/>
              </w:rPr>
            </w:pPr>
          </w:p>
        </w:tc>
        <w:tc>
          <w:tcPr>
            <w:tcW w:w="60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780" w:type="dxa"/>
            <w:vAlign w:val="bottom"/>
            <w:gridSpan w:val="2"/>
            <w:shd w:val="clear" w:color="auto" w:fill="CCEEFF"/>
          </w:tcPr>
          <w:p>
            <w:pPr>
              <w:jc w:val="right"/>
              <w:ind w:right="280"/>
              <w:spacing w:after="0" w:line="134" w:lineRule="exact"/>
              <w:rPr>
                <w:sz w:val="20"/>
                <w:szCs w:val="20"/>
                <w:color w:val="auto"/>
              </w:rPr>
            </w:pPr>
            <w:r>
              <w:rPr>
                <w:rFonts w:ascii="Arial" w:cs="Arial" w:eastAsia="Arial" w:hAnsi="Arial"/>
                <w:sz w:val="12"/>
                <w:szCs w:val="12"/>
                <w:color w:val="auto"/>
              </w:rPr>
              <w:t>13.2</w:t>
            </w:r>
          </w:p>
        </w:tc>
        <w:tc>
          <w:tcPr>
            <w:tcW w:w="680" w:type="dxa"/>
            <w:vAlign w:val="bottom"/>
            <w:gridSpan w:val="4"/>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13.2</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13.1</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rPr>
              <w:t>13.4</w:t>
            </w:r>
          </w:p>
        </w:tc>
        <w:tc>
          <w:tcPr>
            <w:tcW w:w="66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11.1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8.4</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7.2</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780" w:type="dxa"/>
            <w:vAlign w:val="bottom"/>
            <w:gridSpan w:val="2"/>
          </w:tcPr>
          <w:p>
            <w:pPr>
              <w:jc w:val="right"/>
              <w:ind w:right="280"/>
              <w:spacing w:after="0" w:line="134" w:lineRule="exact"/>
              <w:rPr>
                <w:sz w:val="20"/>
                <w:szCs w:val="20"/>
                <w:color w:val="auto"/>
              </w:rPr>
            </w:pPr>
            <w:r>
              <w:rPr>
                <w:rFonts w:ascii="Arial" w:cs="Arial" w:eastAsia="Arial" w:hAnsi="Arial"/>
                <w:sz w:val="12"/>
                <w:szCs w:val="12"/>
                <w:color w:val="auto"/>
              </w:rPr>
              <w:t>9.8</w:t>
            </w:r>
          </w:p>
        </w:tc>
        <w:tc>
          <w:tcPr>
            <w:tcW w:w="680" w:type="dxa"/>
            <w:vAlign w:val="bottom"/>
            <w:gridSpan w:val="4"/>
          </w:tcPr>
          <w:p>
            <w:pPr>
              <w:jc w:val="right"/>
              <w:ind w:right="178"/>
              <w:spacing w:after="0" w:line="134" w:lineRule="exact"/>
              <w:rPr>
                <w:sz w:val="20"/>
                <w:szCs w:val="20"/>
                <w:color w:val="auto"/>
              </w:rPr>
            </w:pPr>
            <w:r>
              <w:rPr>
                <w:rFonts w:ascii="Arial" w:cs="Arial" w:eastAsia="Arial" w:hAnsi="Arial"/>
                <w:sz w:val="12"/>
                <w:szCs w:val="12"/>
                <w:color w:val="auto"/>
              </w:rPr>
              <w:t>10.8</w:t>
            </w:r>
          </w:p>
        </w:tc>
        <w:tc>
          <w:tcPr>
            <w:tcW w:w="60" w:type="dxa"/>
            <w:vAlign w:val="bottom"/>
          </w:tcPr>
          <w:p>
            <w:pPr>
              <w:spacing w:after="0"/>
              <w:rPr>
                <w:sz w:val="11"/>
                <w:szCs w:val="11"/>
                <w:color w:val="auto"/>
              </w:rPr>
            </w:pPr>
          </w:p>
        </w:tc>
        <w:tc>
          <w:tcPr>
            <w:tcW w:w="78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9.9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ind w:right="127"/>
              <w:spacing w:after="0" w:line="134" w:lineRule="exact"/>
              <w:rPr>
                <w:sz w:val="20"/>
                <w:szCs w:val="20"/>
                <w:color w:val="auto"/>
              </w:rPr>
            </w:pPr>
            <w:r>
              <w:rPr>
                <w:rFonts w:ascii="Arial" w:cs="Arial" w:eastAsia="Arial" w:hAnsi="Arial"/>
                <w:sz w:val="12"/>
                <w:szCs w:val="12"/>
                <w:color w:val="auto"/>
                <w:w w:val="95"/>
              </w:rPr>
              <w:t>9.6</w:t>
            </w:r>
          </w:p>
        </w:tc>
        <w:tc>
          <w:tcPr>
            <w:tcW w:w="66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10.3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8.0</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38"/>
              <w:spacing w:after="0" w:line="134" w:lineRule="exact"/>
              <w:rPr>
                <w:sz w:val="20"/>
                <w:szCs w:val="20"/>
                <w:color w:val="auto"/>
              </w:rPr>
            </w:pPr>
            <w:r>
              <w:rPr>
                <w:rFonts w:ascii="Arial" w:cs="Arial" w:eastAsia="Arial" w:hAnsi="Arial"/>
                <w:sz w:val="12"/>
                <w:szCs w:val="12"/>
                <w:color w:val="auto"/>
              </w:rPr>
              <w:t>8.6</w:t>
            </w:r>
          </w:p>
        </w:tc>
        <w:tc>
          <w:tcPr>
            <w:tcW w:w="100" w:type="dxa"/>
            <w:vAlign w:val="bottom"/>
          </w:tcPr>
          <w:p>
            <w:pPr>
              <w:spacing w:after="0"/>
              <w:rPr>
                <w:sz w:val="11"/>
                <w:szCs w:val="11"/>
                <w:color w:val="auto"/>
              </w:rPr>
            </w:pPr>
          </w:p>
        </w:tc>
        <w:tc>
          <w:tcPr>
            <w:tcW w:w="60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50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7"/>
              <w:spacing w:after="0" w:line="134" w:lineRule="exact"/>
              <w:rPr>
                <w:sz w:val="20"/>
                <w:szCs w:val="20"/>
                <w:color w:val="auto"/>
              </w:rPr>
            </w:pPr>
            <w:r>
              <w:rPr>
                <w:rFonts w:ascii="Arial" w:cs="Arial" w:eastAsia="Arial" w:hAnsi="Arial"/>
                <w:sz w:val="12"/>
                <w:szCs w:val="12"/>
                <w:color w:val="auto"/>
                <w:w w:val="95"/>
              </w:rPr>
              <w:t>7.1</w:t>
            </w:r>
          </w:p>
        </w:tc>
        <w:tc>
          <w:tcPr>
            <w:tcW w:w="12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w w:val="82"/>
              </w:rPr>
              <w:t>—</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500" w:type="dxa"/>
            <w:vAlign w:val="bottom"/>
          </w:tcPr>
          <w:p>
            <w:pPr>
              <w:jc w:val="right"/>
              <w:spacing w:after="0"/>
              <w:rPr>
                <w:sz w:val="20"/>
                <w:szCs w:val="20"/>
                <w:color w:val="auto"/>
              </w:rPr>
            </w:pPr>
            <w:r>
              <w:rPr>
                <w:rFonts w:ascii="Arial" w:cs="Arial" w:eastAsia="Arial" w:hAnsi="Arial"/>
                <w:sz w:val="12"/>
                <w:szCs w:val="12"/>
                <w:color w:val="auto"/>
              </w:rPr>
              <w:t>55.7</w:t>
            </w:r>
          </w:p>
        </w:tc>
        <w:tc>
          <w:tcPr>
            <w:tcW w:w="280" w:type="dxa"/>
            <w:vAlign w:val="bottom"/>
          </w:tcPr>
          <w:p>
            <w:pPr>
              <w:spacing w:after="0"/>
              <w:rPr>
                <w:sz w:val="12"/>
                <w:szCs w:val="12"/>
                <w:color w:val="auto"/>
              </w:rPr>
            </w:pPr>
          </w:p>
        </w:tc>
        <w:tc>
          <w:tcPr>
            <w:tcW w:w="680" w:type="dxa"/>
            <w:vAlign w:val="bottom"/>
            <w:gridSpan w:val="4"/>
          </w:tcPr>
          <w:p>
            <w:pPr>
              <w:jc w:val="right"/>
              <w:ind w:right="178"/>
              <w:spacing w:after="0"/>
              <w:rPr>
                <w:sz w:val="20"/>
                <w:szCs w:val="20"/>
                <w:color w:val="auto"/>
              </w:rPr>
            </w:pPr>
            <w:r>
              <w:rPr>
                <w:rFonts w:ascii="Arial" w:cs="Arial" w:eastAsia="Arial" w:hAnsi="Arial"/>
                <w:sz w:val="12"/>
                <w:szCs w:val="12"/>
                <w:color w:val="auto"/>
              </w:rPr>
              <w:t>54.6</w:t>
            </w:r>
          </w:p>
        </w:tc>
        <w:tc>
          <w:tcPr>
            <w:tcW w:w="60" w:type="dxa"/>
            <w:vAlign w:val="bottom"/>
          </w:tcPr>
          <w:p>
            <w:pPr>
              <w:spacing w:after="0"/>
              <w:rPr>
                <w:sz w:val="12"/>
                <w:szCs w:val="12"/>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2"/>
                <w:szCs w:val="12"/>
                <w:color w:val="auto"/>
              </w:rPr>
              <w:t>54.1</w:t>
            </w:r>
          </w:p>
        </w:tc>
        <w:tc>
          <w:tcPr>
            <w:tcW w:w="180" w:type="dxa"/>
            <w:vAlign w:val="bottom"/>
          </w:tcPr>
          <w:p>
            <w:pPr>
              <w:spacing w:after="0"/>
              <w:rPr>
                <w:sz w:val="12"/>
                <w:szCs w:val="12"/>
                <w:color w:val="auto"/>
              </w:rPr>
            </w:pPr>
          </w:p>
        </w:tc>
        <w:tc>
          <w:tcPr>
            <w:tcW w:w="960" w:type="dxa"/>
            <w:vAlign w:val="bottom"/>
            <w:gridSpan w:val="5"/>
          </w:tcPr>
          <w:p>
            <w:pPr>
              <w:jc w:val="right"/>
              <w:ind w:right="127"/>
              <w:spacing w:after="0"/>
              <w:rPr>
                <w:sz w:val="20"/>
                <w:szCs w:val="20"/>
                <w:color w:val="auto"/>
              </w:rPr>
            </w:pPr>
            <w:r>
              <w:rPr>
                <w:rFonts w:ascii="Arial" w:cs="Arial" w:eastAsia="Arial" w:hAnsi="Arial"/>
                <w:sz w:val="12"/>
                <w:szCs w:val="12"/>
                <w:color w:val="auto"/>
              </w:rPr>
              <w:t>60.4</w:t>
            </w:r>
          </w:p>
        </w:tc>
        <w:tc>
          <w:tcPr>
            <w:tcW w:w="660" w:type="dxa"/>
            <w:vAlign w:val="bottom"/>
            <w:gridSpan w:val="4"/>
          </w:tcPr>
          <w:p>
            <w:pPr>
              <w:jc w:val="right"/>
              <w:ind w:right="40"/>
              <w:spacing w:after="0"/>
              <w:rPr>
                <w:sz w:val="20"/>
                <w:szCs w:val="20"/>
                <w:color w:val="auto"/>
              </w:rPr>
            </w:pPr>
            <w:r>
              <w:rPr>
                <w:rFonts w:ascii="Arial" w:cs="Arial" w:eastAsia="Arial" w:hAnsi="Arial"/>
                <w:sz w:val="12"/>
                <w:szCs w:val="12"/>
                <w:color w:val="auto"/>
              </w:rPr>
              <w:t>51.4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40.2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38.1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38"/>
              <w:spacing w:after="0"/>
              <w:rPr>
                <w:sz w:val="20"/>
                <w:szCs w:val="20"/>
                <w:color w:val="auto"/>
              </w:rPr>
            </w:pPr>
            <w:r>
              <w:rPr>
                <w:rFonts w:ascii="Arial" w:cs="Arial" w:eastAsia="Arial" w:hAnsi="Arial"/>
                <w:sz w:val="12"/>
                <w:szCs w:val="12"/>
                <w:color w:val="auto"/>
              </w:rPr>
              <w:t>49.7</w:t>
            </w:r>
          </w:p>
        </w:tc>
        <w:tc>
          <w:tcPr>
            <w:tcW w:w="100" w:type="dxa"/>
            <w:vAlign w:val="bottom"/>
          </w:tcPr>
          <w:p>
            <w:pPr>
              <w:spacing w:after="0"/>
              <w:rPr>
                <w:sz w:val="12"/>
                <w:szCs w:val="12"/>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(36.8)</w:t>
            </w:r>
          </w:p>
        </w:tc>
        <w:tc>
          <w:tcPr>
            <w:tcW w:w="680" w:type="dxa"/>
            <w:vAlign w:val="bottom"/>
            <w:gridSpan w:val="4"/>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(35.1)</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(36.2)</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(42.8)</w:t>
            </w:r>
          </w:p>
        </w:tc>
        <w:tc>
          <w:tcPr>
            <w:tcW w:w="66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(31.3)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(16.4)</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(13.8)</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(22.9)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(1.1)</w:t>
            </w:r>
          </w:p>
        </w:tc>
        <w:tc>
          <w:tcPr>
            <w:tcW w:w="680" w:type="dxa"/>
            <w:vAlign w:val="bottom"/>
            <w:gridSpan w:val="4"/>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(0.4)</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0.3</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(0.2)</w:t>
            </w:r>
          </w:p>
        </w:tc>
        <w:tc>
          <w:tcPr>
            <w:tcW w:w="66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(0.8)</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(0.7)</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0.3</w:t>
            </w:r>
          </w:p>
        </w:tc>
        <w:tc>
          <w:tcPr>
            <w:tcW w:w="280" w:type="dxa"/>
            <w:vAlign w:val="bottom"/>
          </w:tcPr>
          <w:p>
            <w:pPr>
              <w:spacing w:after="0"/>
              <w:rPr>
                <w:sz w:val="11"/>
                <w:szCs w:val="11"/>
                <w:color w:val="auto"/>
              </w:rPr>
            </w:pPr>
          </w:p>
        </w:tc>
        <w:tc>
          <w:tcPr>
            <w:tcW w:w="680" w:type="dxa"/>
            <w:vAlign w:val="bottom"/>
            <w:gridSpan w:val="4"/>
          </w:tcPr>
          <w:p>
            <w:pPr>
              <w:jc w:val="right"/>
              <w:ind w:right="138"/>
              <w:spacing w:after="0" w:line="134" w:lineRule="exact"/>
              <w:rPr>
                <w:sz w:val="20"/>
                <w:szCs w:val="20"/>
                <w:color w:val="auto"/>
              </w:rPr>
            </w:pPr>
            <w:r>
              <w:rPr>
                <w:rFonts w:ascii="Arial" w:cs="Arial" w:eastAsia="Arial" w:hAnsi="Arial"/>
                <w:sz w:val="12"/>
                <w:szCs w:val="12"/>
                <w:color w:val="auto"/>
              </w:rPr>
              <w:t>(0.4)</w:t>
            </w:r>
          </w:p>
        </w:tc>
        <w:tc>
          <w:tcPr>
            <w:tcW w:w="60" w:type="dxa"/>
            <w:vAlign w:val="bottom"/>
          </w:tcPr>
          <w:p>
            <w:pPr>
              <w:spacing w:after="0"/>
              <w:rPr>
                <w:sz w:val="11"/>
                <w:szCs w:val="11"/>
                <w:color w:val="auto"/>
              </w:rPr>
            </w:pPr>
          </w:p>
        </w:tc>
        <w:tc>
          <w:tcPr>
            <w:tcW w:w="780" w:type="dxa"/>
            <w:vAlign w:val="bottom"/>
            <w:gridSpan w:val="4"/>
          </w:tcPr>
          <w:p>
            <w:pPr>
              <w:jc w:val="right"/>
              <w:spacing w:after="0" w:line="134" w:lineRule="exact"/>
              <w:rPr>
                <w:sz w:val="20"/>
                <w:szCs w:val="20"/>
                <w:color w:val="auto"/>
              </w:rPr>
            </w:pPr>
            <w:r>
              <w:rPr>
                <w:rFonts w:ascii="Arial" w:cs="Arial" w:eastAsia="Arial" w:hAnsi="Arial"/>
                <w:sz w:val="12"/>
                <w:szCs w:val="12"/>
                <w:color w:val="auto"/>
              </w:rPr>
              <w:t>(0.4)</w:t>
            </w:r>
          </w:p>
        </w:tc>
        <w:tc>
          <w:tcPr>
            <w:tcW w:w="180" w:type="dxa"/>
            <w:vAlign w:val="bottom"/>
          </w:tcPr>
          <w:p>
            <w:pPr>
              <w:spacing w:after="0"/>
              <w:rPr>
                <w:sz w:val="11"/>
                <w:szCs w:val="11"/>
                <w:color w:val="auto"/>
              </w:rPr>
            </w:pPr>
          </w:p>
        </w:tc>
        <w:tc>
          <w:tcPr>
            <w:tcW w:w="960" w:type="dxa"/>
            <w:vAlign w:val="bottom"/>
            <w:gridSpan w:val="5"/>
          </w:tcPr>
          <w:p>
            <w:pPr>
              <w:jc w:val="right"/>
              <w:ind w:right="87"/>
              <w:spacing w:after="0" w:line="134" w:lineRule="exact"/>
              <w:rPr>
                <w:sz w:val="20"/>
                <w:szCs w:val="20"/>
                <w:color w:val="auto"/>
              </w:rPr>
            </w:pPr>
            <w:r>
              <w:rPr>
                <w:rFonts w:ascii="Arial" w:cs="Arial" w:eastAsia="Arial" w:hAnsi="Arial"/>
                <w:sz w:val="12"/>
                <w:szCs w:val="12"/>
                <w:color w:val="auto"/>
              </w:rPr>
              <w:t>(0.3)</w:t>
            </w:r>
          </w:p>
        </w:tc>
        <w:tc>
          <w:tcPr>
            <w:tcW w:w="660" w:type="dxa"/>
            <w:vAlign w:val="bottom"/>
            <w:gridSpan w:val="4"/>
          </w:tcPr>
          <w:p>
            <w:pPr>
              <w:jc w:val="right"/>
              <w:spacing w:after="0" w:line="134" w:lineRule="exact"/>
              <w:rPr>
                <w:sz w:val="20"/>
                <w:szCs w:val="20"/>
                <w:color w:val="auto"/>
              </w:rPr>
            </w:pPr>
            <w:r>
              <w:rPr>
                <w:rFonts w:ascii="Arial" w:cs="Arial" w:eastAsia="Arial" w:hAnsi="Arial"/>
                <w:sz w:val="12"/>
                <w:szCs w:val="12"/>
                <w:color w:val="auto"/>
              </w:rPr>
              <w:t>(0.4)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(0.4)</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98"/>
              <w:spacing w:after="0" w:line="134" w:lineRule="exact"/>
              <w:rPr>
                <w:sz w:val="20"/>
                <w:szCs w:val="20"/>
                <w:color w:val="auto"/>
              </w:rPr>
            </w:pPr>
            <w:r>
              <w:rPr>
                <w:rFonts w:ascii="Arial" w:cs="Arial" w:eastAsia="Arial" w:hAnsi="Arial"/>
                <w:sz w:val="12"/>
                <w:szCs w:val="12"/>
                <w:color w:val="auto"/>
              </w:rPr>
              <w:t>(1.2)</w:t>
            </w:r>
          </w:p>
        </w:tc>
        <w:tc>
          <w:tcPr>
            <w:tcW w:w="100" w:type="dxa"/>
            <w:vAlign w:val="bottom"/>
          </w:tcPr>
          <w:p>
            <w:pPr>
              <w:spacing w:after="0"/>
              <w:rPr>
                <w:sz w:val="11"/>
                <w:szCs w:val="11"/>
                <w:color w:val="auto"/>
              </w:rPr>
            </w:pPr>
          </w:p>
        </w:tc>
        <w:tc>
          <w:tcPr>
            <w:tcW w:w="60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7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(0.8)</w:t>
            </w:r>
          </w:p>
        </w:tc>
        <w:tc>
          <w:tcPr>
            <w:tcW w:w="680" w:type="dxa"/>
            <w:vAlign w:val="bottom"/>
            <w:gridSpan w:val="4"/>
            <w:shd w:val="clear" w:color="auto" w:fill="CCEEFF"/>
          </w:tcPr>
          <w:p>
            <w:pPr>
              <w:jc w:val="right"/>
              <w:ind w:right="138"/>
              <w:spacing w:after="0" w:line="134" w:lineRule="exact"/>
              <w:rPr>
                <w:sz w:val="20"/>
                <w:szCs w:val="20"/>
                <w:color w:val="auto"/>
              </w:rPr>
            </w:pPr>
            <w:r>
              <w:rPr>
                <w:rFonts w:ascii="Arial" w:cs="Arial" w:eastAsia="Arial" w:hAnsi="Arial"/>
                <w:sz w:val="12"/>
                <w:szCs w:val="12"/>
                <w:color w:val="auto"/>
              </w:rPr>
              <w:t>(0.8)</w:t>
            </w:r>
          </w:p>
        </w:tc>
        <w:tc>
          <w:tcPr>
            <w:tcW w:w="60" w:type="dxa"/>
            <w:vAlign w:val="bottom"/>
            <w:shd w:val="clear" w:color="auto" w:fill="CCEEFF"/>
          </w:tcPr>
          <w:p>
            <w:pPr>
              <w:spacing w:after="0"/>
              <w:rPr>
                <w:sz w:val="11"/>
                <w:szCs w:val="11"/>
                <w:color w:val="auto"/>
              </w:rPr>
            </w:pPr>
          </w:p>
        </w:tc>
        <w:tc>
          <w:tcPr>
            <w:tcW w:w="7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(0.1)</w:t>
            </w:r>
          </w:p>
        </w:tc>
        <w:tc>
          <w:tcPr>
            <w:tcW w:w="1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ind w:right="87"/>
              <w:spacing w:after="0" w:line="134" w:lineRule="exact"/>
              <w:rPr>
                <w:sz w:val="20"/>
                <w:szCs w:val="20"/>
                <w:color w:val="auto"/>
              </w:rPr>
            </w:pPr>
            <w:r>
              <w:rPr>
                <w:rFonts w:ascii="Arial" w:cs="Arial" w:eastAsia="Arial" w:hAnsi="Arial"/>
                <w:sz w:val="12"/>
                <w:szCs w:val="12"/>
                <w:color w:val="auto"/>
              </w:rPr>
              <w:t>(0.5)</w:t>
            </w:r>
          </w:p>
        </w:tc>
        <w:tc>
          <w:tcPr>
            <w:tcW w:w="66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(1.2)</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(37.6)</w:t>
            </w:r>
          </w:p>
        </w:tc>
        <w:tc>
          <w:tcPr>
            <w:tcW w:w="680" w:type="dxa"/>
            <w:vAlign w:val="bottom"/>
            <w:gridSpan w:val="4"/>
          </w:tcPr>
          <w:p>
            <w:pPr>
              <w:jc w:val="right"/>
              <w:ind w:right="138"/>
              <w:spacing w:after="0"/>
              <w:rPr>
                <w:sz w:val="20"/>
                <w:szCs w:val="20"/>
                <w:color w:val="auto"/>
              </w:rPr>
            </w:pPr>
            <w:r>
              <w:rPr>
                <w:rFonts w:ascii="Arial" w:cs="Arial" w:eastAsia="Arial" w:hAnsi="Arial"/>
                <w:sz w:val="12"/>
                <w:szCs w:val="12"/>
                <w:color w:val="auto"/>
              </w:rPr>
              <w:t>(35.9)</w:t>
            </w:r>
          </w:p>
        </w:tc>
        <w:tc>
          <w:tcPr>
            <w:tcW w:w="60" w:type="dxa"/>
            <w:vAlign w:val="bottom"/>
          </w:tcPr>
          <w:p>
            <w:pPr>
              <w:spacing w:after="0"/>
              <w:rPr>
                <w:sz w:val="12"/>
                <w:szCs w:val="12"/>
                <w:color w:val="auto"/>
              </w:rPr>
            </w:pPr>
          </w:p>
        </w:tc>
        <w:tc>
          <w:tcPr>
            <w:tcW w:w="780" w:type="dxa"/>
            <w:vAlign w:val="bottom"/>
            <w:gridSpan w:val="4"/>
          </w:tcPr>
          <w:p>
            <w:pPr>
              <w:jc w:val="right"/>
              <w:spacing w:after="0"/>
              <w:rPr>
                <w:sz w:val="20"/>
                <w:szCs w:val="20"/>
                <w:color w:val="auto"/>
              </w:rPr>
            </w:pPr>
            <w:r>
              <w:rPr>
                <w:rFonts w:ascii="Arial" w:cs="Arial" w:eastAsia="Arial" w:hAnsi="Arial"/>
                <w:sz w:val="12"/>
                <w:szCs w:val="12"/>
                <w:color w:val="auto"/>
              </w:rPr>
              <w:t>(36.3)</w:t>
            </w:r>
          </w:p>
        </w:tc>
        <w:tc>
          <w:tcPr>
            <w:tcW w:w="180" w:type="dxa"/>
            <w:vAlign w:val="bottom"/>
          </w:tcPr>
          <w:p>
            <w:pPr>
              <w:spacing w:after="0"/>
              <w:rPr>
                <w:sz w:val="12"/>
                <w:szCs w:val="12"/>
                <w:color w:val="auto"/>
              </w:rPr>
            </w:pPr>
          </w:p>
        </w:tc>
        <w:tc>
          <w:tcPr>
            <w:tcW w:w="960" w:type="dxa"/>
            <w:vAlign w:val="bottom"/>
            <w:gridSpan w:val="5"/>
          </w:tcPr>
          <w:p>
            <w:pPr>
              <w:jc w:val="right"/>
              <w:ind w:right="87"/>
              <w:spacing w:after="0"/>
              <w:rPr>
                <w:sz w:val="20"/>
                <w:szCs w:val="20"/>
                <w:color w:val="auto"/>
              </w:rPr>
            </w:pPr>
            <w:r>
              <w:rPr>
                <w:rFonts w:ascii="Arial" w:cs="Arial" w:eastAsia="Arial" w:hAnsi="Arial"/>
                <w:sz w:val="12"/>
                <w:szCs w:val="12"/>
                <w:color w:val="auto"/>
              </w:rPr>
              <w:t>(43.3)</w:t>
            </w:r>
          </w:p>
        </w:tc>
        <w:tc>
          <w:tcPr>
            <w:tcW w:w="660" w:type="dxa"/>
            <w:vAlign w:val="bottom"/>
            <w:gridSpan w:val="4"/>
          </w:tcPr>
          <w:p>
            <w:pPr>
              <w:jc w:val="right"/>
              <w:spacing w:after="0"/>
              <w:rPr>
                <w:sz w:val="20"/>
                <w:szCs w:val="20"/>
                <w:color w:val="auto"/>
              </w:rPr>
            </w:pPr>
            <w:r>
              <w:rPr>
                <w:rFonts w:ascii="Arial" w:cs="Arial" w:eastAsia="Arial" w:hAnsi="Arial"/>
                <w:sz w:val="12"/>
                <w:szCs w:val="12"/>
                <w:color w:val="auto"/>
              </w:rPr>
              <w:t>(32.3)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(17.6)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(14.8)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98"/>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500" w:type="dxa"/>
            <w:vAlign w:val="bottom"/>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right w:val="single" w:sz="8" w:color="CCEEFF"/>
            </w:tcBorders>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w w:val="82"/>
              </w:rPr>
              <w:t>—</w:t>
            </w:r>
          </w:p>
        </w:tc>
        <w:tc>
          <w:tcPr>
            <w:tcW w:w="3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(21.0)</w:t>
            </w: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380"/>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center"/>
              <w:ind w:right="60"/>
              <w:spacing w:after="0" w:line="134"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gridSpan w:val="2"/>
          </w:tcPr>
          <w:p>
            <w:pPr>
              <w:spacing w:after="0"/>
              <w:rPr>
                <w:sz w:val="20"/>
                <w:szCs w:val="20"/>
                <w:color w:val="auto"/>
              </w:rPr>
            </w:pPr>
            <w:r>
              <w:rPr>
                <w:rFonts w:ascii="Arial" w:cs="Arial" w:eastAsia="Arial" w:hAnsi="Arial"/>
                <w:sz w:val="12"/>
                <w:szCs w:val="12"/>
                <w:color w:val="auto"/>
              </w:rPr>
              <w:t>Net loss attributable to common stockholders</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(37.6)%</w:t>
            </w:r>
          </w:p>
        </w:tc>
        <w:tc>
          <w:tcPr>
            <w:tcW w:w="680" w:type="dxa"/>
            <w:vAlign w:val="bottom"/>
            <w:gridSpan w:val="4"/>
          </w:tcPr>
          <w:p>
            <w:pPr>
              <w:jc w:val="right"/>
              <w:ind w:right="18"/>
              <w:spacing w:after="0"/>
              <w:rPr>
                <w:sz w:val="20"/>
                <w:szCs w:val="20"/>
                <w:color w:val="auto"/>
              </w:rPr>
            </w:pPr>
            <w:r>
              <w:rPr>
                <w:rFonts w:ascii="Arial" w:cs="Arial" w:eastAsia="Arial" w:hAnsi="Arial"/>
                <w:sz w:val="12"/>
                <w:szCs w:val="12"/>
                <w:color w:val="auto"/>
              </w:rPr>
              <w:t>(35.9)%</w:t>
            </w:r>
          </w:p>
        </w:tc>
        <w:tc>
          <w:tcPr>
            <w:tcW w:w="60" w:type="dxa"/>
            <w:vAlign w:val="bottom"/>
          </w:tcPr>
          <w:p>
            <w:pPr>
              <w:spacing w:after="0"/>
              <w:rPr>
                <w:sz w:val="12"/>
                <w:szCs w:val="12"/>
                <w:color w:val="auto"/>
              </w:rPr>
            </w:pPr>
          </w:p>
        </w:tc>
        <w:tc>
          <w:tcPr>
            <w:tcW w:w="960" w:type="dxa"/>
            <w:vAlign w:val="bottom"/>
            <w:gridSpan w:val="5"/>
          </w:tcPr>
          <w:p>
            <w:pPr>
              <w:jc w:val="right"/>
              <w:ind w:right="21"/>
              <w:spacing w:after="0"/>
              <w:rPr>
                <w:sz w:val="20"/>
                <w:szCs w:val="20"/>
                <w:color w:val="auto"/>
              </w:rPr>
            </w:pPr>
            <w:r>
              <w:rPr>
                <w:rFonts w:ascii="Arial" w:cs="Arial" w:eastAsia="Arial" w:hAnsi="Arial"/>
                <w:sz w:val="12"/>
                <w:szCs w:val="12"/>
                <w:color w:val="auto"/>
              </w:rPr>
              <w:t>(36.3)%</w:t>
            </w:r>
          </w:p>
        </w:tc>
        <w:tc>
          <w:tcPr>
            <w:tcW w:w="960" w:type="dxa"/>
            <w:vAlign w:val="bottom"/>
            <w:gridSpan w:val="5"/>
          </w:tcPr>
          <w:p>
            <w:pPr>
              <w:jc w:val="right"/>
              <w:spacing w:after="0"/>
              <w:rPr>
                <w:sz w:val="20"/>
                <w:szCs w:val="20"/>
                <w:color w:val="auto"/>
              </w:rPr>
            </w:pPr>
            <w:r>
              <w:rPr>
                <w:rFonts w:ascii="Arial" w:cs="Arial" w:eastAsia="Arial" w:hAnsi="Arial"/>
                <w:sz w:val="12"/>
                <w:szCs w:val="12"/>
                <w:color w:val="auto"/>
              </w:rPr>
              <w:t>(43.3)%</w:t>
            </w: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(32.3)%</w:t>
            </w:r>
          </w:p>
        </w:tc>
        <w:tc>
          <w:tcPr>
            <w:tcW w:w="900" w:type="dxa"/>
            <w:vAlign w:val="bottom"/>
            <w:gridSpan w:val="4"/>
          </w:tcPr>
          <w:p>
            <w:pPr>
              <w:jc w:val="right"/>
              <w:ind w:right="99"/>
              <w:spacing w:after="0"/>
              <w:rPr>
                <w:sz w:val="20"/>
                <w:szCs w:val="20"/>
                <w:color w:val="auto"/>
              </w:rPr>
            </w:pPr>
            <w:r>
              <w:rPr>
                <w:rFonts w:ascii="Arial" w:cs="Arial" w:eastAsia="Arial" w:hAnsi="Arial"/>
                <w:sz w:val="12"/>
                <w:szCs w:val="12"/>
                <w:color w:val="auto"/>
              </w:rPr>
              <w:t>(17.6)%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18"/>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2"/>
                <w:szCs w:val="12"/>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have financed our operations primarily through sales of our equity securities and borrowings under our term loan facility. As of March 31, 2021, our cash and cash equivalents totaled $49.5 million, compared with $59.9 million as of December 31, 2020. We believe our existing cash and cash equivalents will be sufficient to support our working capital and capital expenditure requirements for at least the next twelve months. We intend to repay all or a portion of our outstanding indebtedness under our Amended Loan and Security Agreement, with a portion of the net proceeds. Our future capital requirements will depend on many factors, including our obligation to repay any remaining balance under our term loan facility, our revenue growth rate, receivable and payable cycles, the timing and extent of investments in product development, sales and marketing, operations and support and general and administrative expenses.</w:t>
      </w:r>
    </w:p>
    <w:p>
      <w:pPr>
        <w:spacing w:after="0" w:line="206"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23" w:lineRule="exact"/>
        <w:rPr>
          <w:sz w:val="20"/>
          <w:szCs w:val="20"/>
          <w:color w:val="auto"/>
        </w:rPr>
      </w:pPr>
    </w:p>
    <w:p>
      <w:pPr>
        <w:ind w:left="160" w:right="40" w:firstLine="546"/>
        <w:spacing w:after="0" w:line="233" w:lineRule="auto"/>
        <w:rPr>
          <w:sz w:val="20"/>
          <w:szCs w:val="20"/>
          <w:color w:val="auto"/>
        </w:rPr>
      </w:pPr>
      <w:r>
        <w:rPr>
          <w:rFonts w:ascii="Arial" w:cs="Arial" w:eastAsia="Arial" w:hAnsi="Arial"/>
          <w:sz w:val="18"/>
          <w:szCs w:val="18"/>
          <w:color w:val="auto"/>
        </w:rPr>
        <w:t>We are party to a Loan and Security Agreement with Hercules Capital, Inc., or Hercules, as amended, restated, or modified from time to time, including by the Third Amendment to the Loan and Security Agreement dated as of January 30, 2020, or the Amended Loan and Security Agreement, for a term loan, or the term loan facility. Under the Amended Loan and Security Agreement, effective January 30, 2020, we can borrow up to $15.0 million under a term loan, all of which became available to us immediately on the agreement date. We had borrowings under the term loan of $15.0 million as of March 31, 2021 and December 31, 2020. As of March 31, 2021 and December 31, 2020, the loan pays interest at the greater of (i) 8.7% per annum or (ii) 8.7% per annum plus the prime rate minus 4.75% per annum. The term loan agreement requires a maximum $1.2 million end of term fee due and payable on the maturity date of May 1, 2022, however, if the term loan is repaid prior to November 1, 2021, the amount owed would be $0.9 million. As of March 31, 2021 and December 31, 2020, we owed $15.8 million on this term loan, including principal borrowings and accrued end of term fee. As we intend to repay this term loan in 2021, we have classified this term loan as a current liability on our Consolidated Balance Sheet. Our obligations under the Amended Loan and Security Agreement are secured by substantially all of our assets.</w:t>
      </w:r>
    </w:p>
    <w:p>
      <w:pPr>
        <w:spacing w:after="0" w:line="210"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Capital has the right to terminate its obligation to make further advances to us immediately and without notice upon the occurrence and during the continuance of an event of default.</w:t>
      </w:r>
    </w:p>
    <w:p>
      <w:pPr>
        <w:spacing w:after="0" w:line="203"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As part of the initial term loan agreement with Hercules, we issued a warrant to purchase 87,784 shares of our Series B preferred stock with an exercise price of $5.13 per share that expires in May 2025.</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our capital stock, enter into transactions with affiliates outside the ordinary course of business, and create liens on our assets. We are in compliance with covenants and were in compliance with these covenants as of December 31, 2020 and 2019.</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We exercised our right of first refusal to reacquire these shares of Convertible Preferred Stock from these stockholders at the same price the third party was willing to pay for such shares of Convertible Preferred Stock. In conjunction with the Series E offering, we sold the same shares of Series A-2, B, C and D Convertible Preferred Stock to the Series E investors for the same price that we paid to reacquire such shares of Convertible Preferred Stock. We recorded an $ 8.8 million deemed dividend to the selling stockholders, which represents the excess of the purchase price of the shares of Convertible Preferred Stock purchased by us over the original cost of the shares and was recorded in additional paid-in-capital and accumulated deficit.</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The following table presents a summary of our cash flows from operating, investing, and financing activities for the quarters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2020 to 2021</w:t>
            </w:r>
          </w:p>
        </w:tc>
      </w:tr>
      <w:tr>
        <w:trPr>
          <w:trHeight w:val="174"/>
        </w:trPr>
        <w:tc>
          <w:tcPr>
            <w:tcW w:w="5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 Change</w:t>
            </w:r>
          </w:p>
        </w:tc>
      </w:tr>
      <w:tr>
        <w:trPr>
          <w:trHeight w:val="154"/>
        </w:trPr>
        <w:tc>
          <w:tcPr>
            <w:tcW w:w="5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409"/>
              <w:spacing w:after="0" w:line="154"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jc w:val="right"/>
              <w:ind w:right="55"/>
              <w:spacing w:after="0" w:line="154"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141"/>
        </w:trPr>
        <w:tc>
          <w:tcPr>
            <w:tcW w:w="5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4"/>
        </w:trPr>
        <w:tc>
          <w:tcPr>
            <w:tcW w:w="5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1"/>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2960" w:type="dxa"/>
            <w:vAlign w:val="bottom"/>
            <w:gridSpan w:val="2"/>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$(6,305)</w:t>
            </w:r>
          </w:p>
        </w:tc>
        <w:tc>
          <w:tcPr>
            <w:tcW w:w="148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$(9,942)</w:t>
            </w:r>
          </w:p>
        </w:tc>
        <w:tc>
          <w:tcPr>
            <w:tcW w:w="13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57.7%</w:t>
            </w:r>
          </w:p>
        </w:tc>
      </w:tr>
      <w:tr>
        <w:trPr>
          <w:trHeight w:val="201"/>
        </w:trPr>
        <w:tc>
          <w:tcPr>
            <w:tcW w:w="5180" w:type="dxa"/>
            <w:vAlign w:val="bottom"/>
          </w:tcPr>
          <w:p>
            <w:pPr>
              <w:spacing w:after="0" w:line="201" w:lineRule="exact"/>
              <w:rPr>
                <w:sz w:val="20"/>
                <w:szCs w:val="20"/>
                <w:color w:val="auto"/>
              </w:rPr>
            </w:pPr>
            <w:r>
              <w:rPr>
                <w:rFonts w:ascii="Arial" w:cs="Arial" w:eastAsia="Arial" w:hAnsi="Arial"/>
                <w:sz w:val="18"/>
                <w:szCs w:val="18"/>
                <w:color w:val="auto"/>
              </w:rPr>
              <w:t>Net cash (used in) investing activities</w:t>
            </w:r>
          </w:p>
        </w:tc>
        <w:tc>
          <w:tcPr>
            <w:tcW w:w="2960" w:type="dxa"/>
            <w:vAlign w:val="bottom"/>
            <w:gridSpan w:val="2"/>
          </w:tcPr>
          <w:p>
            <w:pPr>
              <w:jc w:val="right"/>
              <w:ind w:right="209"/>
              <w:spacing w:after="0" w:line="201" w:lineRule="exact"/>
              <w:rPr>
                <w:sz w:val="20"/>
                <w:szCs w:val="20"/>
                <w:color w:val="auto"/>
              </w:rPr>
            </w:pPr>
            <w:r>
              <w:rPr>
                <w:rFonts w:ascii="Arial" w:cs="Arial" w:eastAsia="Arial" w:hAnsi="Arial"/>
                <w:sz w:val="18"/>
                <w:szCs w:val="18"/>
                <w:color w:val="auto"/>
              </w:rPr>
              <w:t>(1,689)</w:t>
            </w:r>
          </w:p>
        </w:tc>
        <w:tc>
          <w:tcPr>
            <w:tcW w:w="148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(1,244)</w:t>
            </w:r>
          </w:p>
        </w:tc>
        <w:tc>
          <w:tcPr>
            <w:tcW w:w="13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(26.3)</w:t>
            </w:r>
          </w:p>
        </w:tc>
      </w:tr>
      <w:tr>
        <w:trPr>
          <w:trHeight w:val="201"/>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2960" w:type="dxa"/>
            <w:vAlign w:val="bottom"/>
            <w:gridSpan w:val="2"/>
            <w:shd w:val="clear" w:color="auto" w:fill="CCEEFF"/>
          </w:tcPr>
          <w:p>
            <w:pPr>
              <w:jc w:val="right"/>
              <w:ind w:right="269"/>
              <w:spacing w:after="0" w:line="201" w:lineRule="exact"/>
              <w:rPr>
                <w:sz w:val="20"/>
                <w:szCs w:val="20"/>
                <w:color w:val="auto"/>
              </w:rPr>
            </w:pPr>
            <w:r>
              <w:rPr>
                <w:rFonts w:ascii="Arial" w:cs="Arial" w:eastAsia="Arial" w:hAnsi="Arial"/>
                <w:sz w:val="18"/>
                <w:szCs w:val="18"/>
                <w:color w:val="auto"/>
              </w:rPr>
              <w:t>4,092</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843</w:t>
            </w: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(79.4)</w:t>
            </w: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quarter ended March 31, 2021, net cash used in operating activities was $9.9 million, primarily due to a net loss of</w:t>
      </w:r>
    </w:p>
    <w:p>
      <w:pPr>
        <w:ind w:left="160"/>
        <w:spacing w:after="0"/>
        <w:rPr>
          <w:sz w:val="20"/>
          <w:szCs w:val="20"/>
          <w:color w:val="auto"/>
        </w:rPr>
      </w:pPr>
      <w:r>
        <w:rPr>
          <w:rFonts w:ascii="Arial" w:cs="Arial" w:eastAsia="Arial" w:hAnsi="Arial"/>
          <w:sz w:val="17"/>
          <w:szCs w:val="17"/>
          <w:color w:val="auto"/>
        </w:rPr>
        <w:t>$(10.5) million adjusted for non-cash charges of $1.6 million and a net decrease in our operating assets and liabilities of $(1.0) million. The</w:t>
      </w:r>
    </w:p>
    <w:p>
      <w:pPr>
        <w:ind w:left="160"/>
        <w:spacing w:after="0" w:line="238" w:lineRule="auto"/>
        <w:rPr>
          <w:sz w:val="20"/>
          <w:szCs w:val="20"/>
          <w:color w:val="auto"/>
        </w:rPr>
      </w:pPr>
      <w:r>
        <w:rPr>
          <w:rFonts w:ascii="Arial" w:cs="Arial" w:eastAsia="Arial" w:hAnsi="Arial"/>
          <w:sz w:val="18"/>
          <w:szCs w:val="18"/>
          <w:color w:val="auto"/>
        </w:rPr>
        <w:t>non-cash adjustments primarily relate to stock-based compensation of $0.5 million and depreciation and amortization of $0.7 million. The</w:t>
      </w:r>
    </w:p>
    <w:p>
      <w:pPr>
        <w:ind w:left="160"/>
        <w:spacing w:after="0" w:line="233" w:lineRule="auto"/>
        <w:rPr>
          <w:sz w:val="20"/>
          <w:szCs w:val="20"/>
          <w:color w:val="auto"/>
        </w:rPr>
      </w:pPr>
      <w:r>
        <w:rPr>
          <w:rFonts w:ascii="Arial" w:cs="Arial" w:eastAsia="Arial" w:hAnsi="Arial"/>
          <w:sz w:val="18"/>
          <w:szCs w:val="18"/>
          <w:color w:val="auto"/>
        </w:rPr>
        <w:t>net decrease in operating assets and liabilities is primarily driven by an increase in accounts receivable of $5.5 million and prepaid</w:t>
      </w:r>
    </w:p>
    <w:p>
      <w:pPr>
        <w:ind w:left="160"/>
        <w:spacing w:after="0" w:line="232" w:lineRule="auto"/>
        <w:rPr>
          <w:sz w:val="20"/>
          <w:szCs w:val="20"/>
          <w:color w:val="auto"/>
        </w:rPr>
      </w:pPr>
      <w:r>
        <w:rPr>
          <w:rFonts w:ascii="Arial" w:cs="Arial" w:eastAsia="Arial" w:hAnsi="Arial"/>
          <w:sz w:val="18"/>
          <w:szCs w:val="18"/>
          <w:color w:val="auto"/>
        </w:rPr>
        <w:t>expenses of $0.9 million. These increases are partially offset by increases in accounts payable of $1.9 million, accrued expenses 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$1.6 million and $1.6 million of contract liabilities, primarily due to the growth of our business.</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quarter ended March 31, 2020, net cash used in operating activities was $6.3 million, primarily due to a net loss of</w:t>
      </w:r>
    </w:p>
    <w:p>
      <w:pPr>
        <w:ind w:left="160"/>
        <w:spacing w:after="0" w:line="232" w:lineRule="auto"/>
        <w:rPr>
          <w:sz w:val="20"/>
          <w:szCs w:val="20"/>
          <w:color w:val="auto"/>
        </w:rPr>
      </w:pPr>
      <w:r>
        <w:rPr>
          <w:rFonts w:ascii="Arial" w:cs="Arial" w:eastAsia="Arial" w:hAnsi="Arial"/>
          <w:sz w:val="18"/>
          <w:szCs w:val="18"/>
          <w:color w:val="auto"/>
        </w:rPr>
        <w:t>$(8.6) million adjusted for non-cash charges of $1.1 million and a net increase in our operating assets and liabilities of $1.2 million. The</w:t>
      </w:r>
    </w:p>
    <w:p>
      <w:pPr>
        <w:ind w:left="160"/>
        <w:spacing w:after="0" w:line="233" w:lineRule="auto"/>
        <w:rPr>
          <w:sz w:val="20"/>
          <w:szCs w:val="20"/>
          <w:color w:val="auto"/>
        </w:rPr>
      </w:pPr>
      <w:r>
        <w:rPr>
          <w:rFonts w:ascii="Arial" w:cs="Arial" w:eastAsia="Arial" w:hAnsi="Arial"/>
          <w:sz w:val="18"/>
          <w:szCs w:val="18"/>
          <w:color w:val="auto"/>
        </w:rPr>
        <w:t>non-cash adjustments primarily relate to stock-based compensation of $0.1 million and depreciation and amortization of $0.7 million. The</w:t>
      </w:r>
    </w:p>
    <w:p>
      <w:pPr>
        <w:ind w:left="160"/>
        <w:spacing w:after="0"/>
        <w:rPr>
          <w:sz w:val="20"/>
          <w:szCs w:val="20"/>
          <w:color w:val="auto"/>
        </w:rPr>
      </w:pPr>
      <w:r>
        <w:rPr>
          <w:rFonts w:ascii="Arial" w:cs="Arial" w:eastAsia="Arial" w:hAnsi="Arial"/>
          <w:sz w:val="17"/>
          <w:szCs w:val="17"/>
          <w:color w:val="auto"/>
        </w:rPr>
        <w:t>net increase in operating assets and liabilities is primarily driven by a decrease in accounts receivable of $2.0 million. These increases are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partially offset by a $0.3 million decrease in contract liabilities.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Cash used by investing activities was $1.2 million during the quarter ended March 31, 2021, primarily due to investments in property and equipment (which includes internal-use software development costs).</w:t>
      </w:r>
    </w:p>
    <w:p>
      <w:pPr>
        <w:spacing w:after="0" w:line="203" w:lineRule="exact"/>
        <w:rPr>
          <w:sz w:val="20"/>
          <w:szCs w:val="20"/>
          <w:color w:val="auto"/>
        </w:rPr>
      </w:pPr>
    </w:p>
    <w:p>
      <w:pPr>
        <w:ind w:left="160" w:right="120" w:firstLine="546"/>
        <w:spacing w:after="0" w:line="237" w:lineRule="auto"/>
        <w:rPr>
          <w:sz w:val="20"/>
          <w:szCs w:val="20"/>
          <w:color w:val="auto"/>
        </w:rPr>
      </w:pPr>
      <w:r>
        <w:rPr>
          <w:rFonts w:ascii="Arial" w:cs="Arial" w:eastAsia="Arial" w:hAnsi="Arial"/>
          <w:sz w:val="18"/>
          <w:szCs w:val="18"/>
          <w:color w:val="auto"/>
        </w:rPr>
        <w:t>Cash used in investing activities was $1.7 million during the quarter ended March 31, 2020, primarily due to $1.0 million for the purchase of property and equipment (which includes internal-use software development costs) and $0.7 million of net purchases of short-term investments.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3"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Cash provided by financing activities was $0.8 million during the quarter ended March 31, 2021, reflecting $0.8 million of proceeds from the exercise of stock options.</w:t>
      </w:r>
    </w:p>
    <w:p>
      <w:pPr>
        <w:spacing w:after="0" w:line="20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Cash provided by financing activities was $4.1 million during the quarter ended March 31, 2020, reflecting $4.0 million of additional borrowings on our term loan.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presents a summary of our cash flows from operating, investing, and financing activities for the years indicated.</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Year Ended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2019 to</w:t>
            </w:r>
          </w:p>
        </w:tc>
      </w:tr>
      <w:tr>
        <w:trPr>
          <w:trHeight w:val="174"/>
        </w:trPr>
        <w:tc>
          <w:tcPr>
            <w:tcW w:w="7300" w:type="dxa"/>
            <w:vAlign w:val="bottom"/>
          </w:tcPr>
          <w:p>
            <w:pPr>
              <w:spacing w:after="0"/>
              <w:rPr>
                <w:sz w:val="15"/>
                <w:szCs w:val="15"/>
                <w:color w:val="auto"/>
              </w:rPr>
            </w:pPr>
          </w:p>
        </w:tc>
        <w:tc>
          <w:tcPr>
            <w:tcW w:w="2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2020 Change</w:t>
            </w:r>
          </w:p>
        </w:tc>
      </w:tr>
      <w:tr>
        <w:trPr>
          <w:trHeight w:val="154"/>
        </w:trPr>
        <w:tc>
          <w:tcPr>
            <w:tcW w:w="73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421"/>
              <w:spacing w:after="0" w:line="154"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115"/>
              <w:spacing w:after="0" w:line="154"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3"/>
                <w:szCs w:val="13"/>
                <w:color w:val="auto"/>
              </w:rPr>
            </w:pPr>
          </w:p>
        </w:tc>
      </w:tr>
      <w:tr>
        <w:trPr>
          <w:trHeight w:val="154"/>
        </w:trPr>
        <w:tc>
          <w:tcPr>
            <w:tcW w:w="7300" w:type="dxa"/>
            <w:vAlign w:val="bottom"/>
          </w:tcPr>
          <w:p>
            <w:pPr>
              <w:spacing w:after="0"/>
              <w:rPr>
                <w:sz w:val="13"/>
                <w:szCs w:val="13"/>
                <w:color w:val="auto"/>
              </w:rPr>
            </w:pPr>
          </w:p>
        </w:tc>
        <w:tc>
          <w:tcPr>
            <w:tcW w:w="19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1"/>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shd w:val="clear" w:color="auto" w:fill="CCEEFF"/>
          </w:tcPr>
          <w:p>
            <w:pPr>
              <w:jc w:val="right"/>
              <w:ind w:right="141"/>
              <w:spacing w:after="0" w:line="201" w:lineRule="exact"/>
              <w:rPr>
                <w:sz w:val="20"/>
                <w:szCs w:val="20"/>
                <w:color w:val="auto"/>
              </w:rPr>
            </w:pPr>
            <w:r>
              <w:rPr>
                <w:rFonts w:ascii="Arial" w:cs="Arial" w:eastAsia="Arial" w:hAnsi="Arial"/>
                <w:sz w:val="18"/>
                <w:szCs w:val="18"/>
                <w:color w:val="auto"/>
              </w:rPr>
              <w:t>$(27,125)</w:t>
            </w:r>
          </w:p>
        </w:tc>
        <w:tc>
          <w:tcPr>
            <w:tcW w:w="14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$(22,049)</w:t>
            </w:r>
          </w:p>
        </w:tc>
        <w:tc>
          <w:tcPr>
            <w:tcW w:w="11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(18.7)%</w:t>
            </w:r>
          </w:p>
        </w:tc>
      </w:tr>
      <w:tr>
        <w:trPr>
          <w:trHeight w:val="201"/>
        </w:trPr>
        <w:tc>
          <w:tcPr>
            <w:tcW w:w="7300" w:type="dxa"/>
            <w:vAlign w:val="bottom"/>
          </w:tcPr>
          <w:p>
            <w:pPr>
              <w:spacing w:after="0" w:line="201" w:lineRule="exact"/>
              <w:rPr>
                <w:sz w:val="20"/>
                <w:szCs w:val="20"/>
                <w:color w:val="auto"/>
              </w:rPr>
            </w:pPr>
            <w:r>
              <w:rPr>
                <w:rFonts w:ascii="Arial" w:cs="Arial" w:eastAsia="Arial" w:hAnsi="Arial"/>
                <w:sz w:val="18"/>
                <w:szCs w:val="18"/>
                <w:color w:val="auto"/>
              </w:rPr>
              <w:t>Net cash (used in) provided by investing activities</w:t>
            </w:r>
          </w:p>
        </w:tc>
        <w:tc>
          <w:tcPr>
            <w:tcW w:w="1020" w:type="dxa"/>
            <w:vAlign w:val="bottom"/>
          </w:tcPr>
          <w:p>
            <w:pPr>
              <w:jc w:val="right"/>
              <w:ind w:right="141"/>
              <w:spacing w:after="0" w:line="201" w:lineRule="exact"/>
              <w:rPr>
                <w:sz w:val="20"/>
                <w:szCs w:val="20"/>
                <w:color w:val="auto"/>
              </w:rPr>
            </w:pPr>
            <w:r>
              <w:rPr>
                <w:rFonts w:ascii="Arial" w:cs="Arial" w:eastAsia="Arial" w:hAnsi="Arial"/>
                <w:sz w:val="18"/>
                <w:szCs w:val="18"/>
                <w:color w:val="auto"/>
              </w:rPr>
              <w:t>(2,350)</w:t>
            </w:r>
          </w:p>
        </w:tc>
        <w:tc>
          <w:tcPr>
            <w:tcW w:w="146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6,670</w:t>
            </w:r>
          </w:p>
        </w:tc>
        <w:tc>
          <w:tcPr>
            <w:tcW w:w="11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383.8</w:t>
            </w:r>
          </w:p>
        </w:tc>
      </w:tr>
      <w:tr>
        <w:trPr>
          <w:trHeight w:val="201"/>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1020" w:type="dxa"/>
            <w:vAlign w:val="bottom"/>
            <w:shd w:val="clear" w:color="auto" w:fill="CCEEFF"/>
          </w:tcPr>
          <w:p>
            <w:pPr>
              <w:jc w:val="right"/>
              <w:ind w:right="201"/>
              <w:spacing w:after="0" w:line="201" w:lineRule="exact"/>
              <w:rPr>
                <w:sz w:val="20"/>
                <w:szCs w:val="20"/>
                <w:color w:val="auto"/>
              </w:rPr>
            </w:pPr>
            <w:r>
              <w:rPr>
                <w:rFonts w:ascii="Arial" w:cs="Arial" w:eastAsia="Arial" w:hAnsi="Arial"/>
                <w:sz w:val="18"/>
                <w:szCs w:val="18"/>
                <w:color w:val="auto"/>
              </w:rPr>
              <w:t>54,715</w:t>
            </w:r>
          </w:p>
        </w:tc>
        <w:tc>
          <w:tcPr>
            <w:tcW w:w="146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35,261</w:t>
            </w:r>
          </w:p>
        </w:tc>
        <w:tc>
          <w:tcPr>
            <w:tcW w:w="11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(35.6)</w:t>
            </w: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year ended December 31, 2020, net cash used in operating activities was $22.0 million, primarily due to a net loss of</w:t>
      </w:r>
    </w:p>
    <w:p>
      <w:pPr>
        <w:ind w:left="160"/>
        <w:spacing w:after="0" w:line="232" w:lineRule="auto"/>
        <w:rPr>
          <w:sz w:val="20"/>
          <w:szCs w:val="20"/>
          <w:color w:val="auto"/>
        </w:rPr>
      </w:pPr>
      <w:r>
        <w:rPr>
          <w:rFonts w:ascii="Arial" w:cs="Arial" w:eastAsia="Arial" w:hAnsi="Arial"/>
          <w:sz w:val="18"/>
          <w:szCs w:val="18"/>
          <w:color w:val="auto"/>
        </w:rPr>
        <w:t>$(31.1) million adjusted for non-cash charges of $7.1 million and a net increase in our operating assets and liabilities of $2.0 million. The</w:t>
      </w:r>
    </w:p>
    <w:p>
      <w:pPr>
        <w:ind w:left="160"/>
        <w:spacing w:after="0" w:line="233" w:lineRule="auto"/>
        <w:rPr>
          <w:sz w:val="20"/>
          <w:szCs w:val="20"/>
          <w:color w:val="auto"/>
        </w:rPr>
      </w:pPr>
      <w:r>
        <w:rPr>
          <w:rFonts w:ascii="Arial" w:cs="Arial" w:eastAsia="Arial" w:hAnsi="Arial"/>
          <w:sz w:val="18"/>
          <w:szCs w:val="18"/>
          <w:color w:val="auto"/>
        </w:rPr>
        <w:t>non-cash adjustments primarily relate to stock-based compensation of $1.0 million, depreciation and amortization of $3.1 million and</w:t>
      </w:r>
    </w:p>
    <w:p>
      <w:pPr>
        <w:ind w:left="160"/>
        <w:spacing w:after="0" w:line="232" w:lineRule="auto"/>
        <w:rPr>
          <w:sz w:val="20"/>
          <w:szCs w:val="20"/>
          <w:color w:val="auto"/>
        </w:rPr>
      </w:pPr>
      <w:r>
        <w:rPr>
          <w:rFonts w:ascii="Arial" w:cs="Arial" w:eastAsia="Arial" w:hAnsi="Arial"/>
          <w:sz w:val="18"/>
          <w:szCs w:val="18"/>
          <w:color w:val="auto"/>
        </w:rPr>
        <w:t>impairment of goodwill and intangible assets of $1.6 million. The net increase in operating assets and liabilities is primarily driven by an</w:t>
      </w:r>
    </w:p>
    <w:p>
      <w:pPr>
        <w:ind w:left="160"/>
        <w:spacing w:after="0" w:line="233" w:lineRule="auto"/>
        <w:rPr>
          <w:sz w:val="20"/>
          <w:szCs w:val="20"/>
          <w:color w:val="auto"/>
        </w:rPr>
      </w:pPr>
      <w:r>
        <w:rPr>
          <w:rFonts w:ascii="Arial" w:cs="Arial" w:eastAsia="Arial" w:hAnsi="Arial"/>
          <w:sz w:val="18"/>
          <w:szCs w:val="18"/>
          <w:color w:val="auto"/>
        </w:rPr>
        <w:t>increase in accounts receivable of $2.1 million and accrued expenses of $8.6 million due to our growth. These increases are partially</w:t>
      </w:r>
    </w:p>
    <w:p>
      <w:pPr>
        <w:ind w:left="160"/>
        <w:spacing w:after="0"/>
        <w:rPr>
          <w:sz w:val="20"/>
          <w:szCs w:val="20"/>
          <w:color w:val="auto"/>
        </w:rPr>
      </w:pPr>
      <w:r>
        <w:rPr>
          <w:rFonts w:ascii="Arial" w:cs="Arial" w:eastAsia="Arial" w:hAnsi="Arial"/>
          <w:sz w:val="18"/>
          <w:szCs w:val="18"/>
          <w:color w:val="auto"/>
        </w:rPr>
        <w:t>offset by decrease in accounts payable of $2.4 million primarily due to the growth of our business.</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the year ended December 31, 2019, net cash used in operating activities was $27.1 million, primarily due to a net loss of</w:t>
      </w:r>
    </w:p>
    <w:p>
      <w:pPr>
        <w:ind w:left="160" w:right="20"/>
        <w:spacing w:after="0" w:line="232" w:lineRule="auto"/>
        <w:rPr>
          <w:sz w:val="20"/>
          <w:szCs w:val="20"/>
          <w:color w:val="auto"/>
        </w:rPr>
      </w:pPr>
      <w:r>
        <w:rPr>
          <w:rFonts w:ascii="Arial" w:cs="Arial" w:eastAsia="Arial" w:hAnsi="Arial"/>
          <w:sz w:val="18"/>
          <w:szCs w:val="18"/>
          <w:color w:val="auto"/>
        </w:rPr>
        <w:t>$(31.0) million adjusted for non-cash charges of $4.7 million and a net decrease in our operating assets and liabilities of $(0.8) million. The non-cash adjustments primarily relate to stock-based compensation of $0.5 million, impairment of goodwill and intangible assets of</w:t>
      </w:r>
    </w:p>
    <w:p>
      <w:pPr>
        <w:spacing w:after="0" w:line="1" w:lineRule="exact"/>
        <w:rPr>
          <w:sz w:val="20"/>
          <w:szCs w:val="20"/>
          <w:color w:val="auto"/>
        </w:rPr>
      </w:pPr>
    </w:p>
    <w:p>
      <w:pPr>
        <w:jc w:val="both"/>
        <w:ind w:left="160" w:right="100"/>
        <w:spacing w:after="0" w:line="237" w:lineRule="auto"/>
        <w:rPr>
          <w:sz w:val="20"/>
          <w:szCs w:val="20"/>
          <w:color w:val="auto"/>
        </w:rPr>
      </w:pPr>
      <w:r>
        <w:rPr>
          <w:rFonts w:ascii="Arial" w:cs="Arial" w:eastAsia="Arial" w:hAnsi="Arial"/>
          <w:sz w:val="18"/>
          <w:szCs w:val="18"/>
          <w:color w:val="auto"/>
        </w:rPr>
        <w:t>$1.7 million and depreciation and amortization of $ 1.8 million. The net decrease in operating assets and liabilities is primarily driven by an increase in accounts receivable of $5.5 million and inventory costs of $0.6 million due to the growth in our revenue. These decreases are partially offset by an increase in accounts payable and accrued expenses of $5.4 million related primarily to the timing of payments.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Cash provided by investing activities was $6.7 million during the year ended December 31, 2020, primarily due to proceeds from the settlement of short-term investments.</w:t>
      </w:r>
    </w:p>
    <w:p>
      <w:pPr>
        <w:spacing w:after="0" w:line="203"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Cash used in investing activities was $2.4 million during the year ended December 31, 2019, primarily due to $2.7 million for the purchase of property and equipment (which includes internal-use software development costs), and $1.4 million for acquisitions offset by net proceed from short-term investments.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3" w:lineRule="exact"/>
        <w:rPr>
          <w:sz w:val="20"/>
          <w:szCs w:val="20"/>
          <w:color w:val="auto"/>
        </w:rPr>
      </w:pPr>
    </w:p>
    <w:p>
      <w:pPr>
        <w:ind w:left="160" w:right="440" w:firstLine="546"/>
        <w:spacing w:after="0" w:line="237" w:lineRule="auto"/>
        <w:rPr>
          <w:sz w:val="20"/>
          <w:szCs w:val="20"/>
          <w:color w:val="auto"/>
        </w:rPr>
      </w:pPr>
      <w:r>
        <w:rPr>
          <w:rFonts w:ascii="Arial" w:cs="Arial" w:eastAsia="Arial" w:hAnsi="Arial"/>
          <w:sz w:val="18"/>
          <w:szCs w:val="18"/>
          <w:color w:val="auto"/>
        </w:rPr>
        <w:t>Cash provided by financing activities was $35.3 million during the year ended December 31, 2020, reflecting $39.6 million of proceeds from the issuance of convertible preferred stock, net of cost and $4.0 million of proceeds from the term loan facility, partially offset by an $8.8 million deemed dividend to certain preferred stockholders.</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Cash provided by financing activities was $54.7 million during the year ended December 31, 2019, reflecting $54.9 million of</w:t>
      </w:r>
    </w:p>
    <w:p>
      <w:pPr>
        <w:jc w:val="center"/>
        <w:ind w:right="-99"/>
        <w:spacing w:after="0"/>
        <w:rPr>
          <w:sz w:val="20"/>
          <w:szCs w:val="20"/>
          <w:color w:val="auto"/>
        </w:rPr>
      </w:pPr>
      <w:r>
        <w:rPr>
          <w:rFonts w:ascii="Arial" w:cs="Arial" w:eastAsia="Arial" w:hAnsi="Arial"/>
          <w:sz w:val="18"/>
          <w:szCs w:val="18"/>
          <w:color w:val="auto"/>
        </w:rPr>
        <w:t>proceeds from the issuance of Series D convertible preferred stock, partially offset by $0.5 million of payments related to our line of credit.</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0"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The following table sets forth the amounts of our significant contractual obligations and commitments with definitive payment terms as of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Payment due by Period</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Less than 1</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9"/>
              </w:rPr>
              <w:t>More than 5</w:t>
            </w:r>
          </w:p>
        </w:tc>
        <w:tc>
          <w:tcPr>
            <w:tcW w:w="60" w:type="dxa"/>
            <w:vAlign w:val="bottom"/>
          </w:tcPr>
          <w:p>
            <w:pPr>
              <w:spacing w:after="0"/>
              <w:rPr>
                <w:sz w:val="12"/>
                <w:szCs w:val="12"/>
                <w:color w:val="auto"/>
              </w:rPr>
            </w:pPr>
          </w:p>
        </w:tc>
      </w:tr>
      <w:tr>
        <w:trPr>
          <w:trHeight w:val="174"/>
        </w:trPr>
        <w:tc>
          <w:tcPr>
            <w:tcW w:w="5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5"/>
                <w:szCs w:val="15"/>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8"/>
              </w:rPr>
              <w:t>4-5 years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r>
      <w:tr>
        <w:trPr>
          <w:trHeight w:val="154"/>
        </w:trPr>
        <w:tc>
          <w:tcPr>
            <w:tcW w:w="5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3"/>
          </w:tcPr>
          <w:p>
            <w:pPr>
              <w:jc w:val="center"/>
              <w:ind w:right="20"/>
              <w:spacing w:after="0" w:line="154"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Term loan</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$15,753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$15,753</w:t>
            </w:r>
          </w:p>
        </w:tc>
        <w:tc>
          <w:tcPr>
            <w:tcW w:w="2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r>
      <w:tr>
        <w:trPr>
          <w:trHeight w:val="201"/>
        </w:trPr>
        <w:tc>
          <w:tcPr>
            <w:tcW w:w="5260" w:type="dxa"/>
            <w:vAlign w:val="bottom"/>
          </w:tcPr>
          <w:p>
            <w:pPr>
              <w:spacing w:after="0" w:line="201" w:lineRule="exact"/>
              <w:rPr>
                <w:sz w:val="20"/>
                <w:szCs w:val="20"/>
                <w:color w:val="auto"/>
              </w:rPr>
            </w:pPr>
            <w:r>
              <w:rPr>
                <w:rFonts w:ascii="Arial" w:cs="Arial" w:eastAsia="Arial" w:hAnsi="Arial"/>
                <w:sz w:val="18"/>
                <w:szCs w:val="18"/>
                <w:color w:val="auto"/>
              </w:rPr>
              <w:t>Operating leases</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2,403</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1,153</w:t>
            </w:r>
          </w:p>
        </w:tc>
        <w:tc>
          <w:tcPr>
            <w:tcW w:w="1640" w:type="dxa"/>
            <w:vAlign w:val="bottom"/>
            <w:gridSpan w:val="3"/>
          </w:tcPr>
          <w:p>
            <w:pPr>
              <w:jc w:val="right"/>
              <w:ind w:right="480"/>
              <w:spacing w:after="0" w:line="201" w:lineRule="exact"/>
              <w:rPr>
                <w:sz w:val="20"/>
                <w:szCs w:val="20"/>
                <w:color w:val="auto"/>
              </w:rPr>
            </w:pPr>
            <w:r>
              <w:rPr>
                <w:rFonts w:ascii="Arial" w:cs="Arial" w:eastAsia="Arial" w:hAnsi="Arial"/>
                <w:sz w:val="18"/>
                <w:szCs w:val="18"/>
                <w:color w:val="auto"/>
              </w:rPr>
              <w:t>1,250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r>
      <w:tr>
        <w:trPr>
          <w:trHeight w:val="201"/>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Finance leases</w:t>
            </w:r>
          </w:p>
        </w:tc>
        <w:tc>
          <w:tcPr>
            <w:tcW w:w="6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5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18,171</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1,166</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17,005</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March 31, 2021, there were no material changes to our contractual obligations and commitments.</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Off-Balance Sheet Arrangements</w:t>
      </w:r>
    </w:p>
    <w:p>
      <w:pPr>
        <w:spacing w:after="0" w:line="230"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Critical Accounting Policies</w:t>
      </w:r>
    </w:p>
    <w:p>
      <w:pPr>
        <w:spacing w:after="0" w:line="23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Our discussion and analysis of financial condition and results of operations are based upon our financial statements included elsewhere in this prospectus.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80" w:firstLine="546"/>
        <w:spacing w:after="0" w:line="236"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3" w:lineRule="exact"/>
        <w:rPr>
          <w:sz w:val="20"/>
          <w:szCs w:val="20"/>
          <w:color w:val="auto"/>
        </w:rPr>
      </w:pPr>
    </w:p>
    <w:p>
      <w:pPr>
        <w:jc w:val="both"/>
        <w:ind w:left="160" w:right="540" w:firstLine="546"/>
        <w:spacing w:after="0" w:line="237" w:lineRule="auto"/>
        <w:rPr>
          <w:sz w:val="20"/>
          <w:szCs w:val="20"/>
          <w:color w:val="auto"/>
        </w:rPr>
      </w:pPr>
      <w:r>
        <w:rPr>
          <w:rFonts w:ascii="Arial" w:cs="Arial" w:eastAsia="Arial" w:hAnsi="Arial"/>
          <w:sz w:val="18"/>
          <w:szCs w:val="18"/>
          <w:color w:val="auto"/>
        </w:rPr>
        <w:t>We derive substantially all of our revenue in the U.S. and Europe from the sale of parts and assemblies fulfilled using a vast network of sellers. We recognize revenue from the sales to our buyers pursuant to Financial Accounting Standard Board’s (“FASB”) Accounting Standards Codification (“ASC”) Topic 606, Revenue from Contracts with Customers (“ASC 606”).</w:t>
      </w:r>
    </w:p>
    <w:p>
      <w:pPr>
        <w:spacing w:after="0" w:line="203" w:lineRule="exact"/>
        <w:rPr>
          <w:sz w:val="20"/>
          <w:szCs w:val="20"/>
          <w:color w:val="auto"/>
        </w:rPr>
      </w:pPr>
    </w:p>
    <w:p>
      <w:pPr>
        <w:jc w:val="both"/>
        <w:ind w:left="160" w:firstLine="546"/>
        <w:spacing w:after="0" w:line="246" w:lineRule="auto"/>
        <w:rPr>
          <w:sz w:val="20"/>
          <w:szCs w:val="20"/>
          <w:color w:val="auto"/>
        </w:rPr>
      </w:pPr>
      <w:r>
        <w:rPr>
          <w:rFonts w:ascii="Arial" w:cs="Arial" w:eastAsia="Arial" w:hAnsi="Arial"/>
          <w:sz w:val="17"/>
          <w:szCs w:val="17"/>
          <w:color w:val="auto"/>
        </w:rPr>
        <w:t>We determine that a contract exists between us and the customer when the customer accepts the quote and places the order, all of which are governed by our standard terms and conditions or other agreed terms with our customers. Upon completion of an order through our platform, we identify the performance obligation(s) within that order to complete the sale of the manufactured part(s) or assembly.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Using our in-house technology, we determine the price for the manufactured part(s) or assembly on a stand-alone basis at order initiation.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recognize revenue from sales to our customers upon shipment, at which point control over the part(s) or assembly have transferred.</w:t>
      </w:r>
    </w:p>
    <w:p>
      <w:pPr>
        <w:spacing w:after="0" w:line="208" w:lineRule="exact"/>
        <w:rPr>
          <w:sz w:val="20"/>
          <w:szCs w:val="20"/>
          <w:color w:val="auto"/>
        </w:rPr>
      </w:pPr>
    </w:p>
    <w:p>
      <w:pPr>
        <w:ind w:left="160" w:right="80" w:firstLine="546"/>
        <w:spacing w:after="0" w:line="250" w:lineRule="auto"/>
        <w:rPr>
          <w:sz w:val="20"/>
          <w:szCs w:val="20"/>
          <w:color w:val="auto"/>
        </w:rPr>
      </w:pPr>
      <w:r>
        <w:rPr>
          <w:rFonts w:ascii="Arial" w:cs="Arial" w:eastAsia="Arial" w:hAnsi="Arial"/>
          <w:sz w:val="17"/>
          <w:szCs w:val="17"/>
          <w:color w:val="auto"/>
        </w:rPr>
        <w:t>We have concluded that we are the principal in the sale of part(s) and assemblies that are sold by our network of third-party manufacturers because we exercise control over the manufacturing process by obtaining a right to direct a third-party manufacturer to fulfill the performance obligation we have with the buyer on our behalf. We considered the following conditions of the sale: (i) we have the obligation of providing the specified product to the buyer, (ii) 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12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We test goodwill for impairment annually in the fourth quarter, or more frequently, if needed and when there is a triggering event (e.g., a deterioration in general economic conditions or in the environment in which we operate). When impairment indicators are identified we compare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202"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We determine the fair value of each reporting unit using an income approach. Under the income approach, we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To the extent management judgments, estimates or assumptions are incorrect, the fair value of our reporting units or intangible assets could be lower and those assets could be further impaired in the future.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Stock options are measured at the grant date fair value of the award. We estimate grant date fair value of those awards using the Black-Scholes option pricing model. The fair value of stock options is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40"/>
          </w:cols>
          <w:pgMar w:left="320" w:top="456"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recognized as compensation expense on a straight-line basis over the requisite service period, which is typically four years.</w:t>
      </w:r>
    </w:p>
    <w:p>
      <w:pPr>
        <w:spacing w:after="0" w:line="208" w:lineRule="exact"/>
        <w:rPr>
          <w:sz w:val="20"/>
          <w:szCs w:val="20"/>
          <w:color w:val="auto"/>
        </w:rPr>
      </w:pPr>
    </w:p>
    <w:p>
      <w:pPr>
        <w:ind w:left="160" w:right="180" w:firstLine="546"/>
        <w:spacing w:after="0" w:line="237"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 assumptions with respect to: (i) expected annual dividend yield, (ii) expected volatility over the expected term; (iii) expected term, (iv) risk free interest rate, (v) per share value of the underlying common stock, and (vi) exercise price.</w:t>
      </w:r>
    </w:p>
    <w:p>
      <w:pPr>
        <w:spacing w:after="0" w:line="20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The fair value of our Class A common stock has been estimated by management as there is no public market for our Class A common stock. Our market-based methodology considers a number of objective and subjective factors including: third-party valuations of its common stock, the valuation of comparable companies, sales of our convertible preferred stock to outside investors in arms-length transactions, our operating and financial performance, the lack of marketability, and general and industry specific economic outlook, amongst others.</w:t>
      </w:r>
    </w:p>
    <w:p>
      <w:pPr>
        <w:spacing w:after="0" w:line="204"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Stock-based compensation expense is calculated using our best estimates, which involve inherent uncertainties and the application of management’s judgment and estimates. If different estimates and assumptions had been used, our estimates of common stock valuations could be significantly different and related stock-based compensation expense may be materially impacted.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3"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The fair value of our shares of common stock underlying stock options has historically been determined by the board of directors, with contemporaneous third-party valuations, as there has been no public market for our common stock.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 Held Company Equity Securities Issued as Compensation, our board of directors exercised reasonable judgment and considered a number of objective and subjective factors to determine the best estimate of the fair value of our common stock at each grant date.</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factors include:</w:t>
      </w:r>
    </w:p>
    <w:p>
      <w:pPr>
        <w:spacing w:after="0" w:line="114" w:lineRule="exact"/>
        <w:rPr>
          <w:sz w:val="20"/>
          <w:szCs w:val="20"/>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liquidation preferences, rights, and privileges of our convertible preferred stock relative to the common stock;</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3" w:lineRule="exact"/>
        <w:rPr>
          <w:rFonts w:ascii="Arial" w:cs="Arial" w:eastAsia="Arial" w:hAnsi="Arial"/>
          <w:sz w:val="18"/>
          <w:szCs w:val="18"/>
          <w:color w:val="auto"/>
        </w:rPr>
      </w:pPr>
    </w:p>
    <w:p>
      <w:pPr>
        <w:ind w:left="920" w:right="200" w:hanging="218"/>
        <w:spacing w:after="0" w:line="23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for the shares of common stock underlying the stock options, such as an initial public offering, given prevailing market conditions;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of the common stock underlying the granted options;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recent secondary stock sales and tender offers;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6"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valuing our common stock, our board of directors determines the value using both the income and the market approach valuation methods. The income approach estimates value based on the expectation of future cash flows that a company will generate. These future cash flows are discounted to their present values using a discount rate based on our weighted average cost of capital, or WACC. To derive our WACC, a cost of equity was developed using the Capital Asset Pricing Model and comparable company betas, and a cost of debt was determined based on our estimated cost of borrowing. The costs of debt and equity were then weighted based on our actual capital structure. The market approach estimates value based on a comparison of our company to comparable public companies in a similar line of business and acquisitions in the market. From the comparable companies, a representative market multiple is determined and subsequently applied to our financial results to estimate our enterprise value.</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204" w:lineRule="exact"/>
        <w:rPr>
          <w:sz w:val="20"/>
          <w:szCs w:val="20"/>
          <w:color w:val="auto"/>
        </w:rPr>
      </w:pPr>
    </w:p>
    <w:p>
      <w:pPr>
        <w:ind w:left="160" w:right="260" w:firstLine="546"/>
        <w:spacing w:after="0" w:line="237"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Class A common stock based on the closing price of our Class A common stock as reported on the date of grant. Future expense amounts for any particular period could be affected by changes in our assumptions or market conditions.</w:t>
      </w:r>
    </w:p>
    <w:p>
      <w:pPr>
        <w:spacing w:after="0" w:line="203" w:lineRule="exact"/>
        <w:rPr>
          <w:sz w:val="20"/>
          <w:szCs w:val="20"/>
          <w:color w:val="auto"/>
        </w:rPr>
      </w:pPr>
    </w:p>
    <w:p>
      <w:pPr>
        <w:ind w:left="160" w:right="220" w:firstLine="546"/>
        <w:spacing w:after="0" w:line="232" w:lineRule="auto"/>
        <w:rPr>
          <w:sz w:val="20"/>
          <w:szCs w:val="20"/>
          <w:color w:val="auto"/>
        </w:rPr>
      </w:pPr>
      <w:r>
        <w:rPr>
          <w:rFonts w:ascii="Arial" w:cs="Arial" w:eastAsia="Arial" w:hAnsi="Arial"/>
          <w:sz w:val="18"/>
          <w:szCs w:val="18"/>
          <w:color w:val="auto"/>
        </w:rPr>
        <w:t>Based on the assumed initial public offering price per share of $ , which is the midpoint of the estimated offering price range set forth on the cover page of this prospectus, the aggregate intrinsic value of our outstanding stock options as of March 31, 2021</w:t>
      </w:r>
    </w:p>
    <w:p>
      <w:pPr>
        <w:spacing w:after="0" w:line="1" w:lineRule="exact"/>
        <w:rPr>
          <w:sz w:val="20"/>
          <w:szCs w:val="20"/>
          <w:color w:val="auto"/>
        </w:rPr>
      </w:pPr>
    </w:p>
    <w:p>
      <w:pPr>
        <w:ind w:left="160"/>
        <w:spacing w:after="0"/>
        <w:tabs>
          <w:tab w:leader="none" w:pos="1400" w:val="left"/>
          <w:tab w:leader="none" w:pos="2760" w:val="left"/>
        </w:tabs>
        <w:rPr>
          <w:sz w:val="20"/>
          <w:szCs w:val="20"/>
          <w:color w:val="auto"/>
        </w:rPr>
      </w:pPr>
      <w:r>
        <w:rPr>
          <w:rFonts w:ascii="Arial" w:cs="Arial" w:eastAsia="Arial" w:hAnsi="Arial"/>
          <w:sz w:val="18"/>
          <w:szCs w:val="18"/>
          <w:color w:val="auto"/>
        </w:rPr>
        <w:t>was $</w:t>
      </w:r>
      <w:r>
        <w:rPr>
          <w:sz w:val="20"/>
          <w:szCs w:val="20"/>
          <w:color w:val="auto"/>
        </w:rPr>
        <w:tab/>
      </w:r>
      <w:r>
        <w:rPr>
          <w:rFonts w:ascii="Arial" w:cs="Arial" w:eastAsia="Arial" w:hAnsi="Arial"/>
          <w:sz w:val="18"/>
          <w:szCs w:val="18"/>
          <w:color w:val="auto"/>
        </w:rPr>
        <w:t>, with $</w:t>
      </w:r>
      <w:r>
        <w:rPr>
          <w:sz w:val="20"/>
          <w:szCs w:val="20"/>
          <w:color w:val="auto"/>
        </w:rPr>
        <w:tab/>
      </w:r>
      <w:r>
        <w:rPr>
          <w:rFonts w:ascii="Arial" w:cs="Arial" w:eastAsia="Arial" w:hAnsi="Arial"/>
          <w:sz w:val="17"/>
          <w:szCs w:val="17"/>
          <w:color w:val="auto"/>
        </w:rPr>
        <w:t>million related to vested stock options.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Recent Accounting Pronouncements</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For a description of our recently adopted accounting pronouncements and recently issued accounting standards not yet adopted, see Note 2 to our financial statements: “Significant Accounting Policies” appearing elsewhere in this prospectus.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0"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Our primary market risk exposure is changing interest rates in connection with the Amended Loan and Security Agreement with Hercules. Interest rate risk is highly sensitive due to many factors, including U.S. monetary and tax policies, U.S. and international economic factors and other factors beyond our control. As of March 31, 2021, borrowing under the term loan facility bear interest equal to the greater of (A) 8.7% per annum plus the prime rate minus 4.75% per annum; or (B) 8.7%. As of March 31, 2021, we had $15.8 million outstanding under our term loan facility.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hypothetical 10% change in interest rates would not result in a material impact on our consolidated financial statements.</w:t>
      </w:r>
    </w:p>
    <w:p>
      <w:pPr>
        <w:spacing w:after="0" w:line="208"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Our interest-earning instruments also carry a degree of interest rate risk. As of March 31, 2021, we had cash and cash equivalents of $49.5 million.</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European operating segment generates revenue outside of the United States that is denominated in currencies other than the U.S. dollar. Our results of operations could be impacted by changes in exchange rates.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23"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JOBS Act Accounting Election</w:t>
      </w:r>
    </w:p>
    <w:p>
      <w:pPr>
        <w:spacing w:after="0" w:line="230" w:lineRule="exact"/>
        <w:rPr>
          <w:sz w:val="20"/>
          <w:szCs w:val="20"/>
          <w:color w:val="auto"/>
        </w:rPr>
      </w:pPr>
    </w:p>
    <w:p>
      <w:pPr>
        <w:ind w:left="160" w:firstLine="546"/>
        <w:spacing w:after="0" w:line="250"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196" w:lineRule="exact"/>
        <w:rPr>
          <w:sz w:val="20"/>
          <w:szCs w:val="20"/>
          <w:color w:val="auto"/>
        </w:rPr>
      </w:pPr>
    </w:p>
    <w:p>
      <w:pPr>
        <w:ind w:left="160" w:right="60" w:firstLine="546"/>
        <w:spacing w:after="0" w:line="236"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6"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LETTER FROM RANDOLPH ALTSCHULER AND LAURENCE ZURIFF, CO-FOUNDERS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Letter From the Founders: Randy and Laurence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Committed to Building the Largest &amp; Most Comprehensive Global Manufacturing Marketplace</w:t>
      </w:r>
    </w:p>
    <w:p>
      <w:pPr>
        <w:spacing w:after="0" w:line="123"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As entrepreneurs, we believe the best opportunities exist where technology is applied to disrupt traditional industries by offering a better solution to a broader set of customers.</w:t>
      </w:r>
    </w:p>
    <w:p>
      <w:pPr>
        <w:spacing w:after="0" w:line="203"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The global demand for efficiency and speed has somehow eluded one of the largest and most important industries in the world, on-demand manufacturing. When we founded Xometry in 2013, the industry was localized and barely digitized. The inefficiencies were myriad and the opportunity ripe.</w:t>
      </w:r>
    </w:p>
    <w:p>
      <w:pPr>
        <w:spacing w:after="0" w:line="20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Our vision was simple. If there was a convenient web-based marketplace for books people write and read, why shouldn’t there be a similar marketplace for products people make and use?</w:t>
      </w:r>
    </w:p>
    <w:p>
      <w:pPr>
        <w:spacing w:after="0" w:line="20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From the day we started, our goal was to digitize manufacturing, connect supply with demand, and provide a better sourcing solution to both buyers and sellers. Today, Xometry provides a managed marketplace to serve a $260 billion opportunity where people who make things—and people who need things made—can find common ground to interact, transact and collaborate to get things built faster, better, and more affordably.</w:t>
      </w:r>
    </w:p>
    <w:p>
      <w:pPr>
        <w:spacing w:after="0" w:line="202" w:lineRule="exact"/>
        <w:rPr>
          <w:sz w:val="20"/>
          <w:szCs w:val="20"/>
          <w:color w:val="auto"/>
        </w:rPr>
      </w:pPr>
    </w:p>
    <w:p>
      <w:pPr>
        <w:jc w:val="both"/>
        <w:ind w:left="160" w:right="20" w:firstLine="546"/>
        <w:spacing w:after="0" w:line="237" w:lineRule="auto"/>
        <w:rPr>
          <w:sz w:val="20"/>
          <w:szCs w:val="20"/>
          <w:color w:val="auto"/>
        </w:rPr>
      </w:pPr>
      <w:r>
        <w:rPr>
          <w:rFonts w:ascii="Arial" w:cs="Arial" w:eastAsia="Arial" w:hAnsi="Arial"/>
          <w:sz w:val="18"/>
          <w:szCs w:val="18"/>
          <w:color w:val="auto"/>
        </w:rPr>
        <w:t>We focused on digitizing the broad on-demand manufacturing ecosystem into a marketplace that simplifies sourcing and can adapt as new technologies are introduced. We integrate the installed base of traditional machine shops, molding shops, and 3D printing service bureaus into an innovative, agile, and distributive global marketplace.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Artificial Intelligence (AI) – the Core of Our Marketplace</w:t>
      </w:r>
    </w:p>
    <w:p>
      <w:pPr>
        <w:spacing w:after="0" w:line="123"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For years, the on-demand manufacturing industry suffered from a lack of consistent pricing driven mainly by the existing manufacturing sourcing and procurement processes that were complex, uncertain, costly and time-consuming. Pricing was in a word, opaque. We focused on developing a means to generate an instant and accurate price for our buyers and allow sellers to source curated manufacturing opportunities that match their specific processes and capacity. Artificial Intelligence gave us the tools to create a machine learning approach to accurately and quickly price part designs and lead times and match them to the appropriate sellers. It allowed us to combine part features with data gathered from the financial transactions conducted on our marketplace to construct and continually improve prices that both buyers and sellers find acceptable across a wide range of designs, materials, and sizes.</w:t>
      </w:r>
    </w:p>
    <w:p>
      <w:pPr>
        <w:spacing w:after="0" w:line="99"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Xometry essentially created a liquid, scalable and global marketplace for the sourcing of on-demand parts. This liquidity gave us the opportunity to gain visibility into the supply and demand balance locally, regionally, and globally. Liquidity permits us to route work intelligently to support a more robust and resilient supply chain that is designed to respond to crises such as pandemics or natural disasters without skipping a beat.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Buyers</w:t>
      </w:r>
    </w:p>
    <w:p>
      <w:pPr>
        <w:spacing w:after="0" w:line="123"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Our customers are innovators. We help them take their ideas to market. Their products, manufactured through the Xometry marketplace, have changed people’s lives. They have sent men and women to space, contributed to developing vaccines at warp speed, accelerated the development of electric vehicles, and brought to market innovative protective masks that serve the needs of the deaf community.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40"/>
          </w:cols>
          <w:pgMar w:left="320" w:top="456"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Seller Community</w:t>
      </w:r>
    </w:p>
    <w:p>
      <w:pPr>
        <w:spacing w:after="0" w:line="12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sellers range in size, from large machine shops to small businesses run by talented craftspeople. We call our sellers “partners” for a reason; they are as committed to their industry and their community as we are. For decades they have played a pivotal role in their local economy’s prosperity. We help them access a broader customer base, scale capacity, and improve their cash cycle through Xometry’s seller financial services.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People</w:t>
      </w:r>
    </w:p>
    <w:p>
      <w:pPr>
        <w:spacing w:after="0" w:line="123" w:lineRule="exact"/>
        <w:rPr>
          <w:sz w:val="20"/>
          <w:szCs w:val="20"/>
          <w:color w:val="auto"/>
        </w:rPr>
      </w:pPr>
    </w:p>
    <w:p>
      <w:pPr>
        <w:jc w:val="both"/>
        <w:ind w:left="160" w:right="180" w:firstLine="546"/>
        <w:spacing w:after="0" w:line="237" w:lineRule="auto"/>
        <w:rPr>
          <w:sz w:val="20"/>
          <w:szCs w:val="20"/>
          <w:color w:val="auto"/>
        </w:rPr>
      </w:pPr>
      <w:r>
        <w:rPr>
          <w:rFonts w:ascii="Arial" w:cs="Arial" w:eastAsia="Arial" w:hAnsi="Arial"/>
          <w:sz w:val="18"/>
          <w:szCs w:val="18"/>
          <w:color w:val="auto"/>
        </w:rPr>
        <w:t>Our teammates are Xometry’s most important asset. The powerful combination of their unique knowledge and abilities drives our company and its marketplace. We embrace both independent thought and teamwork to tackle tough problems, empowering our team to find the best solutions.</w:t>
      </w:r>
    </w:p>
    <w:p>
      <w:pPr>
        <w:spacing w:after="0" w:line="203" w:lineRule="exact"/>
        <w:rPr>
          <w:sz w:val="20"/>
          <w:szCs w:val="20"/>
          <w:color w:val="auto"/>
        </w:rPr>
      </w:pPr>
    </w:p>
    <w:p>
      <w:pPr>
        <w:ind w:left="160" w:right="200" w:firstLine="546"/>
        <w:spacing w:after="0" w:line="236" w:lineRule="auto"/>
        <w:rPr>
          <w:sz w:val="20"/>
          <w:szCs w:val="20"/>
          <w:color w:val="auto"/>
        </w:rPr>
      </w:pPr>
      <w:r>
        <w:rPr>
          <w:rFonts w:ascii="Arial" w:cs="Arial" w:eastAsia="Arial" w:hAnsi="Arial"/>
          <w:sz w:val="18"/>
          <w:szCs w:val="18"/>
          <w:color w:val="auto"/>
        </w:rPr>
        <w:t>Our flywheel functions due to the hard work of our software programmers, technicians, mechanical engineers, marketers, salespeople, physicists, accountants, computational mathematicians and statisticians, and even a Jeopardy! champion. We are grateful for their contributions and are excited to continue building the largest and most comprehensive manufacturing marketplace in the world alongside them.</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Broader Community</w:t>
      </w:r>
    </w:p>
    <w:p>
      <w:pPr>
        <w:spacing w:after="0" w:line="12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Our stakeholders expect us to be good stewards not only of our business but of the broader community in which we all live. Through Xometry.org, Xometry embraced the Pledge 1% movement and is committing our equity over time to support charitable organizations that strive to improve educational opportunities for all, foster civic responsibility, reduce global CO2 output, and help train and expand the horizons of the next generation of inventors.</w:t>
      </w:r>
    </w:p>
    <w:p>
      <w:pPr>
        <w:spacing w:after="0" w:line="202"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The breadth of knowledge and experience of all our stakeholders creates a dynamic and innovative environment allowing us to convert intangible ideas into physical products every day. We will constantly strive to meet these expectations.</w:t>
      </w:r>
    </w:p>
    <w:p>
      <w:pPr>
        <w:spacing w:after="0" w:line="20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Thank you for taking the time to read this letter and our prospectus and learn a little more about Xometry and our mission. We are proud of the business we created and are looking forward to what we can build, together. Xometry is just getting started.</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Randy &amp; Laurence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320" w:top="456"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30"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by lowering the barriers to entry to the manufacturing ecosystem.</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 sellers of manufacturing services to grow their businesses.</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202"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who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6" w:lineRule="exact"/>
        <w:rPr>
          <w:sz w:val="20"/>
          <w:szCs w:val="20"/>
          <w:color w:val="auto"/>
        </w:rPr>
      </w:pPr>
    </w:p>
    <w:p>
      <w:pPr>
        <w:ind w:left="160" w:right="300" w:firstLine="546"/>
        <w:spacing w:after="0" w:line="234" w:lineRule="auto"/>
        <w:rPr>
          <w:sz w:val="20"/>
          <w:szCs w:val="20"/>
          <w:color w:val="auto"/>
        </w:rPr>
      </w:pPr>
      <w:r>
        <w:rPr>
          <w:rFonts w:ascii="Arial" w:cs="Arial" w:eastAsia="Arial" w:hAnsi="Arial"/>
          <w:sz w:val="18"/>
          <w:szCs w:val="18"/>
          <w:color w:val="auto"/>
        </w:rPr>
        <w:t>We enable buyers to source a broad array of manufacturing processes to meet complex and specific design and order needs across industries. We generate substantially all of our revenue from the amounts we charge buyers on our platform. Buyers begin by uploading an engineering schematic that contains 3D design specifications, typically a computer-aided design, or a CAD, file. Then, we price transactions through our proprietary 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 In the first quarter of 2021, we generated 95% of our revenue from existing accounts.</w:t>
      </w:r>
    </w:p>
    <w:p>
      <w:pPr>
        <w:spacing w:after="0" w:line="204"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Today, we are the largest on-demand manufacturing marketplace by revenue. We have connected over 43,000 unique buyers, including nearly 30% of the Fortune 500, and nearly 5,000 unique sellers of all sizes. We have achieved rapid growth while improving our margin profile. We generated revenue of $38.4 million in 2018, $80.2 million in 2019, and $141.4 million in 2020, representing year-over-year growth of 109% in 2019 and 76% in 2020. Our gross profit was $ 6.5 million in 2018, $14.7 million in 2019, and $ 33.3 million in 2020, representing a 17% gross margin in 2018, 18% gross margin in 2019, and 24% gross margin in 2020. Our net losses were $20.1 million in 2018, $31.0 million in 2019 and $31.1 million in 2020.</w:t>
      </w:r>
    </w:p>
    <w:p>
      <w:pPr>
        <w:spacing w:after="0" w:line="202" w:lineRule="exact"/>
        <w:rPr>
          <w:sz w:val="20"/>
          <w:szCs w:val="20"/>
          <w:color w:val="auto"/>
        </w:rPr>
      </w:pPr>
    </w:p>
    <w:p>
      <w:pPr>
        <w:ind w:left="160" w:right="560" w:firstLine="546"/>
        <w:spacing w:after="0" w:line="246" w:lineRule="auto"/>
        <w:rPr>
          <w:sz w:val="20"/>
          <w:szCs w:val="20"/>
          <w:color w:val="auto"/>
        </w:rPr>
      </w:pPr>
      <w:r>
        <w:rPr>
          <w:rFonts w:ascii="Arial" w:cs="Arial" w:eastAsia="Arial" w:hAnsi="Arial"/>
          <w:sz w:val="17"/>
          <w:szCs w:val="17"/>
          <w:color w:val="auto"/>
        </w:rPr>
        <w:t>For the quarters ended March 31, 2021 and 2020, we generated revenue of $43.9 million and $26.7 million, respectively, representing year-over-year growth of 65%. Our gross profit for the quarters ended March 31, 2021 and 2020, was $9.8 million and</w:t>
      </w:r>
    </w:p>
    <w:p>
      <w:pPr>
        <w:ind w:left="160"/>
        <w:spacing w:after="0" w:line="237" w:lineRule="auto"/>
        <w:rPr>
          <w:sz w:val="20"/>
          <w:szCs w:val="20"/>
          <w:color w:val="auto"/>
        </w:rPr>
      </w:pPr>
      <w:r>
        <w:rPr>
          <w:rFonts w:ascii="Arial" w:cs="Arial" w:eastAsia="Arial" w:hAnsi="Arial"/>
          <w:sz w:val="18"/>
          <w:szCs w:val="18"/>
          <w:color w:val="auto"/>
        </w:rPr>
        <w:t>$5.4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growth to scale our company.</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Overview</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Manufacturing is a massive, highly fragmented, and regionalized industry in need of solutions to drive efficiency.</w:t>
      </w:r>
    </w:p>
    <w:p>
      <w:pPr>
        <w:spacing w:after="0" w:line="123" w:lineRule="exact"/>
        <w:rPr>
          <w:sz w:val="20"/>
          <w:szCs w:val="20"/>
          <w:color w:val="auto"/>
        </w:rPr>
      </w:pPr>
    </w:p>
    <w:p>
      <w:pPr>
        <w:jc w:val="both"/>
        <w:ind w:left="160" w:right="460" w:firstLine="546"/>
        <w:spacing w:after="0" w:line="257" w:lineRule="auto"/>
        <w:rPr>
          <w:sz w:val="20"/>
          <w:szCs w:val="20"/>
          <w:color w:val="auto"/>
        </w:rPr>
      </w:pPr>
      <w:r>
        <w:rPr>
          <w:rFonts w:ascii="Arial" w:cs="Arial" w:eastAsia="Arial" w:hAnsi="Arial"/>
          <w:sz w:val="17"/>
          <w:szCs w:val="17"/>
          <w:color w:val="auto"/>
        </w:rPr>
        <w:t>The global manufacturing industry is one of the largest industries in the world. We believe the industry is poised for increased digitization via a number of global thematic shifts. These include rising demand for production, new manufacturing technologies, and shifting value chains, but the industry is in need of solutions to drive efficiency and create opportunities from these dynamics.</w:t>
      </w:r>
    </w:p>
    <w:p>
      <w:pPr>
        <w:spacing w:after="0" w:line="188" w:lineRule="exact"/>
        <w:rPr>
          <w:sz w:val="20"/>
          <w:szCs w:val="20"/>
          <w:color w:val="auto"/>
        </w:rPr>
      </w:pPr>
    </w:p>
    <w:p>
      <w:pPr>
        <w:jc w:val="both"/>
        <w:ind w:left="160" w:right="40" w:firstLine="546"/>
        <w:spacing w:after="0" w:line="246" w:lineRule="auto"/>
        <w:rPr>
          <w:sz w:val="20"/>
          <w:szCs w:val="20"/>
          <w:color w:val="auto"/>
        </w:rPr>
      </w:pPr>
      <w:r>
        <w:rPr>
          <w:rFonts w:ascii="Arial" w:cs="Arial" w:eastAsia="Arial" w:hAnsi="Arial"/>
          <w:sz w:val="17"/>
          <w:szCs w:val="17"/>
          <w:color w:val="auto"/>
        </w:rPr>
        <w:t>Furthermore, the manufacturing industry is largely composed of small- to medium-sized manufacturers, such as multi-generational family businesses or sole machinists, and we believe that there are significant barriers to entry industry for these businesses, who have to compete with scaled, better-resourced manufacturers. In the U.S. alone, there are over 625,000 manufacturing businesses with</w:t>
      </w:r>
    </w:p>
    <w:p>
      <w:pPr>
        <w:spacing w:after="0" w:line="1" w:lineRule="exact"/>
        <w:rPr>
          <w:sz w:val="20"/>
          <w:szCs w:val="20"/>
          <w:color w:val="auto"/>
        </w:rPr>
      </w:pPr>
    </w:p>
    <w:p>
      <w:pPr>
        <w:ind w:left="160" w:right="320"/>
        <w:spacing w:after="0" w:line="237" w:lineRule="auto"/>
        <w:rPr>
          <w:sz w:val="20"/>
          <w:szCs w:val="20"/>
          <w:color w:val="auto"/>
        </w:rPr>
      </w:pPr>
      <w:r>
        <w:rPr>
          <w:rFonts w:ascii="Arial" w:cs="Arial" w:eastAsia="Arial" w:hAnsi="Arial"/>
          <w:sz w:val="18"/>
          <w:szCs w:val="18"/>
          <w:color w:val="auto"/>
        </w:rPr>
        <w:t>11.3 million employees, according to IBIS World. As of 2018, more than 98% of American manufacturers were categorized as small businesses by SCORE, a resource partner organization for the U.S. Small Business Administration, and 75% of these businesses had fewer than 20 employees.</w:t>
      </w:r>
    </w:p>
    <w:p>
      <w:pPr>
        <w:spacing w:after="0" w:line="203" w:lineRule="exact"/>
        <w:rPr>
          <w:sz w:val="20"/>
          <w:szCs w:val="20"/>
          <w:color w:val="auto"/>
        </w:rPr>
      </w:pPr>
    </w:p>
    <w:p>
      <w:pPr>
        <w:ind w:left="160" w:right="120" w:firstLine="546"/>
        <w:spacing w:after="0" w:line="235" w:lineRule="auto"/>
        <w:rPr>
          <w:sz w:val="20"/>
          <w:szCs w:val="20"/>
          <w:color w:val="auto"/>
        </w:rPr>
      </w:pPr>
      <w:r>
        <w:rPr>
          <w:rFonts w:ascii="Arial" w:cs="Arial" w:eastAsia="Arial" w:hAnsi="Arial"/>
          <w:sz w:val="18"/>
          <w:szCs w:val="18"/>
          <w:color w:val="auto"/>
        </w:rPr>
        <w:t>We believe that there are significant barriers to entry within the manufacturing industry for small- to medium-sized businesses. These barriers include physical and capital resource constraints, geographic isolation, reliance upon antiquated business development practices, and limited access to customers. For example, given the intense focus and time commitment precision machining requires, we believe smaller manufacturers typically lack the time and resources to invest in marketing to expand their customer base and back-office capabilities to optimize their business operations. We have surveyed our own sellers and, as of January 2021, 59% of them rated marketing as a large or extreme challenge.</w:t>
      </w:r>
    </w:p>
    <w:p>
      <w:pPr>
        <w:spacing w:after="0" w:line="202"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Furthermore, with the shift to online purchasing across industries, companies are increasingly looking for digital solutions to their on-demand manufacturing needs. Seeking to be informed, they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40"/>
          </w:cols>
          <w:pgMar w:left="320" w:top="456"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search for and consume content on the latest manufacturing industry trends and technology developments, including content that helps them identify the best and fastest way to manufacture their products. Online search is growing in popularity as a method for buyers to find manufacturing services, with Google search data showing significant increases in year-over-year search volumes for terms like “CNC Machining Services,” “3D Printing Service” and “General Manufacturing &amp; Prototyping” over the last three years.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Sourcing manufacturing opportunities is a complex, costly and time-consuming process.</w:t>
      </w:r>
    </w:p>
    <w:p>
      <w:pPr>
        <w:spacing w:after="0" w:line="123"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Even for the most sophisticated buyers and sellers, the manufacturing sourcing and procurement process is complex, uncertain, costly and time-consuming.</w:t>
      </w:r>
    </w:p>
    <w:p>
      <w:pPr>
        <w:spacing w:after="0" w:line="20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For buyers, the traditional manufacturing process begins with a custom design. Irrespective of order size, buyers must source potential sellers, undergoing time-consuming diligence across a network of options involving phone calls, emails and in-person visits. After selecting potential sellers to work with, buyers send a formal request for a quote, compare inbound quotes across sellers, negotiate the final price and terms, and officially notify the selected seller of the awarded opportunity. It often takes days or weeks to finalize the price and lead time for any particular order. After these steps, the buyer must still wait for the products to be manufactured and delivered, with shipping times varying widely depending on the seller and manufacturing process. With hundreds of thousands of manufacturers to choose from, buyers are inundated with options, but have little guidance or industry standardization around project complexity, design, timing or price.</w:t>
      </w:r>
    </w:p>
    <w:p>
      <w:pPr>
        <w:spacing w:after="0" w:line="204"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For sellers, the traditional manufacturing process begins by searching for buyers through sales and marketing channels and complying with the various initial diligence and business inquiries. After receiving and responding to requests for quotes, sellers must wait for quote feedback and respond to follow-up requests. Assuming they are selected for a particular job, after negotiating the final price and terms and getting official notification of the awarded opportunity, sellers must then ensure they have procured the relevant tools and supplies and reserved adequate machine time before producing and delivering the final product. This process of winning and maintaining new customers requires significant time and resource investment and takes sellers away from their core manufacturing operations and often results in costly downtime.</w:t>
      </w:r>
    </w:p>
    <w:p>
      <w:pPr>
        <w:spacing w:after="0" w:line="206"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Upon order completion, sellers must wait even longer to receive payment. In a 2020 survey by Atradius, nearly half of North American manufacturers reported having B2B customers that were late on payments, with an average payment term of 34 days. Additionally, 82% of these manufacturers expect the percentage of B2B invoices that go over 90 days without payment to stay the same or increase in the future. Furthermore, 69% of our sellers report managing cash flow as at least somewhat challenging for their business. Smaller customers can be inconsistent with payments and larger customers may insist on onerous net-120 payment terms as a precondition to awarding manufacturing opportunities. This puts significant pressure on small manufacturers who are responsible for procuring raw materials to do the work, paying for labor on a regular schedule, financing equipment, paying rent for their facilities and funding other general business expenses. A 2016 survey by J.P. Morgan found that 50% of small metal and machinery businesses had 28 days or fewer of cash on hand. As a result, deciding when to purchase additional equipment becomes a business-critical decision as sellers navigate financial constraints and weigh the trade-off between under-utilization of capacity and missed revenue opportunities.</w:t>
      </w:r>
    </w:p>
    <w:p>
      <w:pPr>
        <w:spacing w:after="0" w:line="202" w:lineRule="exact"/>
        <w:rPr>
          <w:sz w:val="20"/>
          <w:szCs w:val="20"/>
          <w:color w:val="auto"/>
        </w:rPr>
      </w:pPr>
    </w:p>
    <w:p>
      <w:pPr>
        <w:ind w:left="160" w:right="320" w:firstLine="546"/>
        <w:spacing w:after="0" w:line="239" w:lineRule="auto"/>
        <w:rPr>
          <w:sz w:val="20"/>
          <w:szCs w:val="20"/>
          <w:color w:val="auto"/>
        </w:rPr>
      </w:pPr>
      <w:r>
        <w:rPr>
          <w:rFonts w:ascii="Arial" w:cs="Arial" w:eastAsia="Arial" w:hAnsi="Arial"/>
          <w:sz w:val="18"/>
          <w:szCs w:val="18"/>
          <w:color w:val="auto"/>
        </w:rPr>
        <w:t>We believe that the complex, labor-intensive and time-consuming sourcing process presents a significant opportunity as buyers and sellers look for more efficient ways to source demand and consummate production.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6"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202565</wp:posOffset>
            </wp:positionV>
            <wp:extent cx="4526280" cy="1698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26280"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Resilient, localized and compliant supply chains are imperative.</w:t>
      </w:r>
    </w:p>
    <w:p>
      <w:pPr>
        <w:spacing w:after="0" w:line="12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In the traditional manufacturing ecosystem, buyers face different sets of risks depending on how they source. If buyers source from a small number of sellers, they face greater risk of supply chain disruption amidst shortages or production interruptions, such as weather-related events. If buyers choose to source from a larger number of manufacturers, they face greater complexity in managing multiple parties’ pricing, timing, and inconsistent quality.</w:t>
      </w:r>
    </w:p>
    <w:p>
      <w:pPr>
        <w:spacing w:after="0" w:line="202"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202"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Additionally, many industries are currently subject to, and will likely be increasingly subject to, regulations surrounding the geographies from which they source and the environmental impact of their supply chains. From private enterprise to government agencies, regulations like The Buy American Act and guidance from the EPA require buyers to procure products from domestic sources and in certain instances set standards around the facilities in which they are manufactured.</w:t>
      </w:r>
    </w:p>
    <w:p>
      <w:pPr>
        <w:spacing w:after="0" w:line="202"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We believe there is a significant opportunity to help companies around the world improve their supply chain diversification, access just-in-time production, and build supply chain resilience.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There is increasing focus on the manufacturing industry to address ESG issues.</w:t>
      </w:r>
    </w:p>
    <w:p>
      <w:pPr>
        <w:spacing w:after="0" w:line="123"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Companies and investors are 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manage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6"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Multiple catalysts have led to an inflection point for industry digitization.</w:t>
      </w:r>
    </w:p>
    <w:p>
      <w:pPr>
        <w:spacing w:after="0" w:line="230"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color w:val="auto"/>
        </w:rPr>
        <w:t>We believe future expected labor shortages, in combination with the proliferation of new technologies, necessitates digital solutions that increase productivity, improve financial performance and allow them to compete sustainably.</w:t>
      </w:r>
    </w:p>
    <w:p>
      <w:pPr>
        <w:spacing w:after="0" w:line="87" w:lineRule="exact"/>
        <w:rPr>
          <w:sz w:val="20"/>
          <w:szCs w:val="20"/>
          <w:color w:val="auto"/>
        </w:rPr>
      </w:pPr>
    </w:p>
    <w:p>
      <w:pPr>
        <w:ind w:left="920" w:right="120" w:hanging="218"/>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Expected manufacturing labor shortage. </w:t>
      </w:r>
      <w:r>
        <w:rPr>
          <w:rFonts w:ascii="Arial" w:cs="Arial" w:eastAsia="Arial" w:hAnsi="Arial"/>
          <w:sz w:val="18"/>
          <w:szCs w:val="18"/>
          <w:color w:val="auto"/>
        </w:rPr>
        <w:t>The industry faces a significant talent shortage with 96% of manufacturing firms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expressing at least some concern about not having enough workers, according to a 2019 survey by the Manufacturing Institute. This gap is expected to grow, as two-thirds of firms indicated that workers age 55 and older comprised at least 20% of their workforce. The shortage of skilled workers in manufacturing is accelerating the adoption of new technology solutions to unlock productivity as industry players compete for a limited pool of talent.</w:t>
      </w:r>
    </w:p>
    <w:p>
      <w:pPr>
        <w:spacing w:after="0" w:line="88" w:lineRule="exact"/>
        <w:rPr>
          <w:rFonts w:ascii="Arial" w:cs="Arial" w:eastAsia="Arial" w:hAnsi="Arial"/>
          <w:sz w:val="18"/>
          <w:szCs w:val="18"/>
          <w:color w:val="auto"/>
        </w:rPr>
      </w:pPr>
    </w:p>
    <w:p>
      <w:pPr>
        <w:ind w:left="920" w:hanging="218"/>
        <w:spacing w:after="0" w:line="243"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Proliferation of 3D printing. </w:t>
      </w:r>
      <w:r>
        <w:rPr>
          <w:rFonts w:ascii="Arial" w:cs="Arial" w:eastAsia="Arial" w:hAnsi="Arial"/>
          <w:sz w:val="18"/>
          <w:szCs w:val="18"/>
          <w:color w:val="auto"/>
        </w:rPr>
        <w:t>The use of 3D printing is increasing across industries. A recent study by PwC found that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two-thirds of U.S. manufacturers already use 3D printing in some way. As the adoption of 3D printing for prototyping, product development and production continues, we believe that companies will look for ways to on-board and access to such technologies.</w:t>
      </w:r>
    </w:p>
    <w:p>
      <w:pPr>
        <w:spacing w:after="0" w:line="84" w:lineRule="exact"/>
        <w:rPr>
          <w:rFonts w:ascii="Arial" w:cs="Arial" w:eastAsia="Arial" w:hAnsi="Arial"/>
          <w:sz w:val="18"/>
          <w:szCs w:val="18"/>
          <w:color w:val="auto"/>
        </w:rPr>
      </w:pPr>
    </w:p>
    <w:p>
      <w:pPr>
        <w:ind w:left="920" w:right="260" w:hanging="218"/>
        <w:spacing w:after="0" w:line="239"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New AI applications across industries. </w:t>
      </w:r>
      <w:r>
        <w:rPr>
          <w:rFonts w:ascii="Arial" w:cs="Arial" w:eastAsia="Arial" w:hAnsi="Arial"/>
          <w:sz w:val="18"/>
          <w:szCs w:val="18"/>
          <w:color w:val="auto"/>
        </w:rPr>
        <w:t>According to the McKinsey Global Institute, AI has the potential to add $13 trillion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global economic output by 2030. AI is helping to bring innovations to industries, including manufacturing, in which large amounts of data are generated to yield insights. As CIO notes, AI could also help to optimize manufacturing operations, potentially eliminating a portion of unplanned downtime costs, which have an estimated cost of up to $50 billion annually. According to a 2019 survey by Deloitte, 93% of companies believe that AI will be a pivotal technology to drive growth and innovation in their industries.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Opportunity</w:t>
      </w:r>
    </w:p>
    <w:p>
      <w:pPr>
        <w:spacing w:after="0" w:line="230"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 metal manufacturing, 3D printing (including fused deposition modeling (FDM), direct metal laser sintering (DMLS), PolyJet, stereolithography (SLA), selective laser sintering (SLS), binder jetting, carbon digital light synthesis (DLS) and multi jet fusion (MJF), die casting, injection molding and urethane casting. Our estimates are based on independent industry publications or other publicly available information, as well as our internal sources.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Platform</w:t>
      </w:r>
    </w:p>
    <w:p>
      <w:pPr>
        <w:spacing w:after="0" w:line="230"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2"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Our platform is AI-driven, continuously learning from millions of data inputs from marketplace interactions, providing rich insights and analytics that allow us to further improve the efficiency of our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6"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ecosystem and the products and services we offer. The data we generate enables us to become a preferred collaboration, workflow, and transaction platform for both buyers and sellers.</w:t>
      </w:r>
    </w:p>
    <w:p>
      <w:pPr>
        <w:spacing w:after="0" w:line="203"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2" w:lineRule="exact"/>
        <w:rPr>
          <w:sz w:val="20"/>
          <w:szCs w:val="20"/>
          <w:color w:val="auto"/>
        </w:rPr>
      </w:pPr>
    </w:p>
    <w:p>
      <w:pPr>
        <w:ind w:left="160" w:right="280" w:firstLine="546"/>
        <w:spacing w:after="0" w:line="239"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AI Technology</w:t>
      </w:r>
    </w:p>
    <w:p>
      <w:pPr>
        <w:spacing w:after="0" w:line="230" w:lineRule="exact"/>
        <w:rPr>
          <w:sz w:val="20"/>
          <w:szCs w:val="20"/>
          <w:color w:val="auto"/>
        </w:rPr>
      </w:pPr>
    </w:p>
    <w:p>
      <w:pPr>
        <w:ind w:left="160" w:right="300" w:firstLine="546"/>
        <w:spacing w:after="0" w:line="268" w:lineRule="auto"/>
        <w:rPr>
          <w:sz w:val="20"/>
          <w:szCs w:val="20"/>
          <w:color w:val="auto"/>
        </w:rPr>
      </w:pPr>
      <w:r>
        <w:rPr>
          <w:rFonts w:ascii="Arial" w:cs="Arial" w:eastAsia="Arial" w:hAnsi="Arial"/>
          <w:sz w:val="17"/>
          <w:szCs w:val="17"/>
          <w:color w:val="auto"/>
        </w:rPr>
        <w:t>Our machine learning algorithms are central to our value proposition, and are present at every stage of the manufacturing order workflow. Our technology solves the problems buyers and sellers face in a traditional, offline process, from inquiry to execution.</w:t>
      </w:r>
    </w:p>
    <w:p>
      <w:pPr>
        <w:spacing w:after="0" w:line="157"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i w:val="1"/>
          <w:iCs w:val="1"/>
          <w:color w:val="auto"/>
        </w:rPr>
        <w:t xml:space="preserve">Prediction. </w:t>
      </w:r>
      <w:r>
        <w:rPr>
          <w:rFonts w:ascii="Arial" w:cs="Arial" w:eastAsia="Arial" w:hAnsi="Arial"/>
          <w:sz w:val="18"/>
          <w:szCs w:val="18"/>
          <w:color w:val="auto"/>
        </w:rPr>
        <w:t>Our models incorporate dozens of variables on pricing, timing, design requirements, execution considerations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having been trained by thousands of events to date to enable efficient buyer and seller transactions. Our models correlate historical buyer attributes with observed order frequency and order value to help predict customer longevity, transaction frequency and potential lifetime value. Our models also provide analytical insights on how buyers and sellers engage with our marketplace, products and services, helping us build and cross-sell our offerings to drive greater customer stickiness and increase transaction frequency, retention, lifetime value and referenceability.</w:t>
      </w:r>
    </w:p>
    <w:p>
      <w:pPr>
        <w:spacing w:after="0" w:line="181" w:lineRule="exact"/>
        <w:rPr>
          <w:sz w:val="20"/>
          <w:szCs w:val="20"/>
          <w:color w:val="auto"/>
        </w:rPr>
      </w:pPr>
    </w:p>
    <w:p>
      <w:pPr>
        <w:ind w:left="1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Our instantaneous pricing and project guidance functionality eliminates the complexity typically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sourcing process. Buyers upload CAD files and modify inputs including desired production method, material, finish and quantity. Our proprietary technology provides real-time pricing and delivery quotes for buyers and real-time offers for sellers. One of our proprietary platform software modules enables 3D Geometry and feature recognition, analyzing and understanding complex geometries in seconds to enhance our pricing accuracy, identify issues in part designs, and match manufacturing orders with sellers that have a proven track record with similar material, size and feature sets. Sellers can confirm order, price and related logistics in a single click through our intuitive user application, masking the complexity associated with our AI pricing algorithms.</w:t>
      </w:r>
    </w:p>
    <w:p>
      <w:pPr>
        <w:spacing w:after="0" w:line="181" w:lineRule="exact"/>
        <w:rPr>
          <w:sz w:val="20"/>
          <w:szCs w:val="20"/>
          <w:color w:val="auto"/>
        </w:rPr>
      </w:pPr>
    </w:p>
    <w:p>
      <w:pPr>
        <w:ind w:left="160" w:right="20" w:firstLine="546"/>
        <w:spacing w:after="0" w:line="238" w:lineRule="auto"/>
        <w:rPr>
          <w:sz w:val="20"/>
          <w:szCs w:val="20"/>
          <w:color w:val="auto"/>
        </w:rPr>
      </w:pPr>
      <w:r>
        <w:rPr>
          <w:rFonts w:ascii="Arial" w:cs="Arial" w:eastAsia="Arial" w:hAnsi="Arial"/>
          <w:sz w:val="18"/>
          <w:szCs w:val="18"/>
          <w:b w:val="1"/>
          <w:bCs w:val="1"/>
          <w:i w:val="1"/>
          <w:iCs w:val="1"/>
          <w:color w:val="auto"/>
        </w:rPr>
        <w:t xml:space="preserve">Efficient Sourcing. </w:t>
      </w:r>
      <w:r>
        <w:rPr>
          <w:rFonts w:ascii="Arial" w:cs="Arial" w:eastAsia="Arial" w:hAnsi="Arial"/>
          <w:sz w:val="18"/>
          <w:szCs w:val="18"/>
          <w:color w:val="auto"/>
        </w:rPr>
        <w:t>Our technology enables buyers to efficiently source manufacturing processes based on a variety of criteria,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manufacturing capability, materials, tools, project complexity, lead time, and seller capacity. After a buyer uploads a CAD file, our Design for Manufacturability (DFM) tool instantly identifies process requirements and feature complexity to help inform sellers about the manufacturing opportunity. Additionally, buyers and sellers can indicate their own preferences, which helps facilitate better sourcing opportunities on our platform. For example, buyers can specify requirements around credentialing for the facilities in which projects are produced, how the materials are sourced or the production quality standard to which the parts are held. Sellers also have the opportunity to do repeat work with a buyer on a particular opportunity after a successful first transaction.</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Manufacturing Processes</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Our platform is highly extensible, allowing us to onboard sellers with new manufacturing processes so that we can cover more of the manufacturing industry over time. Sellers on our platform</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40"/>
          </w:cols>
          <w:pgMar w:left="320" w:top="456"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00"/>
        <w:spacing w:after="0" w:line="257" w:lineRule="auto"/>
        <w:rPr>
          <w:sz w:val="20"/>
          <w:szCs w:val="20"/>
          <w:color w:val="auto"/>
        </w:rPr>
      </w:pPr>
      <w:r>
        <w:rPr>
          <w:rFonts w:ascii="Arial" w:cs="Arial" w:eastAsia="Arial" w:hAnsi="Arial"/>
          <w:sz w:val="17"/>
          <w:szCs w:val="17"/>
          <w:color w:val="auto"/>
        </w:rPr>
        <w:t>offer a wide range of key manufacturing processes, which include CNC manufacturing, sheet metal manufacturing, 3D printing, sheet metal fabrication, die casting, injection molding and urethane casting, among others. These processes require specific training, expertise and equipment and can also be combined with the over 50 finishes and thousands of raw material and color combinations we offer.</w:t>
      </w:r>
    </w:p>
    <w:p>
      <w:pPr>
        <w:spacing w:after="0" w:line="72" w:lineRule="exact"/>
        <w:rPr>
          <w:sz w:val="20"/>
          <w:szCs w:val="20"/>
          <w:color w:val="auto"/>
        </w:rPr>
      </w:pPr>
    </w:p>
    <w:p>
      <w:pPr>
        <w:jc w:val="both"/>
        <w:ind w:left="920" w:right="60" w:hanging="218"/>
        <w:spacing w:after="0" w:line="249"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CNC Machining </w:t>
      </w:r>
      <w:r>
        <w:rPr>
          <w:rFonts w:ascii="Arial" w:cs="Arial" w:eastAsia="Arial" w:hAnsi="Arial"/>
          <w:sz w:val="18"/>
          <w:szCs w:val="18"/>
          <w:color w:val="auto"/>
        </w:rPr>
        <w:t>uses computer-assisted machine tools to produce components with precision tolerances, surface finishes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post-processing requirements. Our CNC machining processes include, but are not limited to, multi-axis milling, swiss machining and lathe work.</w:t>
      </w:r>
    </w:p>
    <w:p>
      <w:pPr>
        <w:spacing w:after="0" w:line="77" w:lineRule="exact"/>
        <w:rPr>
          <w:rFonts w:ascii="Arial" w:cs="Arial" w:eastAsia="Arial" w:hAnsi="Arial"/>
          <w:sz w:val="18"/>
          <w:szCs w:val="18"/>
          <w:color w:val="auto"/>
        </w:rPr>
      </w:pPr>
    </w:p>
    <w:p>
      <w:pPr>
        <w:ind w:left="920" w:right="920" w:hanging="218"/>
        <w:spacing w:after="0" w:line="265"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Injection Molding </w:t>
      </w:r>
      <w:r>
        <w:rPr>
          <w:rFonts w:ascii="Arial" w:cs="Arial" w:eastAsia="Arial" w:hAnsi="Arial"/>
          <w:sz w:val="18"/>
          <w:szCs w:val="18"/>
          <w:color w:val="auto"/>
        </w:rPr>
        <w:t>uses custom molds to make plastic parts at scale, with the highest variety of materials, colors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configurations.</w:t>
      </w:r>
    </w:p>
    <w:p>
      <w:pPr>
        <w:spacing w:after="0" w:line="64" w:lineRule="exact"/>
        <w:rPr>
          <w:rFonts w:ascii="Arial" w:cs="Arial" w:eastAsia="Arial" w:hAnsi="Arial"/>
          <w:sz w:val="18"/>
          <w:szCs w:val="18"/>
          <w:color w:val="auto"/>
        </w:rPr>
      </w:pPr>
    </w:p>
    <w:p>
      <w:pPr>
        <w:ind w:left="920" w:right="300" w:hanging="218"/>
        <w:spacing w:after="0" w:line="265"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Urethane Casting </w:t>
      </w:r>
      <w:r>
        <w:rPr>
          <w:rFonts w:ascii="Arial" w:cs="Arial" w:eastAsia="Arial" w:hAnsi="Arial"/>
          <w:sz w:val="18"/>
          <w:szCs w:val="18"/>
          <w:color w:val="auto"/>
        </w:rPr>
        <w:t>uses 3D printed master pattern and silicone molds to deliver high-quality, short-run parts with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mechanical properties.</w:t>
      </w:r>
    </w:p>
    <w:p>
      <w:pPr>
        <w:spacing w:after="0" w:line="64" w:lineRule="exact"/>
        <w:rPr>
          <w:rFonts w:ascii="Arial" w:cs="Arial" w:eastAsia="Arial" w:hAnsi="Arial"/>
          <w:sz w:val="18"/>
          <w:szCs w:val="18"/>
          <w:color w:val="auto"/>
        </w:rPr>
      </w:pPr>
    </w:p>
    <w:p>
      <w:pPr>
        <w:ind w:left="920" w:right="440" w:hanging="218"/>
        <w:spacing w:after="0" w:line="265"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3D Printing </w:t>
      </w:r>
      <w:r>
        <w:rPr>
          <w:rFonts w:ascii="Arial" w:cs="Arial" w:eastAsia="Arial" w:hAnsi="Arial"/>
          <w:sz w:val="18"/>
          <w:szCs w:val="18"/>
          <w:color w:val="auto"/>
        </w:rPr>
        <w:t>uses a wide variety of 3D printing and additive manufacturing processes to make a variety of metal and plastic</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Our 3D printing processes include FDM, DMLS, PolyJet, SLA, SLS, binder jetting, DLS and MJF.</w:t>
      </w:r>
    </w:p>
    <w:p>
      <w:pPr>
        <w:spacing w:after="0" w:line="64" w:lineRule="exact"/>
        <w:rPr>
          <w:rFonts w:ascii="Arial" w:cs="Arial" w:eastAsia="Arial" w:hAnsi="Arial"/>
          <w:sz w:val="18"/>
          <w:szCs w:val="18"/>
          <w:color w:val="auto"/>
        </w:rPr>
      </w:pPr>
    </w:p>
    <w:p>
      <w:pPr>
        <w:ind w:left="920" w:hanging="218"/>
        <w:spacing w:after="0" w:line="265"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Sheet Metal and Weldment Fabrication </w:t>
      </w:r>
      <w:r>
        <w:rPr>
          <w:rFonts w:ascii="Arial" w:cs="Arial" w:eastAsia="Arial" w:hAnsi="Arial"/>
          <w:sz w:val="18"/>
          <w:szCs w:val="18"/>
          <w:color w:val="auto"/>
        </w:rPr>
        <w:t>uses a variety of techniques, including press brake work, punches, laser cutting, water</w:t>
      </w:r>
      <w:r>
        <w:rPr>
          <w:rFonts w:ascii="Arial" w:cs="Arial" w:eastAsia="Arial" w:hAnsi="Arial"/>
          <w:sz w:val="18"/>
          <w:szCs w:val="18"/>
          <w:b w:val="1"/>
          <w:bCs w:val="1"/>
          <w:color w:val="auto"/>
        </w:rPr>
        <w:t xml:space="preserve"> </w:t>
      </w:r>
      <w:r>
        <w:rPr>
          <w:rFonts w:ascii="Arial" w:cs="Arial" w:eastAsia="Arial" w:hAnsi="Arial"/>
          <w:sz w:val="18"/>
          <w:szCs w:val="18"/>
          <w:color w:val="auto"/>
        </w:rPr>
        <w:t>jet cutting, plasma cutting and custom welding, to create components from sheet metal.</w:t>
      </w:r>
    </w:p>
    <w:p>
      <w:pPr>
        <w:spacing w:after="0" w:line="64" w:lineRule="exact"/>
        <w:rPr>
          <w:rFonts w:ascii="Arial" w:cs="Arial" w:eastAsia="Arial" w:hAnsi="Arial"/>
          <w:sz w:val="18"/>
          <w:szCs w:val="18"/>
          <w:color w:val="auto"/>
        </w:rPr>
      </w:pPr>
    </w:p>
    <w:p>
      <w:pPr>
        <w:ind w:left="920" w:hanging="218"/>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Die Casting </w:t>
      </w:r>
      <w:r>
        <w:rPr>
          <w:rFonts w:ascii="Arial" w:cs="Arial" w:eastAsia="Arial" w:hAnsi="Arial"/>
          <w:sz w:val="18"/>
          <w:szCs w:val="18"/>
          <w:color w:val="auto"/>
        </w:rPr>
        <w:t>uses metal dies for producing high volumes of relatively complex metal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10160</wp:posOffset>
            </wp:positionV>
            <wp:extent cx="4916805" cy="17322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1680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Carbon Offset Program</w:t>
      </w:r>
    </w:p>
    <w:p>
      <w:pPr>
        <w:spacing w:after="0" w:line="230"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promote green technologies like additive manufacturing which help to reduce the carbon footprint of the manufacturing globally.</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Xometry Flywheel</w:t>
      </w:r>
    </w:p>
    <w:p>
      <w:pPr>
        <w:spacing w:after="0" w:line="230"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Our AI-enabled technology platform carefully facilitates and analyzes the many interactions with our buyers and our sellers to deliver a high-quality and seamless end-to-end experience for both</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20"/>
          </w:cols>
          <w:pgMar w:left="320" w:top="456" w:right="5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buyers and sellers. Each order that is fulfilled on our marketplace provides data that is analyzed by our machine learning algorithms to hone pricing and lead time quotes for buyers. As more buyers join the platform, more sellers are drawn to the platform since more manufacturing opportunities are available, which in turn drives more buyers and additional growth. The growth of our platform drives more data through our machine learning algorithms. The continuous learning of our AI improves the experiences of buyers and sellers and makes our platform more intelligent and efficient. Our increased efficiency, driven by our ability to better predict pricing, is designed to, over time, drive greater gross margins. Furthermore, as buyers and sellers engage more with our platform, we are able to add more tailored products and partnerships that support their business growth, leading to even higher engagement and marketplace efficiency. The flywheel effect created by self-reinforcing AI increases the economic opportunity that can be shared by buyers and sellers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-5080</wp:posOffset>
            </wp:positionV>
            <wp:extent cx="3668395" cy="26581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68395" cy="265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Additional Seller Offerings</w:t>
      </w:r>
    </w:p>
    <w:p>
      <w:pPr>
        <w:spacing w:after="0" w:line="114" w:lineRule="exact"/>
        <w:rPr>
          <w:sz w:val="20"/>
          <w:szCs w:val="20"/>
          <w:color w:val="auto"/>
        </w:rPr>
      </w:pPr>
    </w:p>
    <w:p>
      <w:pPr>
        <w:ind w:left="920" w:right="80" w:hanging="218"/>
        <w:spacing w:after="0" w:line="23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 We also use our platform to gather insights into a seller’s future needs for materials so they can begin the quoting process for more opportunities. Our platform then intelligently matches sellers that have the right combination of tools, raw materials and finishes to get a particular job done. We plan to continue offering more resource management and predictive sourcing solutions to sellers to help them improve their capabilities and enhance their operations.</w:t>
      </w:r>
    </w:p>
    <w:p>
      <w:pPr>
        <w:spacing w:after="0" w:line="90" w:lineRule="exact"/>
        <w:rPr>
          <w:rFonts w:ascii="Arial" w:cs="Arial" w:eastAsia="Arial" w:hAnsi="Arial"/>
          <w:sz w:val="18"/>
          <w:szCs w:val="18"/>
          <w:color w:val="auto"/>
        </w:rPr>
      </w:pPr>
    </w:p>
    <w:p>
      <w:pPr>
        <w:ind w:left="920" w:hanging="218"/>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We alleviate the upfront cash strain many sellers face through the Xometry Advance Card, which generally gives sellers up to 30% of their job payment in advance to help them cover the cost of tools and materials. Through FastPay, we offer a fee-based service through which sellers can receive accelerated payment as quickly as 3 business days after completing work. Furthermore, with our financial products, sellers can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40"/>
          </w:cols>
          <w:pgMar w:left="320" w:top="456"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20"/>
        <w:spacing w:after="0" w:line="237" w:lineRule="auto"/>
        <w:rPr>
          <w:sz w:val="20"/>
          <w:szCs w:val="20"/>
          <w:color w:val="auto"/>
        </w:rPr>
      </w:pPr>
      <w:r>
        <w:rPr>
          <w:rFonts w:ascii="Arial" w:cs="Arial" w:eastAsia="Arial" w:hAnsi="Arial"/>
          <w:sz w:val="18"/>
          <w:szCs w:val="18"/>
          <w:color w:val="auto"/>
        </w:rPr>
        <w:t>create a digital storefront, automate their invoicing and offer their customers credit limits. In addition, sellers can elect to have their payouts guaranteed by us, which are underwritten by a third-party. These services help sellers manage their business more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-5715</wp:posOffset>
            </wp:positionV>
            <wp:extent cx="4619625" cy="22504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19625"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2020, 40% of active sellers used our seller services.</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 Model</w:t>
      </w:r>
    </w:p>
    <w:p>
      <w:pPr>
        <w:spacing w:after="0" w:line="230"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We have connected over 43,000 unique buyers, including nearly 30% of the Fortune 500, and nearly 5,000 unique sellers of a variety of sizes.</w:t>
      </w:r>
    </w:p>
    <w:p>
      <w:pPr>
        <w:spacing w:after="0" w:line="20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buyers include engineers, product designers, procurement and supply chain personnel, inventors and business owners from businesses of a variety of sizes, ranging from self-funded start-ups to Fortune 100 companies. We enable buyers to source a broad array of manufacturing processes to meet complex and specific design and order needs across several industries, including Aerospace and Defense, Healthcare, Automotive, Consumer Goods, Industrial, Robotics, Government and Education. We generate substantially all of our revenue from the prices we charge our buyers on our platform. Buyers begin by uploading an engineering schematic that contains 3D design specifications, referred to as a CAD file. Then, we price transactions through our AI-enabled instant quoting engine based on factors such as volume, manufacturing process, material and location. The convenience and transparency of the model leads to increasing buyer stickiness and spend over time. Since inception, over 6.0 million parts have been manufactured through our platform. For the quarter ended March 31, 2021, we generated 95% of our revenue from existing accounts. We define an existing account as an account where at least one buyer has made a purchase on our marketplace.</w:t>
      </w:r>
    </w:p>
    <w:p>
      <w:pPr>
        <w:spacing w:after="0" w:line="202" w:lineRule="exact"/>
        <w:rPr>
          <w:sz w:val="20"/>
          <w:szCs w:val="20"/>
          <w:color w:val="auto"/>
        </w:rPr>
      </w:pPr>
    </w:p>
    <w:p>
      <w:pPr>
        <w:jc w:val="both"/>
        <w:ind w:left="160" w:right="220" w:firstLine="546"/>
        <w:spacing w:after="0" w:line="236"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Our seller offerings include financial services that enable sellers to stabilize and enhance their cash flows, discounts on tools and materials that allow them to lower their operating costs and resource management tools to optimize their business.</w:t>
      </w:r>
    </w:p>
    <w:p>
      <w:pPr>
        <w:spacing w:after="0" w:line="202"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may be required to pay a seller more than anticipated to manufacture the order. We have concluded that we are the principal in the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6"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spacing w:after="0" w:line="246" w:lineRule="auto"/>
        <w:rPr>
          <w:sz w:val="20"/>
          <w:szCs w:val="20"/>
          <w:color w:val="auto"/>
        </w:rPr>
      </w:pPr>
      <w:r>
        <w:rPr>
          <w:rFonts w:ascii="Arial" w:cs="Arial" w:eastAsia="Arial" w:hAnsi="Arial"/>
          <w:sz w:val="17"/>
          <w:szCs w:val="17"/>
          <w:color w:val="auto"/>
        </w:rPr>
        <w:t>sale of part(s) and assemblies that are sold by our network of third-party manufacturers because we exercise control over the manufacturing process by obtaining a right to direct a third-party manufacturer to fulfill the performance obligation we have with our buyer on our behalf. We considered the following conditions of the sale: (i) we have the obligation of providing the specified product to the buyer,</w:t>
      </w:r>
    </w:p>
    <w:p>
      <w:pPr>
        <w:spacing w:after="0" w:line="1" w:lineRule="exact"/>
        <w:rPr>
          <w:sz w:val="20"/>
          <w:szCs w:val="20"/>
          <w:color w:val="auto"/>
        </w:rPr>
      </w:pPr>
    </w:p>
    <w:p>
      <w:pPr>
        <w:ind w:left="160" w:right="80" w:firstLine="7"/>
        <w:spacing w:after="0" w:line="235" w:lineRule="auto"/>
        <w:tabs>
          <w:tab w:leader="none" w:pos="4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Buyers Win</w:t>
      </w:r>
    </w:p>
    <w:p>
      <w:pPr>
        <w:spacing w:after="0" w:line="234" w:lineRule="exact"/>
        <w:rPr>
          <w:sz w:val="20"/>
          <w:szCs w:val="20"/>
          <w:color w:val="auto"/>
        </w:rPr>
      </w:pPr>
    </w:p>
    <w:p>
      <w:pPr>
        <w:ind w:left="920" w:hanging="218"/>
        <w:spacing w:after="0" w:line="262"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Instant and Competitive Pricing and Lead Times. </w:t>
      </w:r>
      <w:r>
        <w:rPr>
          <w:rFonts w:ascii="Arial" w:cs="Arial" w:eastAsia="Arial" w:hAnsi="Arial"/>
          <w:sz w:val="17"/>
          <w:szCs w:val="17"/>
          <w:color w:val="auto"/>
        </w:rPr>
        <w:t>We create value for buyers through marketplace generation fueled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69" w:lineRule="exact"/>
        <w:rPr>
          <w:rFonts w:ascii="Arial" w:cs="Arial" w:eastAsia="Arial" w:hAnsi="Arial"/>
          <w:sz w:val="17"/>
          <w:szCs w:val="17"/>
          <w:color w:val="auto"/>
        </w:rPr>
      </w:pPr>
    </w:p>
    <w:p>
      <w:pPr>
        <w:ind w:left="920" w:right="80" w:hanging="218"/>
        <w:spacing w:after="0" w:line="243"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84" w:lineRule="exact"/>
        <w:rPr>
          <w:rFonts w:ascii="Arial" w:cs="Arial" w:eastAsia="Arial" w:hAnsi="Arial"/>
          <w:sz w:val="18"/>
          <w:szCs w:val="18"/>
          <w:color w:val="auto"/>
        </w:rPr>
      </w:pPr>
    </w:p>
    <w:p>
      <w:pPr>
        <w:ind w:left="920" w:right="100" w:hanging="218"/>
        <w:spacing w:after="0" w:line="262"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 to a Massive Network of Sellers. </w:t>
      </w:r>
      <w:r>
        <w:rPr>
          <w:rFonts w:ascii="Arial" w:cs="Arial" w:eastAsia="Arial" w:hAnsi="Arial"/>
          <w:sz w:val="17"/>
          <w:szCs w:val="17"/>
          <w:color w:val="auto"/>
        </w:rPr>
        <w:t>We provide buyers access to the massive, global network of sellers on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69" w:lineRule="exact"/>
        <w:rPr>
          <w:rFonts w:ascii="Arial" w:cs="Arial" w:eastAsia="Arial" w:hAnsi="Arial"/>
          <w:sz w:val="17"/>
          <w:szCs w:val="17"/>
          <w:color w:val="auto"/>
        </w:rPr>
      </w:pPr>
    </w:p>
    <w:p>
      <w:pPr>
        <w:ind w:left="920" w:right="160" w:hanging="218"/>
        <w:spacing w:after="0" w:line="243"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84" w:lineRule="exact"/>
        <w:rPr>
          <w:rFonts w:ascii="Arial" w:cs="Arial" w:eastAsia="Arial" w:hAnsi="Arial"/>
          <w:sz w:val="18"/>
          <w:szCs w:val="18"/>
          <w:color w:val="auto"/>
        </w:rPr>
      </w:pPr>
    </w:p>
    <w:p>
      <w:pPr>
        <w:ind w:left="920" w:right="240" w:hanging="218"/>
        <w:spacing w:after="0" w:line="243"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and Quality. </w:t>
      </w:r>
      <w:r>
        <w:rPr>
          <w:rFonts w:ascii="Arial" w:cs="Arial" w:eastAsia="Arial" w:hAnsi="Arial"/>
          <w:sz w:val="18"/>
          <w:szCs w:val="18"/>
          <w:color w:val="auto"/>
        </w:rPr>
        <w:t>We offer consistently high-quality products and certainty of order fulfillment for buyers. We are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84" w:lineRule="exact"/>
        <w:rPr>
          <w:rFonts w:ascii="Arial" w:cs="Arial" w:eastAsia="Arial" w:hAnsi="Arial"/>
          <w:sz w:val="18"/>
          <w:szCs w:val="18"/>
          <w:color w:val="auto"/>
        </w:rPr>
      </w:pPr>
    </w:p>
    <w:p>
      <w:pPr>
        <w:ind w:left="920" w:right="140" w:hanging="218"/>
        <w:spacing w:after="0" w:line="24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6"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20" w:right="60" w:hanging="218"/>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Sellers Win</w:t>
      </w:r>
    </w:p>
    <w:p>
      <w:pPr>
        <w:spacing w:after="0" w:line="234" w:lineRule="exact"/>
        <w:rPr>
          <w:sz w:val="20"/>
          <w:szCs w:val="20"/>
          <w:color w:val="auto"/>
        </w:rPr>
      </w:pPr>
    </w:p>
    <w:p>
      <w:pPr>
        <w:ind w:left="920" w:right="200" w:hanging="218"/>
        <w:spacing w:after="0" w:line="243"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84" w:lineRule="exact"/>
        <w:rPr>
          <w:rFonts w:ascii="Arial" w:cs="Arial" w:eastAsia="Arial" w:hAnsi="Arial"/>
          <w:sz w:val="18"/>
          <w:szCs w:val="18"/>
          <w:color w:val="auto"/>
        </w:rPr>
      </w:pPr>
    </w:p>
    <w:p>
      <w:pPr>
        <w:ind w:left="920" w:right="20" w:hanging="218"/>
        <w:spacing w:after="0" w:line="249"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accept the next repeat order in order to increase efficiency and reliability. Our ability to attract repeat buyers helps stabilize demand for sellers so they can operate their businesses more efficiently.</w:t>
      </w:r>
    </w:p>
    <w:p>
      <w:pPr>
        <w:spacing w:after="0" w:line="77" w:lineRule="exact"/>
        <w:rPr>
          <w:rFonts w:ascii="Arial" w:cs="Arial" w:eastAsia="Arial" w:hAnsi="Arial"/>
          <w:sz w:val="18"/>
          <w:szCs w:val="18"/>
          <w:color w:val="auto"/>
        </w:rPr>
      </w:pPr>
    </w:p>
    <w:p>
      <w:pPr>
        <w:ind w:left="920" w:right="120" w:hanging="218"/>
        <w:spacing w:after="0" w:line="270" w:lineRule="auto"/>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Excellence. </w:t>
      </w:r>
      <w:r>
        <w:rPr>
          <w:rFonts w:ascii="Arial" w:cs="Arial" w:eastAsia="Arial" w:hAnsi="Arial"/>
          <w:sz w:val="17"/>
          <w:szCs w:val="17"/>
          <w:color w:val="auto"/>
        </w:rPr>
        <w:t>We aim to be a completely digital one-stop-shop for all workflow solutions for sellers. Our intuitive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62" w:lineRule="exact"/>
        <w:rPr>
          <w:rFonts w:ascii="Arial" w:cs="Arial" w:eastAsia="Arial" w:hAnsi="Arial"/>
          <w:sz w:val="17"/>
          <w:szCs w:val="17"/>
          <w:color w:val="auto"/>
        </w:rPr>
      </w:pPr>
    </w:p>
    <w:p>
      <w:pPr>
        <w:ind w:left="920" w:hanging="218"/>
        <w:spacing w:after="0" w:line="243"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4" w:lineRule="exact"/>
        <w:rPr>
          <w:rFonts w:ascii="Arial" w:cs="Arial" w:eastAsia="Arial" w:hAnsi="Arial"/>
          <w:sz w:val="18"/>
          <w:szCs w:val="18"/>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8"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We Win</w:t>
      </w:r>
    </w:p>
    <w:p>
      <w:pPr>
        <w:spacing w:after="0" w:line="234" w:lineRule="exact"/>
        <w:rPr>
          <w:sz w:val="20"/>
          <w:szCs w:val="20"/>
          <w:color w:val="auto"/>
        </w:rPr>
      </w:pPr>
    </w:p>
    <w:p>
      <w:pPr>
        <w:ind w:left="920" w:right="460" w:hanging="218"/>
        <w:spacing w:after="0" w:line="249"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320" w:top="456"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60"/>
        <w:spacing w:after="0" w:line="253" w:lineRule="auto"/>
        <w:rPr>
          <w:sz w:val="20"/>
          <w:szCs w:val="20"/>
          <w:color w:val="auto"/>
        </w:rPr>
      </w:pPr>
      <w:r>
        <w:rPr>
          <w:rFonts w:ascii="Arial" w:cs="Arial" w:eastAsia="Arial" w:hAnsi="Arial"/>
          <w:sz w:val="17"/>
          <w:szCs w:val="17"/>
          <w:color w:val="auto"/>
        </w:rPr>
        <w:t>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77" w:lineRule="exact"/>
        <w:rPr>
          <w:sz w:val="20"/>
          <w:szCs w:val="20"/>
          <w:color w:val="auto"/>
        </w:rPr>
      </w:pPr>
    </w:p>
    <w:p>
      <w:pPr>
        <w:ind w:left="920" w:right="60" w:hanging="218"/>
        <w:spacing w:after="0" w:line="239"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that contribute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 and seller businesses thrive.</w:t>
      </w:r>
    </w:p>
    <w:p>
      <w:pPr>
        <w:spacing w:after="0" w:line="87" w:lineRule="exact"/>
        <w:rPr>
          <w:rFonts w:ascii="Arial" w:cs="Arial" w:eastAsia="Arial" w:hAnsi="Arial"/>
          <w:sz w:val="18"/>
          <w:szCs w:val="18"/>
          <w:color w:val="auto"/>
        </w:rPr>
      </w:pPr>
    </w:p>
    <w:p>
      <w:pPr>
        <w:jc w:val="both"/>
        <w:ind w:left="920" w:right="320" w:hanging="218"/>
        <w:spacing w:after="0" w:line="249"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largest on-demand manufacturing marketplace by revenue. As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we benefit from a self-reinforcing, virtuous cycle, in which marketplace interactions contribute valuable data points and insights that improve our AI-enabled platform, increasing lifetime customer value and fueling strong unit economics.</w:t>
      </w:r>
    </w:p>
    <w:p>
      <w:pPr>
        <w:spacing w:after="0" w:line="77"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Buyer Engagement and Expansion. </w:t>
      </w:r>
      <w:r>
        <w:rPr>
          <w:rFonts w:ascii="Arial" w:cs="Arial" w:eastAsia="Arial" w:hAnsi="Arial"/>
          <w:sz w:val="18"/>
          <w:szCs w:val="18"/>
          <w:color w:val="auto"/>
        </w:rPr>
        <w:t>Our flexible ordering process allows us to land new customers and increases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fueling an efficient go-to-market model. Over time, our accounts typically increase their spend with Xometry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had a 34% year-over-year increase in accounts with at least $50,000 annual spend.</w:t>
      </w:r>
    </w:p>
    <w:p>
      <w:pPr>
        <w:spacing w:after="0" w:line="87" w:lineRule="exact"/>
        <w:rPr>
          <w:rFonts w:ascii="Arial" w:cs="Arial" w:eastAsia="Arial" w:hAnsi="Arial"/>
          <w:sz w:val="18"/>
          <w:szCs w:val="18"/>
          <w:color w:val="auto"/>
        </w:rPr>
      </w:pPr>
    </w:p>
    <w:p>
      <w:pPr>
        <w:ind w:left="920" w:right="80" w:hanging="218"/>
        <w:spacing w:after="0" w:line="243"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84" w:lineRule="exact"/>
        <w:rPr>
          <w:rFonts w:ascii="Arial" w:cs="Arial" w:eastAsia="Arial" w:hAnsi="Arial"/>
          <w:sz w:val="18"/>
          <w:szCs w:val="18"/>
          <w:color w:val="auto"/>
        </w:rPr>
      </w:pPr>
    </w:p>
    <w:p>
      <w:pPr>
        <w:ind w:left="920" w:right="220" w:hanging="218"/>
        <w:spacing w:after="0" w:line="243"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6" w:right="51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Growth Strategy</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We have grown significantly since our first transaction in 2014 and our importance to buyers and sellers in the global manufacturing market is evident in the volume and scale at which we now conduct business. We have accomplished a lot in just seven years, but we believe we still have a massive underpenetrated addressable opportunity ahead of us.</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elements of our growth strategy include the following:</w:t>
      </w:r>
    </w:p>
    <w:p>
      <w:pPr>
        <w:spacing w:after="0" w:line="79" w:lineRule="exact"/>
        <w:rPr>
          <w:sz w:val="20"/>
          <w:szCs w:val="20"/>
          <w:color w:val="auto"/>
        </w:rPr>
      </w:pPr>
    </w:p>
    <w:p>
      <w:pPr>
        <w:ind w:left="160" w:right="20" w:firstLine="546"/>
        <w:spacing w:after="0" w:line="252" w:lineRule="auto"/>
        <w:rPr>
          <w:sz w:val="20"/>
          <w:szCs w:val="20"/>
          <w:color w:val="auto"/>
        </w:rPr>
      </w:pPr>
      <w:r>
        <w:rPr>
          <w:rFonts w:ascii="Arial" w:cs="Arial" w:eastAsia="Arial" w:hAnsi="Arial"/>
          <w:sz w:val="17"/>
          <w:szCs w:val="17"/>
          <w:b w:val="1"/>
          <w:bCs w:val="1"/>
          <w:color w:val="auto"/>
        </w:rPr>
        <w:t xml:space="preserve">Attract new buyers and grow wallet share with existing buyers. </w:t>
      </w:r>
      <w:r>
        <w:rPr>
          <w:rFonts w:ascii="Arial" w:cs="Arial" w:eastAsia="Arial" w:hAnsi="Arial"/>
          <w:sz w:val="17"/>
          <w:szCs w:val="17"/>
          <w:color w:val="auto"/>
        </w:rPr>
        <w:t>We intend to continue investing in acquiring new buyers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traditional paid sales and marketing techniques as well as leveraging our strong organic referral network to drive awareness and build trust. Once we acquire a buyer, we seek to expand the breadth and scale of the services sold to that buyer and leverage the relationship to gain additional users within the buyer’s account through a combination of product offerings, customer relationship marketing, sales and account management. At March 31, 2021, we had 412 accounts with at least $50,000 annual spend. We will remain focused on increasing wallet share with our existing buyers through a number of deliberate strategies. With each positive experience and the expansion of our manufacturing processes through acquiring new sellers we will continue building our buyers’ spend and opportunities on our marketplace. We will also leverage engagement tools including case studies and design-for-manufacturing content, and deliberate customer and sales support to ensure buyer needs are met and they feel supported throughout the entire transaction journey.</w:t>
      </w:r>
    </w:p>
    <w:p>
      <w:pPr>
        <w:spacing w:after="0" w:line="172"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b w:val="1"/>
          <w:b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our entire platform. We are focused on attracting new sellers, recognizing the massive opportunity still in front of us and the intrinsic benefit an active, diverse seller population brings to the overall platform. Sellers are essential to our buyers, our platform’s network effects and our reputation as a powerful partner to source on-demand manufacturing. Our enduring relationships help us to form new ones through strong referral networks and seller experiences. In particular, we are focused on ensuring that our seller network is diverse and sustainable, adding to our wide range of manufacturing processes. As of March 31, 2021, our sellers offered six key manufacturing processes. These processes can also be combined with over 50 finishes and thousands of raw material and color combinations. We will continue to extend our platform by attracting new sellers with the ability and expertise to deliver additional processes like extrusion, finishes and materials.</w:t>
      </w:r>
    </w:p>
    <w:p>
      <w:pPr>
        <w:spacing w:after="0" w:line="180"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b w:val="1"/>
          <w:b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 Sellers will be equipped with sophisticated order management, shipping, and collaboration tools, so that every job they execute, on and off our platform, can be centralized in one tool, increasing efficiency and helping to better predict capacity and revenue streams. For sellers active on our platform, our resourcing tools will enable us to offer intelligent procurement integrations, directed sourcing for materials and tools, and business management insights to help our sellers achieve their business goals and produce outstanding products for our buyers.</w:t>
      </w:r>
    </w:p>
    <w:p>
      <w:pPr>
        <w:spacing w:after="0" w:line="184" w:lineRule="exact"/>
        <w:rPr>
          <w:sz w:val="20"/>
          <w:szCs w:val="20"/>
          <w:color w:val="auto"/>
        </w:rPr>
      </w:pPr>
    </w:p>
    <w:p>
      <w:pPr>
        <w:ind w:left="160" w:right="80" w:firstLine="546"/>
        <w:spacing w:after="0" w:line="243" w:lineRule="auto"/>
        <w:rPr>
          <w:sz w:val="20"/>
          <w:szCs w:val="20"/>
          <w:color w:val="auto"/>
        </w:rPr>
      </w:pPr>
      <w:r>
        <w:rPr>
          <w:rFonts w:ascii="Arial" w:cs="Arial" w:eastAsia="Arial" w:hAnsi="Arial"/>
          <w:sz w:val="18"/>
          <w:szCs w:val="18"/>
          <w:b w:val="1"/>
          <w:b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and increase engagement. For the year ended December 31, 2020, 40% of our active sellers used our seller services. Although revenue from our seller services was approximately five percent of our total revenue for the year ended December 31, 2020, we expect</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6"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20"/>
        <w:spacing w:after="0" w:line="257" w:lineRule="auto"/>
        <w:rPr>
          <w:sz w:val="20"/>
          <w:szCs w:val="20"/>
          <w:color w:val="auto"/>
        </w:rPr>
      </w:pPr>
      <w:r>
        <w:rPr>
          <w:rFonts w:ascii="Arial" w:cs="Arial" w:eastAsia="Arial" w:hAnsi="Arial"/>
          <w:sz w:val="17"/>
          <w:szCs w:val="17"/>
          <w:color w:val="auto"/>
        </w:rPr>
        <w:t>revenue from seller services to grow over time. In 2020, we introduced a new suite of financial services for sellers that offer us attractive growth opportunities. We plan to continue to market the Xometry Pay platform to U.S. sellers, enhance features that allow quicker conversion of purchase orders to cash, and build toward a full-service digital wallet for sellers to use for payouts and purchases.</w:t>
      </w:r>
    </w:p>
    <w:p>
      <w:pPr>
        <w:spacing w:after="0" w:line="166"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b w:val="1"/>
          <w:bCs w:val="1"/>
          <w:color w:val="auto"/>
        </w:rPr>
        <w:t xml:space="preserve">Continue our international expansion. </w:t>
      </w:r>
      <w:r>
        <w:rPr>
          <w:rFonts w:ascii="Arial" w:cs="Arial" w:eastAsia="Arial" w:hAnsi="Arial"/>
          <w:sz w:val="18"/>
          <w:szCs w:val="18"/>
          <w:color w:val="auto"/>
        </w:rPr>
        <w:t>We believe there is significant opportunity in the global manufacturing ecosystem for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like Xometry. With operations throughout the majority of the contiguous United States and customers in Europe and Asia we have established footholds in major markets around the world. For the years ended December 31, 2020 and 2019, we had sales to customers in 51 countries with over 95% of our revenue generated from buyers located in the United States. We believe our expanding geographic footprint presents an opportunity for future growth. We will continue to dedicate sales and marketing resources to develop our seller networks and attract buyers to our marketplace in other regions.</w:t>
      </w:r>
    </w:p>
    <w:p>
      <w:pPr>
        <w:spacing w:after="0" w:line="181" w:lineRule="exact"/>
        <w:rPr>
          <w:sz w:val="20"/>
          <w:szCs w:val="20"/>
          <w:color w:val="auto"/>
        </w:rPr>
      </w:pPr>
    </w:p>
    <w:p>
      <w:pPr>
        <w:ind w:left="160" w:right="60" w:firstLine="546"/>
        <w:spacing w:after="0"/>
        <w:rPr>
          <w:sz w:val="20"/>
          <w:szCs w:val="20"/>
          <w:color w:val="auto"/>
        </w:rPr>
      </w:pPr>
      <w:r>
        <w:rPr>
          <w:rFonts w:ascii="Arial" w:cs="Arial" w:eastAsia="Arial" w:hAnsi="Arial"/>
          <w:sz w:val="18"/>
          <w:szCs w:val="18"/>
          <w:b w:val="1"/>
          <w:b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for targeted investments and acquisitions to strengthen our competitive position and processes. In 2018, we acquired MakeTime, an on-demand manufacturing platform with enterprise expertise to bolster our enterprise capability. In 2019, we acquired Shift, a Munich-based startup, as part of our expansion into Europe. We will continue to evaluate and pursue strategic M&amp;A opportunities that are additive to our marketplace and technological capabilities or bring talent and experience to our team.</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Sales and Marketing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Sales</w:t>
      </w:r>
    </w:p>
    <w:p>
      <w:pPr>
        <w:spacing w:after="0" w:line="123" w:lineRule="exact"/>
        <w:rPr>
          <w:sz w:val="20"/>
          <w:szCs w:val="20"/>
          <w:color w:val="auto"/>
        </w:rPr>
      </w:pPr>
    </w:p>
    <w:p>
      <w:pPr>
        <w:ind w:left="160" w:right="440" w:firstLine="546"/>
        <w:spacing w:after="0" w:line="239" w:lineRule="auto"/>
        <w:rPr>
          <w:sz w:val="20"/>
          <w:szCs w:val="20"/>
          <w:color w:val="auto"/>
        </w:rPr>
      </w:pPr>
      <w:r>
        <w:rPr>
          <w:rFonts w:ascii="Arial" w:cs="Arial" w:eastAsia="Arial" w:hAnsi="Arial"/>
          <w:sz w:val="18"/>
          <w:szCs w:val="18"/>
          <w:color w:val="auto"/>
        </w:rPr>
        <w:t>Our sales ecosystem is designed to partner with our buyers and sellers, providing them with exceptional customer service and working in tandem to realize and to achieve their full potential on our platform.</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For our buyers, we have dedicated enterprise and account management teams that are aligned by either expertise across one of our key verticals (Aerospace and Defense, Healthcare, Automotive, Consumer Goods, Industrial, Robotics, Government and Education) or based on first point of contact with our platform. All enterprise and account managers follow a defined sales process to ensure consistency in our approach and customer experience. We leverage the RFM (Recency, Frequency and Monetary) model, Lifetime Value data and other data points like lead scoring to better understand their unique needs, challenges and goals and to drive higher engagement with our platform.</w:t>
      </w:r>
    </w:p>
    <w:p>
      <w:pPr>
        <w:spacing w:after="0" w:line="202"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For our sellers, our team leverages our diverse product offerings to create a powerful and integrated sales and marketing funnel. All sellers are supported through dedicated operations and partner management teams. These teams are embedded within our Sales and Marketing function to ensure full knowledge of products and seller support at all stages, from invoicing to job sourcing as well as identifying opportunities for cross-sales or advancement down the funnel. Sales representatives support sellers from the initial education process with accessible content on business operations, manufacturing processes, and our platform, through any materials procurement leveraging our competitively priced recommendations on Xometry Supplies and finally to introducing our financial services products.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Marketing</w:t>
      </w:r>
    </w:p>
    <w:p>
      <w:pPr>
        <w:spacing w:after="0" w:line="123" w:lineRule="exact"/>
        <w:rPr>
          <w:sz w:val="20"/>
          <w:szCs w:val="20"/>
          <w:color w:val="auto"/>
        </w:rPr>
      </w:pPr>
    </w:p>
    <w:p>
      <w:pPr>
        <w:ind w:left="160" w:right="100" w:firstLine="546"/>
        <w:spacing w:after="0" w:line="239" w:lineRule="auto"/>
        <w:rPr>
          <w:sz w:val="20"/>
          <w:szCs w:val="20"/>
          <w:color w:val="auto"/>
        </w:rPr>
      </w:pPr>
      <w:r>
        <w:rPr>
          <w:rFonts w:ascii="Arial" w:cs="Arial" w:eastAsia="Arial" w:hAnsi="Arial"/>
          <w:sz w:val="18"/>
          <w:szCs w:val="18"/>
          <w:color w:val="auto"/>
        </w:rPr>
        <w:t>We use highly targeted, SEO-optimized, engineering and supply chain content and digital advertising to drive awareness and build trust. We work with our buyers and sellers to build and share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success stories, case-studies, design guides, how-to videos, webinars and other helpful content for our target audience. For our buyers specifically, we also utilize video, radio, podcasts and other digital marketing to engage with key influencers and communities where on-demand manufacturing content is highly relevant. Our unaided brand awareness as a provider of 3D manufacturing services among manufacturing professionals has more than doubled between 2018 (12)% and 2020 (26)% according to Digital Engineering. For our sellers specifically, our content is amplified through social media traffic (paid and earned), content partnerships with machining influencers and a strong presence in leading manufacturing publications and podcasts, as well as both in-person and virtual events.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Technology</w:t>
      </w:r>
    </w:p>
    <w:p>
      <w:pPr>
        <w:spacing w:after="0" w:line="230" w:lineRule="exact"/>
        <w:rPr>
          <w:sz w:val="20"/>
          <w:szCs w:val="20"/>
          <w:color w:val="auto"/>
        </w:rPr>
      </w:pPr>
    </w:p>
    <w:p>
      <w:pPr>
        <w:jc w:val="both"/>
        <w:ind w:left="160" w:right="40" w:firstLine="546"/>
        <w:spacing w:after="0" w:line="237" w:lineRule="auto"/>
        <w:rPr>
          <w:sz w:val="20"/>
          <w:szCs w:val="20"/>
          <w:color w:val="auto"/>
        </w:rPr>
      </w:pPr>
      <w:r>
        <w:rPr>
          <w:rFonts w:ascii="Arial" w:cs="Arial" w:eastAsia="Arial" w:hAnsi="Arial"/>
          <w:sz w:val="18"/>
          <w:szCs w:val="18"/>
          <w:color w:val="auto"/>
        </w:rPr>
        <w:t>We utilize AI and machine learning to continuously improve the speed and accuracy of our pricing and placement activity. Our use of services-oriented architecture and cloud infrastructure ensures scalability and helps reduce the time to market for new features. We are able to easily test new features and validate product/market fit prior to large scale introduction.</w:t>
      </w:r>
    </w:p>
    <w:p>
      <w:pPr>
        <w:spacing w:after="0" w:line="181"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User research, data science and experimentation are critical to increasing the efficiency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on-demand manufacturing and are the core of everything we do. We rely on user research, data science, machine learning, and A/B and multivariate testing to continually improve user experiences, develop new offerings, drive optimization, and create operating leverage across our ecommerce and marketplace platform. We utilize data to increase the effectiveness of our brand and performance marketing, enhance the customer experience, analyze market dynamics at scale, and to calibrate our pricing. We also use data science for experimentation allowing us to fine tune our supply, sourcing and logistics models.</w:t>
      </w:r>
    </w:p>
    <w:p>
      <w:pPr>
        <w:spacing w:after="0" w:line="181" w:lineRule="exact"/>
        <w:rPr>
          <w:sz w:val="20"/>
          <w:szCs w:val="20"/>
          <w:color w:val="auto"/>
        </w:rPr>
      </w:pPr>
    </w:p>
    <w:p>
      <w:pPr>
        <w:ind w:left="160" w:right="100" w:firstLine="546"/>
        <w:spacing w:after="0" w:line="243" w:lineRule="auto"/>
        <w:rPr>
          <w:sz w:val="20"/>
          <w:szCs w:val="20"/>
          <w:color w:val="auto"/>
        </w:rPr>
      </w:pPr>
      <w:r>
        <w:rPr>
          <w:rFonts w:ascii="Arial" w:cs="Arial" w:eastAsia="Arial" w:hAnsi="Arial"/>
          <w:sz w:val="18"/>
          <w:szCs w:val="18"/>
          <w:b w:val="1"/>
          <w:bCs w:val="1"/>
          <w:color w:val="auto"/>
        </w:rPr>
        <w:t xml:space="preserve">Data Analytics. </w:t>
      </w:r>
      <w:r>
        <w:rPr>
          <w:rFonts w:ascii="Arial" w:cs="Arial" w:eastAsia="Arial" w:hAnsi="Arial"/>
          <w:sz w:val="18"/>
          <w:szCs w:val="18"/>
          <w:color w:val="auto"/>
        </w:rPr>
        <w:t>In an industry that historically used intuition and basic industry-wide data to drive purchasing and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we are moving our customers from intuition to predictive algorithms. We are expanding and continuously improving our access to data, employing data science and machine learning across our business to maximize efficiency. Our proprietary technology, machine learning and data analytics models continuously optimize our marketing investments and conversion funnel.</w:t>
      </w:r>
    </w:p>
    <w:p>
      <w:pPr>
        <w:spacing w:after="0" w:line="178" w:lineRule="exact"/>
        <w:rPr>
          <w:sz w:val="20"/>
          <w:szCs w:val="20"/>
          <w:color w:val="auto"/>
        </w:rPr>
      </w:pPr>
    </w:p>
    <w:p>
      <w:pPr>
        <w:ind w:left="160" w:right="20" w:firstLine="546"/>
        <w:spacing w:after="0"/>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A key element of our proprietary platform is software that is capable of 3D Geometry and feature recognition,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us to capitalize on the overall digitization of the manufacturing industry. Our platform analyzes and understands complex geometries in seconds, enhancing our pricing accuracy, identifying issues in part designs, and matching manufacturing orders with suppliers who have a proven track record with similar material, size and feature sets. This creates greater price transparency for both buyers and sellers and helps us find the best match for each order in real time.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Product Development</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Our product development efforts are focused on the following priorities that will help us achieve our plans for growth and enable our marketplace. The data received throughout the development, beta testing, and post implementation processes helps inform our future product development priorities and technology pipeline.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Some our leading priorities are:</w:t>
      </w:r>
    </w:p>
    <w:p>
      <w:pPr>
        <w:spacing w:after="0" w:line="79"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color w:val="auto"/>
        </w:rPr>
        <w:t>Enterprise integration</w:t>
      </w:r>
      <w:r>
        <w:rPr>
          <w:rFonts w:ascii="Arial" w:cs="Arial" w:eastAsia="Arial" w:hAnsi="Arial"/>
          <w:sz w:val="18"/>
          <w:szCs w:val="18"/>
          <w:color w:val="auto"/>
        </w:rPr>
        <w:t>. We are pursuing a strategy to further embed our platform into our various buyers’ workflows—whether it</w:t>
      </w:r>
      <w:r>
        <w:rPr>
          <w:rFonts w:ascii="Arial" w:cs="Arial" w:eastAsia="Arial" w:hAnsi="Arial"/>
          <w:sz w:val="18"/>
          <w:szCs w:val="18"/>
          <w:b w:val="1"/>
          <w:bCs w:val="1"/>
          <w:color w:val="auto"/>
        </w:rPr>
        <w:t xml:space="preserve"> </w:t>
      </w:r>
      <w:r>
        <w:rPr>
          <w:rFonts w:ascii="Arial" w:cs="Arial" w:eastAsia="Arial" w:hAnsi="Arial"/>
          <w:sz w:val="18"/>
          <w:szCs w:val="18"/>
          <w:color w:val="auto"/>
        </w:rPr>
        <w:t>is instant pricing available inside CAD software from Dassault, Autodesk, and PTC or streamlined purchasing support in procurement software like Ariba and Coupa. This is made possible by “productizing” our internal AI and workflow engine for novel uses.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456"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80" w:firstLine="546"/>
        <w:spacing w:after="0" w:line="249" w:lineRule="auto"/>
        <w:rPr>
          <w:sz w:val="20"/>
          <w:szCs w:val="20"/>
          <w:color w:val="auto"/>
        </w:rPr>
      </w:pPr>
      <w:r>
        <w:rPr>
          <w:rFonts w:ascii="Arial" w:cs="Arial" w:eastAsia="Arial" w:hAnsi="Arial"/>
          <w:sz w:val="18"/>
          <w:szCs w:val="18"/>
          <w:b w:val="1"/>
          <w:bCs w:val="1"/>
          <w:color w:val="auto"/>
        </w:rPr>
        <w:t xml:space="preserve">Seller Services. </w:t>
      </w:r>
      <w:r>
        <w:rPr>
          <w:rFonts w:ascii="Arial" w:cs="Arial" w:eastAsia="Arial" w:hAnsi="Arial"/>
          <w:sz w:val="18"/>
          <w:szCs w:val="18"/>
          <w:color w:val="auto"/>
        </w:rPr>
        <w:t>Financial products, sales and marketing support, and access to our proprietary algorithms are all ways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can improve the seller experience and increase efficiency of our network and marketplace. These new products and services are prioritized by our product development teams.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Values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prioritize the following core values:</w:t>
      </w:r>
    </w:p>
    <w:p>
      <w:pPr>
        <w:spacing w:after="0" w:line="79" w:lineRule="exact"/>
        <w:rPr>
          <w:sz w:val="20"/>
          <w:szCs w:val="20"/>
          <w:color w:val="auto"/>
        </w:rPr>
      </w:pPr>
    </w:p>
    <w:p>
      <w:pPr>
        <w:ind w:left="160" w:right="140" w:firstLine="546"/>
        <w:spacing w:after="0" w:line="262" w:lineRule="auto"/>
        <w:rPr>
          <w:sz w:val="20"/>
          <w:szCs w:val="20"/>
          <w:color w:val="auto"/>
        </w:rPr>
      </w:pPr>
      <w:r>
        <w:rPr>
          <w:rFonts w:ascii="Arial" w:cs="Arial" w:eastAsia="Arial" w:hAnsi="Arial"/>
          <w:sz w:val="17"/>
          <w:szCs w:val="17"/>
          <w:b w:val="1"/>
          <w:bCs w:val="1"/>
          <w:color w:val="auto"/>
        </w:rPr>
        <w:t xml:space="preserve">We are customer and partner focused. </w:t>
      </w:r>
      <w:r>
        <w:rPr>
          <w:rFonts w:ascii="Arial" w:cs="Arial" w:eastAsia="Arial" w:hAnsi="Arial"/>
          <w:sz w:val="17"/>
          <w:szCs w:val="17"/>
          <w:color w:val="auto"/>
        </w:rPr>
        <w:t>Customer satisfaction drives our business and we are singularly focused on building a</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that benefits our buyers and sellers. We have created a marketplace in which the success of our buyers and sellers is interdependent, and we will continue to seek new and creative ways to serve the evolving needs of our ecosystem. As the ancient Greek poet Archilochus of Paros wrote, “The fox knows many things, but the hedgehog knows one big thing.” We are hedgehogs, not foxes.</w:t>
      </w:r>
    </w:p>
    <w:p>
      <w:pPr>
        <w:spacing w:after="0" w:line="163" w:lineRule="exact"/>
        <w:rPr>
          <w:sz w:val="20"/>
          <w:szCs w:val="20"/>
          <w:color w:val="auto"/>
        </w:rPr>
      </w:pPr>
    </w:p>
    <w:p>
      <w:pPr>
        <w:ind w:left="160" w:right="140" w:firstLine="546"/>
        <w:spacing w:after="0" w:line="249" w:lineRule="auto"/>
        <w:rPr>
          <w:sz w:val="20"/>
          <w:szCs w:val="20"/>
          <w:color w:val="auto"/>
        </w:rPr>
      </w:pPr>
      <w:r>
        <w:rPr>
          <w:rFonts w:ascii="Arial" w:cs="Arial" w:eastAsia="Arial" w:hAnsi="Arial"/>
          <w:sz w:val="18"/>
          <w:szCs w:val="18"/>
          <w:b w:val="1"/>
          <w:bCs w:val="1"/>
          <w:color w:val="auto"/>
        </w:rPr>
        <w:t xml:space="preserve">We enable equitable manufacturing. </w:t>
      </w:r>
      <w:r>
        <w:rPr>
          <w:rFonts w:ascii="Arial" w:cs="Arial" w:eastAsia="Arial" w:hAnsi="Arial"/>
          <w:sz w:val="18"/>
          <w:szCs w:val="18"/>
          <w:color w:val="auto"/>
        </w:rPr>
        <w:t>We serve businesses of a variety of sizes, from Fortune 100 companies to brand-new</w:t>
      </w:r>
      <w:r>
        <w:rPr>
          <w:rFonts w:ascii="Arial" w:cs="Arial" w:eastAsia="Arial" w:hAnsi="Arial"/>
          <w:sz w:val="18"/>
          <w:szCs w:val="18"/>
          <w:b w:val="1"/>
          <w:bCs w:val="1"/>
          <w:color w:val="auto"/>
        </w:rPr>
        <w:t xml:space="preserve"> </w:t>
      </w:r>
      <w:r>
        <w:rPr>
          <w:rFonts w:ascii="Arial" w:cs="Arial" w:eastAsia="Arial" w:hAnsi="Arial"/>
          <w:sz w:val="18"/>
          <w:szCs w:val="18"/>
          <w:color w:val="auto"/>
        </w:rPr>
        <w:t>start-ups, providing demonstrable value by increasing efficiency and accelerating speed to market. We aspire to revolutionize how global manufacturing functions in a digital world.</w:t>
      </w:r>
    </w:p>
    <w:p>
      <w:pPr>
        <w:spacing w:after="0" w:line="172" w:lineRule="exact"/>
        <w:rPr>
          <w:sz w:val="20"/>
          <w:szCs w:val="20"/>
          <w:color w:val="auto"/>
        </w:rPr>
      </w:pPr>
    </w:p>
    <w:p>
      <w:pPr>
        <w:ind w:left="160" w:right="480" w:firstLine="546"/>
        <w:spacing w:after="0" w:line="243" w:lineRule="auto"/>
        <w:rPr>
          <w:sz w:val="20"/>
          <w:szCs w:val="20"/>
          <w:color w:val="auto"/>
        </w:rPr>
      </w:pPr>
      <w:r>
        <w:rPr>
          <w:rFonts w:ascii="Arial" w:cs="Arial" w:eastAsia="Arial" w:hAnsi="Arial"/>
          <w:sz w:val="18"/>
          <w:szCs w:val="18"/>
          <w:b w:val="1"/>
          <w:bCs w:val="1"/>
          <w:color w:val="auto"/>
        </w:rPr>
        <w:t xml:space="preserve">We are people focused. </w:t>
      </w:r>
      <w:r>
        <w:rPr>
          <w:rFonts w:ascii="Arial" w:cs="Arial" w:eastAsia="Arial" w:hAnsi="Arial"/>
          <w:sz w:val="18"/>
          <w:szCs w:val="18"/>
          <w:color w:val="auto"/>
        </w:rPr>
        <w:t>Our employees are critical to our success. We embrace our team members for who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celebrating and leveraging the diversity of their backgrounds as a point of strength. We thrive as a business with excited, driven colleagues, who push and challenge each other and force us to continually improve as a business. Xometry invests in programs and systems to ensure we are a favorite place to work and that our work environment attracts and retains key talent.</w:t>
      </w:r>
    </w:p>
    <w:p>
      <w:pPr>
        <w:spacing w:after="0" w:line="178" w:lineRule="exact"/>
        <w:rPr>
          <w:sz w:val="20"/>
          <w:szCs w:val="20"/>
          <w:color w:val="auto"/>
        </w:rPr>
      </w:pPr>
    </w:p>
    <w:p>
      <w:pPr>
        <w:ind w:left="160" w:right="120" w:firstLine="546"/>
        <w:spacing w:after="0" w:line="243" w:lineRule="auto"/>
        <w:rPr>
          <w:sz w:val="20"/>
          <w:szCs w:val="20"/>
          <w:color w:val="auto"/>
        </w:rPr>
      </w:pPr>
      <w:r>
        <w:rPr>
          <w:rFonts w:ascii="Arial" w:cs="Arial" w:eastAsia="Arial" w:hAnsi="Arial"/>
          <w:sz w:val="18"/>
          <w:szCs w:val="18"/>
          <w:b w:val="1"/>
          <w:bCs w:val="1"/>
          <w:color w:val="auto"/>
        </w:rPr>
        <w:t xml:space="preserve">We are a company of doers. </w:t>
      </w:r>
      <w:r>
        <w:rPr>
          <w:rFonts w:ascii="Arial" w:cs="Arial" w:eastAsia="Arial" w:hAnsi="Arial"/>
          <w:sz w:val="18"/>
          <w:szCs w:val="18"/>
          <w:color w:val="auto"/>
        </w:rPr>
        <w:t>Talk is great, but action is better. We empower our team to take actions at every level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will benefit our marketplace, our customers, and our platform. We believe that the next big product idea or process innovation can come from anyone in our organization and because of that Xometry fosters a collaborative environment where employees can freely develop and exchange innovative concepts. We believe in “initiate, own and execute.”</w:t>
      </w:r>
    </w:p>
    <w:p>
      <w:pPr>
        <w:spacing w:after="0" w:line="178"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8"/>
          <w:szCs w:val="18"/>
          <w:b w:val="1"/>
          <w:bCs w:val="1"/>
          <w:color w:val="auto"/>
        </w:rPr>
        <w:t xml:space="preserve">We create efficiencies. </w:t>
      </w:r>
      <w:r>
        <w:rPr>
          <w:rFonts w:ascii="Arial" w:cs="Arial" w:eastAsia="Arial" w:hAnsi="Arial"/>
          <w:sz w:val="18"/>
          <w:szCs w:val="18"/>
          <w:color w:val="auto"/>
        </w:rPr>
        <w:t>We seek to transform the complex global manufacturing market with simple to use solutions.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in reducing friction and increasing efficiency through the smart use of artificial intelligence, our talented team and our industry expertise. We acknowledge this a difficult task and we continue to aim for this ambitious target.</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Employees</w:t>
      </w:r>
    </w:p>
    <w:p>
      <w:pPr>
        <w:spacing w:after="0" w:line="230"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To be a Xometry employee means taking an active role in building and serving our communities. We believe that our strong corporate culture and our investment in our relationship with our employees contributes to our success. This is evidenced by our industry recognitions including by Forbes as one of America’s Best Startup Employers in 2021 and by the Kentucky Chamber of Commerce as one of the best places to work in Kentucky in 2021, a state where we have over 90 employees. Our employees are continuously innovating, and our structure rewards productivity. We also encourage employees to invest in themselves by contributing to continuing education tuition. As of March 31, 2021, we had 386 employees.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Commitment to Diversity and Inclusion</w:t>
      </w:r>
    </w:p>
    <w:p>
      <w:pPr>
        <w:spacing w:after="0" w:line="230"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are committed to growing and empowering inclusive communities in our company, our industry, and the neighborhoods in which we live. We know that a diverse and thriving workforce is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60"/>
          </w:cols>
          <w:pgMar w:left="320" w:top="456"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0"/>
        <w:spacing w:after="0" w:line="239" w:lineRule="auto"/>
        <w:rPr>
          <w:sz w:val="20"/>
          <w:szCs w:val="20"/>
          <w:color w:val="auto"/>
        </w:rPr>
      </w:pPr>
      <w:r>
        <w:rPr>
          <w:rFonts w:ascii="Arial" w:cs="Arial" w:eastAsia="Arial" w:hAnsi="Arial"/>
          <w:sz w:val="18"/>
          <w:szCs w:val="18"/>
          <w:color w:val="auto"/>
        </w:rPr>
        <w:t>critical to attract and retain the talent necessary to grow our business. Our success depends on ideas. We can foster more productive ideas if we amplify all voices and provide the tools and resources to those who need them.</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drive diversity, equity and inclusion (DEI) forward through programs, investments and initiatives including:</w:t>
      </w:r>
    </w:p>
    <w:p>
      <w:pPr>
        <w:spacing w:after="0" w:line="79" w:lineRule="exact"/>
        <w:rPr>
          <w:sz w:val="20"/>
          <w:szCs w:val="20"/>
          <w:color w:val="auto"/>
        </w:rPr>
      </w:pPr>
    </w:p>
    <w:p>
      <w:pPr>
        <w:ind w:left="160" w:right="300" w:firstLine="546"/>
        <w:spacing w:after="0" w:line="265" w:lineRule="auto"/>
        <w:rPr>
          <w:sz w:val="20"/>
          <w:szCs w:val="20"/>
          <w:color w:val="auto"/>
        </w:rPr>
      </w:pPr>
      <w:r>
        <w:rPr>
          <w:rFonts w:ascii="Arial" w:cs="Arial" w:eastAsia="Arial" w:hAnsi="Arial"/>
          <w:sz w:val="18"/>
          <w:szCs w:val="18"/>
          <w:b w:val="1"/>
          <w:bCs w:val="1"/>
          <w:color w:val="auto"/>
        </w:rPr>
        <w:t>Diverse Manufacturers</w:t>
      </w:r>
      <w:r>
        <w:rPr>
          <w:rFonts w:ascii="Arial" w:cs="Arial" w:eastAsia="Arial" w:hAnsi="Arial"/>
          <w:sz w:val="18"/>
          <w:szCs w:val="18"/>
          <w:color w:val="auto"/>
        </w:rPr>
        <w:t>. We help to provide work to thousands of small machine shops that typically do not have exposure to</w:t>
      </w:r>
      <w:r>
        <w:rPr>
          <w:rFonts w:ascii="Arial" w:cs="Arial" w:eastAsia="Arial" w:hAnsi="Arial"/>
          <w:sz w:val="18"/>
          <w:szCs w:val="18"/>
          <w:b w:val="1"/>
          <w:bCs w:val="1"/>
          <w:color w:val="auto"/>
        </w:rPr>
        <w:t xml:space="preserve"> </w:t>
      </w:r>
      <w:r>
        <w:rPr>
          <w:rFonts w:ascii="Arial" w:cs="Arial" w:eastAsia="Arial" w:hAnsi="Arial"/>
          <w:sz w:val="18"/>
          <w:szCs w:val="18"/>
          <w:color w:val="auto"/>
        </w:rPr>
        <w:t>jobs from large corporations. Our sellers include hundreds of minority, veteran, and women-owned companies.</w:t>
      </w:r>
    </w:p>
    <w:p>
      <w:pPr>
        <w:spacing w:after="0" w:line="158" w:lineRule="exact"/>
        <w:rPr>
          <w:sz w:val="20"/>
          <w:szCs w:val="20"/>
          <w:color w:val="auto"/>
        </w:rPr>
      </w:pPr>
    </w:p>
    <w:p>
      <w:pPr>
        <w:ind w:left="160" w:right="380" w:firstLine="546"/>
        <w:spacing w:after="0" w:line="265" w:lineRule="auto"/>
        <w:rPr>
          <w:sz w:val="20"/>
          <w:szCs w:val="20"/>
          <w:color w:val="auto"/>
        </w:rPr>
      </w:pPr>
      <w:r>
        <w:rPr>
          <w:rFonts w:ascii="Arial" w:cs="Arial" w:eastAsia="Arial" w:hAnsi="Arial"/>
          <w:sz w:val="18"/>
          <w:szCs w:val="18"/>
          <w:b w:val="1"/>
          <w:bCs w:val="1"/>
          <w:color w:val="auto"/>
        </w:rPr>
        <w:t>Talent</w:t>
      </w:r>
      <w:r>
        <w:rPr>
          <w:rFonts w:ascii="Arial" w:cs="Arial" w:eastAsia="Arial" w:hAnsi="Arial"/>
          <w:sz w:val="18"/>
          <w:szCs w:val="18"/>
          <w:color w:val="auto"/>
        </w:rPr>
        <w:t>. We are increasing and broadening the pools of candidates from which we hire, both externally and internally,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refining the requirements, assessment criteria and selection process for each of our roles.</w:t>
      </w:r>
    </w:p>
    <w:p>
      <w:pPr>
        <w:spacing w:after="0" w:line="158" w:lineRule="exact"/>
        <w:rPr>
          <w:sz w:val="20"/>
          <w:szCs w:val="20"/>
          <w:color w:val="auto"/>
        </w:rPr>
      </w:pPr>
    </w:p>
    <w:p>
      <w:pPr>
        <w:ind w:left="160" w:right="200" w:firstLine="546"/>
        <w:spacing w:after="0" w:line="249"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 We devote considerable time and resources to the continuing education of our employees. This effort begins on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first day and remains part of our employee’s experience through regular panel discussions and focus groups to ignite conversations and ideas around DEI priorities.</w:t>
      </w:r>
    </w:p>
    <w:p>
      <w:pPr>
        <w:spacing w:after="0" w:line="172" w:lineRule="exact"/>
        <w:rPr>
          <w:sz w:val="20"/>
          <w:szCs w:val="20"/>
          <w:color w:val="auto"/>
        </w:rPr>
      </w:pPr>
    </w:p>
    <w:p>
      <w:pPr>
        <w:ind w:left="160" w:right="280" w:firstLine="546"/>
        <w:spacing w:after="0" w:line="265" w:lineRule="auto"/>
        <w:rPr>
          <w:sz w:val="20"/>
          <w:szCs w:val="20"/>
          <w:color w:val="auto"/>
        </w:rPr>
      </w:pPr>
      <w:r>
        <w:rPr>
          <w:rFonts w:ascii="Arial" w:cs="Arial" w:eastAsia="Arial" w:hAnsi="Arial"/>
          <w:sz w:val="18"/>
          <w:szCs w:val="18"/>
          <w:b w:val="1"/>
          <w:bCs w:val="1"/>
          <w:color w:val="auto"/>
        </w:rPr>
        <w:t>Culture</w:t>
      </w:r>
      <w:r>
        <w:rPr>
          <w:rFonts w:ascii="Arial" w:cs="Arial" w:eastAsia="Arial" w:hAnsi="Arial"/>
          <w:sz w:val="18"/>
          <w:szCs w:val="18"/>
          <w:color w:val="auto"/>
        </w:rPr>
        <w:t>. We are in the process of establishing a DEI Advisory Council that will take an active role not only in our programs but</w:t>
      </w:r>
      <w:r>
        <w:rPr>
          <w:rFonts w:ascii="Arial" w:cs="Arial" w:eastAsia="Arial" w:hAnsi="Arial"/>
          <w:sz w:val="18"/>
          <w:szCs w:val="18"/>
          <w:b w:val="1"/>
          <w:bCs w:val="1"/>
          <w:color w:val="auto"/>
        </w:rPr>
        <w:t xml:space="preserve"> </w:t>
      </w:r>
      <w:r>
        <w:rPr>
          <w:rFonts w:ascii="Arial" w:cs="Arial" w:eastAsia="Arial" w:hAnsi="Arial"/>
          <w:sz w:val="18"/>
          <w:szCs w:val="18"/>
          <w:color w:val="auto"/>
        </w:rPr>
        <w:t>also as thought leaders and change agents.</w:t>
      </w: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Commitment to ESG</w:t>
      </w:r>
    </w:p>
    <w:p>
      <w:pPr>
        <w:spacing w:after="0" w:line="230" w:lineRule="exact"/>
        <w:rPr>
          <w:sz w:val="20"/>
          <w:szCs w:val="20"/>
          <w:color w:val="auto"/>
        </w:rPr>
      </w:pPr>
    </w:p>
    <w:p>
      <w:pPr>
        <w:jc w:val="both"/>
        <w:ind w:left="160" w:right="140" w:firstLine="546"/>
        <w:spacing w:after="0" w:line="237" w:lineRule="auto"/>
        <w:rPr>
          <w:sz w:val="20"/>
          <w:szCs w:val="20"/>
          <w:color w:val="auto"/>
        </w:rPr>
      </w:pPr>
      <w:r>
        <w:rPr>
          <w:rFonts w:ascii="Arial" w:cs="Arial" w:eastAsia="Arial" w:hAnsi="Arial"/>
          <w:sz w:val="18"/>
          <w:szCs w:val="18"/>
          <w:color w:val="auto"/>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their parts. We also promote technologies like additive manufacturing that reduce the carbon footprint.</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Xometry.org: Manufacturing a Better World</w:t>
      </w:r>
    </w:p>
    <w:p>
      <w:pPr>
        <w:spacing w:after="0" w:line="123" w:lineRule="exact"/>
        <w:rPr>
          <w:sz w:val="20"/>
          <w:szCs w:val="20"/>
          <w:color w:val="auto"/>
        </w:rPr>
      </w:pPr>
    </w:p>
    <w:p>
      <w:pPr>
        <w:ind w:left="160" w:right="60" w:firstLine="546"/>
        <w:spacing w:after="0" w:line="250" w:lineRule="auto"/>
        <w:rPr>
          <w:sz w:val="20"/>
          <w:szCs w:val="20"/>
          <w:color w:val="auto"/>
        </w:rPr>
      </w:pPr>
      <w:r>
        <w:rPr>
          <w:rFonts w:ascii="Arial" w:cs="Arial" w:eastAsia="Arial" w:hAnsi="Arial"/>
          <w:sz w:val="17"/>
          <w:szCs w:val="17"/>
          <w:color w:val="auto"/>
        </w:rPr>
        <w:t>We want to help non-profits that are making a difference addressing other crucial problems facing our world. We started 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work of Xometry.org makes our business stronger and more successful.</w:t>
      </w:r>
    </w:p>
    <w:p>
      <w:pPr>
        <w:spacing w:after="0" w:line="196" w:lineRule="exact"/>
        <w:rPr>
          <w:sz w:val="20"/>
          <w:szCs w:val="20"/>
          <w:color w:val="auto"/>
        </w:rPr>
      </w:pPr>
    </w:p>
    <w:p>
      <w:pPr>
        <w:jc w:val="both"/>
        <w:ind w:left="160" w:right="420" w:firstLine="546"/>
        <w:spacing w:after="0" w:line="237" w:lineRule="auto"/>
        <w:rPr>
          <w:sz w:val="20"/>
          <w:szCs w:val="20"/>
          <w:color w:val="auto"/>
        </w:rPr>
      </w:pPr>
      <w:r>
        <w:rPr>
          <w:rFonts w:ascii="Arial" w:cs="Arial" w:eastAsia="Arial" w:hAnsi="Arial"/>
          <w:sz w:val="18"/>
          <w:szCs w:val="18"/>
          <w:color w:val="auto"/>
        </w:rPr>
        <w:t>We have embraced the Pledge 1% movement, and are committed to donating 1% of our equity over time, to fund and support operations of Xometry.org. We intend to initially reserve 0.2% of our outstanding capital stock on the date of approval by our Board of Directors. We anticipate further annual stock grants to Xometry.org so our efforts are sustained and consistent.</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Competition</w:t>
      </w:r>
    </w:p>
    <w:p>
      <w:pPr>
        <w:spacing w:after="0" w:line="230"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The domestic and global on-demand manufacturing industry is localized and highly fragmented and we compete for both buyers and sellers.</w:t>
      </w:r>
    </w:p>
    <w:p>
      <w:pPr>
        <w:spacing w:after="0" w:line="20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We compete for buyers with service bureaus and brokers. Our competitors include vertically integrated service bureaus, the service bureau divisions of the additive OEM companies such as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6"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60"/>
        <w:spacing w:after="0" w:line="239" w:lineRule="auto"/>
        <w:rPr>
          <w:sz w:val="20"/>
          <w:szCs w:val="20"/>
          <w:color w:val="auto"/>
        </w:rPr>
      </w:pPr>
      <w:r>
        <w:rPr>
          <w:rFonts w:ascii="Arial" w:cs="Arial" w:eastAsia="Arial" w:hAnsi="Arial"/>
          <w:sz w:val="18"/>
          <w:szCs w:val="18"/>
          <w:color w:val="auto"/>
        </w:rPr>
        <w:t>Stratasys and 3D Systems and independent machine shops and 3D printing service bureaus. For buyers, we compete on the basis of competitive pricing, user experience, and superior customer service.</w:t>
      </w:r>
    </w:p>
    <w:p>
      <w:pPr>
        <w:spacing w:after="0" w:line="203" w:lineRule="exact"/>
        <w:rPr>
          <w:sz w:val="20"/>
          <w:szCs w:val="20"/>
          <w:color w:val="auto"/>
        </w:rPr>
      </w:pPr>
    </w:p>
    <w:p>
      <w:pPr>
        <w:ind w:left="160" w:right="300" w:firstLine="546"/>
        <w:spacing w:after="0" w:line="235" w:lineRule="auto"/>
        <w:rPr>
          <w:sz w:val="20"/>
          <w:szCs w:val="20"/>
          <w:color w:val="auto"/>
        </w:rPr>
      </w:pPr>
      <w:r>
        <w:rPr>
          <w:rFonts w:ascii="Arial" w:cs="Arial" w:eastAsia="Arial" w:hAnsi="Arial"/>
          <w:sz w:val="18"/>
          <w:szCs w:val="18"/>
          <w:color w:val="auto"/>
        </w:rPr>
        <w:t>For sellers, we compete with brokers and listing services. Sellers will pay the independent brokers commissions to connect with buyers as well as list their services in offline trade publications and online listing services. We also compete with companies that sell software and services to sellers, enabling them to sell from their own website or otherwise run their business independently of our platform. We are able to compete for sellers on the basis of providing real-time access to orders, cash flow stability, global access to customers and seller services and financial products.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Intellectual Property</w:t>
      </w:r>
    </w:p>
    <w:p>
      <w:pPr>
        <w:spacing w:after="0" w:line="230"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95"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As of March 31, 2021, we own six issued United States patents directed to the use of machine learning for generating fabrication and manufacturing predictions, such as price, manufacturability and suitable materials and two pending United States patent applications and one pending European patent application directed to similar technologies. Our issued patents in the U.S. will expire between 2036 and 2037 and the pending patent applications, if issued, are expected to expire between 2039 and 2040, excluding any extension of patent term that may be available.</w:t>
      </w:r>
    </w:p>
    <w:p>
      <w:pPr>
        <w:spacing w:after="0" w:line="204"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As of March 31, 2021, we have five registered U.S. trademarks and six registered foreign trademarks in the European Union and various other jurisdictions for our name and certain words and phrases that we use in our business, and we rely on copyright laws and licenses to use and protect software and certain other elements of our proprietary technologies. We also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206"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40"/>
          </w:cols>
          <w:pgMar w:left="320" w:top="456" w:right="5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203"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See the section titled “Risk Factors—Risks Related to Our Business” for a more comprehensive description of risks related to our intellectual property and proprietary rights.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Facilities / Properties</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headquarters are located in Montgomery County, Maryland where we occupy facilities encompassing approximately 40,000 square feet. We have regional offices in Lexington, KY, Jackson, TN, and Munich, Germany. All of our offices are leased and we do not own any real property. Our leases range in expiration from 2021 to 2024. We believe that these facilities are generally suitable to meet our needs.</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Proceedings</w:t>
      </w:r>
    </w:p>
    <w:p>
      <w:pPr>
        <w:spacing w:after="0" w:line="230" w:lineRule="exact"/>
        <w:rPr>
          <w:sz w:val="20"/>
          <w:szCs w:val="20"/>
          <w:color w:val="auto"/>
        </w:rPr>
      </w:pPr>
    </w:p>
    <w:p>
      <w:pPr>
        <w:ind w:left="160" w:right="240" w:firstLine="546"/>
        <w:spacing w:after="0" w:line="235" w:lineRule="auto"/>
        <w:rPr>
          <w:sz w:val="20"/>
          <w:szCs w:val="20"/>
          <w:color w:val="auto"/>
        </w:rPr>
      </w:pPr>
      <w:r>
        <w:rPr>
          <w:rFonts w:ascii="Arial" w:cs="Arial" w:eastAsia="Arial" w:hAnsi="Arial"/>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40"/>
          </w:cols>
          <w:pgMar w:left="320" w:top="456" w:right="5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for our executive officers and directors as of May 15, 2021:</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36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6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73"/>
        </w:trPr>
        <w:tc>
          <w:tcPr>
            <w:tcW w:w="4760" w:type="dxa"/>
            <w:vAlign w:val="bottom"/>
            <w:gridSpan w:val="2"/>
          </w:tcPr>
          <w:p>
            <w:pPr>
              <w:spacing w:after="0" w:line="173" w:lineRule="exact"/>
              <w:rPr>
                <w:sz w:val="20"/>
                <w:szCs w:val="20"/>
                <w:color w:val="auto"/>
              </w:rPr>
            </w:pPr>
            <w:r>
              <w:rPr>
                <w:rFonts w:ascii="Arial" w:cs="Arial" w:eastAsia="Arial" w:hAnsi="Arial"/>
                <w:sz w:val="18"/>
                <w:szCs w:val="18"/>
                <w:i w:val="1"/>
                <w:iCs w:val="1"/>
                <w:color w:val="auto"/>
              </w:rPr>
              <w:t>Executive Officers:</w:t>
            </w:r>
          </w:p>
        </w:tc>
        <w:tc>
          <w:tcPr>
            <w:tcW w:w="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60" w:type="dxa"/>
            <w:vAlign w:val="bottom"/>
            <w:tcBorders>
              <w:top w:val="single" w:sz="8" w:color="auto"/>
            </w:tcBorders>
          </w:tcPr>
          <w:p>
            <w:pPr>
              <w:spacing w:after="0"/>
              <w:rPr>
                <w:sz w:val="15"/>
                <w:szCs w:val="15"/>
                <w:color w:val="auto"/>
              </w:rPr>
            </w:pP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Randolph Altschuler</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Executive Officer, Co-Founder and 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James Rallo</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Financial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Peter Goguen</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Operating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Bill Cronin</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Revenue Officer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Kathy Mayerhofer</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Chief Sales Officer</w:t>
            </w:r>
          </w:p>
        </w:tc>
      </w:tr>
      <w:tr>
        <w:trPr>
          <w:trHeight w:val="183"/>
        </w:trPr>
        <w:tc>
          <w:tcPr>
            <w:tcW w:w="476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Laurence Zuriff</w:t>
            </w:r>
          </w:p>
        </w:tc>
        <w:tc>
          <w:tcPr>
            <w:tcW w:w="280" w:type="dxa"/>
            <w:vAlign w:val="bottom"/>
          </w:tcPr>
          <w:p>
            <w:pPr>
              <w:spacing w:after="0" w:line="182"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5"/>
                <w:szCs w:val="15"/>
                <w:color w:val="auto"/>
              </w:rPr>
            </w:pPr>
          </w:p>
        </w:tc>
        <w:tc>
          <w:tcPr>
            <w:tcW w:w="5660" w:type="dxa"/>
            <w:vAlign w:val="bottom"/>
          </w:tcPr>
          <w:p>
            <w:pPr>
              <w:spacing w:after="0" w:line="182" w:lineRule="exact"/>
              <w:rPr>
                <w:sz w:val="20"/>
                <w:szCs w:val="20"/>
                <w:color w:val="auto"/>
              </w:rPr>
            </w:pPr>
            <w:r>
              <w:rPr>
                <w:rFonts w:ascii="Arial" w:cs="Arial" w:eastAsia="Arial" w:hAnsi="Arial"/>
                <w:sz w:val="18"/>
                <w:szCs w:val="18"/>
                <w:color w:val="auto"/>
              </w:rPr>
              <w:t>Chief Strategy Officer, Co-Founder and Director</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George Hornig</w:t>
            </w:r>
            <w:r>
              <w:rPr>
                <w:rFonts w:ascii="Arial" w:cs="Arial" w:eastAsia="Arial" w:hAnsi="Arial"/>
                <w:sz w:val="15"/>
                <w:szCs w:val="15"/>
                <w:color w:val="auto"/>
              </w:rPr>
              <w:t>(4)(5)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66</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 and Chairman of the Board</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Emily Rollins</w:t>
            </w:r>
            <w:r>
              <w:rPr>
                <w:rFonts w:ascii="Arial" w:cs="Arial" w:eastAsia="Arial" w:hAnsi="Arial"/>
                <w:sz w:val="15"/>
                <w:szCs w:val="15"/>
                <w:color w:val="auto"/>
              </w:rPr>
              <w:t>(1)</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Deborah Bial</w:t>
            </w:r>
            <w:r>
              <w:rPr>
                <w:rFonts w:ascii="Arial" w:cs="Arial" w:eastAsia="Arial" w:hAnsi="Arial"/>
                <w:sz w:val="15"/>
                <w:szCs w:val="15"/>
                <w:color w:val="auto"/>
              </w:rPr>
              <w:t>(5)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Craig Driscoll</w:t>
            </w:r>
            <w:r>
              <w:rPr>
                <w:rFonts w:ascii="Arial" w:cs="Arial" w:eastAsia="Arial" w:hAnsi="Arial"/>
                <w:sz w:val="15"/>
                <w:szCs w:val="15"/>
                <w:color w:val="auto"/>
              </w:rPr>
              <w:t>(5)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01"/>
        </w:trPr>
        <w:tc>
          <w:tcPr>
            <w:tcW w:w="47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Fabio Rosati</w:t>
            </w:r>
            <w:r>
              <w:rPr>
                <w:rFonts w:ascii="Arial" w:cs="Arial" w:eastAsia="Arial" w:hAnsi="Arial"/>
                <w:sz w:val="15"/>
                <w:szCs w:val="15"/>
                <w:color w:val="auto"/>
              </w:rPr>
              <w:t>(5)</w:t>
            </w:r>
          </w:p>
        </w:tc>
        <w:tc>
          <w:tcPr>
            <w:tcW w:w="280" w:type="dxa"/>
            <w:vAlign w:val="bottom"/>
          </w:tcPr>
          <w:p>
            <w:pPr>
              <w:spacing w:after="0" w:line="201"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16"/>
        </w:trPr>
        <w:tc>
          <w:tcPr>
            <w:tcW w:w="4760" w:type="dxa"/>
            <w:vAlign w:val="bottom"/>
            <w:gridSpan w:val="2"/>
          </w:tcPr>
          <w:p>
            <w:pPr>
              <w:ind w:left="360"/>
              <w:spacing w:after="0"/>
              <w:rPr>
                <w:sz w:val="20"/>
                <w:szCs w:val="20"/>
                <w:color w:val="auto"/>
              </w:rPr>
            </w:pPr>
            <w:r>
              <w:rPr>
                <w:rFonts w:ascii="Arial" w:cs="Arial" w:eastAsia="Arial" w:hAnsi="Arial"/>
                <w:sz w:val="18"/>
                <w:szCs w:val="18"/>
                <w:color w:val="auto"/>
              </w:rPr>
              <w:t>Katharine Weymouth</w:t>
            </w:r>
            <w:r>
              <w:rPr>
                <w:rFonts w:ascii="Arial" w:cs="Arial" w:eastAsia="Arial" w:hAnsi="Arial"/>
                <w:sz w:val="15"/>
                <w:szCs w:val="15"/>
                <w:color w:val="auto"/>
              </w:rPr>
              <w:t>(4)</w:t>
            </w:r>
          </w:p>
        </w:tc>
        <w:tc>
          <w:tcPr>
            <w:tcW w:w="280" w:type="dxa"/>
            <w:vAlign w:val="bottom"/>
          </w:tcPr>
          <w:p>
            <w:pPr>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7645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0" w:lineRule="exact"/>
        <w:rPr>
          <w:sz w:val="20"/>
          <w:szCs w:val="20"/>
          <w:color w:val="auto"/>
        </w:rPr>
      </w:pPr>
    </w:p>
    <w:p>
      <w:pPr>
        <w:ind w:left="600" w:hanging="433"/>
        <w:spacing w:after="0"/>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Chairperson of the Audit Committee.</w:t>
      </w:r>
    </w:p>
    <w:p>
      <w:pPr>
        <w:ind w:left="600" w:hanging="433"/>
        <w:spacing w:after="0"/>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Chairperson of the Compensation Committee.</w:t>
      </w:r>
    </w:p>
    <w:p>
      <w:pPr>
        <w:ind w:left="600" w:hanging="433"/>
        <w:spacing w:after="0"/>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Chairperson of the Nominating and Corporate Governance Committee.</w:t>
      </w:r>
    </w:p>
    <w:p>
      <w:pPr>
        <w:ind w:left="600" w:hanging="433"/>
        <w:spacing w:after="0"/>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600" w:hanging="433"/>
        <w:spacing w:after="0"/>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600" w:hanging="433"/>
        <w:spacing w:after="0"/>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Officers</w:t>
      </w:r>
    </w:p>
    <w:p>
      <w:pPr>
        <w:spacing w:after="0" w:line="208" w:lineRule="exact"/>
        <w:rPr>
          <w:sz w:val="20"/>
          <w:szCs w:val="20"/>
          <w:color w:val="auto"/>
        </w:rPr>
      </w:pPr>
    </w:p>
    <w:p>
      <w:pPr>
        <w:ind w:left="160" w:right="80" w:firstLine="546"/>
        <w:spacing w:after="0" w:line="251" w:lineRule="auto"/>
        <w:rPr>
          <w:sz w:val="20"/>
          <w:szCs w:val="20"/>
          <w:color w:val="auto"/>
        </w:rPr>
      </w:pPr>
      <w:r>
        <w:rPr>
          <w:rFonts w:ascii="Arial" w:cs="Arial" w:eastAsia="Arial" w:hAnsi="Arial"/>
          <w:sz w:val="17"/>
          <w:szCs w:val="17"/>
          <w:b w:val="1"/>
          <w:bCs w:val="1"/>
          <w:color w:val="auto"/>
        </w:rPr>
        <w:t xml:space="preserve">Randolph Altschuler </w:t>
      </w:r>
      <w:r>
        <w:rPr>
          <w:rFonts w:ascii="Arial" w:cs="Arial" w:eastAsia="Arial" w:hAnsi="Arial"/>
          <w:sz w:val="17"/>
          <w:szCs w:val="17"/>
          <w:color w:val="auto"/>
        </w:rPr>
        <w:t>is our co-founder and has served as our Chief Executive Officer and as a member of our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May 2013. Prior to co-founding Xometry, Mr. Altschuler served as the Co-Founder and Executive Chairman of CloudBlue Technologies, Inc., a provider of recycling services for electronic equipment, from January 2008 to September 2013. Prior to CloudBlue, Mr. Altschuler was the co-founder and co-CEO of OfficeTiger, Inc. from 2000 to 2007. In addition to serving as our Chief Executive Officer, Mr. Altschuler also serves on the board of directors of the Maryland Tech Council and Regional Manufacturing Institute of Maryland.</w:t>
      </w:r>
    </w:p>
    <w:p>
      <w:pPr>
        <w:spacing w:after="0" w:line="3"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Mr. Altschuler received a B.A. from Princeton University and an M.B.A. from Harvard Business School. Mr. Altschuler was awarded a Fulbright Scholarship and studied at the University of Vienna in Austria. We believe that Mr. Altschuler is qualified to serve on the board of directors because of his experience building and leading our business since inception.</w:t>
      </w:r>
    </w:p>
    <w:p>
      <w:pPr>
        <w:spacing w:after="0" w:line="181" w:lineRule="exact"/>
        <w:rPr>
          <w:sz w:val="20"/>
          <w:szCs w:val="20"/>
          <w:color w:val="auto"/>
        </w:rPr>
      </w:pPr>
    </w:p>
    <w:p>
      <w:pPr>
        <w:ind w:left="160" w:right="20" w:firstLine="546"/>
        <w:spacing w:after="0"/>
        <w:rPr>
          <w:sz w:val="20"/>
          <w:szCs w:val="20"/>
          <w:color w:val="auto"/>
        </w:rPr>
      </w:pPr>
      <w:r>
        <w:rPr>
          <w:rFonts w:ascii="Arial" w:cs="Arial" w:eastAsia="Arial" w:hAnsi="Arial"/>
          <w:sz w:val="18"/>
          <w:szCs w:val="18"/>
          <w:b w:val="1"/>
          <w:bCs w:val="1"/>
          <w:color w:val="auto"/>
        </w:rPr>
        <w:t xml:space="preserve">James Rallo </w:t>
      </w:r>
      <w:r>
        <w:rPr>
          <w:rFonts w:ascii="Arial" w:cs="Arial" w:eastAsia="Arial" w:hAnsi="Arial"/>
          <w:sz w:val="18"/>
          <w:szCs w:val="18"/>
          <w:color w:val="auto"/>
        </w:rPr>
        <w:t>has served as our Chief Financial Officer since April 2020. Prior to joining Xometry, Mr. Rallo served as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Chief Financial Officer of Liquidity Services, a network of e-commerce marketplaces, from February 2005 to April 2019. Between roles at Liquidity Services and Xometry, Mr. Rallo briefly served as Chief Financial Officer of Stimwave Technologies LLC, a medical device company. Mr. Rallo is a Certified Public Accountant and received a B.S. in Business and Accounting from Washington and Lee University and an M.B.A. from the University of Maryland College Park.</w:t>
      </w:r>
    </w:p>
    <w:p>
      <w:pPr>
        <w:spacing w:after="0" w:line="182" w:lineRule="exact"/>
        <w:rPr>
          <w:sz w:val="20"/>
          <w:szCs w:val="20"/>
          <w:color w:val="auto"/>
        </w:rPr>
      </w:pPr>
    </w:p>
    <w:p>
      <w:pPr>
        <w:jc w:val="both"/>
        <w:ind w:left="160" w:right="240" w:firstLine="546"/>
        <w:spacing w:after="0" w:line="249" w:lineRule="auto"/>
        <w:rPr>
          <w:sz w:val="20"/>
          <w:szCs w:val="20"/>
          <w:color w:val="auto"/>
        </w:rPr>
      </w:pPr>
      <w:r>
        <w:rPr>
          <w:rFonts w:ascii="Arial" w:cs="Arial" w:eastAsia="Arial" w:hAnsi="Arial"/>
          <w:sz w:val="18"/>
          <w:szCs w:val="18"/>
          <w:b w:val="1"/>
          <w:bCs w:val="1"/>
          <w:color w:val="auto"/>
        </w:rPr>
        <w:t xml:space="preserve">Peter Goguen </w:t>
      </w:r>
      <w:r>
        <w:rPr>
          <w:rFonts w:ascii="Arial" w:cs="Arial" w:eastAsia="Arial" w:hAnsi="Arial"/>
          <w:sz w:val="18"/>
          <w:szCs w:val="18"/>
          <w:color w:val="auto"/>
        </w:rPr>
        <w:t>has served as our Chief Operating Officer since March 2018. Prior to joining Xometry, Mr. Goguen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New Business Development and Launch for Detroit Manufacturing Systems LLC, a provider of high-quality vehicle interior components, from April</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81" w:lineRule="exact"/>
        <w:rPr>
          <w:sz w:val="20"/>
          <w:szCs w:val="20"/>
          <w:color w:val="auto"/>
        </w:rPr>
      </w:pPr>
    </w:p>
    <w:p>
      <w:pPr>
        <w:ind w:left="160" w:right="100" w:firstLine="546"/>
        <w:spacing w:after="0"/>
        <w:rPr>
          <w:sz w:val="20"/>
          <w:szCs w:val="20"/>
          <w:color w:val="auto"/>
        </w:rPr>
      </w:pPr>
      <w:r>
        <w:rPr>
          <w:rFonts w:ascii="Arial" w:cs="Arial" w:eastAsia="Arial" w:hAnsi="Arial"/>
          <w:sz w:val="18"/>
          <w:szCs w:val="18"/>
          <w:b w:val="1"/>
          <w:bCs w:val="1"/>
          <w:color w:val="auto"/>
        </w:rPr>
        <w:t xml:space="preserve">Bill Cronin </w:t>
      </w:r>
      <w:r>
        <w:rPr>
          <w:rFonts w:ascii="Arial" w:cs="Arial" w:eastAsia="Arial" w:hAnsi="Arial"/>
          <w:sz w:val="18"/>
          <w:szCs w:val="18"/>
          <w:color w:val="auto"/>
        </w:rPr>
        <w:t>has served as our Chief Revenue Office since September 2018, and has served as our Senior Vice President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Marketing since February 2016. Prior to joining Xometry, Mr. Cronin served as the Vice President of Marketing for WeddingWire, a global marketplace for wedding professionals, from November 2013 to January 2016. Mr. Cronin previously was the VP of Marketing for USA Today and held a range of roles at Mastercard over 12 years including VP of Global Brand Building. Mr. Cronin received a B.A. from Dartmouth College.</w:t>
      </w:r>
    </w:p>
    <w:p>
      <w:pPr>
        <w:spacing w:after="0" w:line="182" w:lineRule="exact"/>
        <w:rPr>
          <w:sz w:val="20"/>
          <w:szCs w:val="20"/>
          <w:color w:val="auto"/>
        </w:rPr>
      </w:pPr>
    </w:p>
    <w:p>
      <w:pPr>
        <w:ind w:left="160" w:right="40" w:firstLine="546"/>
        <w:spacing w:after="0" w:line="243" w:lineRule="auto"/>
        <w:rPr>
          <w:sz w:val="20"/>
          <w:szCs w:val="20"/>
          <w:color w:val="auto"/>
        </w:rPr>
      </w:pPr>
      <w:r>
        <w:rPr>
          <w:rFonts w:ascii="Arial" w:cs="Arial" w:eastAsia="Arial" w:hAnsi="Arial"/>
          <w:sz w:val="18"/>
          <w:szCs w:val="18"/>
          <w:b w:val="1"/>
          <w:bCs w:val="1"/>
          <w:color w:val="auto"/>
        </w:rPr>
        <w:t xml:space="preserve">Kathy Mayerhofer </w:t>
      </w:r>
      <w:r>
        <w:rPr>
          <w:rFonts w:ascii="Arial" w:cs="Arial" w:eastAsia="Arial" w:hAnsi="Arial"/>
          <w:sz w:val="18"/>
          <w:szCs w:val="18"/>
          <w:color w:val="auto"/>
        </w:rPr>
        <w:t>has served as our Chief Sales Officer since February 2020, and previously served as our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Sales from 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w:t>
      </w:r>
    </w:p>
    <w:p>
      <w:pPr>
        <w:spacing w:after="0" w:line="178"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b w:val="1"/>
          <w:bCs w:val="1"/>
          <w:color w:val="auto"/>
        </w:rPr>
        <w:t xml:space="preserve">Laurence Zuriff </w:t>
      </w:r>
      <w:r>
        <w:rPr>
          <w:rFonts w:ascii="Arial" w:cs="Arial" w:eastAsia="Arial" w:hAnsi="Arial"/>
          <w:sz w:val="18"/>
          <w:szCs w:val="18"/>
          <w:color w:val="auto"/>
        </w:rPr>
        <w:t>is our co-founder and has served as our Chief Strategy Officer since April 2020, and as a member of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since our incorporation on May 29, 2013. Mr. Zuriff also continues to manage the investments for ZFI Capital (Zuriff Family Investments). He previously served as our Chief Financial Officer from September 2013 to April 2020. Mr. Zuriff received a B.A. in International Relations from Brown University and an M.A. in International Relations and International Economics from The John Hopkins University. We believe that Mr. Zuriff is qualified to serve on the board of directors because of his deep knowledge of our company and his industry experience.</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Non-Employee Directors</w:t>
      </w:r>
    </w:p>
    <w:p>
      <w:pPr>
        <w:spacing w:after="0" w:line="208"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b w:val="1"/>
          <w:bCs w:val="1"/>
          <w:color w:val="auto"/>
        </w:rPr>
        <w:t xml:space="preserve">George Hornig </w:t>
      </w:r>
      <w:r>
        <w:rPr>
          <w:rFonts w:ascii="Arial" w:cs="Arial" w:eastAsia="Arial" w:hAnsi="Arial"/>
          <w:sz w:val="18"/>
          <w:szCs w:val="18"/>
          <w:color w:val="auto"/>
        </w:rPr>
        <w:t>has served as a member of our board of directors since October 2013 and as our Chairman of the Board since</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2021. Mr. Hornig serves as the Chairman and Founding Partner of The Seed Lab, an entrepreneur-led early-stage venture fund, a position he has held since November 2018. Mr. Hornig served as the Senior Managing Director and Chief Operating Officer of PineBridge Investments, a private, global asset manager, from November 2010 to December 2016. Mr. Hornig was the Chairman of the Audit Committee for KBL Merger Corp. IV from April 2017 to August 2020. From November 1996 to May 2018, Mr. Hornig served as Audit Committee Chairman of the Board of Forrester Research. Mr. Hornig received an A.B. in Economics from Harvard University, a J.D. from Harvard Law School and an M.B.A from Harvard Business School. We believe that Mr. Hornig is qualified to serve on the board of directors because of his experience in manufacturing, consumer products and outsourcing of business services.</w:t>
      </w:r>
    </w:p>
    <w:p>
      <w:pPr>
        <w:spacing w:after="0" w:line="184"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b w:val="1"/>
          <w:bCs w:val="1"/>
          <w:color w:val="auto"/>
        </w:rPr>
        <w:t xml:space="preserve">Emily Rollins </w:t>
      </w:r>
      <w:r>
        <w:rPr>
          <w:rFonts w:ascii="Arial" w:cs="Arial" w:eastAsia="Arial" w:hAnsi="Arial"/>
          <w:sz w:val="18"/>
          <w:szCs w:val="18"/>
          <w:color w:val="auto"/>
        </w:rPr>
        <w:t>has served as a member of our board of directors and as the chairperson of our audit committee since March 2021.</w:t>
      </w:r>
      <w:r>
        <w:rPr>
          <w:rFonts w:ascii="Arial" w:cs="Arial" w:eastAsia="Arial" w:hAnsi="Arial"/>
          <w:sz w:val="18"/>
          <w:szCs w:val="18"/>
          <w:b w:val="1"/>
          <w:bCs w:val="1"/>
          <w:color w:val="auto"/>
        </w:rPr>
        <w:t xml:space="preserve"> </w:t>
      </w:r>
      <w:r>
        <w:rPr>
          <w:rFonts w:ascii="Arial" w:cs="Arial" w:eastAsia="Arial" w:hAnsi="Arial"/>
          <w:sz w:val="18"/>
          <w:szCs w:val="18"/>
          <w:color w:val="auto"/>
        </w:rPr>
        <w:t>From September 1992 to September 2020, Ms. Rollins served in various positions at Deloitte &amp; Touche LLP including most recently as an Audit &amp; Assurance Partner, specializing in the technology, venture capital and life sciences industries. She currently serves on the board of Dolby Laboratories, Inc., a position she has held since February 2021. Ms. Rollins holds a B.A. in Accounting and International Relations from Claremont McKenna College. We believe that Ms. Rollins is qualified to serve on our board of directors due to her board and management experience with complex audit and reporting processes for technology and media companies.</w:t>
      </w:r>
    </w:p>
    <w:p>
      <w:pPr>
        <w:spacing w:after="0" w:line="181" w:lineRule="exact"/>
        <w:rPr>
          <w:sz w:val="20"/>
          <w:szCs w:val="20"/>
          <w:color w:val="auto"/>
        </w:rPr>
      </w:pPr>
    </w:p>
    <w:p>
      <w:pPr>
        <w:ind w:left="160" w:right="240" w:firstLine="546"/>
        <w:spacing w:after="0" w:line="249" w:lineRule="auto"/>
        <w:rPr>
          <w:sz w:val="20"/>
          <w:szCs w:val="20"/>
          <w:color w:val="auto"/>
        </w:rPr>
      </w:pPr>
      <w:r>
        <w:rPr>
          <w:rFonts w:ascii="Arial" w:cs="Arial" w:eastAsia="Arial" w:hAnsi="Arial"/>
          <w:sz w:val="18"/>
          <w:szCs w:val="18"/>
          <w:b w:val="1"/>
          <w:bCs w:val="1"/>
          <w:color w:val="auto"/>
        </w:rPr>
        <w:t xml:space="preserve">Deborah Bial </w:t>
      </w:r>
      <w:r>
        <w:rPr>
          <w:rFonts w:ascii="Arial" w:cs="Arial" w:eastAsia="Arial" w:hAnsi="Arial"/>
          <w:sz w:val="18"/>
          <w:szCs w:val="18"/>
          <w:color w:val="auto"/>
        </w:rPr>
        <w:t>has served as a member of our board of directors since October 2020. Ms. Bial is the founder and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 Foundation, a youth leadership-development and college- success organization, a position she has held since 1989. Ms. Bial received a B.A. from Brandeis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University and an Ed.M and Ed.D. from Harvard University. We believe that Ms. Bial is qualified to serve on the board of directors because of her extensive experience and leadership abilities.</w:t>
      </w:r>
    </w:p>
    <w:p>
      <w:pPr>
        <w:spacing w:after="0" w:line="181"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color w:val="auto"/>
        </w:rPr>
        <w:t xml:space="preserve">Craig Driscoll </w:t>
      </w:r>
      <w:r>
        <w:rPr>
          <w:rFonts w:ascii="Arial" w:cs="Arial" w:eastAsia="Arial" w:hAnsi="Arial"/>
          <w:sz w:val="18"/>
          <w:szCs w:val="18"/>
          <w:color w:val="auto"/>
        </w:rPr>
        <w:t>has served as a member of our board of directors since May 2019. Mr. Driscoll serves as General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Highland Capital Partners, a global venture capital firm, a position he has held since June 2017 and previously served as a Talent Partner from February 2006 to May 2017. In addition to serving on the board of Xometry, Mr. Driscoll serves on the board of directors of WhyHotel, an alternative hospitality service provider. Mr. Driscoll received a M.E. in Mechanical Engineering from Vanderbilt University. We believe that Mr. Driscoll is qualified to serve on the board of directors because of his experience in business development and team building experience building and advising companies from the earliest stages of growth.</w:t>
      </w:r>
    </w:p>
    <w:p>
      <w:pPr>
        <w:spacing w:after="0" w:line="181" w:lineRule="exact"/>
        <w:rPr>
          <w:sz w:val="20"/>
          <w:szCs w:val="20"/>
          <w:color w:val="auto"/>
        </w:rPr>
      </w:pPr>
    </w:p>
    <w:p>
      <w:pPr>
        <w:ind w:left="160" w:right="60" w:firstLine="546"/>
        <w:spacing w:after="0" w:line="238" w:lineRule="auto"/>
        <w:rPr>
          <w:sz w:val="20"/>
          <w:szCs w:val="20"/>
          <w:color w:val="auto"/>
        </w:rPr>
      </w:pPr>
      <w:r>
        <w:rPr>
          <w:rFonts w:ascii="Arial" w:cs="Arial" w:eastAsia="Arial" w:hAnsi="Arial"/>
          <w:sz w:val="18"/>
          <w:szCs w:val="18"/>
          <w:b w:val="1"/>
          <w:bCs w:val="1"/>
          <w:color w:val="auto"/>
        </w:rPr>
        <w:t xml:space="preserve">Fabio Rosati </w:t>
      </w:r>
      <w:r>
        <w:rPr>
          <w:rFonts w:ascii="Arial" w:cs="Arial" w:eastAsia="Arial" w:hAnsi="Arial"/>
          <w:sz w:val="18"/>
          <w:szCs w:val="18"/>
          <w:color w:val="auto"/>
        </w:rPr>
        <w:t>has served as a member of our board of directors since December 2017. Mr. Rosati is the Executive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Snagajob, a marketplace platform for connecting businesses with hourly workers, a position he has held since June 2019. He has been a member of the board of directors of Snagajob since 2017 and held the position of Chairman and acting CEO from July 2018 to May 2019. From May 2015 to July 2017 he served on the board of directors of Upwork, a position he held after serving as CEO from January 2014 to April 2015. Mr. Rosati is a board member of Smith.ai and Skysthelimit.org. Mr. Rosati received a B.S. in Finance and Accounting from Georgetown University. We believe that Mr. Rosati is qualified to serve on the board of directors because of his experience in the technology space.</w:t>
      </w:r>
    </w:p>
    <w:p>
      <w:pPr>
        <w:spacing w:after="0" w:line="181"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b w:val="1"/>
          <w:bCs w:val="1"/>
          <w:color w:val="auto"/>
        </w:rPr>
        <w:t xml:space="preserve">Katharine Weymouth </w:t>
      </w:r>
      <w:r>
        <w:rPr>
          <w:rFonts w:ascii="Arial" w:cs="Arial" w:eastAsia="Arial" w:hAnsi="Arial"/>
          <w:sz w:val="18"/>
          <w:szCs w:val="18"/>
          <w:color w:val="auto"/>
        </w:rPr>
        <w:t>has served as a member of our board of directors since October 2020. Ms. Weymouth is the Co-Founder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Senior Advisor of The Chef Market (formerly DineXpert), an on-demand platform for restaurants. Ms. Weymouth has been in this role since 2019 and has been with DineXpert since June of 2017. Ms. Weymouth was the Publisher and Chief Executive Officer of the Washington Post from February 2008 to September 2014. Since January 2015, Ms. Weymouth has served as a Trustee of the Philip L Graham Fund. Ms. Weymouth is a board member of Republic Services, Inc, Cable One, Inc., Sequoia Mutual Fund and The Graham Holdings Company. Ms. Weymouth received a B.A. in English Literature from Harvard University and a J.D. from Stanford Law School. We believe that Ms. Weymouth is qualified to serve on the board of directors because of her extensive executive and public company board experience.</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30" w:lineRule="exact"/>
        <w:rPr>
          <w:sz w:val="20"/>
          <w:szCs w:val="20"/>
          <w:color w:val="auto"/>
        </w:rPr>
      </w:pPr>
    </w:p>
    <w:p>
      <w:pPr>
        <w:ind w:left="160" w:right="140" w:firstLine="546"/>
        <w:spacing w:after="0" w:line="235"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eight directors. Six of our directors currently serve on the board of directors pursuant to the provisions of a voting agreement between us and several of our stockholders. Following the completion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04"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ectPr>
          <w:pgSz w:w="11900" w:h="16838" w:orient="portrait"/>
          <w:cols w:equalWidth="0" w:num="1">
            <w:col w:w="11080"/>
          </w:cols>
          <w:pgMar w:left="320" w:top="456" w:right="499" w:bottom="1440" w:gutter="0" w:footer="0" w:header="0"/>
        </w:sectPr>
      </w:pPr>
    </w:p>
    <w:p>
      <w:pPr>
        <w:spacing w:after="0" w:line="110"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 directors will be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 whose terms will expire at the first annual meeting of stockholders to be</w:t>
      </w:r>
    </w:p>
    <w:p>
      <w:pPr>
        <w:spacing w:after="0" w:line="12" w:lineRule="exact"/>
        <w:rPr>
          <w:sz w:val="20"/>
          <w:szCs w:val="20"/>
          <w:color w:val="auto"/>
        </w:rPr>
      </w:pPr>
    </w:p>
    <w:p>
      <w:pPr>
        <w:sectPr>
          <w:pgSz w:w="11900" w:h="16838" w:orient="portrait"/>
          <w:cols w:equalWidth="0" w:num="3">
            <w:col w:w="3200" w:space="720"/>
            <w:col w:w="420" w:space="720"/>
            <w:col w:w="6020"/>
          </w:cols>
          <w:pgMar w:left="320" w:top="456" w:right="49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held in 2022;</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080"/>
          </w:cols>
          <w:pgMar w:left="320" w:top="456" w:right="499" w:bottom="1440" w:gutter="0" w:footer="0" w:header="0"/>
          <w:type w:val="continuous"/>
        </w:sectPr>
      </w:pPr>
    </w:p>
    <w:bookmarkStart w:id="133" w:name="page134"/>
    <w:bookmarkEnd w:id="1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60"/>
          </w:cols>
          <w:pgMar w:left="320" w:top="456" w:right="519" w:bottom="1440" w:gutter="0" w:footer="0" w:header="0"/>
        </w:sectPr>
      </w:pPr>
    </w:p>
    <w:p>
      <w:pPr>
        <w:spacing w:after="0" w:line="364"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II directors will be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 whose terms will expire at the second annual meeting of stockholders to</w:t>
      </w:r>
    </w:p>
    <w:p>
      <w:pPr>
        <w:spacing w:after="0" w:line="17" w:lineRule="exact"/>
        <w:rPr>
          <w:sz w:val="20"/>
          <w:szCs w:val="20"/>
          <w:color w:val="auto"/>
        </w:rPr>
      </w:pPr>
    </w:p>
    <w:p>
      <w:pPr>
        <w:sectPr>
          <w:pgSz w:w="11900" w:h="16838" w:orient="portrait"/>
          <w:cols w:equalWidth="0" w:num="3">
            <w:col w:w="3200" w:space="720"/>
            <w:col w:w="420" w:space="720"/>
            <w:col w:w="6000"/>
          </w:cols>
          <w:pgMar w:left="320" w:top="456" w:right="5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be held in 2023; and</w:t>
      </w:r>
    </w:p>
    <w:p>
      <w:pPr>
        <w:sectPr>
          <w:pgSz w:w="11900" w:h="16838" w:orient="portrait"/>
          <w:cols w:equalWidth="0" w:num="1">
            <w:col w:w="11060"/>
          </w:cols>
          <w:pgMar w:left="320" w:top="456" w:right="519" w:bottom="1440" w:gutter="0" w:footer="0" w:header="0"/>
          <w:type w:val="continuous"/>
        </w:sectPr>
      </w:pPr>
    </w:p>
    <w:p>
      <w:pPr>
        <w:spacing w:after="0" w:line="113" w:lineRule="exact"/>
        <w:rPr>
          <w:sz w:val="20"/>
          <w:szCs w:val="20"/>
          <w:color w:val="auto"/>
        </w:rPr>
      </w:pPr>
    </w:p>
    <w:p>
      <w:pPr>
        <w:ind w:left="70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III director will be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 whose terms will expire at the third annual meeting of stockholders to be</w:t>
      </w:r>
    </w:p>
    <w:p>
      <w:pPr>
        <w:spacing w:after="0" w:line="17" w:lineRule="exact"/>
        <w:rPr>
          <w:sz w:val="20"/>
          <w:szCs w:val="20"/>
          <w:color w:val="auto"/>
        </w:rPr>
      </w:pPr>
    </w:p>
    <w:p>
      <w:pPr>
        <w:sectPr>
          <w:pgSz w:w="11900" w:h="16838" w:orient="portrait"/>
          <w:cols w:equalWidth="0" w:num="3">
            <w:col w:w="3160" w:space="720"/>
            <w:col w:w="420" w:space="720"/>
            <w:col w:w="6040"/>
          </w:cols>
          <w:pgMar w:left="320" w:top="456" w:right="5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held in 2024.</w:t>
      </w:r>
    </w:p>
    <w:p>
      <w:pPr>
        <w:sectPr>
          <w:pgSz w:w="11900" w:h="16838" w:orient="portrait"/>
          <w:cols w:equalWidth="0" w:num="1">
            <w:col w:w="11060"/>
          </w:cols>
          <w:pgMar w:left="320" w:top="456" w:right="519" w:bottom="1440" w:gutter="0" w:footer="0" w:header="0"/>
          <w:type w:val="continuous"/>
        </w:sectPr>
      </w:pPr>
    </w:p>
    <w:p>
      <w:pPr>
        <w:spacing w:after="0" w:line="206"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Independence</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w:t>
      </w:r>
    </w:p>
    <w:p>
      <w:pPr>
        <w:ind w:left="160"/>
        <w:spacing w:after="0"/>
        <w:tabs>
          <w:tab w:leader="none" w:pos="9960" w:val="left"/>
        </w:tabs>
        <w:rPr>
          <w:sz w:val="20"/>
          <w:szCs w:val="20"/>
          <w:color w:val="auto"/>
        </w:rPr>
      </w:pPr>
      <w:r>
        <w:rPr>
          <w:rFonts w:ascii="Arial" w:cs="Arial" w:eastAsia="Arial" w:hAnsi="Arial"/>
          <w:sz w:val="18"/>
          <w:szCs w:val="18"/>
          <w:color w:val="auto"/>
        </w:rPr>
        <w:t>director concerning her or his background, employment and affiliations, our board of directors has determined that</w:t>
      </w:r>
      <w:r>
        <w:rPr>
          <w:sz w:val="20"/>
          <w:szCs w:val="20"/>
          <w:color w:val="auto"/>
        </w:rPr>
        <w:tab/>
      </w:r>
      <w:r>
        <w:rPr>
          <w:rFonts w:ascii="Arial" w:cs="Arial" w:eastAsia="Arial" w:hAnsi="Arial"/>
          <w:sz w:val="14"/>
          <w:szCs w:val="14"/>
          <w:color w:val="auto"/>
        </w:rPr>
        <w:t>,</w:t>
      </w:r>
    </w:p>
    <w:p>
      <w:pPr>
        <w:spacing w:after="0" w:line="1" w:lineRule="exact"/>
        <w:rPr>
          <w:sz w:val="20"/>
          <w:szCs w:val="20"/>
          <w:color w:val="auto"/>
        </w:rPr>
      </w:pPr>
    </w:p>
    <w:p>
      <w:pPr>
        <w:ind w:left="160"/>
        <w:spacing w:after="0"/>
        <w:tabs>
          <w:tab w:leader="none" w:pos="13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do not have relationships that would interfere with the exercise of independent judgment in carrying out the responsibilities</w:t>
      </w:r>
    </w:p>
    <w:p>
      <w:pPr>
        <w:spacing w:after="0" w:line="5"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0"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Our board of directors has established an audit committee and a compensation committee, and will establish a nominating and corporate governance committee prior to the completion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3"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Our audit committee consists of Emily Rollins, George Hornig and Katharine Weymouth. Our board of directors has determined that each of Ms. Rollins, Mr. Hornig and Ms. Weymouth satisfies the independence requirements under Nasdaq listing standards and</w:t>
      </w:r>
    </w:p>
    <w:p>
      <w:pPr>
        <w:spacing w:after="0" w:line="1" w:lineRule="exact"/>
        <w:rPr>
          <w:sz w:val="20"/>
          <w:szCs w:val="20"/>
          <w:color w:val="auto"/>
        </w:rPr>
      </w:pPr>
    </w:p>
    <w:p>
      <w:pPr>
        <w:ind w:left="160" w:right="140"/>
        <w:spacing w:after="0" w:line="253" w:lineRule="auto"/>
        <w:rPr>
          <w:sz w:val="20"/>
          <w:szCs w:val="20"/>
          <w:color w:val="auto"/>
        </w:rPr>
      </w:pPr>
      <w:r>
        <w:rPr>
          <w:rFonts w:ascii="Arial" w:cs="Arial" w:eastAsia="Arial" w:hAnsi="Arial"/>
          <w:sz w:val="17"/>
          <w:szCs w:val="17"/>
          <w:color w:val="auto"/>
        </w:rPr>
        <w:t>Rule 10A-3(b)(1) of the Exchange Act. The chair of our audit committee is Emily Rollins,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92" w:lineRule="exact"/>
        <w:rPr>
          <w:sz w:val="20"/>
          <w:szCs w:val="20"/>
          <w:color w:val="auto"/>
        </w:rPr>
      </w:pPr>
    </w:p>
    <w:p>
      <w:pPr>
        <w:ind w:left="160" w:right="400" w:firstLine="546"/>
        <w:spacing w:after="0" w:line="237"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09" w:lineRule="exact"/>
        <w:rPr>
          <w:sz w:val="20"/>
          <w:szCs w:val="20"/>
          <w:color w:val="auto"/>
        </w:rPr>
      </w:pPr>
    </w:p>
    <w:p>
      <w:pPr>
        <w:ind w:left="5480" w:right="2400" w:hanging="4778"/>
        <w:spacing w:after="0" w:line="410" w:lineRule="auto"/>
        <w:tabs>
          <w:tab w:leader="none" w:pos="9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127</w:t>
      </w:r>
    </w:p>
    <w:p>
      <w:pPr>
        <w:sectPr>
          <w:pgSz w:w="11900" w:h="16838" w:orient="portrait"/>
          <w:cols w:equalWidth="0" w:num="1">
            <w:col w:w="11060"/>
          </w:cols>
          <w:pgMar w:left="320" w:top="456" w:right="51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right="860" w:hanging="218"/>
        <w:spacing w:after="0" w:line="239"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09" w:lineRule="exact"/>
        <w:rPr>
          <w:rFonts w:ascii="Arial" w:cs="Arial" w:eastAsia="Arial" w:hAnsi="Arial"/>
          <w:sz w:val="18"/>
          <w:szCs w:val="18"/>
          <w:color w:val="auto"/>
        </w:rPr>
      </w:pPr>
    </w:p>
    <w:p>
      <w:pPr>
        <w:ind w:left="920" w:right="740" w:hanging="218"/>
        <w:spacing w:after="0" w:line="239"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13" w:lineRule="exact"/>
        <w:rPr>
          <w:rFonts w:ascii="Arial" w:cs="Arial" w:eastAsia="Arial" w:hAnsi="Arial"/>
          <w:sz w:val="18"/>
          <w:szCs w:val="18"/>
          <w:color w:val="auto"/>
        </w:rPr>
      </w:pPr>
    </w:p>
    <w:p>
      <w:pPr>
        <w:jc w:val="both"/>
        <w:ind w:left="920" w:hanging="218"/>
        <w:spacing w:after="0" w:line="237"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08" w:lineRule="exact"/>
        <w:rPr>
          <w:rFonts w:ascii="Arial" w:cs="Arial" w:eastAsia="Arial" w:hAnsi="Arial"/>
          <w:sz w:val="18"/>
          <w:szCs w:val="18"/>
          <w:color w:val="auto"/>
        </w:rPr>
      </w:pPr>
    </w:p>
    <w:p>
      <w:pPr>
        <w:ind w:left="920" w:right="760" w:hanging="218"/>
        <w:spacing w:after="0" w:line="239"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203" w:lineRule="exact"/>
        <w:rPr>
          <w:sz w:val="20"/>
          <w:szCs w:val="20"/>
          <w:color w:val="auto"/>
        </w:rPr>
      </w:pPr>
    </w:p>
    <w:p>
      <w:pPr>
        <w:ind w:left="160" w:right="420" w:firstLine="546"/>
        <w:spacing w:after="0" w:line="239"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The Nasdaq Global Select Market.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compensation committee consists of George Hornig, Deborah Bial, Craig Driscoll and Fabio Rosati. The chair of our</w:t>
      </w:r>
    </w:p>
    <w:p>
      <w:pPr>
        <w:ind w:left="160" w:right="80"/>
        <w:spacing w:after="0" w:line="239" w:lineRule="auto"/>
        <w:rPr>
          <w:sz w:val="20"/>
          <w:szCs w:val="20"/>
          <w:color w:val="auto"/>
        </w:rPr>
      </w:pPr>
      <w:r>
        <w:rPr>
          <w:rFonts w:ascii="Arial" w:cs="Arial" w:eastAsia="Arial" w:hAnsi="Arial"/>
          <w:sz w:val="18"/>
          <w:szCs w:val="18"/>
          <w:color w:val="auto"/>
        </w:rPr>
        <w:t>compensation committee is . Our board of directors has determined that each of and is independent under Nasdaq listing standards, a “non-employee director” as defined in Rule 16b-3 promulgated under the Exchange Act.</w:t>
      </w:r>
    </w:p>
    <w:p>
      <w:pPr>
        <w:spacing w:after="0" w:line="203" w:lineRule="exact"/>
        <w:rPr>
          <w:sz w:val="20"/>
          <w:szCs w:val="20"/>
          <w:color w:val="auto"/>
        </w:rPr>
      </w:pPr>
    </w:p>
    <w:p>
      <w:pPr>
        <w:jc w:val="both"/>
        <w:ind w:left="160" w:right="120" w:firstLine="546"/>
        <w:spacing w:after="0" w:line="237"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09" w:lineRule="exact"/>
        <w:rPr>
          <w:sz w:val="20"/>
          <w:szCs w:val="20"/>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other executive officers and senior management;</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evaluating and recommending to our board of directors succession plans for our executive officers;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paid to our directors;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13" w:lineRule="exact"/>
        <w:rPr>
          <w:rFonts w:ascii="Arial" w:cs="Arial" w:eastAsia="Arial" w:hAnsi="Arial"/>
          <w:sz w:val="18"/>
          <w:szCs w:val="18"/>
          <w:color w:val="auto"/>
        </w:rPr>
      </w:pPr>
    </w:p>
    <w:p>
      <w:pPr>
        <w:ind w:left="920" w:right="20" w:hanging="218"/>
        <w:spacing w:after="0" w:line="237"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08" w:lineRule="exact"/>
        <w:rPr>
          <w:rFonts w:ascii="Arial" w:cs="Arial" w:eastAsia="Arial" w:hAnsi="Arial"/>
          <w:sz w:val="18"/>
          <w:szCs w:val="18"/>
          <w:color w:val="auto"/>
        </w:rPr>
      </w:pPr>
    </w:p>
    <w:p>
      <w:pPr>
        <w:ind w:left="920" w:right="680" w:hanging="218"/>
        <w:spacing w:after="0" w:line="239"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203" w:lineRule="exact"/>
        <w:rPr>
          <w:sz w:val="20"/>
          <w:szCs w:val="20"/>
          <w:color w:val="auto"/>
        </w:rPr>
      </w:pPr>
    </w:p>
    <w:p>
      <w:pPr>
        <w:ind w:left="160" w:right="680" w:firstLine="546"/>
        <w:spacing w:after="0" w:line="239"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The Nasdaq Global Select Market.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6" w:right="4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27"/>
        </w:trPr>
        <w:tc>
          <w:tcPr>
            <w:tcW w:w="6480" w:type="dxa"/>
            <w:vAlign w:val="bottom"/>
            <w:gridSpan w:val="3"/>
          </w:tcPr>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tc>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5"/>
        </w:trPr>
        <w:tc>
          <w:tcPr>
            <w:tcW w:w="6480" w:type="dxa"/>
            <w:vAlign w:val="bottom"/>
            <w:gridSpan w:val="3"/>
          </w:tcPr>
          <w:p>
            <w:pPr>
              <w:ind w:left="720"/>
              <w:spacing w:after="0"/>
              <w:rPr>
                <w:sz w:val="20"/>
                <w:szCs w:val="20"/>
                <w:color w:val="auto"/>
              </w:rPr>
            </w:pPr>
            <w:r>
              <w:rPr>
                <w:rFonts w:ascii="Arial" w:cs="Arial" w:eastAsia="Arial" w:hAnsi="Arial"/>
                <w:sz w:val="18"/>
                <w:szCs w:val="18"/>
                <w:color w:val="auto"/>
              </w:rPr>
              <w:t>Our nominating and corporate governance committee will consist of</w:t>
            </w:r>
          </w:p>
        </w:tc>
        <w:tc>
          <w:tcPr>
            <w:tcW w:w="1160" w:type="dxa"/>
            <w:vAlign w:val="bottom"/>
          </w:tcPr>
          <w:p>
            <w:pPr>
              <w:ind w:left="440"/>
              <w:spacing w:after="0"/>
              <w:rPr>
                <w:sz w:val="20"/>
                <w:szCs w:val="20"/>
                <w:color w:val="auto"/>
              </w:rPr>
            </w:pPr>
            <w:r>
              <w:rPr>
                <w:rFonts w:ascii="Arial" w:cs="Arial" w:eastAsia="Arial" w:hAnsi="Arial"/>
                <w:sz w:val="18"/>
                <w:szCs w:val="18"/>
                <w:color w:val="auto"/>
              </w:rPr>
              <w:t>and</w:t>
            </w:r>
          </w:p>
        </w:tc>
        <w:tc>
          <w:tcPr>
            <w:tcW w:w="3040" w:type="dxa"/>
            <w:vAlign w:val="bottom"/>
          </w:tcPr>
          <w:p>
            <w:pPr>
              <w:ind w:left="420"/>
              <w:spacing w:after="0"/>
              <w:rPr>
                <w:sz w:val="20"/>
                <w:szCs w:val="20"/>
                <w:color w:val="auto"/>
              </w:rPr>
            </w:pPr>
            <w:r>
              <w:rPr>
                <w:rFonts w:ascii="Arial" w:cs="Arial" w:eastAsia="Arial" w:hAnsi="Arial"/>
                <w:sz w:val="18"/>
                <w:szCs w:val="18"/>
                <w:color w:val="auto"/>
                <w:w w:val="98"/>
              </w:rPr>
              <w:t>. The chair of our nominating and</w:t>
            </w:r>
          </w:p>
        </w:tc>
      </w:tr>
      <w:tr>
        <w:trPr>
          <w:trHeight w:val="201"/>
        </w:trPr>
        <w:tc>
          <w:tcPr>
            <w:tcW w:w="37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corporate governance committee will be</w:t>
            </w:r>
          </w:p>
        </w:tc>
        <w:tc>
          <w:tcPr>
            <w:tcW w:w="694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 Our board of directors has determined that each member of the nominating and</w:t>
            </w:r>
          </w:p>
        </w:tc>
      </w:tr>
    </w:tbl>
    <w:p>
      <w:pPr>
        <w:ind w:left="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corporate governance committee is independent under the Nasdaq listing standards.</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114" w:lineRule="exact"/>
        <w:rPr>
          <w:sz w:val="20"/>
          <w:szCs w:val="20"/>
          <w:color w:val="auto"/>
        </w:rPr>
      </w:pPr>
    </w:p>
    <w:p>
      <w:pPr>
        <w:ind w:left="920" w:right="1140" w:hanging="218"/>
        <w:spacing w:after="0" w:line="239"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09" w:lineRule="exact"/>
        <w:rPr>
          <w:rFonts w:ascii="Arial" w:cs="Arial" w:eastAsia="Arial" w:hAnsi="Arial"/>
          <w:sz w:val="18"/>
          <w:szCs w:val="18"/>
          <w:color w:val="auto"/>
        </w:rPr>
      </w:pPr>
    </w:p>
    <w:p>
      <w:pPr>
        <w:ind w:left="920" w:right="800" w:hanging="218"/>
        <w:spacing w:after="0" w:line="239"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25" w:lineRule="exact"/>
        <w:rPr>
          <w:rFonts w:ascii="Arial" w:cs="Arial" w:eastAsia="Arial" w:hAnsi="Arial"/>
          <w:sz w:val="17"/>
          <w:szCs w:val="17"/>
          <w:color w:val="auto"/>
        </w:rPr>
      </w:pPr>
    </w:p>
    <w:p>
      <w:pPr>
        <w:ind w:left="920" w:hanging="218"/>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08"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listing standards of The Nasdaq Global Select Market.</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Code of Conduct</w:t>
      </w:r>
    </w:p>
    <w:p>
      <w:pPr>
        <w:spacing w:after="0" w:line="230"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www.xometry.com.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0" w:lineRule="exact"/>
        <w:rPr>
          <w:sz w:val="20"/>
          <w:szCs w:val="20"/>
          <w:color w:val="auto"/>
        </w:rPr>
      </w:pPr>
    </w:p>
    <w:p>
      <w:pPr>
        <w:ind w:left="160" w:firstLine="546"/>
        <w:spacing w:after="0" w:line="257" w:lineRule="auto"/>
        <w:rPr>
          <w:sz w:val="20"/>
          <w:szCs w:val="20"/>
          <w:color w:val="auto"/>
        </w:rPr>
      </w:pPr>
      <w:r>
        <w:rPr>
          <w:rFonts w:ascii="Arial" w:cs="Arial" w:eastAsia="Arial" w:hAnsi="Arial"/>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41"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Non-Employee Director Compensation</w:t>
      </w:r>
    </w:p>
    <w:p>
      <w:pPr>
        <w:spacing w:after="0" w:line="230" w:lineRule="exact"/>
        <w:rPr>
          <w:sz w:val="20"/>
          <w:szCs w:val="20"/>
          <w:color w:val="auto"/>
        </w:rPr>
      </w:pPr>
    </w:p>
    <w:p>
      <w:pPr>
        <w:ind w:left="160" w:right="400" w:firstLine="546"/>
        <w:spacing w:after="0" w:line="239" w:lineRule="auto"/>
        <w:rPr>
          <w:sz w:val="20"/>
          <w:szCs w:val="20"/>
          <w:color w:val="auto"/>
        </w:rPr>
      </w:pPr>
      <w:r>
        <w:rPr>
          <w:rFonts w:ascii="Arial" w:cs="Arial" w:eastAsia="Arial" w:hAnsi="Arial"/>
          <w:sz w:val="18"/>
          <w:szCs w:val="18"/>
          <w:color w:val="auto"/>
        </w:rPr>
        <w:t>The following table sets forth information regarding compensation earned by or paid to our non-employee directors for the year ended December 31, 2020:</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820" w:type="dxa"/>
            <w:vAlign w:val="bottom"/>
            <w:vMerge w:val="restart"/>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12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0" w:type="dxa"/>
            <w:vAlign w:val="bottom"/>
            <w:tcBorders>
              <w:bottom w:val="single" w:sz="8" w:color="auto"/>
            </w:tcBorders>
            <w:vMerge w:val="continue"/>
          </w:tcPr>
          <w:p>
            <w:pPr>
              <w:spacing w:after="0"/>
              <w:rPr>
                <w:sz w:val="15"/>
                <w:szCs w:val="15"/>
                <w:color w:val="auto"/>
              </w:rPr>
            </w:pPr>
          </w:p>
        </w:tc>
        <w:tc>
          <w:tcPr>
            <w:tcW w:w="6820" w:type="dxa"/>
            <w:vAlign w:val="bottom"/>
            <w:vMerge w:val="continue"/>
          </w:tcPr>
          <w:p>
            <w:pPr>
              <w:spacing w:after="0"/>
              <w:rPr>
                <w:sz w:val="15"/>
                <w:szCs w:val="15"/>
                <w:color w:val="auto"/>
              </w:rPr>
            </w:pPr>
          </w:p>
        </w:tc>
        <w:tc>
          <w:tcPr>
            <w:tcW w:w="1740" w:type="dxa"/>
            <w:vAlign w:val="bottom"/>
            <w:gridSpan w:val="3"/>
          </w:tcPr>
          <w:p>
            <w:pPr>
              <w:ind w:left="80"/>
              <w:spacing w:after="0"/>
              <w:rPr>
                <w:sz w:val="20"/>
                <w:szCs w:val="20"/>
                <w:color w:val="auto"/>
              </w:rPr>
            </w:pPr>
            <w:r>
              <w:rPr>
                <w:rFonts w:ascii="Arial" w:cs="Arial" w:eastAsia="Arial" w:hAnsi="Arial"/>
                <w:sz w:val="14"/>
                <w:szCs w:val="14"/>
                <w:b w:val="1"/>
                <w:bCs w:val="1"/>
                <w:color w:val="auto"/>
              </w:rPr>
              <w:t>Paid in Cash</w:t>
            </w:r>
          </w:p>
        </w:tc>
        <w:tc>
          <w:tcPr>
            <w:tcW w:w="1520" w:type="dxa"/>
            <w:vAlign w:val="bottom"/>
            <w:gridSpan w:val="3"/>
          </w:tcPr>
          <w:p>
            <w:pPr>
              <w:spacing w:after="0" w:line="164"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(1)(2)</w:t>
            </w: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2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George Hornig</w:t>
            </w:r>
          </w:p>
        </w:tc>
        <w:tc>
          <w:tcPr>
            <w:tcW w:w="42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20"/>
              <w:spacing w:after="0" w:line="188"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20"/>
              <w:spacing w:after="0" w:line="188"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13"/>
              <w:spacing w:after="0" w:line="188" w:lineRule="exact"/>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20" w:type="dxa"/>
            <w:vAlign w:val="bottom"/>
            <w:gridSpan w:val="2"/>
          </w:tcPr>
          <w:p>
            <w:pPr>
              <w:spacing w:after="0" w:line="201" w:lineRule="exact"/>
              <w:rPr>
                <w:sz w:val="20"/>
                <w:szCs w:val="20"/>
                <w:color w:val="auto"/>
              </w:rPr>
            </w:pPr>
            <w:r>
              <w:rPr>
                <w:rFonts w:ascii="Arial" w:cs="Arial" w:eastAsia="Arial" w:hAnsi="Arial"/>
                <w:sz w:val="18"/>
                <w:szCs w:val="18"/>
                <w:color w:val="auto"/>
              </w:rPr>
              <w:t>Emily Rollins</w:t>
            </w:r>
            <w:r>
              <w:rPr>
                <w:rFonts w:ascii="Arial" w:cs="Arial" w:eastAsia="Arial" w:hAnsi="Arial"/>
                <w:sz w:val="15"/>
                <w:szCs w:val="15"/>
                <w:color w:val="auto"/>
              </w:rPr>
              <w:t>(3)</w:t>
            </w:r>
          </w:p>
        </w:tc>
        <w:tc>
          <w:tcPr>
            <w:tcW w:w="420" w:type="dxa"/>
            <w:vAlign w:val="bottom"/>
          </w:tcPr>
          <w:p>
            <w:pPr>
              <w:spacing w:after="0"/>
              <w:rPr>
                <w:sz w:val="17"/>
                <w:szCs w:val="17"/>
                <w:color w:val="auto"/>
              </w:rPr>
            </w:pPr>
          </w:p>
        </w:tc>
        <w:tc>
          <w:tcPr>
            <w:tcW w:w="13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7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Deborah Bial</w:t>
            </w:r>
          </w:p>
        </w:tc>
        <w:tc>
          <w:tcPr>
            <w:tcW w:w="4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312,200</w:t>
            </w:r>
          </w:p>
        </w:tc>
        <w:tc>
          <w:tcPr>
            <w:tcW w:w="4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7220" w:type="dxa"/>
            <w:vAlign w:val="bottom"/>
            <w:gridSpan w:val="2"/>
          </w:tcPr>
          <w:p>
            <w:pPr>
              <w:spacing w:after="0" w:line="201" w:lineRule="exact"/>
              <w:rPr>
                <w:sz w:val="20"/>
                <w:szCs w:val="20"/>
                <w:color w:val="auto"/>
              </w:rPr>
            </w:pPr>
            <w:r>
              <w:rPr>
                <w:rFonts w:ascii="Arial" w:cs="Arial" w:eastAsia="Arial" w:hAnsi="Arial"/>
                <w:sz w:val="18"/>
                <w:szCs w:val="18"/>
                <w:color w:val="auto"/>
              </w:rPr>
              <w:t>Craig Driscoll</w:t>
            </w:r>
          </w:p>
        </w:tc>
        <w:tc>
          <w:tcPr>
            <w:tcW w:w="420" w:type="dxa"/>
            <w:vAlign w:val="bottom"/>
          </w:tcPr>
          <w:p>
            <w:pPr>
              <w:spacing w:after="0"/>
              <w:rPr>
                <w:sz w:val="17"/>
                <w:szCs w:val="17"/>
                <w:color w:val="auto"/>
              </w:rPr>
            </w:pPr>
          </w:p>
        </w:tc>
        <w:tc>
          <w:tcPr>
            <w:tcW w:w="13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7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Fabio Rosati</w:t>
            </w:r>
          </w:p>
        </w:tc>
        <w:tc>
          <w:tcPr>
            <w:tcW w:w="4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220" w:type="dxa"/>
            <w:vAlign w:val="bottom"/>
            <w:gridSpan w:val="2"/>
          </w:tcPr>
          <w:p>
            <w:pPr>
              <w:spacing w:after="0"/>
              <w:rPr>
                <w:sz w:val="20"/>
                <w:szCs w:val="20"/>
                <w:color w:val="auto"/>
              </w:rPr>
            </w:pPr>
            <w:r>
              <w:rPr>
                <w:rFonts w:ascii="Arial" w:cs="Arial" w:eastAsia="Arial" w:hAnsi="Arial"/>
                <w:sz w:val="18"/>
                <w:szCs w:val="18"/>
                <w:color w:val="auto"/>
              </w:rPr>
              <w:t>Katharine Weymouth</w:t>
            </w:r>
          </w:p>
        </w:tc>
        <w:tc>
          <w:tcPr>
            <w:tcW w:w="4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312,200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9" w:lineRule="exact"/>
        <w:rPr>
          <w:sz w:val="20"/>
          <w:szCs w:val="20"/>
          <w:color w:val="auto"/>
        </w:rPr>
      </w:pPr>
    </w:p>
    <w:p>
      <w:pPr>
        <w:ind w:left="600" w:right="20" w:hanging="433"/>
        <w:spacing w:after="0" w:line="239"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reported represent the aggregate grant date fair value of stock options granted to our directors during 2020 under our 2016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ind w:left="600" w:right="140" w:hanging="433"/>
        <w:spacing w:after="0" w:line="254"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following table provides information regarding the number of shares of our Class A common stock underlying options granted to our non-employee directors that were outstanding as of December 31, 2020.</w:t>
      </w:r>
    </w:p>
    <w:p>
      <w:pPr>
        <w:spacing w:after="0" w:line="8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6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640" w:type="dxa"/>
            <w:vAlign w:val="bottom"/>
            <w:vMerge w:val="restart"/>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400" w:type="dxa"/>
            <w:vAlign w:val="bottom"/>
            <w:tcBorders>
              <w:bottom w:val="single" w:sz="8" w:color="auto"/>
            </w:tcBorders>
            <w:vMerge w:val="continue"/>
          </w:tcPr>
          <w:p>
            <w:pPr>
              <w:spacing w:after="0"/>
              <w:rPr>
                <w:sz w:val="13"/>
                <w:szCs w:val="13"/>
                <w:color w:val="auto"/>
              </w:rPr>
            </w:pPr>
          </w:p>
        </w:tc>
        <w:tc>
          <w:tcPr>
            <w:tcW w:w="6640" w:type="dxa"/>
            <w:vAlign w:val="bottom"/>
            <w:vMerge w:val="continue"/>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70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George Hornig</w:t>
            </w: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40" w:type="dxa"/>
            <w:vAlign w:val="bottom"/>
            <w:gridSpan w:val="2"/>
            <w:vMerge w:val="continue"/>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gridSpan w:val="2"/>
          </w:tcPr>
          <w:p>
            <w:pPr>
              <w:spacing w:after="0"/>
              <w:rPr>
                <w:sz w:val="20"/>
                <w:szCs w:val="20"/>
                <w:color w:val="auto"/>
              </w:rPr>
            </w:pPr>
            <w:r>
              <w:rPr>
                <w:rFonts w:ascii="Arial" w:cs="Arial" w:eastAsia="Arial" w:hAnsi="Arial"/>
                <w:sz w:val="14"/>
                <w:szCs w:val="14"/>
                <w:color w:val="auto"/>
              </w:rPr>
              <w:t>Emily Rollins</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Deborah Bial</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60"/>
        </w:trPr>
        <w:tc>
          <w:tcPr>
            <w:tcW w:w="7040" w:type="dxa"/>
            <w:vAlign w:val="bottom"/>
            <w:gridSpan w:val="2"/>
          </w:tcPr>
          <w:p>
            <w:pPr>
              <w:spacing w:after="0"/>
              <w:rPr>
                <w:sz w:val="20"/>
                <w:szCs w:val="20"/>
                <w:color w:val="auto"/>
              </w:rPr>
            </w:pPr>
            <w:r>
              <w:rPr>
                <w:rFonts w:ascii="Arial" w:cs="Arial" w:eastAsia="Arial" w:hAnsi="Arial"/>
                <w:sz w:val="14"/>
                <w:szCs w:val="14"/>
                <w:color w:val="auto"/>
              </w:rPr>
              <w:t>Craig Driscoll</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Fabio Rosati</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26,628</w:t>
            </w:r>
          </w:p>
        </w:tc>
        <w:tc>
          <w:tcPr>
            <w:tcW w:w="0" w:type="dxa"/>
            <w:vAlign w:val="bottom"/>
          </w:tcPr>
          <w:p>
            <w:pPr>
              <w:spacing w:after="0"/>
              <w:rPr>
                <w:sz w:val="1"/>
                <w:szCs w:val="1"/>
                <w:color w:val="auto"/>
              </w:rPr>
            </w:pPr>
          </w:p>
        </w:tc>
      </w:tr>
      <w:tr>
        <w:trPr>
          <w:trHeight w:val="176"/>
        </w:trPr>
        <w:tc>
          <w:tcPr>
            <w:tcW w:w="7040" w:type="dxa"/>
            <w:vAlign w:val="bottom"/>
            <w:gridSpan w:val="2"/>
          </w:tcPr>
          <w:p>
            <w:pPr>
              <w:spacing w:after="0"/>
              <w:rPr>
                <w:sz w:val="20"/>
                <w:szCs w:val="20"/>
                <w:color w:val="auto"/>
              </w:rPr>
            </w:pPr>
            <w:r>
              <w:rPr>
                <w:rFonts w:ascii="Arial" w:cs="Arial" w:eastAsia="Arial" w:hAnsi="Arial"/>
                <w:sz w:val="14"/>
                <w:szCs w:val="14"/>
                <w:color w:val="auto"/>
              </w:rPr>
              <w:t>Katharine Weymouth</w:t>
            </w:r>
          </w:p>
        </w:tc>
        <w:tc>
          <w:tcPr>
            <w:tcW w:w="1240" w:type="dxa"/>
            <w:vAlign w:val="bottom"/>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00" w:hanging="433"/>
        <w:spacing w:after="0"/>
        <w:tabs>
          <w:tab w:leader="none" w:pos="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Ms. Rollins joined our board in March 2021.</w:t>
      </w:r>
    </w:p>
    <w:p>
      <w:pPr>
        <w:spacing w:after="0" w:line="208" w:lineRule="exact"/>
        <w:rPr>
          <w:sz w:val="20"/>
          <w:szCs w:val="20"/>
          <w:color w:val="auto"/>
        </w:rPr>
      </w:pPr>
    </w:p>
    <w:p>
      <w:pPr>
        <w:jc w:val="both"/>
        <w:ind w:left="160" w:right="100" w:firstLine="546"/>
        <w:spacing w:after="0" w:line="237" w:lineRule="auto"/>
        <w:rPr>
          <w:sz w:val="20"/>
          <w:szCs w:val="20"/>
          <w:color w:val="auto"/>
        </w:rPr>
      </w:pPr>
      <w:r>
        <w:rPr>
          <w:rFonts w:ascii="Arial" w:cs="Arial" w:eastAsia="Arial" w:hAnsi="Arial"/>
          <w:sz w:val="18"/>
          <w:szCs w:val="18"/>
          <w:color w:val="auto"/>
        </w:rPr>
        <w:t>Each of Mr. Altschuler, our co-founder and Chief Executive Officer, and Mr. Zuriff, our co-founder and Chief Strategy Officer, is also a director but does not receive any additional compensation for his service as a director. See the section titled “Executive Compensation” for more information regarding the compensation earned by these executive officers.</w:t>
      </w:r>
    </w:p>
    <w:p>
      <w:pPr>
        <w:spacing w:after="0" w:line="203"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We intend to adopt a non-employee director compensation policy following the completion of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30"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Our named executive officers, consisting of our principal executive officer and the next two most highly compensated executive officers, as of December 31, 2020, were:</w:t>
      </w:r>
    </w:p>
    <w:p>
      <w:pPr>
        <w:spacing w:after="0" w:line="109" w:lineRule="exact"/>
        <w:rPr>
          <w:sz w:val="20"/>
          <w:szCs w:val="20"/>
          <w:color w:val="auto"/>
        </w:rPr>
      </w:pPr>
    </w:p>
    <w:p>
      <w:pPr>
        <w:ind w:left="920" w:hanging="218"/>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Randolph Altschuler, our Co-Founder and Chief Executive Officer;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James Rallo, our Chief Financial Officer; and</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Peter Goguen, our Chief Operating Officer.</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2020 Summary Compensation Table</w:t>
      </w:r>
    </w:p>
    <w:p>
      <w:pPr>
        <w:spacing w:after="0" w:line="230"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year ended December 31, 2020.</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Non-Equity</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Incentive Plan</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6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Name and Principal Position</w:t>
            </w:r>
          </w:p>
        </w:tc>
        <w:tc>
          <w:tcPr>
            <w:tcW w:w="96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Salary</w:t>
            </w:r>
          </w:p>
        </w:tc>
        <w:tc>
          <w:tcPr>
            <w:tcW w:w="1140" w:type="dxa"/>
            <w:vAlign w:val="bottom"/>
            <w:gridSpan w:val="2"/>
          </w:tcPr>
          <w:p>
            <w:pPr>
              <w:jc w:val="center"/>
              <w:ind w:right="364"/>
              <w:spacing w:after="0" w:line="157" w:lineRule="exact"/>
              <w:rPr>
                <w:sz w:val="20"/>
                <w:szCs w:val="20"/>
                <w:color w:val="auto"/>
              </w:rPr>
            </w:pPr>
            <w:r>
              <w:rPr>
                <w:rFonts w:ascii="Arial" w:cs="Arial" w:eastAsia="Arial" w:hAnsi="Arial"/>
                <w:sz w:val="14"/>
                <w:szCs w:val="14"/>
                <w:b w:val="1"/>
                <w:bCs w:val="1"/>
                <w:color w:val="auto"/>
              </w:rPr>
              <w:t>Bonus</w:t>
            </w: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Awards</w:t>
            </w:r>
          </w:p>
        </w:tc>
        <w:tc>
          <w:tcPr>
            <w:tcW w:w="144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960" w:type="dxa"/>
            <w:vAlign w:val="bottom"/>
            <w:gridSpan w:val="2"/>
            <w:vMerge w:val="continue"/>
          </w:tcPr>
          <w:p>
            <w:pPr>
              <w:spacing w:after="0"/>
              <w:rPr>
                <w:sz w:val="15"/>
                <w:szCs w:val="15"/>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40" w:type="dxa"/>
            <w:vAlign w:val="bottom"/>
          </w:tcPr>
          <w:p>
            <w:pPr>
              <w:jc w:val="center"/>
              <w:spacing w:after="0" w:line="17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Randolph Altschuler</w:t>
            </w: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100,000</w:t>
            </w:r>
          </w:p>
        </w:tc>
        <w:tc>
          <w:tcPr>
            <w:tcW w:w="440" w:type="dxa"/>
            <w:vAlign w:val="bottom"/>
            <w:tcBorders>
              <w:top w:val="single" w:sz="8" w:color="CCEEFF"/>
            </w:tcBorders>
            <w:shd w:val="clear" w:color="auto" w:fill="CCEEFF"/>
          </w:tcPr>
          <w:p>
            <w:pPr>
              <w:jc w:val="right"/>
              <w:ind w:right="184"/>
              <w:spacing w:after="0" w:line="161" w:lineRule="exact"/>
              <w:rPr>
                <w:sz w:val="20"/>
                <w:szCs w:val="20"/>
                <w:color w:val="auto"/>
              </w:rPr>
            </w:pPr>
            <w:r>
              <w:rPr>
                <w:rFonts w:ascii="Arial" w:cs="Arial" w:eastAsia="Arial" w:hAnsi="Arial"/>
                <w:sz w:val="15"/>
                <w:szCs w:val="15"/>
                <w:color w:val="auto"/>
                <w:w w:val="87"/>
              </w:rPr>
              <w:t>(3)</w:t>
            </w:r>
          </w:p>
        </w:tc>
        <w:tc>
          <w:tcPr>
            <w:tcW w:w="840" w:type="dxa"/>
            <w:vAlign w:val="bottom"/>
            <w:tcBorders>
              <w:top w:val="single" w:sz="8" w:color="auto"/>
            </w:tcBorders>
            <w:shd w:val="clear" w:color="auto" w:fill="CCEEFF"/>
          </w:tcPr>
          <w:p>
            <w:pPr>
              <w:ind w:left="580"/>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center"/>
              <w:ind w:left="561"/>
              <w:spacing w:after="0" w:line="17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ind w:left="720"/>
              <w:spacing w:after="0" w:line="17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225,000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line="182" w:lineRule="exact"/>
              <w:rPr>
                <w:sz w:val="20"/>
                <w:szCs w:val="20"/>
                <w:color w:val="auto"/>
              </w:rPr>
            </w:pPr>
            <w:r>
              <w:rPr>
                <w:rFonts w:ascii="Arial" w:cs="Arial" w:eastAsia="Arial" w:hAnsi="Arial"/>
                <w:sz w:val="18"/>
                <w:szCs w:val="18"/>
                <w:color w:val="auto"/>
              </w:rPr>
              <w:t>James Rallo</w:t>
            </w:r>
            <w:r>
              <w:rPr>
                <w:rFonts w:ascii="Arial" w:cs="Arial" w:eastAsia="Arial" w:hAnsi="Arial"/>
                <w:sz w:val="15"/>
                <w:szCs w:val="15"/>
                <w:color w:val="auto"/>
              </w:rPr>
              <w:t>(2)</w:t>
            </w:r>
          </w:p>
        </w:tc>
        <w:tc>
          <w:tcPr>
            <w:tcW w:w="9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223,125</w:t>
            </w:r>
          </w:p>
        </w:tc>
        <w:tc>
          <w:tcPr>
            <w:tcW w:w="1140" w:type="dxa"/>
            <w:vAlign w:val="bottom"/>
            <w:gridSpan w:val="2"/>
          </w:tcPr>
          <w:p>
            <w:pPr>
              <w:ind w:left="42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1,674,700</w:t>
            </w:r>
          </w:p>
        </w:tc>
        <w:tc>
          <w:tcPr>
            <w:tcW w:w="1440" w:type="dxa"/>
            <w:vAlign w:val="bottom"/>
            <w:gridSpan w:val="2"/>
          </w:tcPr>
          <w:p>
            <w:pPr>
              <w:jc w:val="center"/>
              <w:ind w:left="141"/>
              <w:spacing w:after="0" w:line="182" w:lineRule="exact"/>
              <w:rPr>
                <w:sz w:val="20"/>
                <w:szCs w:val="20"/>
                <w:color w:val="auto"/>
              </w:rPr>
            </w:pPr>
            <w:r>
              <w:rPr>
                <w:rFonts w:ascii="Arial" w:cs="Arial" w:eastAsia="Arial" w:hAnsi="Arial"/>
                <w:sz w:val="18"/>
                <w:szCs w:val="18"/>
                <w:color w:val="auto"/>
              </w:rPr>
              <w:t>74,696</w:t>
            </w:r>
            <w:r>
              <w:rPr>
                <w:rFonts w:ascii="Arial" w:cs="Arial" w:eastAsia="Arial" w:hAnsi="Arial"/>
                <w:sz w:val="15"/>
                <w:szCs w:val="15"/>
                <w:color w:val="auto"/>
              </w:rPr>
              <w:t>(4)</w:t>
            </w:r>
          </w:p>
        </w:tc>
        <w:tc>
          <w:tcPr>
            <w:tcW w:w="1440" w:type="dxa"/>
            <w:vAlign w:val="bottom"/>
            <w:gridSpan w:val="2"/>
          </w:tcPr>
          <w:p>
            <w:pPr>
              <w:ind w:left="72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1,972,521</w:t>
            </w:r>
          </w:p>
        </w:tc>
        <w:tc>
          <w:tcPr>
            <w:tcW w:w="0" w:type="dxa"/>
            <w:vAlign w:val="bottom"/>
          </w:tcPr>
          <w:p>
            <w:pPr>
              <w:spacing w:after="0"/>
              <w:rPr>
                <w:sz w:val="1"/>
                <w:szCs w:val="1"/>
                <w:color w:val="auto"/>
              </w:rPr>
            </w:pPr>
          </w:p>
        </w:tc>
      </w:tr>
      <w:tr>
        <w:trPr>
          <w:trHeight w:val="231"/>
        </w:trPr>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9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Peter Goguen</w:t>
            </w:r>
          </w:p>
        </w:tc>
        <w:tc>
          <w:tcPr>
            <w:tcW w:w="96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8"/>
                <w:szCs w:val="18"/>
                <w:color w:val="auto"/>
              </w:rPr>
              <w:t>133,800</w:t>
            </w:r>
          </w:p>
        </w:tc>
        <w:tc>
          <w:tcPr>
            <w:tcW w:w="1140" w:type="dxa"/>
            <w:vAlign w:val="bottom"/>
            <w:gridSpan w:val="2"/>
            <w:shd w:val="clear" w:color="auto" w:fill="CCEEFF"/>
          </w:tcPr>
          <w:p>
            <w:pPr>
              <w:ind w:left="420"/>
              <w:spacing w:after="0" w:line="18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8"/>
                <w:szCs w:val="18"/>
                <w:color w:val="auto"/>
              </w:rPr>
              <w:t>182,500</w:t>
            </w:r>
          </w:p>
        </w:tc>
        <w:tc>
          <w:tcPr>
            <w:tcW w:w="1440" w:type="dxa"/>
            <w:vAlign w:val="bottom"/>
            <w:gridSpan w:val="2"/>
            <w:shd w:val="clear" w:color="auto" w:fill="CCEEFF"/>
          </w:tcPr>
          <w:p>
            <w:pPr>
              <w:jc w:val="center"/>
              <w:ind w:left="141"/>
              <w:spacing w:after="0" w:line="183"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299,769</w:t>
            </w:r>
            <w:r>
              <w:rPr>
                <w:rFonts w:ascii="Arial" w:cs="Arial" w:eastAsia="Arial" w:hAnsi="Arial"/>
                <w:sz w:val="15"/>
                <w:szCs w:val="15"/>
                <w:color w:val="auto"/>
              </w:rPr>
              <w:t>(5)</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616,069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2" w:lineRule="exact"/>
        <w:rPr>
          <w:sz w:val="20"/>
          <w:szCs w:val="20"/>
          <w:color w:val="auto"/>
        </w:rPr>
      </w:pPr>
    </w:p>
    <w:p>
      <w:pPr>
        <w:ind w:left="600" w:right="180" w:hanging="433"/>
        <w:spacing w:after="0" w:line="239"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financial statements included in this prospectus.</w:t>
      </w:r>
    </w:p>
    <w:p>
      <w:pPr>
        <w:ind w:left="600" w:hanging="433"/>
        <w:spacing w:after="0"/>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Rallo joined the Company in April 2020.</w:t>
      </w:r>
    </w:p>
    <w:p>
      <w:pPr>
        <w:ind w:left="600" w:hanging="433"/>
        <w:spacing w:after="0"/>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 discretionary bonus earned by Mr. Altschuler in 2020 and paid in March 2021.</w:t>
      </w:r>
    </w:p>
    <w:p>
      <w:pPr>
        <w:ind w:left="600" w:right="100" w:hanging="433"/>
        <w:spacing w:after="0" w:line="239"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Rallo is eligible to receive an annual performance bonus with a target amount of 33% of his annual base salary. However, for his first year of employment with the Company, Mr. Rallo was entitled to a guaranteed target bonus, prorated for the number of days he was employed by the Company, subject to his continued employment through December 31, 2020.</w:t>
      </w:r>
    </w:p>
    <w:p>
      <w:pPr>
        <w:ind w:left="600" w:right="740" w:hanging="433"/>
        <w:spacing w:after="0" w:line="254"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amounts received by Mr. Goguen pursuant to a consulting agreement. For more information, please see “Certain Relationships and Related Party Transactions.”</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23" w:lineRule="exact"/>
        <w:rPr>
          <w:sz w:val="20"/>
          <w:szCs w:val="20"/>
          <w:color w:val="auto"/>
        </w:rPr>
      </w:pPr>
    </w:p>
    <w:p>
      <w:pPr>
        <w:jc w:val="both"/>
        <w:ind w:left="160" w:right="260" w:firstLine="546"/>
        <w:spacing w:after="0" w:line="237" w:lineRule="auto"/>
        <w:rPr>
          <w:sz w:val="20"/>
          <w:szCs w:val="20"/>
          <w:color w:val="auto"/>
        </w:rPr>
      </w:pPr>
      <w:r>
        <w:rPr>
          <w:rFonts w:ascii="Arial" w:cs="Arial" w:eastAsia="Arial" w:hAnsi="Arial"/>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The 2020 base salaries for our named executive officers were as stated in the table above.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23"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Xometry’s board of directors and compensation committee will oversee the compensation policies, plans and programs and review and determine compensation to be paid to Xometry’s executive officers, directors and other senior management, as appropriate. The compensation policies followed by Xometry will be intended to provide for compensation that is sufficient to attract, motivate and retain executives and other individuals and to establish an appropriate relationship between executive compensation and the creation of stockholder value.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6"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3" w:lineRule="exact"/>
        <w:rPr>
          <w:sz w:val="20"/>
          <w:szCs w:val="20"/>
          <w:color w:val="auto"/>
        </w:rPr>
      </w:pPr>
    </w:p>
    <w:p>
      <w:pPr>
        <w:ind w:left="160" w:right="160" w:firstLine="546"/>
        <w:spacing w:after="0" w:line="236" w:lineRule="auto"/>
        <w:rPr>
          <w:sz w:val="20"/>
          <w:szCs w:val="20"/>
          <w:color w:val="auto"/>
        </w:rPr>
      </w:pPr>
      <w:r>
        <w:rPr>
          <w:rFonts w:ascii="Arial" w:cs="Arial" w:eastAsia="Arial" w:hAnsi="Arial"/>
          <w:sz w:val="18"/>
          <w:szCs w:val="18"/>
          <w:color w:val="auto"/>
        </w:rPr>
        <w:t>Equity-based compensation has been and will continue to be an important foundation in executive compensation packages, as Xometry believes it is important to maintain a strong link between executive incentives and the creation of stockholder value. Xometry believes that performance and equity-based compensation can be an important component of the total executive compensation package for maximizing stockholder value while, at the same time, attracting, motivating and retaining high-quality executives.</w:t>
      </w:r>
    </w:p>
    <w:p>
      <w:pPr>
        <w:spacing w:after="0" w:line="202"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Formal guidelines for the allocation of equity-based compensation to the named executive officers by Xometry have not yet been determined, but it is expected that equity-based compensation will be an important element of Xometry’s compensation arrangements for both executive officers and directors, and that the executive officers will also be eligible to participate in future equity or employee stock purchase plans.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23" w:lineRule="exact"/>
        <w:rPr>
          <w:sz w:val="20"/>
          <w:szCs w:val="20"/>
          <w:color w:val="auto"/>
        </w:rPr>
      </w:pPr>
    </w:p>
    <w:p>
      <w:pPr>
        <w:ind w:left="160" w:right="60" w:firstLine="546"/>
        <w:spacing w:after="0" w:line="234" w:lineRule="auto"/>
        <w:rPr>
          <w:sz w:val="20"/>
          <w:szCs w:val="20"/>
          <w:color w:val="auto"/>
        </w:rPr>
      </w:pPr>
      <w:r>
        <w:rPr>
          <w:rFonts w:ascii="Arial" w:cs="Arial" w:eastAsia="Arial" w:hAnsi="Arial"/>
          <w:sz w:val="18"/>
          <w:szCs w:val="18"/>
          <w:color w:val="auto"/>
        </w:rPr>
        <w:t>We have a bonus policy and a historical practice of setting target bonus amounts for our executive officers expressed as a percentage of base salary. Our practice has been to provide for annual bonus payments to our executive officers conditioned upon the achievement of certain performance goals established by our board of directors. We have historically established target bonus amounts which we felt was appropriate considering factors such as compensation opportunities that these executive officers were foregoing from their prior employers, cash bonuses provided to executive officers of our peer companies, the executive officer’s anticipated role criticality relative to others at our company, and the determination by our board of directors or committee thereof of the essential need to attract and retain these executive officers.</w:t>
      </w:r>
    </w:p>
    <w:p>
      <w:pPr>
        <w:spacing w:after="0" w:line="206"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For 2020, although Mr. Altschuler was not eligible to receive a target bonus based on the attainment of company performance goals set by the compensation committee, Mr. Altschuler earned a discretionary bonus of $100,000 which was paid in March 2021.</w:t>
      </w:r>
    </w:p>
    <w:p>
      <w:pPr>
        <w:spacing w:after="0" w:line="203"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color w:val="auto"/>
        </w:rPr>
        <w:t>For 2020, Mr. Rallo received a guaranteed target bonus of $74,696 which was based on his 33% annual performance target prorated for the number of days he was employed by the Company. Going forward, he is eligible to receive an annual performance bonus with a target amount of 33% of his annual base salary, based on the bonus plan formula used for our senior executives.</w:t>
      </w:r>
    </w:p>
    <w:p>
      <w:pPr>
        <w:spacing w:after="0" w:line="20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For 2020, Mr. Goguen was eligible to receive a target bonus of $100,140, or 30% of his base salary, based on the attainment of company performance goals set by the compensation committee. Mr. Goguen received an aggregate target bonus of $91,911 in 2020. Mr. Goguen’s bonus target decreased from 30% to 20% effective February 2021.</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Outstanding Equity Awards</w:t>
      </w:r>
    </w:p>
    <w:p>
      <w:pPr>
        <w:spacing w:after="0" w:line="230"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40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9"/>
              </w:rPr>
              <w:t>Option Awards</w:t>
            </w:r>
            <w:r>
              <w:rPr>
                <w:rFonts w:ascii="Arial" w:cs="Arial" w:eastAsia="Arial" w:hAnsi="Arial"/>
                <w:sz w:val="24"/>
                <w:szCs w:val="24"/>
                <w:b w:val="1"/>
                <w:bCs w:val="1"/>
                <w:color w:val="auto"/>
                <w:w w:val="99"/>
                <w:vertAlign w:val="superscript"/>
              </w:rPr>
              <w:t>(1)</w:t>
            </w:r>
          </w:p>
        </w:tc>
        <w:tc>
          <w:tcPr>
            <w:tcW w:w="4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rPr>
              <w:t>Number of</w:t>
            </w:r>
          </w:p>
        </w:tc>
        <w:tc>
          <w:tcPr>
            <w:tcW w:w="1620" w:type="dxa"/>
            <w:vAlign w:val="bottom"/>
            <w:gridSpan w:val="2"/>
          </w:tcPr>
          <w:p>
            <w:pPr>
              <w:jc w:val="center"/>
              <w:ind w:right="584"/>
              <w:spacing w:after="0" w:line="141"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Securities</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Underlying</w:t>
            </w:r>
          </w:p>
        </w:tc>
        <w:tc>
          <w:tcPr>
            <w:tcW w:w="1620" w:type="dxa"/>
            <w:vAlign w:val="bottom"/>
            <w:gridSpan w:val="2"/>
          </w:tcPr>
          <w:p>
            <w:pPr>
              <w:jc w:val="center"/>
              <w:ind w:right="564"/>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Unexercised</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Unexercised</w:t>
            </w: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0"/>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620" w:type="dxa"/>
            <w:vAlign w:val="bottom"/>
            <w:vMerge w:val="restart"/>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Options</w:t>
            </w:r>
          </w:p>
        </w:tc>
        <w:tc>
          <w:tcPr>
            <w:tcW w:w="1620" w:type="dxa"/>
            <w:vAlign w:val="bottom"/>
            <w:gridSpan w:val="2"/>
          </w:tcPr>
          <w:p>
            <w:pPr>
              <w:jc w:val="center"/>
              <w:ind w:right="564"/>
              <w:spacing w:after="0"/>
              <w:rPr>
                <w:sz w:val="20"/>
                <w:szCs w:val="20"/>
                <w:color w:val="auto"/>
              </w:rPr>
            </w:pPr>
            <w:r>
              <w:rPr>
                <w:rFonts w:ascii="Arial" w:cs="Arial" w:eastAsia="Arial" w:hAnsi="Arial"/>
                <w:sz w:val="14"/>
                <w:szCs w:val="14"/>
                <w:b w:val="1"/>
                <w:bCs w:val="1"/>
                <w:color w:val="auto"/>
              </w:rPr>
              <w:t>Options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Exercisable</w:t>
            </w:r>
          </w:p>
        </w:tc>
        <w:tc>
          <w:tcPr>
            <w:tcW w:w="16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15"/>
                <w:szCs w:val="15"/>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Price</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7"/>
        </w:trPr>
        <w:tc>
          <w:tcPr>
            <w:tcW w:w="60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Randolph Altschuler</w:t>
            </w: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145,832</w:t>
            </w:r>
          </w:p>
        </w:tc>
        <w:tc>
          <w:tcPr>
            <w:tcW w:w="4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54,168</w:t>
            </w:r>
          </w:p>
        </w:tc>
        <w:tc>
          <w:tcPr>
            <w:tcW w:w="640" w:type="dxa"/>
            <w:vAlign w:val="bottom"/>
            <w:tcBorders>
              <w:top w:val="single" w:sz="8" w:color="CCEEFF"/>
            </w:tcBorders>
            <w:shd w:val="clear" w:color="auto" w:fill="CCEEFF"/>
          </w:tcPr>
          <w:p>
            <w:pPr>
              <w:jc w:val="right"/>
              <w:ind w:right="384"/>
              <w:spacing w:after="0" w:line="164" w:lineRule="exact"/>
              <w:rPr>
                <w:sz w:val="20"/>
                <w:szCs w:val="20"/>
                <w:color w:val="auto"/>
              </w:rPr>
            </w:pPr>
            <w:r>
              <w:rPr>
                <w:rFonts w:ascii="Arial" w:cs="Arial" w:eastAsia="Arial" w:hAnsi="Arial"/>
                <w:sz w:val="15"/>
                <w:szCs w:val="15"/>
                <w:color w:val="auto"/>
                <w:w w:val="87"/>
              </w:rPr>
              <w:t>(2)</w:t>
            </w:r>
          </w:p>
        </w:tc>
        <w:tc>
          <w:tcPr>
            <w:tcW w:w="100" w:type="dxa"/>
            <w:vAlign w:val="bottom"/>
            <w:tcBorders>
              <w:top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1.65</w:t>
            </w:r>
          </w:p>
        </w:tc>
        <w:tc>
          <w:tcPr>
            <w:tcW w:w="4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1/29/2028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3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102,195</w:t>
            </w:r>
          </w:p>
        </w:tc>
        <w:tc>
          <w:tcPr>
            <w:tcW w:w="1620" w:type="dxa"/>
            <w:vAlign w:val="bottom"/>
            <w:gridSpan w:val="2"/>
          </w:tcPr>
          <w:p>
            <w:pPr>
              <w:jc w:val="right"/>
              <w:ind w:right="384"/>
              <w:spacing w:after="0" w:line="201" w:lineRule="exact"/>
              <w:rPr>
                <w:sz w:val="20"/>
                <w:szCs w:val="20"/>
                <w:color w:val="auto"/>
              </w:rPr>
            </w:pPr>
            <w:r>
              <w:rPr>
                <w:rFonts w:ascii="Arial" w:cs="Arial" w:eastAsia="Arial" w:hAnsi="Arial"/>
                <w:sz w:val="18"/>
                <w:szCs w:val="18"/>
                <w:color w:val="auto"/>
              </w:rPr>
              <w:t>155,984</w:t>
            </w:r>
            <w:r>
              <w:rPr>
                <w:rFonts w:ascii="Arial" w:cs="Arial" w:eastAsia="Arial" w:hAnsi="Arial"/>
                <w:sz w:val="15"/>
                <w:szCs w:val="15"/>
                <w:color w:val="auto"/>
              </w:rPr>
              <w:t>(3)</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3.65</w:t>
            </w:r>
          </w:p>
        </w:tc>
        <w:tc>
          <w:tcPr>
            <w:tcW w:w="4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8/7/2029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Rallo</w:t>
            </w:r>
          </w:p>
        </w:tc>
        <w:tc>
          <w:tcPr>
            <w:tcW w:w="132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4"/>
              <w:spacing w:after="0" w:line="201" w:lineRule="exact"/>
              <w:rPr>
                <w:sz w:val="20"/>
                <w:szCs w:val="20"/>
                <w:color w:val="auto"/>
              </w:rPr>
            </w:pPr>
            <w:r>
              <w:rPr>
                <w:rFonts w:ascii="Arial" w:cs="Arial" w:eastAsia="Arial" w:hAnsi="Arial"/>
                <w:sz w:val="18"/>
                <w:szCs w:val="18"/>
                <w:color w:val="auto"/>
              </w:rPr>
              <w:t>458,822</w:t>
            </w:r>
            <w:r>
              <w:rPr>
                <w:rFonts w:ascii="Arial" w:cs="Arial" w:eastAsia="Arial" w:hAnsi="Arial"/>
                <w:sz w:val="15"/>
                <w:szCs w:val="15"/>
                <w:color w:val="auto"/>
              </w:rPr>
              <w:t>(4)</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3.65</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5/5/2030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Peter Goguen</w:t>
            </w:r>
          </w:p>
        </w:tc>
        <w:tc>
          <w:tcPr>
            <w:tcW w:w="13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50,000</w:t>
            </w:r>
          </w:p>
        </w:tc>
        <w:tc>
          <w:tcPr>
            <w:tcW w:w="1620" w:type="dxa"/>
            <w:vAlign w:val="bottom"/>
            <w:gridSpan w:val="2"/>
          </w:tcPr>
          <w:p>
            <w:pPr>
              <w:jc w:val="right"/>
              <w:ind w:right="664"/>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1.65</w:t>
            </w:r>
          </w:p>
        </w:tc>
        <w:tc>
          <w:tcPr>
            <w:tcW w:w="4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4/5/2028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19,166</w:t>
            </w:r>
          </w:p>
        </w:tc>
        <w:tc>
          <w:tcPr>
            <w:tcW w:w="1620" w:type="dxa"/>
            <w:vAlign w:val="bottom"/>
            <w:gridSpan w:val="2"/>
            <w:shd w:val="clear" w:color="auto" w:fill="CCEEFF"/>
          </w:tcPr>
          <w:p>
            <w:pPr>
              <w:jc w:val="right"/>
              <w:ind w:right="384"/>
              <w:spacing w:after="0" w:line="201" w:lineRule="exact"/>
              <w:rPr>
                <w:sz w:val="20"/>
                <w:szCs w:val="20"/>
                <w:color w:val="auto"/>
              </w:rPr>
            </w:pPr>
            <w:r>
              <w:rPr>
                <w:rFonts w:ascii="Arial" w:cs="Arial" w:eastAsia="Arial" w:hAnsi="Arial"/>
                <w:sz w:val="18"/>
                <w:szCs w:val="18"/>
                <w:color w:val="auto"/>
              </w:rPr>
              <w:t>20,834</w:t>
            </w:r>
            <w:r>
              <w:rPr>
                <w:rFonts w:ascii="Arial" w:cs="Arial" w:eastAsia="Arial" w:hAnsi="Arial"/>
                <w:sz w:val="15"/>
                <w:szCs w:val="15"/>
                <w:color w:val="auto"/>
              </w:rPr>
              <w:t>(5)</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1.68</w:t>
            </w: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2/19/2029</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84"/>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3.65</w:t>
            </w:r>
          </w:p>
        </w:tc>
        <w:tc>
          <w:tcPr>
            <w:tcW w:w="4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4/27/2030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9" w:lineRule="exact"/>
        <w:rPr>
          <w:sz w:val="20"/>
          <w:szCs w:val="20"/>
          <w:color w:val="auto"/>
        </w:rPr>
      </w:pPr>
    </w:p>
    <w:p>
      <w:pPr>
        <w:ind w:left="600" w:right="320" w:hanging="433"/>
        <w:spacing w:after="0" w:line="239"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All option awards listed in this table were granted pursuant to our 2016 Plan, the terms of which are described below under “Executive Compensation—Employee Benefit Plans”.</w:t>
      </w:r>
    </w:p>
    <w:p>
      <w:pPr>
        <w:ind w:left="600" w:right="320" w:hanging="433"/>
        <w:spacing w:after="0" w:line="239"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January 1, 2019, with the remaining 75% vesting in equal monthly installments over the three years thereafter, subject to Mr. Altschuler’s continuous service through each such vesting date.</w:t>
      </w:r>
    </w:p>
    <w:p>
      <w:pPr>
        <w:ind w:left="600" w:right="60" w:hanging="433"/>
        <w:spacing w:after="0" w:line="239"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May 2, 2020, with the remaining 75% vesting in equal monthly installments over the three years thereafter, subject to Mr. Altschuler’s continuous service through each such vesting date.</w:t>
      </w:r>
    </w:p>
    <w:p>
      <w:pPr>
        <w:ind w:left="600" w:right="460" w:hanging="433"/>
        <w:spacing w:after="0" w:line="239"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April 13, 2021, with the remaining 75% vesting in equal monthly installments over the three years thereafter, subject in each case to Mr. Rallo’s continuous service through each such vesting date.</w:t>
      </w:r>
    </w:p>
    <w:p>
      <w:pPr>
        <w:ind w:left="600" w:right="320" w:hanging="433"/>
        <w:spacing w:after="0" w:line="239"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January 1, 2020, with the remaining 75% vesting in equal monthly installments over the three years thereafter, subject to Mr. Goguen’s continuous service through each such vesting date.</w:t>
      </w:r>
    </w:p>
    <w:p>
      <w:pPr>
        <w:ind w:left="600" w:right="460" w:hanging="433"/>
        <w:spacing w:after="0" w:line="254"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April 28, 2021, with the remaining 75% vesting in equal monthly installments over the three years thereafter, subject in each case to Mr. Goguen’s continuous service through each such vesting date.</w:t>
      </w:r>
    </w:p>
    <w:p>
      <w:pPr>
        <w:spacing w:after="0" w:line="27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Employment Agreements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Each of our named executive officers is an at-will employee.</w:t>
      </w:r>
    </w:p>
    <w:p>
      <w:pPr>
        <w:spacing w:after="0" w:line="186"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b w:val="1"/>
          <w:bCs w:val="1"/>
          <w:i w:val="1"/>
          <w:iCs w:val="1"/>
          <w:color w:val="auto"/>
        </w:rPr>
        <w:t xml:space="preserve">James Rallo. </w:t>
      </w:r>
      <w:r>
        <w:rPr>
          <w:rFonts w:ascii="Arial" w:cs="Arial" w:eastAsia="Arial" w:hAnsi="Arial"/>
          <w:sz w:val="18"/>
          <w:szCs w:val="18"/>
          <w:color w:val="auto"/>
        </w:rPr>
        <w:t>In 2020, we entered into an employment agreement with James Rallo, our Chief Financial Officer.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agreement has no specific term and provides for at-will employment. At the time of his agreement, Mr. Rallo was entitled to an initial annual base salary of $ 315,000. Additionally, he is eligible to receive an annual performance bonus with a target amount of 33% of his annual base salary, based on the bonus plan formula used for our senior executives. In 2020, Mr. Rallo was entitled to a guaranteed target bonus, prorated for the number of days he was employed, subject to his continued employment through December 31, 2020. In addition, pursuant to the employment agreement, in May 2020 Mr. Rallo was granted an incentive stock option to purchase 458,822 shares of our common stock pursuant to the 2016 Plan, vesting 25% on the first anniversary of the start date and afterward in thirty-six equal monthly installments, subject to Mr. Rallo’s continued employment through the applicable vesting date.</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6"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46" w:lineRule="auto"/>
        <w:rPr>
          <w:sz w:val="20"/>
          <w:szCs w:val="20"/>
          <w:color w:val="auto"/>
        </w:rPr>
      </w:pPr>
      <w:r>
        <w:rPr>
          <w:rFonts w:ascii="Arial" w:cs="Arial" w:eastAsia="Arial" w:hAnsi="Arial"/>
          <w:sz w:val="17"/>
          <w:szCs w:val="17"/>
          <w:color w:val="auto"/>
        </w:rPr>
        <w:t>Pursuant to Mr. Rallo’s employment agreement, if he resigns for Good Reason or we terminate his employment without Cause (each as defined in his employment agreement) not in connection with a Change in Control (as defined in the company’s 2016 Equity Incentive Plan), then he will be eligible to receive the following severance benefits: (1) nine months of base salary, less applicable tax withholdings and paid in accordance with our regular payroll practices; and (2) up to nine months of COBRA premiums paid by the company. In addition, if Mr. Rallo resigns for Good Reason or we terminate his employment without Cause within three months prior to or twelve months following the effective date of a Change in Control, then he will also be eligible to receive the following severance benefits:</w:t>
      </w:r>
    </w:p>
    <w:p>
      <w:pPr>
        <w:ind w:left="440" w:hanging="273"/>
        <w:spacing w:after="0" w:line="234"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pro-rated target annual performance bonus for the calendar year in which his termination occurs, less applicable tax withholdings;</w:t>
      </w:r>
    </w:p>
    <w:p>
      <w:pPr>
        <w:jc w:val="both"/>
        <w:ind w:left="160" w:right="140" w:firstLine="7"/>
        <w:spacing w:after="0" w:line="236" w:lineRule="auto"/>
        <w:tabs>
          <w:tab w:leader="none" w:pos="4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performance bonus for the preceding bonus year if his termination occurs between January 1 and March 15 and such annual performance bonus has not yet been paid by the company; and (3) all of the outstanding and unvested equity awards he held immediately prior to his termination date will become fully vested and immediately exercisable. As a condition to receiving the severance benefits set forth above, Mr. Rallo must sign and comply with a general release agreement in a form presented by us.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Employee Benefit Plans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401(k) Plan</w:t>
      </w:r>
    </w:p>
    <w:p>
      <w:pPr>
        <w:spacing w:after="0" w:line="123"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Xometry provides a retirement savings plan for the benefit of its employees, including its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Employee Benefits</w:t>
      </w:r>
    </w:p>
    <w:p>
      <w:pPr>
        <w:spacing w:after="0" w:line="123" w:lineRule="exact"/>
        <w:rPr>
          <w:sz w:val="20"/>
          <w:szCs w:val="20"/>
          <w:color w:val="auto"/>
        </w:rPr>
      </w:pPr>
    </w:p>
    <w:p>
      <w:pPr>
        <w:ind w:left="160" w:right="220" w:firstLine="546"/>
        <w:spacing w:after="0" w:line="239" w:lineRule="auto"/>
        <w:rPr>
          <w:sz w:val="20"/>
          <w:szCs w:val="20"/>
          <w:color w:val="auto"/>
        </w:rPr>
      </w:pPr>
      <w:r>
        <w:rPr>
          <w:rFonts w:ascii="Arial" w:cs="Arial" w:eastAsia="Arial" w:hAnsi="Arial"/>
          <w:sz w:val="18"/>
          <w:szCs w:val="18"/>
          <w:color w:val="auto"/>
        </w:rPr>
        <w:t>Xometry’s named executive officers are eligible to participate in Xometry’s health and welfare plans to the same extent as all full-time employees.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Incentive Plans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2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The following summary describes the material terms of Xometry’s 2016 Equity Incentive Plan, which was adopted by Xometry’s board of directors and approved by Xometry’s stockholders in February 2016. The 2016 Plan was most recently amended by our board of directors and stockholders in March 2021.</w:t>
      </w:r>
    </w:p>
    <w:p>
      <w:pPr>
        <w:spacing w:after="0" w:line="181"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The 2016 Plan provides for the grant of incentive stock options, or ISOs, nonstatutory stock options, or NSOs,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rights, restricted stock, restricted stock units, and other stock awards (collectively, “Awards”) to Xometry’s employees, directors, and consultants who provide services to Xometry. Xometry has granted ISOs and NSOs under the 2016 Plan. ISOs may only be granted to our employees, or employees of a parent corporation or subisidiary corporation of Xometry. Ten percent stockholders may not be granted ISOs unless the exercise price of the option is at least 110% of fair market value on the date of grant and the option is not exercisable after five years from the date of grant.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40"/>
          </w:cols>
          <w:pgMar w:left="320" w:top="456"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40" w:firstLine="546"/>
        <w:spacing w:after="0" w:line="270" w:lineRule="auto"/>
        <w:rPr>
          <w:sz w:val="20"/>
          <w:szCs w:val="20"/>
          <w:color w:val="auto"/>
        </w:rPr>
      </w:pPr>
      <w:r>
        <w:rPr>
          <w:rFonts w:ascii="Arial" w:cs="Arial" w:eastAsia="Arial" w:hAnsi="Arial"/>
          <w:sz w:val="17"/>
          <w:szCs w:val="17"/>
          <w:b w:val="1"/>
          <w:bCs w:val="1"/>
          <w:i w:val="1"/>
          <w:iCs w:val="1"/>
          <w:color w:val="auto"/>
        </w:rPr>
        <w:t xml:space="preserve">Authorized Shares. </w:t>
      </w:r>
      <w:r>
        <w:rPr>
          <w:rFonts w:ascii="Arial" w:cs="Arial" w:eastAsia="Arial" w:hAnsi="Arial"/>
          <w:sz w:val="17"/>
          <w:szCs w:val="17"/>
          <w:color w:val="auto"/>
        </w:rPr>
        <w:t>Subject to certain capitalization adjustments, the aggregate number of shares of Xometry Class A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that may be issued pursuant to stock awards under the 2016 Plan will not exceed 5,694,149 shares. The maximum number of shares of Xometry Class A common stock that may be issued pursuant to the exercise of ISOs under the 2016 Plan is 28,470,745 shares.</w:t>
      </w:r>
    </w:p>
    <w:p>
      <w:pPr>
        <w:spacing w:after="0" w:line="178" w:lineRule="exact"/>
        <w:rPr>
          <w:sz w:val="20"/>
          <w:szCs w:val="20"/>
          <w:color w:val="auto"/>
        </w:rPr>
      </w:pPr>
    </w:p>
    <w:p>
      <w:pPr>
        <w:ind w:left="160" w:right="160" w:firstLine="546"/>
        <w:spacing w:after="0" w:line="235" w:lineRule="auto"/>
        <w:rPr>
          <w:sz w:val="20"/>
          <w:szCs w:val="20"/>
          <w:color w:val="auto"/>
        </w:rPr>
      </w:pPr>
      <w:r>
        <w:rPr>
          <w:rFonts w:ascii="Arial" w:cs="Arial" w:eastAsia="Arial" w:hAnsi="Arial"/>
          <w:sz w:val="18"/>
          <w:szCs w:val="18"/>
          <w:color w:val="auto"/>
        </w:rPr>
        <w:t>Shares subject to awards granted under the 2016 Plan that expire or terminate without being exercised in full or that are settled in cash rather than in shares do not reduce the number of shares available for issuance under the 2016 Plan. Additionally, if any shares issued pursuant to a stock award are forfeited back to Xometry or repurchased because of the failure to meet a contingency or condition required to vest, then the shares that are forfeited or repurchased will revert to and again become available for issuance under the 2016 Plan. Shares used to pay the exercise or purchase price of a stock award or reacquired by us in order to satisfy the tax withholding obligations related to a stock award will also become available for issuance under the 2016 Plan.</w:t>
      </w:r>
    </w:p>
    <w:p>
      <w:pPr>
        <w:spacing w:after="0" w:line="180"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2016 Plan is administered by Xometry’s board of directors, or a duly authorized committee of its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is referred to as the “plan administrator” herein. Subject to the provisions of the 2016 Plan, the plan administrator will determine in its discretion the persons to whom and the times at which Awards are granted, the sizes of such Awards and all of their terms and conditions. The plan administrator will have the authority to construe and interpret the terms of the 2016 Plan and Awards granted under it. The plan administrator may also delegate to one or more of Xometry’s officers the authority to (1) designate employees (other than officers) to receive specified awards and (2) determine the number of shares subject to such awards.</w:t>
      </w:r>
    </w:p>
    <w:p>
      <w:pPr>
        <w:spacing w:after="0" w:line="203" w:lineRule="exact"/>
        <w:rPr>
          <w:sz w:val="20"/>
          <w:szCs w:val="20"/>
          <w:color w:val="auto"/>
        </w:rPr>
      </w:pPr>
    </w:p>
    <w:p>
      <w:pPr>
        <w:ind w:left="160" w:right="280" w:firstLine="546"/>
        <w:spacing w:after="0" w:line="236" w:lineRule="auto"/>
        <w:rPr>
          <w:sz w:val="20"/>
          <w:szCs w:val="20"/>
          <w:color w:val="auto"/>
        </w:rPr>
      </w:pPr>
      <w:r>
        <w:rPr>
          <w:rFonts w:ascii="Arial" w:cs="Arial" w:eastAsia="Arial" w:hAnsi="Arial"/>
          <w:sz w:val="18"/>
          <w:szCs w:val="18"/>
          <w:color w:val="auto"/>
        </w:rPr>
        <w:t>Under the 2016 Plan, the plan administrator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8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As of March 31, 2021, options to purchase 4,034,012 shares of Xometry’s common stock were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2016 Plan. ISOs and NSOs are granted under stock option agreements adopted by the plan administrator. The plan administrator determines the exercise price for stock options, within the terms and conditions of the 2016 Plan, provided that the exercise price of a stock option generally cannot be less than 100% of the fair market value of Xometry common stock on the date of grant. Options granted under the 2016 Plan vest at the rate specified in the stock option agreement as determined by the plan administrator. The standard form of option award agreement under the 2016 Plan provides that options will vest 25% on the first anniversary of the vesting commencement date with the remainder vesting ratably over the next 36 months, subject to continued service through each applicable date. Under the 2016 Plan, the plan administrator has the authority to grant Awards with early exercise rights and to provide for accelerated vesting.</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 plan administrator determines the term of stock options granted under the 2016 Plan, up to a maximum of 10 years. If an optionholder’s service relationship with Xometry or any of its affiliates ceases for any reason other than disability, death or cause, the optionholder may generally exercise any vested options for a period of three months following the cessation of service. If an optionholder’s service relationship with Xometry or any of its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Xometry or any of its affiliates ceases due to disability, the optionholder may generally exercise any vested options for a period of 12 months following the cessation of service. In no event may an option be exercised beyond the expiration of its term. If an optionholder’s service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60"/>
          </w:cols>
          <w:pgMar w:left="320" w:top="456"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20"/>
        <w:spacing w:after="0" w:line="239" w:lineRule="auto"/>
        <w:rPr>
          <w:sz w:val="20"/>
          <w:szCs w:val="20"/>
          <w:color w:val="auto"/>
        </w:rPr>
      </w:pPr>
      <w:r>
        <w:rPr>
          <w:rFonts w:ascii="Arial" w:cs="Arial" w:eastAsia="Arial" w:hAnsi="Arial"/>
          <w:sz w:val="18"/>
          <w:szCs w:val="18"/>
          <w:color w:val="auto"/>
        </w:rPr>
        <w:t>relationship with Xometry or any of its affiliates ceases due to termination for Cause, the optionholder will be prohibited from exercising options from and after the date of termination.</w:t>
      </w:r>
    </w:p>
    <w:p>
      <w:pPr>
        <w:spacing w:after="0" w:line="203" w:lineRule="exact"/>
        <w:rPr>
          <w:sz w:val="20"/>
          <w:szCs w:val="20"/>
          <w:color w:val="auto"/>
        </w:rPr>
      </w:pPr>
    </w:p>
    <w:p>
      <w:pPr>
        <w:ind w:left="160" w:right="120" w:firstLine="546"/>
        <w:spacing w:after="0" w:line="253" w:lineRule="auto"/>
        <w:rPr>
          <w:sz w:val="20"/>
          <w:szCs w:val="20"/>
          <w:color w:val="auto"/>
        </w:rPr>
      </w:pPr>
      <w:r>
        <w:rPr>
          <w:rFonts w:ascii="Arial" w:cs="Arial" w:eastAsia="Arial" w:hAnsi="Arial"/>
          <w:sz w:val="17"/>
          <w:szCs w:val="17"/>
          <w:color w:val="auto"/>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Xometry common stock previously owned by the optionholder, (4) a net exercise of the option if it is an NSO, (5) a deferred payment arrangement (including by promissory note) or (6) other legal consideration approved by the plan administrator.</w:t>
      </w:r>
    </w:p>
    <w:p>
      <w:pPr>
        <w:spacing w:after="0" w:line="192" w:lineRule="exact"/>
        <w:rPr>
          <w:sz w:val="20"/>
          <w:szCs w:val="20"/>
          <w:color w:val="auto"/>
        </w:rPr>
      </w:pPr>
    </w:p>
    <w:p>
      <w:pPr>
        <w:ind w:left="160" w:right="240" w:firstLine="546"/>
        <w:spacing w:after="0" w:line="236"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0" w:lineRule="exact"/>
        <w:rPr>
          <w:sz w:val="20"/>
          <w:szCs w:val="20"/>
          <w:color w:val="auto"/>
        </w:rPr>
      </w:pPr>
    </w:p>
    <w:p>
      <w:pPr>
        <w:ind w:left="160" w:right="40" w:firstLine="546"/>
        <w:spacing w:after="0" w:line="239" w:lineRule="auto"/>
        <w:rPr>
          <w:sz w:val="20"/>
          <w:szCs w:val="20"/>
          <w:color w:val="auto"/>
        </w:rPr>
      </w:pPr>
      <w:r>
        <w:rPr>
          <w:rFonts w:ascii="Arial" w:cs="Arial" w:eastAsia="Arial" w:hAnsi="Arial"/>
          <w:sz w:val="18"/>
          <w:szCs w:val="18"/>
          <w:b w:val="1"/>
          <w:bCs w:val="1"/>
          <w:i w:val="1"/>
          <w:iCs w:val="1"/>
          <w:color w:val="auto"/>
        </w:rPr>
        <w:t xml:space="preserve">Tax Limitations on ISOs. </w:t>
      </w:r>
      <w:r>
        <w:rPr>
          <w:rFonts w:ascii="Arial" w:cs="Arial" w:eastAsia="Arial" w:hAnsi="Arial"/>
          <w:sz w:val="18"/>
          <w:szCs w:val="18"/>
          <w:color w:val="auto"/>
        </w:rPr>
        <w:t>The aggregate fair market value, determined at the time of grant, of Xometry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ISOs that are exercisable for the first time by an optionholder during any calendar year under all of Xometry’s stock plans may not exceed $100,000. Options or portions thereof that exceed such limit will generally be treated as NSOs. No ISO may be granted to any person who, at the time of the grant, owns or is deemed to own stock possessing more than 10% of Xometry’s total combined voting power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81" w:lineRule="exact"/>
        <w:rPr>
          <w:sz w:val="20"/>
          <w:szCs w:val="20"/>
          <w:color w:val="auto"/>
        </w:rPr>
      </w:pPr>
    </w:p>
    <w:p>
      <w:pPr>
        <w:ind w:left="160" w:right="60" w:firstLine="546"/>
        <w:spacing w:after="0" w:line="238" w:lineRule="auto"/>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Restricted stock unit awards are granted under restricted stock unit award agreements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plan administrator. Restricted stock unit awards may be granted in consideration for any form of legal consideration that may be acceptable to Xometry’s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1" w:lineRule="exact"/>
        <w:rPr>
          <w:sz w:val="20"/>
          <w:szCs w:val="20"/>
          <w:color w:val="auto"/>
        </w:rPr>
      </w:pPr>
    </w:p>
    <w:p>
      <w:pPr>
        <w:ind w:left="160" w:right="100" w:firstLine="546"/>
        <w:spacing w:after="0" w:line="237"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A restricted stock award may be awarded in consideration for cash, cash equivalents, past or future services to Xometry, or any other form of legal consideration that may be acceptable to Xometry’s board of directors and permissible under applicable law. The plan administrator determines the terms and conditions of restricted stock awards, including vesting and forfeiture terms. If a participant’s service relationship with Xometry ends for any reason, Xometry may receive any or all of the shares of common stock held by the participant that have not vested as of the date the participant terminates service with Xometry through a forfeiture condition and/or a repurchase or reacquisition right. The restricted stock award agreement may provide that any dividends paid on restricted stock awards will be subject to the same vesting and forfeiture restrictions as apply to the underlying shares of restricted stock.</w:t>
      </w:r>
    </w:p>
    <w:p>
      <w:pPr>
        <w:spacing w:after="0" w:line="184" w:lineRule="exact"/>
        <w:rPr>
          <w:sz w:val="20"/>
          <w:szCs w:val="20"/>
          <w:color w:val="auto"/>
        </w:rPr>
      </w:pPr>
    </w:p>
    <w:p>
      <w:pPr>
        <w:ind w:left="160" w:firstLine="546"/>
        <w:spacing w:after="0" w:line="243"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there is a specified type of change in Xometry’s capital structure, such as a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reverse stock split or recapitalization, appropriate adjustments will be made to (1) the class and maximum number of shares reserved for issuance under the 2016 Plan, (2) the class and maximum number of shares that may be issued on the exercise of ISOs and (3) the class and number of shares and exercise price, strike price, or purchase price, if applicable, of all outstanding stock awards.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6"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40" w:firstLine="546"/>
        <w:spacing w:after="0" w:line="249" w:lineRule="auto"/>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The 2016 Plan provides that in the event of certain specified significant transactions (described below)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control (defined below), unless otherwise provided in an award agreement or other written agreement between Xometry and the award holder, the plan administrator may take one or more of the following actions with respect to such stock awards:</w:t>
      </w:r>
    </w:p>
    <w:p>
      <w:pPr>
        <w:spacing w:after="0" w:line="100" w:lineRule="exact"/>
        <w:rPr>
          <w:sz w:val="20"/>
          <w:szCs w:val="20"/>
          <w:color w:val="auto"/>
        </w:rPr>
      </w:pPr>
    </w:p>
    <w:p>
      <w:pPr>
        <w:ind w:left="920" w:hanging="218"/>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corporation;</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Xometry to the surviving or acquiring corporation;</w:t>
      </w:r>
    </w:p>
    <w:p>
      <w:pPr>
        <w:spacing w:after="0" w:line="113" w:lineRule="exact"/>
        <w:rPr>
          <w:rFonts w:ascii="Arial" w:cs="Arial" w:eastAsia="Arial" w:hAnsi="Arial"/>
          <w:sz w:val="18"/>
          <w:szCs w:val="18"/>
          <w:color w:val="auto"/>
        </w:rPr>
      </w:pPr>
    </w:p>
    <w:p>
      <w:pPr>
        <w:ind w:left="920" w:right="220" w:hanging="218"/>
        <w:spacing w:after="0" w:line="239"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(if applicable) at or before the effective time of the transaction;</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Xometry;</w:t>
      </w:r>
    </w:p>
    <w:p>
      <w:pPr>
        <w:spacing w:after="0" w:line="113"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before the effective time of the transaction, in exchange for a consideration, if any; and</w:t>
      </w:r>
    </w:p>
    <w:p>
      <w:pPr>
        <w:spacing w:after="0" w:line="109" w:lineRule="exact"/>
        <w:rPr>
          <w:rFonts w:ascii="Arial" w:cs="Arial" w:eastAsia="Arial" w:hAnsi="Arial"/>
          <w:sz w:val="18"/>
          <w:szCs w:val="18"/>
          <w:color w:val="auto"/>
        </w:rPr>
      </w:pPr>
    </w:p>
    <w:p>
      <w:pPr>
        <w:ind w:left="920" w:right="240" w:hanging="218"/>
        <w:spacing w:after="0" w:line="237"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203" w:lineRule="exact"/>
        <w:rPr>
          <w:sz w:val="20"/>
          <w:szCs w:val="20"/>
          <w:color w:val="auto"/>
        </w:rPr>
      </w:pPr>
    </w:p>
    <w:p>
      <w:pPr>
        <w:ind w:left="160" w:right="20" w:firstLine="546"/>
        <w:spacing w:after="0" w:line="239" w:lineRule="auto"/>
        <w:rPr>
          <w:sz w:val="20"/>
          <w:szCs w:val="20"/>
          <w:color w:val="auto"/>
        </w:rPr>
      </w:pPr>
      <w:r>
        <w:rPr>
          <w:rFonts w:ascii="Arial" w:cs="Arial" w:eastAsia="Arial" w:hAnsi="Arial"/>
          <w:sz w:val="18"/>
          <w:szCs w:val="18"/>
          <w:color w:val="auto"/>
        </w:rPr>
        <w:t>The plan administrator is not obligated to treat all stock awards or portions of stock awards in the same manner and is not obligated to treat all participants in the same manner.</w:t>
      </w:r>
    </w:p>
    <w:p>
      <w:pPr>
        <w:spacing w:after="0" w:line="203"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Under the 2016 Plan, a transaction is generally the consummation of: (1) a sale of all or substantially all of Xometry’s assets, (2) the sale or disposition of at least 50% of Xometry’s outstanding securities, (3) a merger or consolidation in which Xometry is not the surviving corporation, or (4) a merger or consolidation in which Xometry is the surviving corporation but the shares of Xometry common stock outstanding immediately before such transaction are converted or exchanged into other property by virtue of the transaction.</w:t>
      </w:r>
    </w:p>
    <w:p>
      <w:pPr>
        <w:spacing w:after="0" w:line="180" w:lineRule="exact"/>
        <w:rPr>
          <w:sz w:val="20"/>
          <w:szCs w:val="20"/>
          <w:color w:val="auto"/>
        </w:rPr>
      </w:pPr>
    </w:p>
    <w:p>
      <w:pPr>
        <w:jc w:val="both"/>
        <w:ind w:left="160" w:right="60" w:firstLine="546"/>
        <w:spacing w:after="0" w:line="249"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In addition to the above, the plan administrator may provide, in an individual award agreement that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subject to additional acceleration of vesting and exercisability in the event of a change in control, but in the absence of such a provision, no acceleration will occur upon a change in control.</w:t>
      </w:r>
    </w:p>
    <w:p>
      <w:pPr>
        <w:spacing w:after="0" w:line="194" w:lineRule="exact"/>
        <w:rPr>
          <w:sz w:val="20"/>
          <w:szCs w:val="20"/>
          <w:color w:val="auto"/>
        </w:rPr>
      </w:pPr>
    </w:p>
    <w:p>
      <w:pPr>
        <w:ind w:left="160" w:right="100" w:firstLine="546"/>
        <w:spacing w:after="0" w:line="249" w:lineRule="auto"/>
        <w:rPr>
          <w:sz w:val="20"/>
          <w:szCs w:val="20"/>
          <w:color w:val="auto"/>
        </w:rPr>
      </w:pPr>
      <w:r>
        <w:rPr>
          <w:rFonts w:ascii="Arial" w:cs="Arial" w:eastAsia="Arial" w:hAnsi="Arial"/>
          <w:sz w:val="17"/>
          <w:szCs w:val="17"/>
          <w:color w:val="auto"/>
        </w:rPr>
        <w:t>Under the 2016 Plan, a change in control is generally (1) the acquisition by any person or company of more than 50% of the combined voting power of Xometry’s then outstanding stock, other than by virtue of a merger, consolidation or similar transaction (2) a merger, consolidation or similar transaction in which Xometry’s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or (3) a sale, lease, exclusive license or other disposition of all or substantially all of Xometry’s assets other than to an entity more than 50% of the combined voting power of which is owned by its stockholders in substantially the same proportions as their ownership of Xometry’s outstanding voting securities immediately prior to such transaction. Xometry’s initial public offering, any subsequent public offering or another capital raising event is not a change in control.</w:t>
      </w:r>
    </w:p>
    <w:p>
      <w:pPr>
        <w:spacing w:after="0" w:line="174" w:lineRule="exact"/>
        <w:rPr>
          <w:sz w:val="20"/>
          <w:szCs w:val="20"/>
          <w:color w:val="auto"/>
        </w:rPr>
      </w:pPr>
    </w:p>
    <w:p>
      <w:pPr>
        <w:jc w:val="both"/>
        <w:ind w:left="160" w:right="400" w:firstLine="546"/>
        <w:spacing w:after="0" w:line="249" w:lineRule="auto"/>
        <w:rPr>
          <w:sz w:val="20"/>
          <w:szCs w:val="20"/>
          <w:color w:val="auto"/>
        </w:rPr>
      </w:pPr>
      <w:r>
        <w:rPr>
          <w:rFonts w:ascii="Arial" w:cs="Arial" w:eastAsia="Arial" w:hAnsi="Arial"/>
          <w:sz w:val="18"/>
          <w:szCs w:val="18"/>
          <w:b w:val="1"/>
          <w:bCs w:val="1"/>
          <w:i w:val="1"/>
          <w:iCs w:val="1"/>
          <w:color w:val="auto"/>
        </w:rPr>
        <w:t xml:space="preserve">Plan Amendment or Termination. </w:t>
      </w:r>
      <w:r>
        <w:rPr>
          <w:rFonts w:ascii="Arial" w:cs="Arial" w:eastAsia="Arial" w:hAnsi="Arial"/>
          <w:sz w:val="18"/>
          <w:szCs w:val="18"/>
          <w:color w:val="auto"/>
        </w:rPr>
        <w:t>Xometry’s board of directors has the authority to amend, suspend, or terminate the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provided that such action does not impair the existing rights of any participant without such participant’s written consent. Certain material amendments also require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5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340"/>
        <w:spacing w:after="0" w:line="239" w:lineRule="auto"/>
        <w:rPr>
          <w:sz w:val="20"/>
          <w:szCs w:val="20"/>
          <w:color w:val="auto"/>
        </w:rPr>
      </w:pPr>
      <w:r>
        <w:rPr>
          <w:rFonts w:ascii="Arial" w:cs="Arial" w:eastAsia="Arial" w:hAnsi="Arial"/>
          <w:sz w:val="18"/>
          <w:szCs w:val="18"/>
          <w:color w:val="auto"/>
        </w:rPr>
        <w:t>the approval of Xometry’s stockholders. Unless terminated sooner, the 2016 Plan will automatically terminate on February 2, 2026. No stock awards may be granted under the 2016 Plan while it is suspended or after it is terminated.</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0" w:lineRule="exact"/>
        <w:rPr>
          <w:sz w:val="20"/>
          <w:szCs w:val="20"/>
          <w:color w:val="auto"/>
        </w:rPr>
      </w:pPr>
    </w:p>
    <w:p>
      <w:pPr>
        <w:ind w:left="160" w:right="80" w:firstLine="546"/>
        <w:spacing w:after="0" w:line="236" w:lineRule="auto"/>
        <w:rPr>
          <w:sz w:val="20"/>
          <w:szCs w:val="20"/>
          <w:color w:val="auto"/>
        </w:rPr>
      </w:pPr>
      <w:r>
        <w:rPr>
          <w:rFonts w:ascii="Arial" w:cs="Arial" w:eastAsia="Arial" w:hAnsi="Arial"/>
          <w:sz w:val="18"/>
          <w:szCs w:val="18"/>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09" w:lineRule="exact"/>
        <w:rPr>
          <w:sz w:val="20"/>
          <w:szCs w:val="20"/>
          <w:color w:val="auto"/>
        </w:rPr>
      </w:pPr>
    </w:p>
    <w:p>
      <w:pPr>
        <w:ind w:left="920" w:hanging="218"/>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8" w:lineRule="exact"/>
        <w:rPr>
          <w:sz w:val="20"/>
          <w:szCs w:val="20"/>
          <w:color w:val="auto"/>
        </w:rPr>
      </w:pPr>
    </w:p>
    <w:p>
      <w:pPr>
        <w:ind w:left="160" w:right="460" w:firstLine="546"/>
        <w:spacing w:after="0" w:line="239"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203" w:lineRule="exact"/>
        <w:rPr>
          <w:sz w:val="20"/>
          <w:szCs w:val="20"/>
          <w:color w:val="auto"/>
        </w:rPr>
      </w:pPr>
    </w:p>
    <w:p>
      <w:pPr>
        <w:ind w:left="160" w:right="20" w:firstLine="546"/>
        <w:spacing w:after="0" w:line="248" w:lineRule="auto"/>
        <w:rPr>
          <w:sz w:val="20"/>
          <w:szCs w:val="20"/>
          <w:color w:val="auto"/>
        </w:rPr>
      </w:pPr>
      <w:r>
        <w:rPr>
          <w:rFonts w:ascii="Arial" w:cs="Arial" w:eastAsia="Arial" w:hAnsi="Arial"/>
          <w:sz w:val="17"/>
          <w:szCs w:val="17"/>
          <w:color w:val="auto"/>
        </w:rPr>
        <w:t>Our amended and restated certificate of incorporation that will be in effect on the completion of this offering will authorize us to indemnify our directors, officers, employees and other agents to the fullest extent permitted by Delaware law. 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96"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4"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6"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Rule 10b5-1 Sales Plans</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Our directors and officers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20"/>
          </w:cols>
          <w:pgMar w:left="320" w:top="456" w:right="6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0" w:lineRule="exact"/>
        <w:rPr>
          <w:sz w:val="20"/>
          <w:szCs w:val="20"/>
          <w:color w:val="auto"/>
        </w:rPr>
      </w:pPr>
    </w:p>
    <w:p>
      <w:pPr>
        <w:ind w:left="160" w:right="120" w:firstLine="546"/>
        <w:spacing w:after="0" w:line="239"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to which we were a party or will be a party, in which:</w:t>
      </w:r>
    </w:p>
    <w:p>
      <w:pPr>
        <w:spacing w:after="0" w:line="109" w:lineRule="exact"/>
        <w:rPr>
          <w:sz w:val="20"/>
          <w:szCs w:val="20"/>
          <w:color w:val="auto"/>
        </w:rPr>
      </w:pPr>
    </w:p>
    <w:p>
      <w:pPr>
        <w:ind w:left="920" w:hanging="218"/>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3" w:lineRule="exact"/>
        <w:rPr>
          <w:rFonts w:ascii="Arial" w:cs="Arial" w:eastAsia="Arial" w:hAnsi="Arial"/>
          <w:sz w:val="18"/>
          <w:szCs w:val="18"/>
          <w:color w:val="auto"/>
        </w:rPr>
      </w:pPr>
    </w:p>
    <w:p>
      <w:pPr>
        <w:ind w:left="920" w:hanging="218"/>
        <w:spacing w:after="0" w:line="239" w:lineRule="auto"/>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Third Party Tender Offer</w:t>
      </w:r>
    </w:p>
    <w:p>
      <w:pPr>
        <w:spacing w:after="0" w:line="230" w:lineRule="exact"/>
        <w:rPr>
          <w:sz w:val="20"/>
          <w:szCs w:val="20"/>
          <w:color w:val="auto"/>
        </w:rPr>
      </w:pPr>
    </w:p>
    <w:p>
      <w:pPr>
        <w:ind w:left="160" w:firstLine="546"/>
        <w:spacing w:after="0" w:line="251" w:lineRule="auto"/>
        <w:rPr>
          <w:sz w:val="20"/>
          <w:szCs w:val="20"/>
          <w:color w:val="auto"/>
        </w:rPr>
      </w:pPr>
      <w:r>
        <w:rPr>
          <w:rFonts w:ascii="Arial" w:cs="Arial" w:eastAsia="Arial" w:hAnsi="Arial"/>
          <w:sz w:val="17"/>
          <w:szCs w:val="17"/>
          <w:color w:val="auto"/>
        </w:rPr>
        <w:t>In August, 2020, the Company entered into an agreement with certain investors, including T. Rowe Price Associates, Highland Capital Partners, Foundry Group, BMW i Ventures SCS, SICAV RAIF and Greenspring Associates, LLC (together with their respective affiliates), pursuant to which we agreed to waive certain transfer restrictions in connection with, and assist in the administration of, a tender offer that such investors proposed to commence. In August 2020, these investors commenced a tender offer to purchase shares of our capital stock from certain of our stockholders at a price of $8.00 per share, pursuant to an offer to purchase to which we were not a party.</w:t>
      </w:r>
    </w:p>
    <w:p>
      <w:pPr>
        <w:spacing w:after="0" w:line="195" w:lineRule="exact"/>
        <w:rPr>
          <w:sz w:val="20"/>
          <w:szCs w:val="20"/>
          <w:color w:val="auto"/>
        </w:rPr>
      </w:pPr>
    </w:p>
    <w:p>
      <w:pPr>
        <w:jc w:val="both"/>
        <w:ind w:left="160" w:right="60" w:firstLine="546"/>
        <w:spacing w:after="0" w:line="237" w:lineRule="auto"/>
        <w:rPr>
          <w:sz w:val="20"/>
          <w:szCs w:val="20"/>
          <w:color w:val="auto"/>
        </w:rPr>
      </w:pPr>
      <w:r>
        <w:rPr>
          <w:rFonts w:ascii="Arial" w:cs="Arial" w:eastAsia="Arial" w:hAnsi="Arial"/>
          <w:sz w:val="18"/>
          <w:szCs w:val="18"/>
          <w:color w:val="auto"/>
        </w:rPr>
        <w:t>Each of Laurence Zuriff, our co-founder and Chief Strategy Officer and a member of our board of directors, and his affiliated entity, ZFI Capital, and George Hornig, the Chairman of our Board of Directors, sold shares of Series Seed-1 and Series Seed-2 Preferred Stock in the tender offer.</w:t>
      </w:r>
    </w:p>
    <w:p>
      <w:pPr>
        <w:spacing w:after="0" w:line="203" w:lineRule="exact"/>
        <w:rPr>
          <w:sz w:val="20"/>
          <w:szCs w:val="20"/>
          <w:color w:val="auto"/>
        </w:rPr>
      </w:pPr>
    </w:p>
    <w:p>
      <w:pPr>
        <w:ind w:left="160" w:right="480" w:firstLine="546"/>
        <w:spacing w:after="0" w:line="237" w:lineRule="auto"/>
        <w:rPr>
          <w:sz w:val="20"/>
          <w:szCs w:val="20"/>
          <w:color w:val="auto"/>
        </w:rPr>
      </w:pPr>
      <w:r>
        <w:rPr>
          <w:rFonts w:ascii="Arial" w:cs="Arial" w:eastAsia="Arial" w:hAnsi="Arial"/>
          <w:sz w:val="18"/>
          <w:szCs w:val="18"/>
          <w:color w:val="auto"/>
        </w:rPr>
        <w:t>Each of Randolph Altschuler, Laurence Zuriff, T. Rowe Price Associates, Highland Capital Partners, Foundry Group, BMW i Ventures SCS, SICAV RAIF, and Greenspring Associates and their respective affiliates are beneficial holders of more than 5% of our outstanding capital stock.</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Preferred Stock Financing</w:t>
      </w:r>
    </w:p>
    <w:p>
      <w:pPr>
        <w:spacing w:after="0" w:line="230"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$52,653,589.65.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6"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Shares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Series</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Series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Series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A-2</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B</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2820" w:type="dxa"/>
            <w:vAlign w:val="bottom"/>
            <w:vMerge w:val="restart"/>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Preferred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Preferred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144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87"/>
        </w:trPr>
        <w:tc>
          <w:tcPr>
            <w:tcW w:w="42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Highland Capital Partners</w:t>
            </w: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89,985</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30,888</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32,100</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24,912</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180,170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1"/>
              <w:spacing w:after="0" w:line="188"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4,168,550.53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BMW i Ventures SCS, SICAV RAIF</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42,521</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14,592</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15,161</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11,761</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85,137</w:t>
            </w:r>
          </w:p>
        </w:tc>
        <w:tc>
          <w:tcPr>
            <w:tcW w:w="34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1,969,577.50</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Greenspring Associates</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41,667</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14,303</w:t>
            </w:r>
          </w:p>
        </w:tc>
        <w:tc>
          <w:tcPr>
            <w:tcW w:w="9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14,864</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11,536</w:t>
            </w: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83,425</w:t>
            </w:r>
          </w:p>
        </w:tc>
        <w:tc>
          <w:tcPr>
            <w:tcW w:w="340" w:type="dxa"/>
            <w:vAlign w:val="bottom"/>
            <w:gridSpan w:val="2"/>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1,930,213.85</w:t>
            </w:r>
          </w:p>
        </w:tc>
        <w:tc>
          <w:tcPr>
            <w:tcW w:w="0" w:type="dxa"/>
            <w:vAlign w:val="bottom"/>
          </w:tcPr>
          <w:p>
            <w:pPr>
              <w:spacing w:after="0"/>
              <w:rPr>
                <w:sz w:val="1"/>
                <w:szCs w:val="1"/>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Foundry Group</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59,633</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20,470</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21,273</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16,510</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119,399</w:t>
            </w:r>
          </w:p>
        </w:tc>
        <w:tc>
          <w:tcPr>
            <w:tcW w:w="34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2,762,518.76</w:t>
            </w:r>
          </w:p>
        </w:tc>
        <w:tc>
          <w:tcPr>
            <w:tcW w:w="0" w:type="dxa"/>
            <w:vAlign w:val="bottom"/>
          </w:tcPr>
          <w:p>
            <w:pPr>
              <w:spacing w:after="0"/>
              <w:rPr>
                <w:sz w:val="1"/>
                <w:szCs w:val="1"/>
                <w:color w:val="auto"/>
              </w:rPr>
            </w:pPr>
          </w:p>
        </w:tc>
      </w:tr>
      <w:tr>
        <w:trPr>
          <w:trHeight w:val="201"/>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 Rowe Price Associates, Inc.</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654,011</w:t>
            </w:r>
          </w:p>
        </w:tc>
        <w:tc>
          <w:tcPr>
            <w:tcW w:w="9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224,493</w:t>
            </w:r>
          </w:p>
        </w:tc>
        <w:tc>
          <w:tcPr>
            <w:tcW w:w="9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233,298</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181,056</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1,309,467</w:t>
            </w:r>
          </w:p>
        </w:tc>
        <w:tc>
          <w:tcPr>
            <w:tcW w:w="340" w:type="dxa"/>
            <w:vAlign w:val="bottom"/>
            <w:gridSpan w:val="2"/>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30,296,809.69</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Series D Preferred Stock Financing</w:t>
      </w:r>
    </w:p>
    <w:p>
      <w:pPr>
        <w:spacing w:after="0" w:line="23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$54,999,975.96.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Series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6740" w:type="dxa"/>
            <w:vAlign w:val="bottom"/>
            <w:vMerge w:val="restart"/>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1440" w:type="dxa"/>
            <w:vAlign w:val="bottom"/>
            <w:tcBorders>
              <w:bottom w:val="single" w:sz="8" w:color="auto"/>
            </w:tcBorders>
            <w:vMerge w:val="continue"/>
          </w:tcPr>
          <w:p>
            <w:pPr>
              <w:spacing w:after="0"/>
              <w:rPr>
                <w:sz w:val="15"/>
                <w:szCs w:val="15"/>
                <w:color w:val="auto"/>
              </w:rPr>
            </w:pPr>
          </w:p>
        </w:tc>
        <w:tc>
          <w:tcPr>
            <w:tcW w:w="6740" w:type="dxa"/>
            <w:vAlign w:val="bottom"/>
            <w:vMerge w:val="continue"/>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7"/>
        </w:trPr>
        <w:tc>
          <w:tcPr>
            <w:tcW w:w="81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Highland Capital Partners</w:t>
            </w:r>
          </w:p>
        </w:tc>
        <w:tc>
          <w:tcPr>
            <w:tcW w:w="100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399,573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1"/>
              <w:spacing w:after="0" w:line="188"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8" w:lineRule="exact"/>
              <w:rPr>
                <w:sz w:val="20"/>
                <w:szCs w:val="20"/>
                <w:color w:val="auto"/>
              </w:rPr>
            </w:pPr>
            <w:r>
              <w:rPr>
                <w:rFonts w:ascii="Arial" w:cs="Arial" w:eastAsia="Arial" w:hAnsi="Arial"/>
                <w:sz w:val="18"/>
                <w:szCs w:val="18"/>
                <w:color w:val="auto"/>
              </w:rPr>
              <w:t>4,000,045.40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gridSpan w:val="2"/>
          </w:tcPr>
          <w:p>
            <w:pPr>
              <w:spacing w:after="0" w:line="201" w:lineRule="exact"/>
              <w:rPr>
                <w:sz w:val="20"/>
                <w:szCs w:val="20"/>
                <w:color w:val="auto"/>
              </w:rPr>
            </w:pPr>
            <w:r>
              <w:rPr>
                <w:rFonts w:ascii="Arial" w:cs="Arial" w:eastAsia="Arial" w:hAnsi="Arial"/>
                <w:sz w:val="18"/>
                <w:szCs w:val="18"/>
                <w:color w:val="auto"/>
              </w:rPr>
              <w:t>BMW i Ventures SCS, SICAV RAIF</w:t>
            </w: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372,548</w:t>
            </w:r>
          </w:p>
        </w:tc>
        <w:tc>
          <w:tcPr>
            <w:tcW w:w="320" w:type="dxa"/>
            <w:vAlign w:val="bottom"/>
            <w:gridSpan w:val="2"/>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3,729,503.52</w:t>
            </w:r>
          </w:p>
        </w:tc>
        <w:tc>
          <w:tcPr>
            <w:tcW w:w="0" w:type="dxa"/>
            <w:vAlign w:val="bottom"/>
          </w:tcPr>
          <w:p>
            <w:pPr>
              <w:spacing w:after="0"/>
              <w:rPr>
                <w:sz w:val="1"/>
                <w:szCs w:val="1"/>
                <w:color w:val="auto"/>
              </w:rPr>
            </w:pPr>
          </w:p>
        </w:tc>
      </w:tr>
      <w:tr>
        <w:trPr>
          <w:trHeight w:val="201"/>
        </w:trPr>
        <w:tc>
          <w:tcPr>
            <w:tcW w:w="8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Greenspring Associates</w:t>
            </w: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2,497,300</w:t>
            </w:r>
          </w:p>
        </w:tc>
        <w:tc>
          <w:tcPr>
            <w:tcW w:w="320" w:type="dxa"/>
            <w:vAlign w:val="bottom"/>
            <w:gridSpan w:val="2"/>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24,999,970.85</w:t>
            </w:r>
          </w:p>
        </w:tc>
        <w:tc>
          <w:tcPr>
            <w:tcW w:w="0" w:type="dxa"/>
            <w:vAlign w:val="bottom"/>
          </w:tcPr>
          <w:p>
            <w:pPr>
              <w:spacing w:after="0"/>
              <w:rPr>
                <w:sz w:val="1"/>
                <w:szCs w:val="1"/>
                <w:color w:val="auto"/>
              </w:rPr>
            </w:pPr>
          </w:p>
        </w:tc>
      </w:tr>
      <w:tr>
        <w:trPr>
          <w:trHeight w:val="213"/>
        </w:trPr>
        <w:tc>
          <w:tcPr>
            <w:tcW w:w="8180" w:type="dxa"/>
            <w:vAlign w:val="bottom"/>
            <w:gridSpan w:val="2"/>
          </w:tcPr>
          <w:p>
            <w:pPr>
              <w:spacing w:after="0"/>
              <w:rPr>
                <w:sz w:val="20"/>
                <w:szCs w:val="20"/>
                <w:color w:val="auto"/>
              </w:rPr>
            </w:pPr>
            <w:r>
              <w:rPr>
                <w:rFonts w:ascii="Arial" w:cs="Arial" w:eastAsia="Arial" w:hAnsi="Arial"/>
                <w:sz w:val="18"/>
                <w:szCs w:val="18"/>
                <w:color w:val="auto"/>
              </w:rPr>
              <w:t>Foundry Group</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787,238</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7,880,882.18</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Consulting Contract with Peter Goguen</w:t>
      </w:r>
    </w:p>
    <w:p>
      <w:pPr>
        <w:spacing w:after="0" w:line="230" w:lineRule="exact"/>
        <w:rPr>
          <w:sz w:val="20"/>
          <w:szCs w:val="20"/>
          <w:color w:val="auto"/>
        </w:rPr>
      </w:pPr>
    </w:p>
    <w:p>
      <w:pPr>
        <w:ind w:left="160" w:right="120" w:firstLine="546"/>
        <w:spacing w:after="0" w:line="236" w:lineRule="auto"/>
        <w:rPr>
          <w:sz w:val="20"/>
          <w:szCs w:val="20"/>
          <w:color w:val="auto"/>
        </w:rPr>
      </w:pPr>
      <w:r>
        <w:rPr>
          <w:rFonts w:ascii="Arial" w:cs="Arial" w:eastAsia="Arial" w:hAnsi="Arial"/>
          <w:sz w:val="18"/>
          <w:szCs w:val="18"/>
          <w:color w:val="auto"/>
        </w:rPr>
        <w:t>In February 2018, we entered into a consulting agreement with Business Improvement Systems, Inc., which is owned by Peter Goguen. Peter Goguen is our Chief Operating Officer. Pursuant to the terms of this agreement, we paid Business Improvement Systems, Inc. a monthly consulting fee in the amount of $11,667. Business Improvement Systems, Inc. provided us with consulting services related to operating services. This agreement was terminated as of January 31, 2021.</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 Agreements</w:t>
      </w:r>
    </w:p>
    <w:p>
      <w:pPr>
        <w:spacing w:after="0" w:line="230" w:lineRule="exact"/>
        <w:rPr>
          <w:sz w:val="20"/>
          <w:szCs w:val="20"/>
          <w:color w:val="auto"/>
        </w:rPr>
      </w:pPr>
    </w:p>
    <w:p>
      <w:pPr>
        <w:ind w:left="160" w:right="120" w:firstLine="546"/>
        <w:spacing w:after="0" w:line="234" w:lineRule="auto"/>
        <w:rPr>
          <w:sz w:val="20"/>
          <w:szCs w:val="20"/>
          <w:color w:val="auto"/>
        </w:rPr>
      </w:pPr>
      <w:r>
        <w:rPr>
          <w:rFonts w:ascii="Arial" w:cs="Arial" w:eastAsia="Arial" w:hAnsi="Arial"/>
          <w:sz w:val="18"/>
          <w:szCs w:val="18"/>
          <w:color w:val="auto"/>
        </w:rPr>
        <w:t>In connection with our preferred stock financings, we entered into certain stockholder agreements, including an investors’ rights agreement, a voting agreement and a right of first refusal and co-sale agreement, which contain, among other things, registration rights, information rights, voting rights with respect to the election of directors, co-sale rights and rights of first refusal, with certain holders of our capital stock. The parties to these stockholder agreements include: Randolph Altschuler and entities affiliated with Randolph Altschuler, Laurence Zuriff and entities affiliated with Laurence Zuriff, George Hornig, entities affiliated with Highland Capital Partners, where our director, Craig Driscoll, is a general partner; entities affiliated with Foundry Group, entities affiliated with BMW i Ventures SCS, SICAV RAIF and entities affiliated with Greenspring Associates.</w:t>
      </w:r>
    </w:p>
    <w:p>
      <w:pPr>
        <w:spacing w:after="0" w:line="206"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The investors’ rights agreement, voting agreement, and right of first refusal and co-sale agreement will terminate upon the completion of this offering, except with respect to registration rights, as more fully described in the section titled “Description of Capital Stock—Stockholder Registration Rights.” See also the section titled “Principal Stockholders” for additional information regarding beneficial ownership of our capital stock.</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Grants to Directors and Executive Officers</w:t>
      </w:r>
    </w:p>
    <w:p>
      <w:pPr>
        <w:spacing w:after="0" w:line="230" w:lineRule="exact"/>
        <w:rPr>
          <w:sz w:val="20"/>
          <w:szCs w:val="20"/>
          <w:color w:val="auto"/>
        </w:rPr>
      </w:pPr>
    </w:p>
    <w:p>
      <w:pPr>
        <w:jc w:val="both"/>
        <w:ind w:left="160" w:right="160" w:firstLine="546"/>
        <w:spacing w:after="0" w:line="237" w:lineRule="auto"/>
        <w:rPr>
          <w:sz w:val="20"/>
          <w:szCs w:val="20"/>
          <w:color w:val="auto"/>
        </w:rPr>
      </w:pPr>
      <w:r>
        <w:rPr>
          <w:rFonts w:ascii="Arial" w:cs="Arial" w:eastAsia="Arial" w:hAnsi="Arial"/>
          <w:sz w:val="18"/>
          <w:szCs w:val="18"/>
          <w:color w:val="auto"/>
        </w:rPr>
        <w:t>We have granted stock options to certain of our directors and executive officers. For more information regarding the stock options and stock awards granted to our directors and named executive officers, see the sections titled “Management—Non-Employee Director Compensation” and “Executive Compensation.”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Employment Agreements</w:t>
      </w:r>
    </w:p>
    <w:p>
      <w:pPr>
        <w:spacing w:after="0" w:line="230" w:lineRule="exact"/>
        <w:rPr>
          <w:sz w:val="20"/>
          <w:szCs w:val="20"/>
          <w:color w:val="auto"/>
        </w:rPr>
      </w:pPr>
    </w:p>
    <w:p>
      <w:pPr>
        <w:ind w:left="160" w:right="180" w:firstLine="546"/>
        <w:spacing w:after="0" w:line="268" w:lineRule="auto"/>
        <w:rPr>
          <w:sz w:val="20"/>
          <w:szCs w:val="20"/>
          <w:color w:val="auto"/>
        </w:rPr>
      </w:pPr>
      <w:r>
        <w:rPr>
          <w:rFonts w:ascii="Arial" w:cs="Arial" w:eastAsia="Arial" w:hAnsi="Arial"/>
          <w:sz w:val="17"/>
          <w:szCs w:val="17"/>
          <w:color w:val="auto"/>
        </w:rPr>
        <w:t>We have entered into employment agreements with certain of our executive officers. For more information regarding employment agreements with our named executive officers, see the section titled “Executive Compensation—Employment Arrangements.”</w:t>
      </w: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Indemnification Agreements</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30"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Prior to the completion of this offering, we intend to adopt a policy that our executive officers, directors, nominees for election as a director, beneficial owners of more than 5% of any class of our Class A common stock and any members of the immediate family of any of the foregoing persons are not permitted to enter into a related person transaction with us without the approval or ratification of our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6"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46" w:lineRule="auto"/>
        <w:rPr>
          <w:sz w:val="20"/>
          <w:szCs w:val="20"/>
          <w:color w:val="auto"/>
        </w:rPr>
      </w:pPr>
      <w:r>
        <w:rPr>
          <w:rFonts w:ascii="Arial" w:cs="Arial" w:eastAsia="Arial" w:hAnsi="Arial"/>
          <w:sz w:val="17"/>
          <w:szCs w:val="17"/>
          <w:color w:val="auto"/>
        </w:rPr>
        <w:t>board of directors or our audit committee. Any request for us to enter into a transaction with an executive officer, director, nominee for election as a director, beneficial owner of more than 5% of any class of our Class A common stock or any member of the immediate family</w:t>
      </w:r>
    </w:p>
    <w:p>
      <w:pPr>
        <w:ind w:left="160" w:right="20"/>
        <w:spacing w:after="0" w:line="235" w:lineRule="auto"/>
        <w:rPr>
          <w:sz w:val="20"/>
          <w:szCs w:val="20"/>
          <w:color w:val="auto"/>
        </w:rPr>
      </w:pPr>
      <w:r>
        <w:rPr>
          <w:rFonts w:ascii="Arial" w:cs="Arial" w:eastAsia="Arial" w:hAnsi="Arial"/>
          <w:sz w:val="18"/>
          <w:szCs w:val="18"/>
          <w:color w:val="auto"/>
        </w:rPr>
        <w:t>of any of the foregoing persons, in which the amount involved exceeds $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40"/>
          </w:cols>
          <w:pgMar w:left="320" w:top="456" w:right="5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with respect to the beneficial ownership of our shares as of May 30, 2021 by:</w:t>
      </w:r>
    </w:p>
    <w:p>
      <w:pPr>
        <w:spacing w:after="0" w:line="114" w:lineRule="exact"/>
        <w:rPr>
          <w:sz w:val="20"/>
          <w:szCs w:val="20"/>
          <w:color w:val="auto"/>
        </w:rPr>
      </w:pPr>
    </w:p>
    <w:p>
      <w:pPr>
        <w:ind w:left="920" w:hanging="218"/>
        <w:spacing w:after="0"/>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directors and executive officers as a group; and</w:t>
      </w:r>
    </w:p>
    <w:p>
      <w:pPr>
        <w:spacing w:after="0" w:line="113" w:lineRule="exact"/>
        <w:rPr>
          <w:rFonts w:ascii="Arial" w:cs="Arial" w:eastAsia="Arial" w:hAnsi="Arial"/>
          <w:sz w:val="18"/>
          <w:szCs w:val="18"/>
          <w:color w:val="auto"/>
        </w:rPr>
      </w:pPr>
    </w:p>
    <w:p>
      <w:pPr>
        <w:ind w:left="920" w:right="160" w:hanging="218"/>
        <w:spacing w:after="0" w:line="239" w:lineRule="auto"/>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Class A common stock and Class B common stock (by number or by voting power).</w:t>
      </w:r>
    </w:p>
    <w:p>
      <w:pPr>
        <w:spacing w:after="0" w:line="203" w:lineRule="exact"/>
        <w:rPr>
          <w:sz w:val="20"/>
          <w:szCs w:val="20"/>
          <w:color w:val="auto"/>
        </w:rPr>
      </w:pPr>
    </w:p>
    <w:p>
      <w:pPr>
        <w:ind w:left="160" w:right="320" w:firstLine="546"/>
        <w:spacing w:after="0" w:line="236"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2"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Applicable percentage ownership before the offering is based on shares of Class A common stock and shares of Class B common stock outstanding as of May 30, 2021, assuming (i) the reclassification of our outstanding common stock into Class A common stock, (ii) the automatic conversion of all outstanding shares of preferred stock into shares of Class A common stock and (iii) the exchange of certain shares of Class A common stock held by our co-founders for shares of our Class B common stock. Applicable percentage ownership after the offering is based on shares of Class A common stock and shares of Class B common stock outstanding immediately after the completion of this offering, assuming no exercise by the underwriters of their option to purchase additional shares of Class A common stock from us.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May 30, 2021. However, except as described above, we did not deem such shares outstanding for the purpose of computing the percentage ownership of any other person.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20"/>
          </w:cols>
          <w:pgMar w:left="320" w:top="456" w:right="5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500" w:firstLine="546"/>
        <w:spacing w:after="0" w:line="239" w:lineRule="auto"/>
        <w:rPr>
          <w:sz w:val="20"/>
          <w:szCs w:val="20"/>
          <w:color w:val="auto"/>
        </w:rPr>
      </w:pPr>
      <w:r>
        <w:rPr>
          <w:rFonts w:ascii="Arial" w:cs="Arial" w:eastAsia="Arial" w:hAnsi="Arial"/>
          <w:sz w:val="18"/>
          <w:szCs w:val="18"/>
          <w:color w:val="auto"/>
        </w:rPr>
        <w:t>Unless otherwise indicated, the address for each beneficial owner listed in the table below is c/o Xometry, Inc., 7529 Standish Place, Suite 200, Derwood, MD 20855.</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7"/>
          </w:tcPr>
          <w:p>
            <w:pPr>
              <w:jc w:val="center"/>
              <w:spacing w:after="0"/>
              <w:rPr>
                <w:sz w:val="20"/>
                <w:szCs w:val="20"/>
                <w:color w:val="auto"/>
              </w:rPr>
            </w:pPr>
            <w:r>
              <w:rPr>
                <w:rFonts w:ascii="Arial" w:cs="Arial" w:eastAsia="Arial" w:hAnsi="Arial"/>
                <w:sz w:val="14"/>
                <w:szCs w:val="14"/>
                <w:b w:val="1"/>
                <w:bCs w:val="1"/>
                <w:color w:val="auto"/>
              </w:rPr>
              <w:t>Beneficial Ownership</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rPr>
              <w:t>Beneficial Ownership</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Before the Offering</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rPr>
              <w:t>After the Offering</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40" w:type="dxa"/>
            <w:vAlign w:val="bottom"/>
            <w:gridSpan w:val="2"/>
          </w:tcPr>
          <w:p>
            <w:pPr>
              <w:jc w:val="center"/>
              <w:ind w:left="249"/>
              <w:spacing w:after="0"/>
              <w:rPr>
                <w:sz w:val="20"/>
                <w:szCs w:val="20"/>
                <w:color w:val="auto"/>
              </w:rPr>
            </w:pPr>
            <w:r>
              <w:rPr>
                <w:rFonts w:ascii="Arial" w:cs="Arial" w:eastAsia="Arial" w:hAnsi="Arial"/>
                <w:sz w:val="14"/>
                <w:szCs w:val="14"/>
                <w:b w:val="1"/>
                <w:bCs w:val="1"/>
                <w:color w:val="auto"/>
                <w:w w:val="97"/>
              </w:rPr>
              <w:t>Class A</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center"/>
              <w:ind w:left="149"/>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Voting</w:t>
            </w:r>
          </w:p>
        </w:tc>
        <w:tc>
          <w:tcPr>
            <w:tcW w:w="760" w:type="dxa"/>
            <w:vAlign w:val="bottom"/>
            <w:gridSpan w:val="3"/>
          </w:tcPr>
          <w:p>
            <w:pPr>
              <w:jc w:val="center"/>
              <w:ind w:left="129"/>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jc w:val="center"/>
              <w:ind w:left="149"/>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40" w:type="dxa"/>
            <w:vAlign w:val="bottom"/>
            <w:gridSpan w:val="2"/>
          </w:tcPr>
          <w:p>
            <w:pPr>
              <w:jc w:val="center"/>
              <w:ind w:left="249"/>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Power</w:t>
            </w: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Power</w:t>
            </w:r>
          </w:p>
        </w:tc>
        <w:tc>
          <w:tcPr>
            <w:tcW w:w="0" w:type="dxa"/>
            <w:vAlign w:val="bottom"/>
          </w:tcPr>
          <w:p>
            <w:pPr>
              <w:spacing w:after="0"/>
              <w:rPr>
                <w:sz w:val="1"/>
                <w:szCs w:val="1"/>
                <w:color w:val="auto"/>
              </w:rPr>
            </w:pPr>
          </w:p>
        </w:tc>
      </w:tr>
      <w:tr>
        <w:trPr>
          <w:trHeight w:val="160"/>
        </w:trPr>
        <w:tc>
          <w:tcPr>
            <w:tcW w:w="1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40" w:type="dxa"/>
            <w:vAlign w:val="bottom"/>
            <w:gridSpan w:val="2"/>
          </w:tcPr>
          <w:p>
            <w:pPr>
              <w:jc w:val="center"/>
              <w:ind w:left="249"/>
              <w:spacing w:after="0"/>
              <w:rPr>
                <w:sz w:val="20"/>
                <w:szCs w:val="20"/>
                <w:color w:val="auto"/>
              </w:rPr>
            </w:pPr>
            <w:r>
              <w:rPr>
                <w:rFonts w:ascii="Arial" w:cs="Arial" w:eastAsia="Arial" w:hAnsi="Arial"/>
                <w:sz w:val="14"/>
                <w:szCs w:val="14"/>
                <w:b w:val="1"/>
                <w:bCs w:val="1"/>
                <w:color w:val="auto"/>
                <w:w w:val="99"/>
              </w:rPr>
              <w:t>Stock</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center"/>
              <w:ind w:left="129"/>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Before</w:t>
            </w:r>
          </w:p>
        </w:tc>
        <w:tc>
          <w:tcPr>
            <w:tcW w:w="760" w:type="dxa"/>
            <w:vAlign w:val="bottom"/>
            <w:gridSpan w:val="3"/>
          </w:tcPr>
          <w:p>
            <w:pPr>
              <w:jc w:val="center"/>
              <w:ind w:left="149"/>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jc w:val="center"/>
              <w:ind w:left="149"/>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7"/>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54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900" w:type="dxa"/>
            <w:vAlign w:val="bottom"/>
            <w:gridSpan w:val="2"/>
            <w:vMerge w:val="restart"/>
          </w:tcPr>
          <w:p>
            <w:pPr>
              <w:jc w:val="center"/>
              <w:ind w:right="200"/>
              <w:spacing w:after="0" w:line="157" w:lineRule="exact"/>
              <w:rPr>
                <w:sz w:val="20"/>
                <w:szCs w:val="20"/>
                <w:color w:val="auto"/>
              </w:rPr>
            </w:pPr>
            <w:r>
              <w:rPr>
                <w:rFonts w:ascii="Arial" w:cs="Arial" w:eastAsia="Arial" w:hAnsi="Arial"/>
                <w:sz w:val="14"/>
                <w:szCs w:val="14"/>
                <w:b w:val="1"/>
                <w:bCs w:val="1"/>
                <w:color w:val="auto"/>
              </w:rPr>
              <w:t>the</w:t>
            </w: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vMerge w:val="restart"/>
          </w:tcPr>
          <w:p>
            <w:pPr>
              <w:jc w:val="center"/>
              <w:ind w:right="40"/>
              <w:spacing w:after="0" w:line="157" w:lineRule="exact"/>
              <w:rPr>
                <w:sz w:val="20"/>
                <w:szCs w:val="20"/>
                <w:color w:val="auto"/>
              </w:rPr>
            </w:pPr>
            <w:r>
              <w:rPr>
                <w:rFonts w:ascii="Arial" w:cs="Arial" w:eastAsia="Arial" w:hAnsi="Arial"/>
                <w:sz w:val="14"/>
                <w:szCs w:val="14"/>
                <w:b w:val="1"/>
                <w:bCs w:val="1"/>
                <w:color w:val="auto"/>
              </w:rPr>
              <w:t>the</w:t>
            </w:r>
          </w:p>
        </w:tc>
        <w:tc>
          <w:tcPr>
            <w:tcW w:w="0" w:type="dxa"/>
            <w:vAlign w:val="bottom"/>
          </w:tcPr>
          <w:p>
            <w:pPr>
              <w:spacing w:after="0"/>
              <w:rPr>
                <w:sz w:val="1"/>
                <w:szCs w:val="1"/>
                <w:color w:val="auto"/>
              </w:rPr>
            </w:pPr>
          </w:p>
        </w:tc>
      </w:tr>
      <w:tr>
        <w:trPr>
          <w:trHeight w:val="110"/>
        </w:trPr>
        <w:tc>
          <w:tcPr>
            <w:tcW w:w="178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78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3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jc w:val="right"/>
              <w:ind w:right="9"/>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5"/>
                <w:szCs w:val="15"/>
                <w:color w:val="auto"/>
              </w:rPr>
            </w:pPr>
          </w:p>
        </w:tc>
        <w:tc>
          <w:tcPr>
            <w:tcW w:w="900" w:type="dxa"/>
            <w:vAlign w:val="bottom"/>
            <w:gridSpan w:val="2"/>
          </w:tcPr>
          <w:p>
            <w:pPr>
              <w:jc w:val="center"/>
              <w:ind w:right="200"/>
              <w:spacing w:after="0" w:line="164" w:lineRule="exact"/>
              <w:rPr>
                <w:sz w:val="20"/>
                <w:szCs w:val="20"/>
                <w:color w:val="auto"/>
              </w:rPr>
            </w:pPr>
            <w:r>
              <w:rPr>
                <w:rFonts w:ascii="Arial" w:cs="Arial" w:eastAsia="Arial" w:hAnsi="Arial"/>
                <w:sz w:val="11"/>
                <w:szCs w:val="11"/>
                <w:b w:val="1"/>
                <w:bCs w:val="1"/>
                <w:color w:val="auto"/>
              </w:rPr>
              <w:t>Offering</w:t>
            </w:r>
            <w:r>
              <w:rPr>
                <w:rFonts w:ascii="Arial" w:cs="Arial" w:eastAsia="Arial" w:hAnsi="Arial"/>
                <w:sz w:val="18"/>
                <w:szCs w:val="18"/>
                <w:b w:val="1"/>
                <w:bCs w:val="1"/>
                <w:color w:val="auto"/>
                <w:vertAlign w:val="superscript"/>
              </w:rPr>
              <w:t>(1)</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jc w:val="right"/>
              <w:ind w:right="9"/>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5"/>
                <w:szCs w:val="15"/>
                <w:color w:val="auto"/>
              </w:rPr>
            </w:pPr>
          </w:p>
        </w:tc>
        <w:tc>
          <w:tcPr>
            <w:tcW w:w="740" w:type="dxa"/>
            <w:vAlign w:val="bottom"/>
            <w:gridSpan w:val="2"/>
          </w:tcPr>
          <w:p>
            <w:pPr>
              <w:jc w:val="center"/>
              <w:ind w:right="40"/>
              <w:spacing w:after="0" w:line="164" w:lineRule="exact"/>
              <w:rPr>
                <w:sz w:val="20"/>
                <w:szCs w:val="20"/>
                <w:color w:val="auto"/>
              </w:rPr>
            </w:pPr>
            <w:r>
              <w:rPr>
                <w:rFonts w:ascii="Arial" w:cs="Arial" w:eastAsia="Arial" w:hAnsi="Arial"/>
                <w:sz w:val="11"/>
                <w:szCs w:val="11"/>
                <w:b w:val="1"/>
                <w:bCs w:val="1"/>
                <w:color w:val="auto"/>
              </w:rPr>
              <w:t>Offering</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7"/>
        </w:trPr>
        <w:tc>
          <w:tcPr>
            <w:tcW w:w="4320" w:type="dxa"/>
            <w:vAlign w:val="bottom"/>
            <w:tcBorders>
              <w:top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5% Stockholders:</w:t>
            </w: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line="161" w:lineRule="exact"/>
              <w:rPr>
                <w:sz w:val="20"/>
                <w:szCs w:val="20"/>
                <w:color w:val="auto"/>
              </w:rPr>
            </w:pPr>
            <w:r>
              <w:rPr>
                <w:rFonts w:ascii="Arial" w:cs="Arial" w:eastAsia="Arial" w:hAnsi="Arial"/>
                <w:sz w:val="11"/>
                <w:szCs w:val="11"/>
                <w:color w:val="auto"/>
              </w:rPr>
              <w:t>Entities associated with Highland Capital Partners</w:t>
            </w:r>
            <w:r>
              <w:rPr>
                <w:rFonts w:ascii="Arial" w:cs="Arial" w:eastAsia="Arial" w:hAnsi="Arial"/>
                <w:sz w:val="18"/>
                <w:szCs w:val="18"/>
                <w:color w:val="auto"/>
                <w:vertAlign w:val="superscript"/>
              </w:rPr>
              <w:t>(2)</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5,978,793</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Entities associated with T. Rowe Price Associates, Inc.</w:t>
            </w:r>
            <w:r>
              <w:rPr>
                <w:rFonts w:ascii="Arial" w:cs="Arial" w:eastAsia="Arial" w:hAnsi="Arial"/>
                <w:sz w:val="18"/>
                <w:szCs w:val="18"/>
                <w:color w:val="auto"/>
                <w:vertAlign w:val="superscript"/>
              </w:rPr>
              <w:t>(3)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4,254,083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line="161" w:lineRule="exact"/>
              <w:rPr>
                <w:sz w:val="20"/>
                <w:szCs w:val="20"/>
                <w:color w:val="auto"/>
              </w:rPr>
            </w:pPr>
            <w:r>
              <w:rPr>
                <w:rFonts w:ascii="Arial" w:cs="Arial" w:eastAsia="Arial" w:hAnsi="Arial"/>
                <w:sz w:val="11"/>
                <w:szCs w:val="11"/>
                <w:color w:val="auto"/>
              </w:rPr>
              <w:t>Entities associated with Foundry Group</w:t>
            </w:r>
            <w:r>
              <w:rPr>
                <w:rFonts w:ascii="Arial" w:cs="Arial" w:eastAsia="Arial" w:hAnsi="Arial"/>
                <w:sz w:val="18"/>
                <w:szCs w:val="18"/>
                <w:color w:val="auto"/>
                <w:vertAlign w:val="superscript"/>
              </w:rPr>
              <w:t>(4)</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3,962,107</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BMW i Ventures SCS, SICAV RAIF</w:t>
            </w:r>
            <w:r>
              <w:rPr>
                <w:rFonts w:ascii="Arial" w:cs="Arial" w:eastAsia="Arial" w:hAnsi="Arial"/>
                <w:sz w:val="18"/>
                <w:szCs w:val="18"/>
                <w:color w:val="auto"/>
                <w:vertAlign w:val="superscript"/>
              </w:rPr>
              <w:t>(5)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2,825,254</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line="161" w:lineRule="exact"/>
              <w:rPr>
                <w:sz w:val="20"/>
                <w:szCs w:val="20"/>
                <w:color w:val="auto"/>
              </w:rPr>
            </w:pPr>
            <w:r>
              <w:rPr>
                <w:rFonts w:ascii="Arial" w:cs="Arial" w:eastAsia="Arial" w:hAnsi="Arial"/>
                <w:sz w:val="11"/>
                <w:szCs w:val="11"/>
                <w:color w:val="auto"/>
              </w:rPr>
              <w:t>Entities associated with Greenspring Associates LLC</w:t>
            </w:r>
            <w:r>
              <w:rPr>
                <w:rFonts w:ascii="Arial" w:cs="Arial" w:eastAsia="Arial" w:hAnsi="Arial"/>
                <w:sz w:val="18"/>
                <w:szCs w:val="18"/>
                <w:color w:val="auto"/>
                <w:vertAlign w:val="superscript"/>
              </w:rPr>
              <w:t>(6)</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2,768,466</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Randolph Altschuler</w:t>
            </w:r>
            <w:r>
              <w:rPr>
                <w:rFonts w:ascii="Arial" w:cs="Arial" w:eastAsia="Arial" w:hAnsi="Arial"/>
                <w:sz w:val="18"/>
                <w:szCs w:val="18"/>
                <w:color w:val="auto"/>
                <w:vertAlign w:val="superscript"/>
              </w:rPr>
              <w:t>(7)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4,041,630</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line="161" w:lineRule="exact"/>
              <w:rPr>
                <w:sz w:val="20"/>
                <w:szCs w:val="20"/>
                <w:color w:val="auto"/>
              </w:rPr>
            </w:pPr>
            <w:r>
              <w:rPr>
                <w:rFonts w:ascii="Arial" w:cs="Arial" w:eastAsia="Arial" w:hAnsi="Arial"/>
                <w:sz w:val="11"/>
                <w:szCs w:val="11"/>
                <w:color w:val="auto"/>
              </w:rPr>
              <w:t>Laurence Zuriff</w:t>
            </w:r>
            <w:r>
              <w:rPr>
                <w:rFonts w:ascii="Arial" w:cs="Arial" w:eastAsia="Arial" w:hAnsi="Arial"/>
                <w:sz w:val="18"/>
                <w:szCs w:val="18"/>
                <w:color w:val="auto"/>
                <w:vertAlign w:val="superscript"/>
              </w:rPr>
              <w:t>(8)</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3,333,746</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line="161" w:lineRule="exact"/>
              <w:rPr>
                <w:sz w:val="20"/>
                <w:szCs w:val="20"/>
                <w:color w:val="auto"/>
              </w:rPr>
            </w:pPr>
            <w:r>
              <w:rPr>
                <w:rFonts w:ascii="Arial" w:cs="Arial" w:eastAsia="Arial" w:hAnsi="Arial"/>
                <w:sz w:val="11"/>
                <w:szCs w:val="11"/>
                <w:color w:val="auto"/>
              </w:rPr>
              <w:t>Randolph Altschuler</w:t>
            </w:r>
            <w:r>
              <w:rPr>
                <w:rFonts w:ascii="Arial" w:cs="Arial" w:eastAsia="Arial" w:hAnsi="Arial"/>
                <w:sz w:val="18"/>
                <w:szCs w:val="18"/>
                <w:color w:val="auto"/>
                <w:vertAlign w:val="superscript"/>
              </w:rPr>
              <w:t>(7)</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4,041,630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James Rallo</w:t>
            </w:r>
            <w:r>
              <w:rPr>
                <w:rFonts w:ascii="Arial" w:cs="Arial" w:eastAsia="Arial" w:hAnsi="Arial"/>
                <w:sz w:val="18"/>
                <w:szCs w:val="18"/>
                <w:color w:val="auto"/>
                <w:vertAlign w:val="superscript"/>
              </w:rPr>
              <w:t>(9)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143,382</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line="161" w:lineRule="exact"/>
              <w:rPr>
                <w:sz w:val="20"/>
                <w:szCs w:val="20"/>
                <w:color w:val="auto"/>
              </w:rPr>
            </w:pPr>
            <w:r>
              <w:rPr>
                <w:rFonts w:ascii="Arial" w:cs="Arial" w:eastAsia="Arial" w:hAnsi="Arial"/>
                <w:sz w:val="11"/>
                <w:szCs w:val="11"/>
                <w:color w:val="auto"/>
              </w:rPr>
              <w:t>Peter Goguen</w:t>
            </w:r>
            <w:r>
              <w:rPr>
                <w:rFonts w:ascii="Arial" w:cs="Arial" w:eastAsia="Arial" w:hAnsi="Arial"/>
                <w:sz w:val="18"/>
                <w:szCs w:val="18"/>
                <w:color w:val="auto"/>
                <w:vertAlign w:val="superscript"/>
              </w:rPr>
              <w:t>(10)</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93,750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Laurence Zuriff</w:t>
            </w:r>
            <w:r>
              <w:rPr>
                <w:rFonts w:ascii="Arial" w:cs="Arial" w:eastAsia="Arial" w:hAnsi="Arial"/>
                <w:sz w:val="18"/>
                <w:szCs w:val="18"/>
                <w:color w:val="auto"/>
                <w:vertAlign w:val="superscript"/>
              </w:rPr>
              <w:t>(8)</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3,333,746</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line="161" w:lineRule="exact"/>
              <w:rPr>
                <w:sz w:val="20"/>
                <w:szCs w:val="20"/>
                <w:color w:val="auto"/>
              </w:rPr>
            </w:pPr>
            <w:r>
              <w:rPr>
                <w:rFonts w:ascii="Arial" w:cs="Arial" w:eastAsia="Arial" w:hAnsi="Arial"/>
                <w:sz w:val="11"/>
                <w:szCs w:val="11"/>
                <w:color w:val="auto"/>
              </w:rPr>
              <w:t>George Hornig</w:t>
            </w:r>
            <w:r>
              <w:rPr>
                <w:rFonts w:ascii="Arial" w:cs="Arial" w:eastAsia="Arial" w:hAnsi="Arial"/>
                <w:sz w:val="18"/>
                <w:szCs w:val="18"/>
                <w:color w:val="auto"/>
                <w:vertAlign w:val="superscript"/>
              </w:rPr>
              <w:t>(11)</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127,925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Emily Rollins</w:t>
            </w:r>
            <w:r>
              <w:rPr>
                <w:rFonts w:ascii="Arial" w:cs="Arial" w:eastAsia="Arial" w:hAnsi="Arial"/>
                <w:sz w:val="18"/>
                <w:szCs w:val="18"/>
                <w:color w:val="auto"/>
                <w:vertAlign w:val="superscript"/>
              </w:rPr>
              <w:t>(12)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5,833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line="161" w:lineRule="exact"/>
              <w:rPr>
                <w:sz w:val="20"/>
                <w:szCs w:val="20"/>
                <w:color w:val="auto"/>
              </w:rPr>
            </w:pPr>
            <w:r>
              <w:rPr>
                <w:rFonts w:ascii="Arial" w:cs="Arial" w:eastAsia="Arial" w:hAnsi="Arial"/>
                <w:sz w:val="11"/>
                <w:szCs w:val="11"/>
                <w:color w:val="auto"/>
              </w:rPr>
              <w:t>Deborah Bial</w:t>
            </w:r>
            <w:r>
              <w:rPr>
                <w:rFonts w:ascii="Arial" w:cs="Arial" w:eastAsia="Arial" w:hAnsi="Arial"/>
                <w:sz w:val="18"/>
                <w:szCs w:val="18"/>
                <w:color w:val="auto"/>
                <w:vertAlign w:val="superscript"/>
              </w:rPr>
              <w:t>(13)</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14,583</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Craig Driscoll</w:t>
            </w:r>
            <w:r>
              <w:rPr>
                <w:rFonts w:ascii="Arial" w:cs="Arial" w:eastAsia="Arial" w:hAnsi="Arial"/>
                <w:sz w:val="18"/>
                <w:szCs w:val="18"/>
                <w:color w:val="auto"/>
                <w:vertAlign w:val="superscript"/>
              </w:rPr>
              <w:t>(2)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5,978,793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tcPr>
          <w:p>
            <w:pPr>
              <w:spacing w:after="0" w:line="161" w:lineRule="exact"/>
              <w:rPr>
                <w:sz w:val="20"/>
                <w:szCs w:val="20"/>
                <w:color w:val="auto"/>
              </w:rPr>
            </w:pPr>
            <w:r>
              <w:rPr>
                <w:rFonts w:ascii="Arial" w:cs="Arial" w:eastAsia="Arial" w:hAnsi="Arial"/>
                <w:sz w:val="11"/>
                <w:szCs w:val="11"/>
                <w:color w:val="auto"/>
              </w:rPr>
              <w:t>Fabio Rosati</w:t>
            </w:r>
            <w:r>
              <w:rPr>
                <w:rFonts w:ascii="Arial" w:cs="Arial" w:eastAsia="Arial" w:hAnsi="Arial"/>
                <w:sz w:val="18"/>
                <w:szCs w:val="18"/>
                <w:color w:val="auto"/>
                <w:vertAlign w:val="superscript"/>
              </w:rPr>
              <w:t>(14)</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106,508</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20" w:type="dxa"/>
            <w:vAlign w:val="bottom"/>
            <w:gridSpan w:val="2"/>
            <w:shd w:val="clear" w:color="auto" w:fill="CCEEFF"/>
          </w:tcPr>
          <w:p>
            <w:pPr>
              <w:spacing w:after="0" w:line="161" w:lineRule="exact"/>
              <w:rPr>
                <w:sz w:val="20"/>
                <w:szCs w:val="20"/>
                <w:color w:val="auto"/>
              </w:rPr>
            </w:pPr>
            <w:r>
              <w:rPr>
                <w:rFonts w:ascii="Arial" w:cs="Arial" w:eastAsia="Arial" w:hAnsi="Arial"/>
                <w:sz w:val="11"/>
                <w:szCs w:val="11"/>
                <w:color w:val="auto"/>
              </w:rPr>
              <w:t>Katharine Weymouth</w:t>
            </w:r>
            <w:r>
              <w:rPr>
                <w:rFonts w:ascii="Arial" w:cs="Arial" w:eastAsia="Arial" w:hAnsi="Arial"/>
                <w:sz w:val="18"/>
                <w:szCs w:val="18"/>
                <w:color w:val="auto"/>
                <w:vertAlign w:val="superscript"/>
              </w:rPr>
              <w:t>(15)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14,583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320" w:type="dxa"/>
            <w:vAlign w:val="bottom"/>
            <w:gridSpan w:val="2"/>
          </w:tcPr>
          <w:p>
            <w:pPr>
              <w:spacing w:after="0"/>
              <w:rPr>
                <w:sz w:val="20"/>
                <w:szCs w:val="20"/>
                <w:color w:val="auto"/>
              </w:rPr>
            </w:pPr>
            <w:r>
              <w:rPr>
                <w:rFonts w:ascii="Arial" w:cs="Arial" w:eastAsia="Arial" w:hAnsi="Arial"/>
                <w:sz w:val="14"/>
                <w:szCs w:val="14"/>
                <w:color w:val="auto"/>
              </w:rPr>
              <w:t>All directors and executive officers as a group (12 persons)</w:t>
            </w:r>
            <w:r>
              <w:rPr>
                <w:rFonts w:ascii="Arial" w:cs="Arial" w:eastAsia="Arial" w:hAnsi="Arial"/>
                <w:sz w:val="24"/>
                <w:szCs w:val="24"/>
                <w:color w:val="auto"/>
                <w:vertAlign w:val="superscript"/>
              </w:rPr>
              <w:t>(16)</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14,204,029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wp:posOffset>
            </wp:positionV>
            <wp:extent cx="7645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2" w:lineRule="exact"/>
        <w:rPr>
          <w:sz w:val="20"/>
          <w:szCs w:val="20"/>
          <w:color w:val="auto"/>
        </w:rPr>
      </w:pPr>
    </w:p>
    <w:p>
      <w:pPr>
        <w:ind w:left="600" w:hanging="433"/>
        <w:spacing w:after="0"/>
        <w:tabs>
          <w:tab w:leader="none" w:pos="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600" w:right="220" w:hanging="433"/>
        <w:spacing w:after="0" w:line="239"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and Class B common stock, as a single class. The holders of our Class B common stock are entitled to 20 votes per share, and holders of our Class A common stock are entitled to one vote per share. See the section titled “Description of Capital Stock—Class A Common Stock and Class B Common Stock” for additional information about the voting rights of our Class A and Class B common stock.</w:t>
      </w:r>
    </w:p>
    <w:p>
      <w:pPr>
        <w:ind w:left="600" w:right="20" w:hanging="433"/>
        <w:spacing w:after="0" w:line="241"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(a) 3,621,393 shares of Class A common stock held by Highland Capital Partners 9 Limited Partnership, or HCP 9, (b) 1,559,876 shares of Class A common stock held by Highland Capital Partners 9-B Limited Partnership, or HCP 9-B, (c) 316,096 shares of Class A common stock held by Highland Entrepreneurs Fund 9 Limited Partnership, or HEF 9, and (d) 481,428 shares of Class A common stock held by Highland Leaders Fund I, Limited Partnership, or HLF I. Highland Management Partners 9 Limited Partnership, or HMP 9 L.P., is the general partner of HCP 9, HCP 9-B and HEF 9 (collectively, “Highland Capital 9 Investing Entities”). Highland Management Partners 9, LLC, or HMP 9 LLC, is the general partner of HMP 9 L.P. Robert Davis, Dan Nova, Paul Maeder and Corey Malloy are the managing members of HMP 9 LLC and have shared voting and investment power over investment decisions of HMP 9 LLC, and as such, may be deemed to have beneficial ownership of the shares held by the Highland Capital 9 Investing Entities by virtue of their status as controlling persons of HMP 9 LLC. Each managing member of HMP 9 LLC disclaims beneficial ownership of the shares held by the Highland 9 Investing Entities, except to the extent of each such Managing Member’s pecuniary interest therein.</w:t>
      </w:r>
    </w:p>
    <w:p>
      <w:pPr>
        <w:spacing w:after="0" w:line="271" w:lineRule="exact"/>
        <w:rPr>
          <w:rFonts w:ascii="Arial" w:cs="Arial" w:eastAsia="Arial" w:hAnsi="Arial"/>
          <w:sz w:val="14"/>
          <w:szCs w:val="14"/>
          <w:color w:val="auto"/>
        </w:rPr>
      </w:pPr>
    </w:p>
    <w:p>
      <w:pPr>
        <w:ind w:left="600" w:right="80"/>
        <w:spacing w:after="0" w:line="242" w:lineRule="auto"/>
        <w:rPr>
          <w:rFonts w:ascii="Arial" w:cs="Arial" w:eastAsia="Arial" w:hAnsi="Arial"/>
          <w:sz w:val="14"/>
          <w:szCs w:val="14"/>
          <w:color w:val="auto"/>
        </w:rPr>
      </w:pPr>
      <w:r>
        <w:rPr>
          <w:rFonts w:ascii="Arial" w:cs="Arial" w:eastAsia="Arial" w:hAnsi="Arial"/>
          <w:sz w:val="14"/>
          <w:szCs w:val="14"/>
          <w:color w:val="auto"/>
        </w:rPr>
        <w:t>Highland Leaders Fund I GP, Limited Partnership, or Highland Leaders L.P., is the general partner of the HLF I. Highland Leaders Fund I GP, LLC, or Highland Leaders LLC, is the general partner of Highland Leaders L.P. Robert Davis, Dan Nova, Paul Maeder and Corey Malloy are the managing members of Highland Leaders LLC and have shared voting and investment power over investment decisions of Highland Leaders LLC, and as such, may be deemed to have beneficial ownership of the shares held by the HLF I by virtue of their status as controlling persons of Highland Leaders LLC. Each managing member of Highland Leaders LLC disclaims beneficial ownership of the shares held by the HLF I, except to the extent of each such individual’s pecuniary interest therein. As a general partner of Highland Capital Partners, Craig Driscoll,</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6"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600" w:right="100"/>
        <w:spacing w:after="0" w:line="239" w:lineRule="auto"/>
        <w:rPr>
          <w:sz w:val="20"/>
          <w:szCs w:val="20"/>
          <w:color w:val="auto"/>
        </w:rPr>
      </w:pPr>
      <w:r>
        <w:rPr>
          <w:rFonts w:ascii="Arial" w:cs="Arial" w:eastAsia="Arial" w:hAnsi="Arial"/>
          <w:sz w:val="14"/>
          <w:szCs w:val="14"/>
          <w:color w:val="auto"/>
        </w:rPr>
        <w:t>a member of our board of directors, may also be deemed to have beneficial ownership of the shares held by Highland Capital 9 Investing Entities and HLF I. Craig Driscoll disclaims beneficial ownership of the shares held by such entities, except to the extent of his pecuniary interest therein. The address of each of these entities is One Broadway, 16th Floor, Cambridge, Massachusetts 02142.</w:t>
      </w:r>
    </w:p>
    <w:p>
      <w:pPr>
        <w:ind w:left="600" w:right="100" w:hanging="433"/>
        <w:spacing w:after="0" w:line="239"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(a) 28,133 shares of Class A common stock held by Costco 401(k) Retirement Plan, (b) 23,060 shares of Class A common stock held by MassMutual Select Funds - MassMutual Select T. Rowe Price Small and Mid Cap Blend Fund, (c) 6,728 shares of Class A common stock held by Minnesota Life Insurance Company,</w:t>
      </w:r>
    </w:p>
    <w:p>
      <w:pPr>
        <w:jc w:val="both"/>
        <w:ind w:left="600" w:right="320" w:hanging="5"/>
        <w:spacing w:after="0" w:line="239" w:lineRule="auto"/>
        <w:tabs>
          <w:tab w:leader="none" w:pos="814" w:val="left"/>
        </w:tabs>
        <w:numPr>
          <w:ilvl w:val="1"/>
          <w:numId w:val="72"/>
        </w:numPr>
        <w:rPr>
          <w:rFonts w:ascii="Arial" w:cs="Arial" w:eastAsia="Arial" w:hAnsi="Arial"/>
          <w:sz w:val="14"/>
          <w:szCs w:val="14"/>
          <w:color w:val="auto"/>
        </w:rPr>
      </w:pPr>
      <w:r>
        <w:rPr>
          <w:rFonts w:ascii="Arial" w:cs="Arial" w:eastAsia="Arial" w:hAnsi="Arial"/>
          <w:sz w:val="14"/>
          <w:szCs w:val="14"/>
          <w:color w:val="auto"/>
        </w:rPr>
        <w:t>307,867 shares of Class A common stock held by T. Rowe Price Institutional Small-Cap Stock Fund, (b) 624 shares of Class A common stock held by T. Rowe Price Moderate Allocation Portfolio, (e) 2,115,564 shares of Class A common stock held by T. Rowe Price New Horizons Fund, Inc., (f) 180,584 shares of Class A common stock held by T. Rowe Price New Horizons Trust, (g) 584,987 shares of Class A common stock held by T. Rowe Price Small-Cap Stock Fund, Inc.,</w:t>
      </w:r>
    </w:p>
    <w:p>
      <w:pPr>
        <w:ind w:left="600" w:right="40" w:hanging="5"/>
        <w:spacing w:after="0" w:line="239" w:lineRule="auto"/>
        <w:tabs>
          <w:tab w:leader="none" w:pos="814" w:val="left"/>
        </w:tabs>
        <w:numPr>
          <w:ilvl w:val="1"/>
          <w:numId w:val="73"/>
        </w:numPr>
        <w:rPr>
          <w:rFonts w:ascii="Arial" w:cs="Arial" w:eastAsia="Arial" w:hAnsi="Arial"/>
          <w:sz w:val="14"/>
          <w:szCs w:val="14"/>
          <w:color w:val="auto"/>
        </w:rPr>
      </w:pPr>
      <w:r>
        <w:rPr>
          <w:rFonts w:ascii="Arial" w:cs="Arial" w:eastAsia="Arial" w:hAnsi="Arial"/>
          <w:sz w:val="14"/>
          <w:szCs w:val="14"/>
          <w:color w:val="auto"/>
        </w:rPr>
        <w:t>561,828 shares of Class A common stock held by T. Rowe Price Small-Cap Value Fund, Inc., (i) 5,224 shares of Class A common stock held by T. Rowe Price Spectrum Conservative Allocation Fund, (j) 8,213 shares of Class A common stock held by T. Rowe Price Spectrum Moderate Allocation Fund, (k) 13,856 shares of Class A common stock held by T. Rowe Price Spectrum Moderate Growth Allocation Fund, (l) 28,062 shares of Class A common stock held by T. Rowe Price U.S. Equities Trust, (m) 150,968 shares of Class A common stock held by T. Rowe Price Small-Cap Core Equity Trust, (n) 178,239 shares of Class A common stock held by T. Rowe Price Small-Cap Value Equity Trust, (o) 24,899 shares of Class A common stock held by TD Mutual Funds - TD U.S. Small-Cap Equity Fund, (p) 28,797 shares of Class A common stock held by U.S. Small-Cap Stock Trust and (q) 6,450 shares of Class A common stock held by VALIC Company I - Small Cap Fund. T. Rowe Price Associates, Inc., or TRPA, serves as investment advisor with power to direct investments and/or sole power to vote the shares held by the funds and accounts listed above. TRPA is the wholly owned subsidiary of T. Rowe Price Group, Inc., which is a publicly traded financial services holding company. T. Rowe Price Investment Services, Inc., or TRPIS, a registered broker-dealer and FINRA member, is a subsidiary of TRPA. TRPIS was formed primarily for the limited purpose of acting as the principal underwriter and distributor of shares of the funds in the TRPG fund family. TRPIS does not engage in underwriting or market-making activities involving individual securities. TRPG provides brokerage services through TRPIS primarily to complement the other services provided to shareholders of the TRPG funds. The address of each of these entities is 100 East Pratt Street, Baltimore, Maryland 21202.</w:t>
      </w:r>
    </w:p>
    <w:p>
      <w:pPr>
        <w:spacing w:after="0" w:line="1" w:lineRule="exact"/>
        <w:rPr>
          <w:rFonts w:ascii="Arial" w:cs="Arial" w:eastAsia="Arial" w:hAnsi="Arial"/>
          <w:sz w:val="14"/>
          <w:szCs w:val="14"/>
          <w:color w:val="auto"/>
        </w:rPr>
      </w:pPr>
    </w:p>
    <w:p>
      <w:pPr>
        <w:ind w:left="60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3,427,779 shares of Class A common stock held by Foundry Group Next 2018, L.P. and (b) 534,328 shares of Class A common stock held by Foundry Venture Capital 2016, L.P. FG Next FGP 2018, LLC, or FG Next LLC, is the general partner of Foundry Group Next 2018, L.P. Brad Feld, Seth Levine, Ryan McIntyre, Lindel Eakman and Chris Moody are the managing members of FG Next GP 2018, LLC, FG Next LLC, and as such, may be deemed to share voting and investment power over the shares held by Foundry Group Next 2018, L.P. Foundry Venture 2016 LLC, or Foundry Venture LLC, is the general partner of Foundry Venture Capital 2016, L.P. Brad Feld, Seth Levine and Ryan McIntyre are managing members of Foundry Venture 2016, LLC, and as such, may be deemed to share voting and investment power over the shares held by Foundry Venture Capital 2016, L.P. The address of each of these entities is 700 Front Street, Suite 104, Louisville, Colorado 80027.</w:t>
      </w:r>
    </w:p>
    <w:p>
      <w:pPr>
        <w:spacing w:after="0" w:line="1" w:lineRule="exact"/>
        <w:rPr>
          <w:rFonts w:ascii="Arial" w:cs="Arial" w:eastAsia="Arial" w:hAnsi="Arial"/>
          <w:sz w:val="14"/>
          <w:szCs w:val="14"/>
          <w:color w:val="auto"/>
        </w:rPr>
      </w:pPr>
    </w:p>
    <w:p>
      <w:pPr>
        <w:ind w:left="600" w:right="16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2,825,254 shares of Class A common stock held by BMW i Ventures SCS, SICAV RAIF. BMW i Ventures, Inc. has power to direct investments and/or vote the shares held by BMW i Ventures SCS, SICAV RAIF. BMW i Ventures, Inc. is the corporate venture capital investment arm of BMW Group. The address of each of these entities is 2606 Bayshore Pkwy, Mountain View, California 94043.</w:t>
      </w:r>
    </w:p>
    <w:p>
      <w:pPr>
        <w:ind w:left="600" w:right="14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1,071,727 shares of Class A common stock held by Greenspring Global Partners IX-A, L.P., or GGPIX-A, (b) 35,058 shares of Class A common stock held by Greenspring Global Partners IX-C, L.P., or GGPIX-C, (c) 1,526,951 shares of Class A common stock held by Greenspring Opportunities V, L.P., or GOV, and</w:t>
      </w:r>
    </w:p>
    <w:p>
      <w:pPr>
        <w:ind w:left="600" w:right="100" w:hanging="5"/>
        <w:spacing w:after="0" w:line="239" w:lineRule="auto"/>
        <w:tabs>
          <w:tab w:leader="none" w:pos="814" w:val="left"/>
        </w:tabs>
        <w:numPr>
          <w:ilvl w:val="1"/>
          <w:numId w:val="74"/>
        </w:numPr>
        <w:rPr>
          <w:rFonts w:ascii="Arial" w:cs="Arial" w:eastAsia="Arial" w:hAnsi="Arial"/>
          <w:sz w:val="14"/>
          <w:szCs w:val="14"/>
          <w:color w:val="auto"/>
        </w:rPr>
      </w:pPr>
      <w:r>
        <w:rPr>
          <w:rFonts w:ascii="Arial" w:cs="Arial" w:eastAsia="Arial" w:hAnsi="Arial"/>
          <w:sz w:val="14"/>
          <w:szCs w:val="14"/>
          <w:color w:val="auto"/>
        </w:rPr>
        <w:t>134,730 shares of Class A common stock held by Greenspring Opportunities V-D, L.P., or GOV-D. GGPIX-A, GGPIX-C, GOV and GOV-D are collectively referred to as the Greenspring Funds. Greenspring Associates, LLC is the investment manager of the Greenspring Funds. Ashton Newhall and James Lim are managing general partners of Greenspring Associates, LLC. The address of each of these entities is 100 Painters Mill Rd. Owings Mills, Maryland 21117.</w:t>
      </w:r>
    </w:p>
    <w:p>
      <w:pPr>
        <w:ind w:left="600" w:right="40" w:hanging="433"/>
        <w:spacing w:after="0" w:line="239"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1,475,311 shares of Class A common stock held directly by Mr. Altschuler, (b)(i) 188,510 shares of Class A common stock underlying outstanding options held by Mr. Altschuler that are immediately exercisable or will be immediately exercisable within 60 days of May 30, 2021, (ii) 105,000 shares of Class A common stock held by the 2021 Tigers Trust, over which Mr. Altschuler may be deemed to exercise voting control, (iii) 347,222 shares of Class A common stock held by the Matthew Sladkin Altschuler 2012 Trust, over which Mr. Altschuler may be deemed to exercise voting control, (iv) 347,222 shares of Class A common stock held by the Noah Sladkin Altschuler 2012 Trust, over which Mr. Altschuler may be deemed to exercise voting control, (v) 347,222 shares of Class A common stock held by the Sasha Sladkin Altschuler 2012 Trust, over which Mr. Altschuler may be deemed to exercise voting control, (vi) 500,000 shares of Class A common stock held by The Altschuler Family Trust (2020), over which Mr. Altschuler may be deemed to exercise voting control, and (vii) 731,143 shares of Class A common stock held by Cheryl Altschuler, Mr. Altschuler’s spouse.</w:t>
      </w:r>
    </w:p>
    <w:p>
      <w:pPr>
        <w:spacing w:after="0" w:line="1" w:lineRule="exact"/>
        <w:rPr>
          <w:rFonts w:ascii="Arial" w:cs="Arial" w:eastAsia="Arial" w:hAnsi="Arial"/>
          <w:sz w:val="14"/>
          <w:szCs w:val="14"/>
          <w:color w:val="auto"/>
        </w:rPr>
      </w:pPr>
    </w:p>
    <w:p>
      <w:pPr>
        <w:ind w:left="600" w:right="80" w:hanging="433"/>
        <w:spacing w:after="0" w:line="242"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2,156,250 shares of Class A common stock held directly by Mr. Zuriff, (b)(i) 76,320 shares of Class A common stock underlying outstanding options held by Mr. Zuriff that are immediately exercisable or will be immediately exercisable within 60 days of May 30, 2021, (ii) 300,000 shares of Class A common stock held by the Jason Eric Zuriff Trust, over which Mr. Zuriff may be deemed to exercise voting control, (iii) 300,000 shares of Class A common stock held by the Sophie Anna Zuriff Trust, over which Mr. Zuriff may be deemed to exercise voting control, and (iv) 300,000 shares of Class A common stock held by the Zuriff Family 2020 Trust, over which Mr. Zuriff may be deemed to exercise voting control and (v) 201,176</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6"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shares of Class A common stock held by ZFI Capital, LP, over which Mr. Zuriff may be deemed to exercise voting and dispositive control.</w:t>
      </w:r>
    </w:p>
    <w:p>
      <w:pPr>
        <w:ind w:left="600" w:right="640" w:hanging="433"/>
        <w:spacing w:after="0" w:line="239"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143,382 shares of Class A common stock underlying outstanding options held by Mr. Rallo that are immediately exercisable or will be immediately exercisable within 60 days of May 30, 2021.</w:t>
      </w:r>
    </w:p>
    <w:p>
      <w:pPr>
        <w:ind w:left="600" w:right="320" w:hanging="433"/>
        <w:spacing w:after="0" w:line="239"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(a) 88,125 shares of Class A common stock held by Mr. Goguen and (b) 5,625 shares of Class A common stock underlying outstanding options held by Mr. Goguen that are immediately exercisable or will be immediately exercisable within 60 days of May 30, 2021.</w:t>
      </w:r>
    </w:p>
    <w:p>
      <w:pPr>
        <w:ind w:left="600" w:hanging="433"/>
        <w:spacing w:after="0"/>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127,925 shares of Class A common stock held by Mr. Hornig.</w:t>
      </w:r>
    </w:p>
    <w:p>
      <w:pPr>
        <w:ind w:left="600" w:right="660" w:hanging="433"/>
        <w:spacing w:after="0" w:line="239"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5,833 shares of Class A common stock underlying outstanding options held by Ms. Rollins that are immediately exercisable or will be immediately exercisable within 60 days of May 30, 2021.</w:t>
      </w:r>
    </w:p>
    <w:p>
      <w:pPr>
        <w:ind w:left="600" w:hanging="433"/>
        <w:spacing w:after="0" w:line="239"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14,583 shares of Class A common stock underlying outstanding options held by Ms. Bial that are immediately exercisable or will be immediately exercisable within 60 days of May 30, 2021.</w:t>
      </w:r>
    </w:p>
    <w:p>
      <w:pPr>
        <w:ind w:left="600" w:right="420" w:hanging="433"/>
        <w:spacing w:after="0" w:line="239"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(a) 96,825 shares of Class A common stock held by Mr. Rosati and (b) 9,683 shares of Class A common stock underlying outstanding options held by Mr. Rosati that are immediately exercisable or will be immediately exercisable within 60 days of May 30, 2021.</w:t>
      </w:r>
    </w:p>
    <w:p>
      <w:pPr>
        <w:ind w:left="600" w:right="320" w:hanging="433"/>
        <w:spacing w:after="0" w:line="239"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14,583 shares of Class A common stock held by Ms. Weymouth underlying outstanding options that are immediately exercisable or will be immediately exercisable within 60 days of May 30, 2021.</w:t>
      </w:r>
    </w:p>
    <w:p>
      <w:pPr>
        <w:ind w:left="600" w:right="120" w:hanging="433"/>
        <w:spacing w:after="0" w:line="254"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(a) 13,723,118 shares of Class A common stock held by our directors and executive officers and (b) 480,911 shares of Class A common stock underlying outstanding options held by our directors and executive officers that are immediately exercisable or will be immediately exercisable within 60 days of May 30, 2021.</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980"/>
          </w:cols>
          <w:pgMar w:left="320" w:top="456" w:right="5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CAPITAL STOCK</w:t>
      </w:r>
    </w:p>
    <w:p>
      <w:pPr>
        <w:spacing w:after="0" w:line="1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General</w:t>
      </w:r>
    </w:p>
    <w:p>
      <w:pPr>
        <w:spacing w:after="0" w:line="230" w:lineRule="exact"/>
        <w:rPr>
          <w:sz w:val="20"/>
          <w:szCs w:val="20"/>
          <w:color w:val="auto"/>
        </w:rPr>
      </w:pPr>
    </w:p>
    <w:p>
      <w:pPr>
        <w:ind w:left="160" w:right="40" w:firstLine="546"/>
        <w:spacing w:after="0" w:line="235"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completion of this offering.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204"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On the completion of this offering, our amended and restated certificate of incorporation will provide for two classes of common stock: Class A common stock and Class B common stock. In addition, our amended and restated certificate of incorporation that will be in effect on the completion of this offering will authorize shares of undesignated preferred stock, the rights, preferences and privileges of which may be designated from time to time by our board of directors.</w:t>
      </w:r>
    </w:p>
    <w:p>
      <w:pPr>
        <w:sectPr>
          <w:pgSz w:w="11900" w:h="16838" w:orient="portrait"/>
          <w:cols w:equalWidth="0" w:num="1">
            <w:col w:w="10980"/>
          </w:cols>
          <w:pgMar w:left="320" w:top="456" w:right="599" w:bottom="1440" w:gutter="0" w:footer="0" w:header="0"/>
        </w:sectPr>
      </w:pPr>
    </w:p>
    <w:p>
      <w:pPr>
        <w:spacing w:after="0" w:line="202"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Upon the completion of this offering, our authorized capital stock will consist of per share, of which:</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shares, all with a par value of $0.000001</w:t>
      </w:r>
    </w:p>
    <w:p>
      <w:pPr>
        <w:spacing w:after="0" w:line="325" w:lineRule="exact"/>
        <w:rPr>
          <w:sz w:val="20"/>
          <w:szCs w:val="20"/>
          <w:color w:val="auto"/>
        </w:rPr>
      </w:pPr>
    </w:p>
    <w:p>
      <w:pPr>
        <w:sectPr>
          <w:pgSz w:w="11900" w:h="16838" w:orient="portrait"/>
          <w:cols w:equalWidth="0" w:num="2">
            <w:col w:w="7060" w:space="720"/>
            <w:col w:w="3200"/>
          </w:cols>
          <w:pgMar w:left="320" w:top="456" w:right="59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Class A common stock;</w:t>
      </w:r>
    </w:p>
    <w:p>
      <w:pPr>
        <w:spacing w:after="0" w:line="125" w:lineRule="exact"/>
        <w:rPr>
          <w:sz w:val="20"/>
          <w:szCs w:val="20"/>
          <w:color w:val="auto"/>
        </w:rPr>
      </w:pPr>
    </w:p>
    <w:p>
      <w:pPr>
        <w:sectPr>
          <w:pgSz w:w="11900" w:h="16838" w:orient="portrait"/>
          <w:cols w:equalWidth="0" w:num="2">
            <w:col w:w="1040" w:space="720"/>
            <w:col w:w="9220"/>
          </w:cols>
          <w:pgMar w:left="320" w:top="456" w:right="59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Class B common stock; and</w:t>
      </w:r>
    </w:p>
    <w:p>
      <w:pPr>
        <w:spacing w:after="0" w:line="125" w:lineRule="exact"/>
        <w:rPr>
          <w:sz w:val="20"/>
          <w:szCs w:val="20"/>
          <w:color w:val="auto"/>
        </w:rPr>
      </w:pPr>
    </w:p>
    <w:p>
      <w:pPr>
        <w:sectPr>
          <w:pgSz w:w="11900" w:h="16838" w:orient="portrait"/>
          <w:cols w:equalWidth="0" w:num="2">
            <w:col w:w="1040" w:space="720"/>
            <w:col w:w="9220"/>
          </w:cols>
          <w:pgMar w:left="320" w:top="456" w:right="59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preferred stock.</w:t>
      </w:r>
    </w:p>
    <w:p>
      <w:pPr>
        <w:spacing w:after="0" w:line="200" w:lineRule="exact"/>
        <w:rPr>
          <w:sz w:val="20"/>
          <w:szCs w:val="20"/>
          <w:color w:val="auto"/>
        </w:rPr>
      </w:pPr>
    </w:p>
    <w:p>
      <w:pPr>
        <w:sectPr>
          <w:pgSz w:w="11900" w:h="16838" w:orient="portrait"/>
          <w:cols w:equalWidth="0" w:num="2">
            <w:col w:w="1040" w:space="720"/>
            <w:col w:w="9220"/>
          </w:cols>
          <w:pgMar w:left="320" w:top="456" w:right="599" w:bottom="1440" w:gutter="0" w:footer="0" w:header="0"/>
          <w:type w:val="continuous"/>
        </w:sectPr>
      </w:pPr>
    </w:p>
    <w:p>
      <w:pPr>
        <w:spacing w:after="0" w:line="19" w:lineRule="exact"/>
        <w:rPr>
          <w:sz w:val="20"/>
          <w:szCs w:val="20"/>
          <w:color w:val="auto"/>
        </w:rPr>
      </w:pPr>
    </w:p>
    <w:p>
      <w:pPr>
        <w:ind w:left="160" w:right="220" w:firstLine="546"/>
        <w:spacing w:after="0" w:line="236" w:lineRule="auto"/>
        <w:rPr>
          <w:sz w:val="20"/>
          <w:szCs w:val="20"/>
          <w:color w:val="auto"/>
        </w:rPr>
      </w:pPr>
      <w:r>
        <w:rPr>
          <w:rFonts w:ascii="Arial" w:cs="Arial" w:eastAsia="Arial" w:hAnsi="Arial"/>
          <w:sz w:val="18"/>
          <w:szCs w:val="18"/>
          <w:color w:val="auto"/>
        </w:rPr>
        <w:t>As of March 31, 2021, assuming (i) the reclassification of our outstanding common stock into an aggregate of shares of Class A common stock, (ii) the conversion of all of our outstanding shares of preferred stock into an aggregate of 27,758,941 shares of Class A common stock and (iii) the exchange of certain shares of Class A common stock held by our co-founders for shares of our Class B common stock, we had outstanding:</w:t>
      </w:r>
    </w:p>
    <w:p>
      <w:pPr>
        <w:spacing w:after="0" w:line="109" w:lineRule="exact"/>
        <w:rPr>
          <w:sz w:val="20"/>
          <w:szCs w:val="20"/>
          <w:color w:val="auto"/>
        </w:rPr>
      </w:pPr>
    </w:p>
    <w:p>
      <w:pPr>
        <w:ind w:left="1760" w:hanging="1058"/>
        <w:spacing w:after="0"/>
        <w:tabs>
          <w:tab w:leader="none" w:pos="1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of Class A common stock; and</w:t>
      </w:r>
    </w:p>
    <w:p>
      <w:pPr>
        <w:spacing w:after="0" w:line="113" w:lineRule="exact"/>
        <w:rPr>
          <w:rFonts w:ascii="Arial" w:cs="Arial" w:eastAsia="Arial" w:hAnsi="Arial"/>
          <w:sz w:val="18"/>
          <w:szCs w:val="18"/>
          <w:color w:val="auto"/>
        </w:rPr>
      </w:pPr>
    </w:p>
    <w:p>
      <w:pPr>
        <w:ind w:left="1760" w:hanging="1058"/>
        <w:spacing w:after="0"/>
        <w:tabs>
          <w:tab w:leader="none" w:pos="1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of Class B common stock.</w:t>
      </w:r>
    </w:p>
    <w:p>
      <w:pPr>
        <w:spacing w:after="0" w:line="208" w:lineRule="exact"/>
        <w:rPr>
          <w:sz w:val="20"/>
          <w:szCs w:val="20"/>
          <w:color w:val="auto"/>
        </w:rPr>
      </w:pPr>
    </w:p>
    <w:p>
      <w:pPr>
        <w:ind w:left="160" w:right="200" w:firstLine="546"/>
        <w:spacing w:after="0" w:line="237" w:lineRule="auto"/>
        <w:rPr>
          <w:sz w:val="20"/>
          <w:szCs w:val="20"/>
          <w:color w:val="auto"/>
        </w:rPr>
      </w:pPr>
      <w:r>
        <w:rPr>
          <w:rFonts w:ascii="Arial" w:cs="Arial" w:eastAsia="Arial" w:hAnsi="Arial"/>
          <w:sz w:val="18"/>
          <w:szCs w:val="18"/>
          <w:color w:val="auto"/>
        </w:rPr>
        <w:t>Our outstanding capital stock was held by stockholders of record as of March 31, 2021. Our board of directors will be authorized, without stockholder approval except as required by the listing standards of Nasdaq, to issue additional shares of our capital stock.</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Voting Rights</w:t>
      </w:r>
    </w:p>
    <w:p>
      <w:pPr>
        <w:spacing w:after="0" w:line="123"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 Holders of shares of Class A common stock and Class B common stock will vote together as a single class on all matters (including the election of directors) submitted to a vote of stockholders.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04" w:lineRule="exact"/>
        <w:rPr>
          <w:sz w:val="20"/>
          <w:szCs w:val="20"/>
          <w:color w:val="auto"/>
        </w:rPr>
      </w:pPr>
    </w:p>
    <w:p>
      <w:pPr>
        <w:ind w:left="160" w:right="380" w:firstLine="546"/>
        <w:spacing w:after="0" w:line="239"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80"/>
          </w:cols>
          <w:pgMar w:left="320" w:top="456" w:right="59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23" w:lineRule="exact"/>
        <w:rPr>
          <w:sz w:val="20"/>
          <w:szCs w:val="20"/>
          <w:color w:val="auto"/>
        </w:rPr>
      </w:pPr>
    </w:p>
    <w:p>
      <w:pPr>
        <w:ind w:left="160" w:right="140" w:firstLine="546"/>
        <w:spacing w:after="0" w:line="257" w:lineRule="auto"/>
        <w:rPr>
          <w:sz w:val="20"/>
          <w:szCs w:val="20"/>
          <w:color w:val="auto"/>
        </w:rPr>
      </w:pPr>
      <w:r>
        <w:rPr>
          <w:rFonts w:ascii="Arial" w:cs="Arial" w:eastAsia="Arial" w:hAnsi="Arial"/>
          <w:sz w:val="17"/>
          <w:szCs w:val="17"/>
          <w:color w:val="auto"/>
        </w:rPr>
        <w:t>Except as otherwise will be expressly provided in our amended and restated certificate of incorporation that will be in effect on the completion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66" w:lineRule="exact"/>
        <w:rPr>
          <w:sz w:val="20"/>
          <w:szCs w:val="20"/>
          <w:color w:val="auto"/>
        </w:rPr>
      </w:pPr>
    </w:p>
    <w:p>
      <w:pPr>
        <w:ind w:left="160" w:firstLine="546"/>
        <w:spacing w:after="0"/>
        <w:rPr>
          <w:sz w:val="20"/>
          <w:szCs w:val="20"/>
          <w:color w:val="auto"/>
        </w:rPr>
      </w:pPr>
      <w:r>
        <w:rPr>
          <w:rFonts w:ascii="Arial" w:cs="Arial" w:eastAsia="Arial" w:hAnsi="Arial"/>
          <w:sz w:val="18"/>
          <w:szCs w:val="18"/>
          <w:b w:val="1"/>
          <w:bCs w:val="1"/>
          <w:i w:val="1"/>
          <w:iCs w:val="1"/>
          <w:color w:val="auto"/>
        </w:rPr>
        <w:t>Dividends and Distributions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preferences that may apply to any shares of preferred stock outstanding at the time,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82" w:lineRule="exact"/>
        <w:rPr>
          <w:sz w:val="20"/>
          <w:szCs w:val="20"/>
          <w:color w:val="auto"/>
        </w:rPr>
      </w:pPr>
    </w:p>
    <w:p>
      <w:pPr>
        <w:ind w:left="160" w:right="320" w:firstLine="546"/>
        <w:spacing w:after="0"/>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liquidation, dissolution or winding-up, the holders of Class A common stock and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2" w:lineRule="exact"/>
        <w:rPr>
          <w:sz w:val="20"/>
          <w:szCs w:val="20"/>
          <w:color w:val="auto"/>
        </w:rPr>
      </w:pPr>
    </w:p>
    <w:p>
      <w:pPr>
        <w:ind w:left="160" w:right="100" w:firstLine="546"/>
        <w:spacing w:after="0" w:line="238" w:lineRule="auto"/>
        <w:rPr>
          <w:sz w:val="20"/>
          <w:szCs w:val="20"/>
          <w:color w:val="auto"/>
        </w:rPr>
      </w:pPr>
      <w:r>
        <w:rPr>
          <w:rFonts w:ascii="Arial" w:cs="Arial" w:eastAsia="Arial" w:hAnsi="Arial"/>
          <w:sz w:val="18"/>
          <w:szCs w:val="18"/>
          <w:b w:val="1"/>
          <w:bCs w:val="1"/>
          <w:i w:val="1"/>
          <w:iCs w:val="1"/>
          <w:color w:val="auto"/>
        </w:rPr>
        <w:t>Change of Control Transactions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Class A common stock and Class B common stock will be treated equally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identically with respect to shares of Class A common stock and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w:t>
      </w:r>
    </w:p>
    <w:p>
      <w:pPr>
        <w:spacing w:after="0" w:line="3" w:lineRule="exact"/>
        <w:rPr>
          <w:sz w:val="20"/>
          <w:szCs w:val="20"/>
          <w:color w:val="auto"/>
        </w:rPr>
      </w:pPr>
    </w:p>
    <w:p>
      <w:pPr>
        <w:ind w:left="160" w:right="80" w:firstLine="7"/>
        <w:spacing w:after="0" w:line="234" w:lineRule="auto"/>
        <w:tabs>
          <w:tab w:leader="none" w:pos="4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1" w:lineRule="exact"/>
        <w:rPr>
          <w:sz w:val="20"/>
          <w:szCs w:val="20"/>
          <w:color w:val="auto"/>
        </w:rPr>
      </w:pPr>
    </w:p>
    <w:p>
      <w:pPr>
        <w:ind w:left="160" w:right="240" w:firstLine="546"/>
        <w:spacing w:after="0" w:line="265" w:lineRule="auto"/>
        <w:rPr>
          <w:sz w:val="20"/>
          <w:szCs w:val="20"/>
          <w:color w:val="auto"/>
        </w:rPr>
      </w:pPr>
      <w:r>
        <w:rPr>
          <w:rFonts w:ascii="Arial" w:cs="Arial" w:eastAsia="Arial" w:hAnsi="Arial"/>
          <w:sz w:val="18"/>
          <w:szCs w:val="18"/>
          <w:b w:val="1"/>
          <w:bCs w:val="1"/>
          <w:i w:val="1"/>
          <w:iCs w:val="1"/>
          <w:color w:val="auto"/>
        </w:rPr>
        <w:t>Subdivisions and Combinations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subdivide or combine in any manner outstanding shares of Class A common stock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B common stock, the outstanding shares of the other classes will be subdivided or combined in the same manner.</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23" w:lineRule="exact"/>
        <w:rPr>
          <w:sz w:val="20"/>
          <w:szCs w:val="20"/>
          <w:color w:val="auto"/>
        </w:rPr>
      </w:pPr>
    </w:p>
    <w:p>
      <w:pPr>
        <w:ind w:left="160" w:right="140" w:firstLine="546"/>
        <w:spacing w:after="0" w:line="268" w:lineRule="auto"/>
        <w:rPr>
          <w:sz w:val="20"/>
          <w:szCs w:val="20"/>
          <w:color w:val="auto"/>
        </w:rPr>
      </w:pPr>
      <w:r>
        <w:rPr>
          <w:rFonts w:ascii="Arial" w:cs="Arial" w:eastAsia="Arial" w:hAnsi="Arial"/>
          <w:sz w:val="17"/>
          <w:szCs w:val="17"/>
          <w:color w:val="auto"/>
        </w:rPr>
        <w:t>Our Class A common stock and Class B common stock will not be entitled to preemptive rights, and are not subject to conversion, redemption or sinking fund provisions, except for the conversion provisions with respect to the Class B common stock described below.</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Conversion</w:t>
      </w:r>
    </w:p>
    <w:p>
      <w:pPr>
        <w:spacing w:after="0" w:line="123"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After the completion of this offering, on any transfer of shares of Class B common stock, whether or not for value, each such transferred share will automatically convert into one share of Class A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w:t>
      </w:r>
    </w:p>
    <w:p>
      <w:pPr>
        <w:spacing w:after="0" w:line="195"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Any holder’s shares of Class B common stock will convert automatically into Class A common stock, on a one-to-one basis, upon the following: (1) sale or transfer of such share of Class B common stock; (2) the death of the Class B common stockholder; (3) such holder’s departure from our board of directors; and (4) on the final conversion date, defined as the earliest of (a) the first trading day on or after the date on which the then-outstanding shares of Class B common stock represent less than 5% of the then outstanding common stock; (b) the seventh anniversary of this offering; or (c) the date specified by vote of the holders of a majority of the outstanding shares of Class B common stock.</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Once transferred and converted into Class A common stock, the Class B common stock may not be reissued.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3" w:lineRule="exact"/>
        <w:rPr>
          <w:sz w:val="20"/>
          <w:szCs w:val="20"/>
          <w:color w:val="auto"/>
        </w:rPr>
      </w:pPr>
    </w:p>
    <w:p>
      <w:pPr>
        <w:ind w:left="160" w:right="300" w:firstLine="546"/>
        <w:spacing w:after="0" w:line="239"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under this offering will be fully paid and non-assessable.</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Preferred Stock</w:t>
      </w:r>
    </w:p>
    <w:p>
      <w:pPr>
        <w:spacing w:after="0" w:line="230"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As of March 31, 2021 there were 27,758,941 shares of our preferred stock outstanding. In connection with this offering, each outstanding share of our preferred stock will convert into one share of our Class A common stock and certain shares of Class A common stock held by our co-founders will be exchanged for shares of our Class B common stock.</w:t>
      </w:r>
    </w:p>
    <w:p>
      <w:pPr>
        <w:spacing w:after="0" w:line="1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On the completion of this offering and under our amended and restated certificate of incorporation that will be in effect on the</w:t>
      </w:r>
    </w:p>
    <w:p>
      <w:pPr>
        <w:jc w:val="center"/>
        <w:ind w:right="-119"/>
        <w:spacing w:after="0"/>
        <w:rPr>
          <w:sz w:val="20"/>
          <w:szCs w:val="20"/>
          <w:color w:val="auto"/>
        </w:rPr>
      </w:pPr>
      <w:r>
        <w:rPr>
          <w:rFonts w:ascii="Arial" w:cs="Arial" w:eastAsia="Arial" w:hAnsi="Arial"/>
          <w:sz w:val="17"/>
          <w:szCs w:val="17"/>
          <w:color w:val="auto"/>
        </w:rPr>
        <w:t>completion of this offering, our board of directors may, without further action by our stockholders, fix the rights, preferences, privileges and</w:t>
      </w:r>
    </w:p>
    <w:p>
      <w:pPr>
        <w:spacing w:after="0" w:line="5"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restrictions of up to an aggregate of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B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have no present plan to issue any shares of preferred stock.</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Options</w:t>
      </w:r>
    </w:p>
    <w:p>
      <w:pPr>
        <w:spacing w:after="0" w:line="230"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As of March 31, 2021, we had outstanding options to purchase 2,742,441 shares of our Class A common stock, with a weighted-average exercise price of approximately $3.43 per share, under our 2016 Plan.</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60"/>
          </w:cols>
          <w:pgMar w:left="320" w:top="456"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Warrants</w:t>
      </w:r>
    </w:p>
    <w:p>
      <w:pPr>
        <w:spacing w:after="0" w:line="230"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As of March 31, 2021, we had outstanding warrants to purchase 112,026 shares of our Class A common stock, with a weighted-average exercise price of approximately $4.37 per share.</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Rights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12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This investor rights agreement was entered into in July 17, 2020.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202"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is a part, or with respect to any particular stockholder, such time after the effective date of the registration statement that such stockholder (a) holds less than 1% of our outstanding common stock (including shares issuable on conversion of outstanding preferred stock) and (b) can sell all of its shares under Rule 144 of the Securities Act during any 90-day period.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6" w:lineRule="exact"/>
        <w:rPr>
          <w:sz w:val="20"/>
          <w:szCs w:val="20"/>
          <w:color w:val="auto"/>
        </w:rPr>
      </w:pPr>
    </w:p>
    <w:p>
      <w:pPr>
        <w:ind w:left="720"/>
        <w:spacing w:after="0"/>
        <w:tabs>
          <w:tab w:leader="none" w:pos="3920" w:val="left"/>
          <w:tab w:leader="none" w:pos="806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7"/>
          <w:szCs w:val="17"/>
          <w:color w:val="auto"/>
        </w:rPr>
        <w:t>shares of our Class B common stock</w:t>
      </w:r>
    </w:p>
    <w:p>
      <w:pPr>
        <w:ind w:left="160" w:right="120"/>
        <w:spacing w:after="0" w:line="236" w:lineRule="auto"/>
        <w:rPr>
          <w:sz w:val="20"/>
          <w:szCs w:val="20"/>
          <w:color w:val="auto"/>
        </w:rPr>
      </w:pPr>
      <w:r>
        <w:rPr>
          <w:rFonts w:ascii="Arial" w:cs="Arial" w:eastAsia="Arial" w:hAnsi="Arial"/>
          <w:sz w:val="18"/>
          <w:szCs w:val="18"/>
          <w:color w:val="auto"/>
        </w:rPr>
        <w:t>will be entitled to certain demand registration rights. At any time beginning 180 days after the completion of this offering, the holders of at least 40% of these shares may, on not more than one occasion, request that we register all or a portion of their shares. Such request for registration must cover shares with an anticipated aggregate offering price, net of underwriting discounts and commissions, of at least $5 million.</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6" w:lineRule="exact"/>
        <w:rPr>
          <w:sz w:val="20"/>
          <w:szCs w:val="20"/>
          <w:color w:val="auto"/>
        </w:rPr>
      </w:pPr>
    </w:p>
    <w:p>
      <w:pPr>
        <w:ind w:left="720"/>
        <w:spacing w:after="0"/>
        <w:tabs>
          <w:tab w:leader="none" w:pos="6360" w:val="left"/>
          <w:tab w:leader="none" w:pos="10480" w:val="left"/>
        </w:tabs>
        <w:rPr>
          <w:sz w:val="20"/>
          <w:szCs w:val="20"/>
          <w:color w:val="auto"/>
        </w:rPr>
      </w:pPr>
      <w:r>
        <w:rPr>
          <w:rFonts w:ascii="Arial" w:cs="Arial" w:eastAsia="Arial" w:hAnsi="Arial"/>
          <w:sz w:val="18"/>
          <w:szCs w:val="18"/>
          <w:color w:val="auto"/>
        </w:rPr>
        <w:t>In connection with this offering, the holders of an aggregate of</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7"/>
          <w:szCs w:val="17"/>
          <w:color w:val="auto"/>
        </w:rPr>
        <w:t>shares</w:t>
      </w:r>
    </w:p>
    <w:p>
      <w:pPr>
        <w:ind w:left="160"/>
        <w:spacing w:after="0" w:line="234" w:lineRule="auto"/>
        <w:rPr>
          <w:sz w:val="20"/>
          <w:szCs w:val="20"/>
          <w:color w:val="auto"/>
        </w:rPr>
      </w:pPr>
      <w:r>
        <w:rPr>
          <w:rFonts w:ascii="Arial" w:cs="Arial" w:eastAsia="Arial" w:hAnsi="Arial"/>
          <w:sz w:val="18"/>
          <w:szCs w:val="18"/>
          <w:color w:val="auto"/>
        </w:rPr>
        <w:t>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40"/>
          </w:cols>
          <w:pgMar w:left="320" w:top="456" w:right="5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6" w:lineRule="exact"/>
        <w:rPr>
          <w:sz w:val="20"/>
          <w:szCs w:val="20"/>
          <w:color w:val="auto"/>
        </w:rPr>
      </w:pPr>
    </w:p>
    <w:p>
      <w:pPr>
        <w:ind w:left="720"/>
        <w:spacing w:after="0"/>
        <w:tabs>
          <w:tab w:leader="none" w:pos="3920" w:val="left"/>
          <w:tab w:leader="none" w:pos="804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7"/>
          <w:szCs w:val="17"/>
          <w:color w:val="auto"/>
        </w:rPr>
        <w:t>shares of our Class B common stock</w:t>
      </w:r>
    </w:p>
    <w:p>
      <w:pPr>
        <w:ind w:left="160" w:right="20"/>
        <w:spacing w:after="0" w:line="236" w:lineRule="auto"/>
        <w:rPr>
          <w:sz w:val="20"/>
          <w:szCs w:val="20"/>
          <w:color w:val="auto"/>
        </w:rPr>
      </w:pPr>
      <w:r>
        <w:rPr>
          <w:rFonts w:ascii="Arial" w:cs="Arial" w:eastAsia="Arial" w:hAnsi="Arial"/>
          <w:sz w:val="18"/>
          <w:szCs w:val="18"/>
          <w:color w:val="auto"/>
        </w:rPr>
        <w:t>will be entitled to certain Form S-3 registration rights. The holders of at least 30% of these shares can make a request that we register their shares on Form S-3 if we are qualified to file a registration statement on Form S-3 and if the reasonably anticipated aggregate gross proceeds of the shares offered would equal or exceed $3 million. We will not be required to effect more than two registrations on Form S-3 within any 12-month period.</w:t>
      </w:r>
    </w:p>
    <w:p>
      <w:pPr>
        <w:spacing w:after="0" w:line="39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Anti-Takeover Provisions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on the Completion of this Offering</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completion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our chief executive officer or our lead independent director. Our amended and restated bylaws to be effective on the completion of this offering will establish an advance notice procedure for stockholder proposals to be brought before an annual meeting of our stockholders, including proposed nominations of persons for election to our board of directors.</w:t>
      </w:r>
    </w:p>
    <w:p>
      <w:pPr>
        <w:spacing w:after="0" w:line="204"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Our amended and restated certificate of incorporation to be effective on the completion of this offering will further provide for a dual-class common stock structure, which provides our Class B common stockholders with control over all matters requiring stockholder approval, including the election of directors and significant corporate transactions, such as a merger or other sale of our company or its assets.</w:t>
      </w:r>
    </w:p>
    <w:p>
      <w:pPr>
        <w:spacing w:after="0" w:line="202" w:lineRule="exact"/>
        <w:rPr>
          <w:sz w:val="20"/>
          <w:szCs w:val="20"/>
          <w:color w:val="auto"/>
        </w:rPr>
      </w:pPr>
    </w:p>
    <w:p>
      <w:pPr>
        <w:ind w:left="160" w:right="800" w:firstLine="546"/>
        <w:spacing w:after="0" w:line="268" w:lineRule="auto"/>
        <w:rPr>
          <w:sz w:val="20"/>
          <w:szCs w:val="20"/>
          <w:color w:val="auto"/>
        </w:rPr>
      </w:pPr>
      <w:r>
        <w:rPr>
          <w:rFonts w:ascii="Arial" w:cs="Arial" w:eastAsia="Arial" w:hAnsi="Arial"/>
          <w:sz w:val="17"/>
          <w:szCs w:val="17"/>
          <w:color w:val="auto"/>
        </w:rPr>
        <w:t>In accordance with our amended and restated certificate of incorporation to be effective on the completion of this offering, immediately after this offering, our board of directors will be divided into three classes with staggered three-year terms.</w:t>
      </w:r>
    </w:p>
    <w:p>
      <w:pPr>
        <w:spacing w:after="0" w:line="179"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These provisions, including the dual-class structure of our common stock, are intended to preserve our existing control structure after completion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60"/>
          </w:cols>
          <w:pgMar w:left="320" w:top="456"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3" w:lineRule="exact"/>
        <w:rPr>
          <w:sz w:val="20"/>
          <w:szCs w:val="20"/>
          <w:color w:val="auto"/>
        </w:rPr>
      </w:pPr>
    </w:p>
    <w:p>
      <w:pPr>
        <w:ind w:left="160" w:right="260" w:firstLine="546"/>
        <w:spacing w:after="0" w:line="236" w:lineRule="auto"/>
        <w:rPr>
          <w:sz w:val="20"/>
          <w:szCs w:val="20"/>
          <w:color w:val="auto"/>
        </w:rPr>
      </w:pPr>
      <w:r>
        <w:rPr>
          <w:rFonts w:ascii="Arial" w:cs="Arial" w:eastAsia="Arial" w:hAnsi="Arial"/>
          <w:sz w:val="18"/>
          <w:szCs w:val="18"/>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Choice of Forum</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amended and restated certificate of incorporation to be effective on the completion of this offering will provide that the Court of</w:t>
      </w:r>
    </w:p>
    <w:p>
      <w:pPr>
        <w:ind w:left="160"/>
        <w:spacing w:after="0" w:line="238" w:lineRule="auto"/>
        <w:rPr>
          <w:sz w:val="20"/>
          <w:szCs w:val="20"/>
          <w:color w:val="auto"/>
        </w:rPr>
      </w:pPr>
      <w:r>
        <w:rPr>
          <w:rFonts w:ascii="Arial" w:cs="Arial" w:eastAsia="Arial" w:hAnsi="Arial"/>
          <w:sz w:val="18"/>
          <w:szCs w:val="18"/>
          <w:color w:val="auto"/>
        </w:rPr>
        <w:t>Chancery of the State of Delaware be the exclusive forum for actions or proceedings brought under Delaware statutory or common law:</w:t>
      </w:r>
    </w:p>
    <w:p>
      <w:pPr>
        <w:ind w:left="160" w:right="20" w:firstLine="7"/>
        <w:spacing w:after="0" w:line="234" w:lineRule="auto"/>
        <w:tabs>
          <w:tab w:leader="none" w:pos="4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23"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Our Class A common stock is currently not listed on any securities exchange. We have applied to have our Class A common stock approved for listing on The Nasdaq Global Select Market under the symbol “XMTR”.</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23"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On the completion of this offering, the transfer agent and registrar for our Class A common stock and Class B common stock will be Computershare Trust Company, N.A. The transfer agent’s address is 150 Royall Street, Canton, Massachusetts 02021.</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60"/>
          </w:cols>
          <w:pgMar w:left="320" w:top="456"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30"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our Class A common stock, including shares issued on the exercise of outstanding options, in the public market after this offering, or the possibility of these sales or issuances occurring, could adversely affect the prevailing market price for our Class A common stock or impair our ability to raise equity capital.</w:t>
      </w:r>
    </w:p>
    <w:p>
      <w:pPr>
        <w:spacing w:after="0" w:line="196" w:lineRule="exact"/>
        <w:rPr>
          <w:sz w:val="20"/>
          <w:szCs w:val="20"/>
          <w:color w:val="auto"/>
        </w:rPr>
      </w:pPr>
    </w:p>
    <w:p>
      <w:pPr>
        <w:ind w:left="720"/>
        <w:spacing w:after="0"/>
        <w:tabs>
          <w:tab w:leader="none" w:pos="9380" w:val="left"/>
        </w:tabs>
        <w:rPr>
          <w:sz w:val="20"/>
          <w:szCs w:val="20"/>
          <w:color w:val="auto"/>
        </w:rPr>
      </w:pPr>
      <w:r>
        <w:rPr>
          <w:rFonts w:ascii="Arial" w:cs="Arial" w:eastAsia="Arial" w:hAnsi="Arial"/>
          <w:sz w:val="18"/>
          <w:szCs w:val="18"/>
          <w:color w:val="auto"/>
        </w:rPr>
        <w:t>Based on our shares outstanding as of March 31, 2021, on the completion of this offering, a total of</w:t>
      </w:r>
      <w:r>
        <w:rPr>
          <w:sz w:val="20"/>
          <w:szCs w:val="20"/>
          <w:color w:val="auto"/>
        </w:rPr>
        <w:tab/>
      </w:r>
      <w:r>
        <w:rPr>
          <w:rFonts w:ascii="Arial" w:cs="Arial" w:eastAsia="Arial" w:hAnsi="Arial"/>
          <w:sz w:val="17"/>
          <w:szCs w:val="17"/>
          <w:color w:val="auto"/>
        </w:rPr>
        <w:t>shares of Class A</w:t>
      </w:r>
    </w:p>
    <w:p>
      <w:pPr>
        <w:ind w:left="160"/>
        <w:spacing w:after="0"/>
        <w:tabs>
          <w:tab w:leader="none" w:pos="2540" w:val="left"/>
        </w:tabs>
        <w:rPr>
          <w:sz w:val="20"/>
          <w:szCs w:val="20"/>
          <w:color w:val="auto"/>
        </w:rPr>
      </w:pPr>
      <w:r>
        <w:rPr>
          <w:rFonts w:ascii="Arial" w:cs="Arial" w:eastAsia="Arial" w:hAnsi="Arial"/>
          <w:sz w:val="18"/>
          <w:szCs w:val="18"/>
          <w:color w:val="auto"/>
        </w:rPr>
        <w:t>common stock and</w:t>
      </w:r>
      <w:r>
        <w:rPr>
          <w:sz w:val="20"/>
          <w:szCs w:val="20"/>
          <w:color w:val="auto"/>
        </w:rPr>
        <w:tab/>
      </w:r>
      <w:r>
        <w:rPr>
          <w:rFonts w:ascii="Arial" w:cs="Arial" w:eastAsia="Arial" w:hAnsi="Arial"/>
          <w:sz w:val="17"/>
          <w:szCs w:val="17"/>
          <w:color w:val="auto"/>
        </w:rPr>
        <w:t>shares of Class B common stock will be outstanding, assuming (i) the reclassification of our outstanding</w:t>
      </w:r>
    </w:p>
    <w:p>
      <w:pPr>
        <w:spacing w:after="0" w:line="1"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common stock into an aggregate of shares of Class A common stock, (ii) the conversion of all of our outstanding shares of preferred stock into an aggregate of 27,758,941 shares of Class A common stock and (iii) the exchange of all shares of Class A common stock held by our co-founders for shares of our Class B common stock. Of these shares, all of the Class A common stock sold in this offering by us, plus any shares sold by us on exercise of the underwriters’ option to purchase additional Class A common stock, will be freely tradable in the public market without restriction or further registration under the Securities Act, unless these shares are held by “affiliates,” as that term is defined in Rule 144 under the Securities Act.</w:t>
      </w:r>
    </w:p>
    <w:p>
      <w:pPr>
        <w:spacing w:after="0" w:line="202" w:lineRule="exact"/>
        <w:rPr>
          <w:sz w:val="20"/>
          <w:szCs w:val="20"/>
          <w:color w:val="auto"/>
        </w:rPr>
      </w:pPr>
    </w:p>
    <w:p>
      <w:pPr>
        <w:ind w:left="160" w:right="100" w:firstLine="546"/>
        <w:spacing w:after="0" w:line="235" w:lineRule="auto"/>
        <w:rPr>
          <w:sz w:val="20"/>
          <w:szCs w:val="20"/>
          <w:color w:val="auto"/>
        </w:rPr>
      </w:pPr>
      <w:r>
        <w:rPr>
          <w:rFonts w:ascii="Arial" w:cs="Arial" w:eastAsia="Arial" w:hAnsi="Arial"/>
          <w:sz w:val="18"/>
          <w:szCs w:val="18"/>
          <w:color w:val="auto"/>
        </w:rPr>
        <w:t>The remaining shares of Class A common stock and all shares of Class B common stock will be, and shares of Class A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204"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203"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based on the number of shares of our common stock outstanding (calculated as of March 31, 2021 on the basis of the assumptions described above), the shares of our common stock (excluding the shares sold in this offering) that will be available for sale in the public market are as follows:</w:t>
      </w:r>
    </w:p>
    <w:p>
      <w:pPr>
        <w:sectPr>
          <w:pgSz w:w="11900" w:h="16838" w:orient="portrait"/>
          <w:cols w:equalWidth="0" w:num="1">
            <w:col w:w="11080"/>
          </w:cols>
          <w:pgMar w:left="320" w:top="456" w:right="49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Approximate Number of Shares</w:t>
      </w:r>
    </w:p>
    <w:p>
      <w:pPr>
        <w:spacing w:after="0" w:line="13"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7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Up to</w:t>
            </w:r>
          </w:p>
        </w:tc>
        <w:tc>
          <w:tcPr>
            <w:tcW w:w="1360" w:type="dxa"/>
            <w:vAlign w:val="bottom"/>
            <w:tcBorders>
              <w:top w:val="single" w:sz="8" w:color="auto"/>
            </w:tcBorders>
          </w:tcPr>
          <w:p>
            <w:pPr>
              <w:ind w:left="340"/>
              <w:spacing w:after="0" w:line="193" w:lineRule="exact"/>
              <w:rPr>
                <w:sz w:val="20"/>
                <w:szCs w:val="20"/>
                <w:color w:val="auto"/>
              </w:rPr>
            </w:pPr>
            <w:r>
              <w:rPr>
                <w:rFonts w:ascii="Arial" w:cs="Arial" w:eastAsia="Arial" w:hAnsi="Arial"/>
                <w:sz w:val="18"/>
                <w:szCs w:val="18"/>
                <w:color w:val="auto"/>
                <w:w w:val="90"/>
              </w:rPr>
              <w:t>million shares</w:t>
            </w:r>
          </w:p>
        </w:tc>
        <w:tc>
          <w:tcPr>
            <w:tcW w:w="1520" w:type="dxa"/>
            <w:vAlign w:val="bottom"/>
          </w:tcPr>
          <w:p>
            <w:pPr>
              <w:jc w:val="right"/>
              <w:spacing w:after="0" w:line="193" w:lineRule="exact"/>
              <w:rPr>
                <w:sz w:val="20"/>
                <w:szCs w:val="20"/>
                <w:color w:val="auto"/>
              </w:rPr>
            </w:pPr>
            <w:r>
              <w:rPr>
                <w:rFonts w:ascii="Arial" w:cs="Arial" w:eastAsia="Arial" w:hAnsi="Arial"/>
                <w:sz w:val="18"/>
                <w:szCs w:val="18"/>
                <w:color w:val="auto"/>
              </w:rPr>
              <w:t>held by Company</w:t>
            </w:r>
          </w:p>
        </w:tc>
      </w:tr>
      <w:tr>
        <w:trPr>
          <w:trHeight w:val="201"/>
        </w:trPr>
        <w:tc>
          <w:tcPr>
            <w:tcW w:w="3660" w:type="dxa"/>
            <w:vAlign w:val="bottom"/>
            <w:gridSpan w:val="3"/>
          </w:tcPr>
          <w:p>
            <w:pPr>
              <w:spacing w:after="0" w:line="201" w:lineRule="exact"/>
              <w:rPr>
                <w:sz w:val="20"/>
                <w:szCs w:val="20"/>
                <w:color w:val="auto"/>
              </w:rPr>
            </w:pPr>
            <w:r>
              <w:rPr>
                <w:rFonts w:ascii="Arial" w:cs="Arial" w:eastAsia="Arial" w:hAnsi="Arial"/>
                <w:sz w:val="18"/>
                <w:szCs w:val="18"/>
                <w:color w:val="auto"/>
              </w:rPr>
              <w:t>Employees (as defined in the section titled</w:t>
            </w:r>
          </w:p>
        </w:tc>
      </w:tr>
      <w:tr>
        <w:trPr>
          <w:trHeight w:val="213"/>
        </w:trPr>
        <w:tc>
          <w:tcPr>
            <w:tcW w:w="3660" w:type="dxa"/>
            <w:vAlign w:val="bottom"/>
            <w:gridSpan w:val="3"/>
          </w:tcPr>
          <w:p>
            <w:pPr>
              <w:spacing w:after="0"/>
              <w:rPr>
                <w:sz w:val="20"/>
                <w:szCs w:val="20"/>
                <w:color w:val="auto"/>
              </w:rPr>
            </w:pPr>
            <w:r>
              <w:rPr>
                <w:rFonts w:ascii="Arial" w:cs="Arial" w:eastAsia="Arial" w:hAnsi="Arial"/>
                <w:sz w:val="18"/>
                <w:szCs w:val="18"/>
                <w:color w:val="auto"/>
              </w:rPr>
              <w:t>“Underwriting”)</w:t>
            </w:r>
          </w:p>
        </w:tc>
      </w:tr>
      <w:tr>
        <w:trPr>
          <w:trHeight w:val="295"/>
        </w:trPr>
        <w:tc>
          <w:tcPr>
            <w:tcW w:w="780" w:type="dxa"/>
            <w:vAlign w:val="bottom"/>
          </w:tcPr>
          <w:p>
            <w:pPr>
              <w:spacing w:after="0"/>
              <w:rPr>
                <w:sz w:val="20"/>
                <w:szCs w:val="20"/>
                <w:color w:val="auto"/>
              </w:rPr>
            </w:pPr>
            <w:r>
              <w:rPr>
                <w:rFonts w:ascii="Arial" w:cs="Arial" w:eastAsia="Arial" w:hAnsi="Arial"/>
                <w:sz w:val="18"/>
                <w:szCs w:val="18"/>
                <w:color w:val="auto"/>
              </w:rPr>
              <w:t>Up to</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million additional shares held by</w:t>
            </w:r>
          </w:p>
        </w:tc>
      </w:tr>
    </w:tbl>
    <w:p>
      <w:pPr>
        <w:ind w:left="160"/>
        <w:spacing w:after="0"/>
        <w:rPr>
          <w:sz w:val="20"/>
          <w:szCs w:val="20"/>
          <w:color w:val="auto"/>
        </w:rPr>
      </w:pPr>
      <w:r>
        <w:rPr>
          <w:rFonts w:ascii="Arial" w:cs="Arial" w:eastAsia="Arial" w:hAnsi="Arial"/>
          <w:sz w:val="18"/>
          <w:szCs w:val="18"/>
          <w:color w:val="auto"/>
        </w:rPr>
        <w:t>directors and officers of the Company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First Date Available For Sale Into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42208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20845" cy="8255"/>
                    </a:xfrm>
                    <a:prstGeom prst="rect">
                      <a:avLst/>
                    </a:prstGeom>
                    <a:noFill/>
                  </pic:spPr>
                </pic:pic>
              </a:graphicData>
            </a:graphic>
          </wp:anchor>
        </w:drawing>
      </w:r>
    </w:p>
    <w:p>
      <w:pPr>
        <w:spacing w:after="0" w:line="1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30-day anniversary of this prospectus, subject in some cases to limitations under Rule 144 and Rule 701.</w:t>
      </w:r>
    </w:p>
    <w:p>
      <w:pPr>
        <w:spacing w:after="0" w:line="283"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The 90-day anniversary of this prospectus, provided that (i) such sales are made by a then-current director or officer of the Company pursuant to a plan under</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Rule 10b5-1 of the Exchange Act, (ii) sales under such plan must be at a price per share that is at least 25% greater than the initial public offering price per share shown on the cover of this prospectus and (iii) we have released our earnings results for the first completed quarterly period following the most recent period for which financial statements are included in this prospectus, subject in some cases to applicable holding period, volume, manner of sale and other limitations under Rule 144 and Rule 701.</w:t>
      </w:r>
    </w:p>
    <w:p>
      <w:pPr>
        <w:spacing w:after="0" w:line="13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154</w:t>
      </w:r>
    </w:p>
    <w:p>
      <w:pPr>
        <w:sectPr>
          <w:pgSz w:w="11900" w:h="16838" w:orient="portrait"/>
          <w:cols w:equalWidth="0" w:num="2">
            <w:col w:w="3820" w:space="620"/>
            <w:col w:w="6640"/>
          </w:cols>
          <w:pgMar w:left="320" w:top="456" w:right="49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Approximate Number of Shares</w:t>
            </w:r>
          </w:p>
        </w:tc>
        <w:tc>
          <w:tcPr>
            <w:tcW w:w="66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293"/>
        </w:trPr>
        <w:tc>
          <w:tcPr>
            <w:tcW w:w="4280" w:type="dxa"/>
            <w:vAlign w:val="bottom"/>
            <w:gridSpan w:val="2"/>
          </w:tcPr>
          <w:p>
            <w:pPr>
              <w:spacing w:after="0"/>
              <w:rPr>
                <w:sz w:val="20"/>
                <w:szCs w:val="20"/>
                <w:color w:val="auto"/>
              </w:rPr>
            </w:pPr>
            <w:r>
              <w:rPr>
                <w:rFonts w:ascii="Arial" w:cs="Arial" w:eastAsia="Arial" w:hAnsi="Arial"/>
                <w:sz w:val="18"/>
                <w:szCs w:val="18"/>
                <w:color w:val="auto"/>
              </w:rPr>
              <w:t>All remaining shares not previously eligible for sale</w:t>
            </w:r>
          </w:p>
        </w:tc>
        <w:tc>
          <w:tcPr>
            <w:tcW w:w="6640" w:type="dxa"/>
            <w:vAlign w:val="bottom"/>
          </w:tcPr>
          <w:p>
            <w:pPr>
              <w:spacing w:after="0"/>
              <w:rPr>
                <w:sz w:val="20"/>
                <w:szCs w:val="20"/>
                <w:color w:val="auto"/>
              </w:rPr>
            </w:pPr>
            <w:r>
              <w:rPr>
                <w:rFonts w:ascii="Arial" w:cs="Arial" w:eastAsia="Arial" w:hAnsi="Arial"/>
                <w:sz w:val="18"/>
                <w:szCs w:val="18"/>
                <w:color w:val="auto"/>
              </w:rPr>
              <w:t>The earlier of (i) 181 days after the date of this prospectus, upon expiration of</w:t>
            </w:r>
          </w:p>
        </w:tc>
      </w:tr>
      <w:tr>
        <w:trPr>
          <w:trHeight w:val="201"/>
        </w:trPr>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the lock-up agreements referred to below and (ii) if (a) at least 120 days have</w:t>
            </w:r>
          </w:p>
        </w:tc>
      </w:tr>
      <w:tr>
        <w:trPr>
          <w:trHeight w:val="201"/>
        </w:trPr>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elapsed since the date of this prospectus, (b) the Company has released its</w:t>
            </w:r>
          </w:p>
        </w:tc>
      </w:tr>
      <w:tr>
        <w:trPr>
          <w:trHeight w:val="201"/>
        </w:trPr>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earnings results for the quarterly period during which this offering occurred and</w:t>
            </w:r>
          </w:p>
        </w:tc>
      </w:tr>
      <w:tr>
        <w:trPr>
          <w:trHeight w:val="201"/>
        </w:trPr>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(c) the lock-up period is scheduled to end during the last “open trading window</w:t>
            </w:r>
          </w:p>
        </w:tc>
      </w:tr>
      <w:tr>
        <w:trPr>
          <w:trHeight w:val="201"/>
        </w:trPr>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period” under the Company’s insider trading policy that is regularly scheduled to</w:t>
            </w:r>
          </w:p>
        </w:tc>
      </w:tr>
      <w:tr>
        <w:trPr>
          <w:trHeight w:val="201"/>
        </w:trPr>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begin prior to the date 180 days after the date of this prospectus, then the later of</w:t>
            </w:r>
          </w:p>
        </w:tc>
      </w:tr>
      <w:tr>
        <w:trPr>
          <w:trHeight w:val="201"/>
        </w:trPr>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w w:val="99"/>
              </w:rPr>
              <w:t>(A) the date of the regularly scheduled commencement of the “open trading window</w:t>
            </w:r>
          </w:p>
        </w:tc>
      </w:tr>
      <w:tr>
        <w:trPr>
          <w:trHeight w:val="201"/>
        </w:trPr>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period” described above and (B) 120 days after the date of this prospectus; in each</w:t>
            </w:r>
          </w:p>
        </w:tc>
      </w:tr>
      <w:tr>
        <w:trPr>
          <w:trHeight w:val="201"/>
        </w:trPr>
        <w:tc>
          <w:tcPr>
            <w:tcW w:w="2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case subject in some cases to applicable volume, manner of sale and other</w:t>
            </w:r>
          </w:p>
        </w:tc>
      </w:tr>
      <w:tr>
        <w:trPr>
          <w:trHeight w:val="213"/>
        </w:trPr>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limitations under Rule 144 and Rule 701.</w:t>
            </w:r>
          </w:p>
        </w:tc>
      </w:tr>
    </w:tbl>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144</w:t>
      </w:r>
    </w:p>
    <w:p>
      <w:pPr>
        <w:spacing w:after="0" w:line="230" w:lineRule="exact"/>
        <w:rPr>
          <w:sz w:val="20"/>
          <w:szCs w:val="20"/>
          <w:color w:val="auto"/>
        </w:rPr>
      </w:pPr>
    </w:p>
    <w:p>
      <w:pPr>
        <w:ind w:left="160" w:right="180" w:firstLine="546"/>
        <w:spacing w:after="0" w:line="234"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203" w:lineRule="exact"/>
        <w:rPr>
          <w:sz w:val="20"/>
          <w:szCs w:val="20"/>
          <w:color w:val="auto"/>
        </w:rPr>
      </w:pPr>
    </w:p>
    <w:p>
      <w:pPr>
        <w:ind w:left="160" w:right="40" w:firstLine="546"/>
        <w:spacing w:after="0" w:line="236"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109" w:lineRule="exact"/>
        <w:rPr>
          <w:sz w:val="20"/>
          <w:szCs w:val="20"/>
          <w:color w:val="auto"/>
        </w:rPr>
      </w:pPr>
    </w:p>
    <w:p>
      <w:pPr>
        <w:ind w:left="920" w:right="80" w:hanging="219"/>
        <w:spacing w:after="0"/>
        <w:tabs>
          <w:tab w:leader="none" w:pos="900" w:val="left"/>
        </w:tabs>
        <w:rPr>
          <w:sz w:val="20"/>
          <w:szCs w:val="20"/>
          <w:color w:val="auto"/>
        </w:rPr>
      </w:pPr>
      <w:r>
        <w:rPr>
          <w:rFonts w:ascii="Arial" w:cs="Arial" w:eastAsia="Arial" w:hAnsi="Arial"/>
          <w:sz w:val="18"/>
          <w:szCs w:val="18"/>
          <w:color w:val="auto"/>
        </w:rPr>
        <w:t>•</w:t>
        <w:tab/>
        <w:t>1% of the number of Class A common stock then outstanding, which will equal approximately shares immediately after this offering, assuming no exercise of the underwriters’ option to purchase additional shares of Class A common stock from us; or</w:t>
      </w:r>
    </w:p>
    <w:p>
      <w:pPr>
        <w:spacing w:after="0" w:line="308" w:lineRule="exact"/>
        <w:rPr>
          <w:sz w:val="20"/>
          <w:szCs w:val="20"/>
          <w:color w:val="auto"/>
        </w:rPr>
      </w:pPr>
    </w:p>
    <w:p>
      <w:pPr>
        <w:ind w:left="920" w:right="140" w:hanging="218"/>
        <w:spacing w:after="0" w:line="239" w:lineRule="auto"/>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Nasdaq Global Select Market during the four calendar weeks preceding the filing of a notice on Form 144 with respect to such sale.</w:t>
      </w:r>
    </w:p>
    <w:p>
      <w:pPr>
        <w:spacing w:after="0" w:line="203"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6"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701</w:t>
      </w:r>
    </w:p>
    <w:p>
      <w:pPr>
        <w:spacing w:after="0" w:line="23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S-8 Registration Statements</w:t>
      </w:r>
    </w:p>
    <w:p>
      <w:pPr>
        <w:spacing w:after="0" w:line="230" w:lineRule="exact"/>
        <w:rPr>
          <w:sz w:val="20"/>
          <w:szCs w:val="20"/>
          <w:color w:val="auto"/>
        </w:rPr>
      </w:pPr>
    </w:p>
    <w:p>
      <w:pPr>
        <w:ind w:left="160" w:firstLine="546"/>
        <w:spacing w:after="0" w:line="253" w:lineRule="auto"/>
        <w:rPr>
          <w:sz w:val="20"/>
          <w:szCs w:val="20"/>
          <w:color w:val="auto"/>
        </w:rPr>
      </w:pPr>
      <w:r>
        <w:rPr>
          <w:rFonts w:ascii="Arial" w:cs="Arial" w:eastAsia="Arial" w:hAnsi="Arial"/>
          <w:sz w:val="17"/>
          <w:szCs w:val="17"/>
          <w:color w:val="auto"/>
        </w:rPr>
        <w:t>We intend to file one or more registration statements on Form S-8 under the Securities Act with the SEC to register the offer and sale of shares of our Class A common stock that are issuable under our 2016 Plan and 2021 Plan.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Lock-up Arrangements</w:t>
      </w:r>
    </w:p>
    <w:p>
      <w:pPr>
        <w:spacing w:after="0" w:line="230"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We, and all of our directors, executive officers and the holders of substantially all of our common stock and securities exercisable for or convertible into our Class A common stock outstanding immediately on the completion of this offering, have agreed, or will agree, with the underwriters that, until 180 days after the date of this prospectus, we and they will not, without the prior written consent of Goldman Sachs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Goldman Sachs &amp; Co. LLC and J.P. Morgan Securities LLC may, in its sole discretion, release any of the securities subject to these lock-up agreements at any time.</w:t>
      </w:r>
    </w:p>
    <w:p>
      <w:pPr>
        <w:spacing w:after="0" w:line="204"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including option agreements with all of our option holders that contain market stand-off provisions imposing restrictions on the ability of such option holders to offer, sell or transfer our equity securities for a period of 180 days following the date of this prospectus.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23" w:lineRule="exact"/>
        <w:rPr>
          <w:sz w:val="20"/>
          <w:szCs w:val="20"/>
          <w:color w:val="auto"/>
        </w:rPr>
      </w:pPr>
    </w:p>
    <w:p>
      <w:pPr>
        <w:ind w:left="720"/>
        <w:spacing w:after="0"/>
        <w:tabs>
          <w:tab w:leader="none" w:pos="5520" w:val="left"/>
          <w:tab w:leader="none" w:pos="966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7"/>
          <w:szCs w:val="17"/>
          <w:color w:val="auto"/>
        </w:rPr>
        <w:t>shares of our</w:t>
      </w:r>
    </w:p>
    <w:p>
      <w:pPr>
        <w:ind w:left="160"/>
        <w:spacing w:after="0" w:line="236" w:lineRule="auto"/>
        <w:rPr>
          <w:sz w:val="20"/>
          <w:szCs w:val="20"/>
          <w:color w:val="auto"/>
        </w:rPr>
      </w:pPr>
      <w:r>
        <w:rPr>
          <w:rFonts w:ascii="Arial" w:cs="Arial" w:eastAsia="Arial" w:hAnsi="Arial"/>
          <w:sz w:val="18"/>
          <w:szCs w:val="18"/>
          <w:color w:val="auto"/>
        </w:rPr>
        <w:t>Class B common stock,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 Registration Rights” for additional information.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20"/>
          </w:cols>
          <w:pgMar w:left="320" w:top="456" w:right="5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CLASS A COMMON STOCK</w:t>
      </w:r>
    </w:p>
    <w:p>
      <w:pPr>
        <w:spacing w:after="0" w:line="208"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our Class A common stock acquired in this offering by Non-U.S. Holders (as defined below). This discussion is not a complete analysis of all potential U.S. federal income tax consequences relating thereto, does not deal with non-U.S., state, and local tax consequences that may be relevant to Non-U.S. Holders in light of their particular circumstances, and does not address U.S. federal tax consequences other than income taxes. For example, it does not address estate and gift taxes, the alternative minimum tax, the Medicare contribution tax on net investment income, or the application of special tax accounting rules under Section 451(b). Special rules different from those described below may apply to certain Non-U.S. Holders that are subject to special treatment under the Code, as amended (the Code), such as financial institutions, insurance companies, tax-exempt organizations, tax-qualified retirement plans, governmental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persons deemed to sell our Class A common stock under the constructive sale provisions of the Code.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each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Class A common stock as a “capital asset” within the meaning of Section 1221 of the Code (generally, property held for investment).</w:t>
      </w:r>
    </w:p>
    <w:p>
      <w:pPr>
        <w:spacing w:after="0" w:line="206"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This discussion is for informational purposes only and is not tax advice. Persons considering the purchase of our Class A common stock pursuant to this offering should consult their own tax advisors concerning the U.S. federal income, gift, estate, and other tax consequences of acquiring, owning, and disposing of our Class A common stock in light of their particular situations as well as any consequences arising under the laws of any other taxing jurisdiction, including any state, local, or non-U.S. tax consequences, or under any applicable income tax treaty.</w:t>
      </w:r>
    </w:p>
    <w:p>
      <w:pPr>
        <w:spacing w:after="0" w:line="204"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For the purposes of this discussion, a “Non-U.S. Holder” is a beneficial owner of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109" w:lineRule="exact"/>
        <w:rPr>
          <w:sz w:val="20"/>
          <w:szCs w:val="20"/>
          <w:color w:val="auto"/>
        </w:rPr>
      </w:pPr>
    </w:p>
    <w:p>
      <w:pPr>
        <w:ind w:left="920" w:hanging="218"/>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3" w:lineRule="exact"/>
        <w:rPr>
          <w:rFonts w:ascii="Arial" w:cs="Arial" w:eastAsia="Arial" w:hAnsi="Arial"/>
          <w:sz w:val="18"/>
          <w:szCs w:val="18"/>
          <w:color w:val="auto"/>
        </w:rPr>
      </w:pPr>
    </w:p>
    <w:p>
      <w:pPr>
        <w:ind w:left="920" w:right="180" w:hanging="218"/>
        <w:spacing w:after="0" w:line="239" w:lineRule="auto"/>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40"/>
          </w:cols>
          <w:pgMar w:left="320" w:top="456" w:right="5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20" w:hanging="218"/>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3" w:lineRule="exact"/>
        <w:rPr>
          <w:rFonts w:ascii="Arial" w:cs="Arial" w:eastAsia="Arial" w:hAnsi="Arial"/>
          <w:sz w:val="18"/>
          <w:szCs w:val="18"/>
          <w:color w:val="auto"/>
        </w:rPr>
      </w:pPr>
    </w:p>
    <w:p>
      <w:pPr>
        <w:ind w:left="920" w:right="320" w:hanging="218"/>
        <w:spacing w:after="0" w:line="246" w:lineRule="auto"/>
        <w:tabs>
          <w:tab w:leader="none" w:pos="9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(within the meaning of Section 7701(a)(30) of the Code) have the authority to control all substantial decisions of the trust or</w:t>
      </w:r>
    </w:p>
    <w:p>
      <w:pPr>
        <w:ind w:left="920"/>
        <w:spacing w:after="0"/>
        <w:rPr>
          <w:rFonts w:ascii="Arial" w:cs="Arial" w:eastAsia="Arial" w:hAnsi="Arial"/>
          <w:sz w:val="17"/>
          <w:szCs w:val="17"/>
          <w:color w:val="auto"/>
        </w:rPr>
      </w:pPr>
      <w:r>
        <w:rPr>
          <w:rFonts w:ascii="Arial" w:cs="Arial" w:eastAsia="Arial" w:hAnsi="Arial"/>
          <w:sz w:val="18"/>
          <w:szCs w:val="18"/>
          <w:color w:val="auto"/>
        </w:rPr>
        <w:t>(2) has a valid election in effect under applicable U.S. Treasury Regulations to be treated as a United States person.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Distributions</w:t>
      </w:r>
    </w:p>
    <w:p>
      <w:pPr>
        <w:spacing w:after="0" w:line="123"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As described in the section titled “Dividend Policy,” we do not anticipate declaring or paying dividends to holders of our Class A common stock in the foreseeable future. However, if we do make distributions of cash or property on our Class A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205"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203" w:lineRule="exact"/>
        <w:rPr>
          <w:sz w:val="20"/>
          <w:szCs w:val="20"/>
          <w:color w:val="auto"/>
        </w:rPr>
      </w:pPr>
    </w:p>
    <w:p>
      <w:pPr>
        <w:jc w:val="both"/>
        <w:ind w:left="160" w:right="40" w:firstLine="546"/>
        <w:spacing w:after="0" w:line="236" w:lineRule="auto"/>
        <w:rPr>
          <w:sz w:val="20"/>
          <w:szCs w:val="20"/>
          <w:color w:val="auto"/>
        </w:rPr>
      </w:pPr>
      <w:r>
        <w:rPr>
          <w:rFonts w:ascii="Arial" w:cs="Arial" w:eastAsia="Arial" w:hAnsi="Arial"/>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40"/>
          </w:cols>
          <w:pgMar w:left="320" w:top="456" w:right="5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Gain on Disposition of Our Class A common stock</w:t>
      </w:r>
    </w:p>
    <w:p>
      <w:pPr>
        <w:spacing w:after="0" w:line="123" w:lineRule="exact"/>
        <w:rPr>
          <w:sz w:val="20"/>
          <w:szCs w:val="20"/>
          <w:color w:val="auto"/>
        </w:rPr>
      </w:pPr>
    </w:p>
    <w:p>
      <w:pPr>
        <w:ind w:left="160" w:firstLine="546"/>
        <w:spacing w:after="0" w:line="247" w:lineRule="auto"/>
        <w:rPr>
          <w:sz w:val="20"/>
          <w:szCs w:val="20"/>
          <w:color w:val="auto"/>
        </w:rPr>
      </w:pPr>
      <w:r>
        <w:rPr>
          <w:rFonts w:ascii="Arial" w:cs="Arial" w:eastAsia="Arial" w:hAnsi="Arial"/>
          <w:sz w:val="17"/>
          <w:szCs w:val="17"/>
          <w:color w:val="auto"/>
        </w:rPr>
        <w:t>Subject to the discussions below regarding backup withholding and foreign accounts, a Non-U.S. Holder generally will not be subject to U.S. federal income tax with respect to gain realized on a sale or other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have not been and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in our Class A common stock and (2) our Class A common stock is “regularly traded,” as defined by applicable Treasury Regulations, on an established securities market. There can be no assurance that our Class A common stock will qualify as regularly traded on an established securities market. If any gain on your disposition is taxable because we are a United States real property holding corporation and your ownership of our Class A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203" w:lineRule="exact"/>
        <w:rPr>
          <w:sz w:val="20"/>
          <w:szCs w:val="20"/>
          <w:color w:val="auto"/>
        </w:rPr>
      </w:pPr>
    </w:p>
    <w:p>
      <w:pPr>
        <w:ind w:left="160" w:right="200" w:firstLine="546"/>
        <w:spacing w:after="0" w:line="234" w:lineRule="auto"/>
        <w:rPr>
          <w:sz w:val="20"/>
          <w:szCs w:val="20"/>
          <w:color w:val="auto"/>
        </w:rPr>
      </w:pPr>
      <w:r>
        <w:rPr>
          <w:rFonts w:ascii="Arial" w:cs="Arial" w:eastAsia="Arial" w:hAnsi="Arial"/>
          <w:sz w:val="18"/>
          <w:szCs w:val="18"/>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Information Reporting Requirements and Backup Withholding</w:t>
      </w:r>
    </w:p>
    <w:p>
      <w:pPr>
        <w:spacing w:after="0" w:line="12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Information returns are required to be filed with the IRS in connection with payments of distributions on our Class A common stock. Unless you comply with certification procedures to establish that you are not a U.S. person, information returns may also be filed with the IRS in connection with the proceeds from a sale or other disposition of our Class A common stock. You may be subject to backup withholding on payments 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6"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Accounts</w:t>
      </w:r>
    </w:p>
    <w:p>
      <w:pPr>
        <w:spacing w:after="0" w:line="123" w:lineRule="exact"/>
        <w:rPr>
          <w:sz w:val="20"/>
          <w:szCs w:val="20"/>
          <w:color w:val="auto"/>
        </w:rPr>
      </w:pPr>
    </w:p>
    <w:p>
      <w:pPr>
        <w:ind w:left="160" w:right="20" w:firstLine="546"/>
        <w:spacing w:after="0" w:line="234"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202"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204" w:lineRule="exact"/>
        <w:rPr>
          <w:sz w:val="20"/>
          <w:szCs w:val="20"/>
          <w:color w:val="auto"/>
        </w:rPr>
      </w:pPr>
    </w:p>
    <w:p>
      <w:pPr>
        <w:ind w:left="160" w:right="60" w:firstLine="546"/>
        <w:spacing w:after="0" w:line="237"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CLASS A COMMON STOCK, INCLUDING THE CONSEQUENCES OF ANY RECENT OR PROPOSED CHANGE IN APPLICABLE LAW.</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30" w:lineRule="exact"/>
        <w:rPr>
          <w:sz w:val="20"/>
          <w:szCs w:val="20"/>
          <w:color w:val="auto"/>
        </w:rPr>
      </w:pPr>
    </w:p>
    <w:p>
      <w:pPr>
        <w:ind w:left="160" w:firstLine="546"/>
        <w:spacing w:after="0" w:line="236"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of Class A common stock indicated in the following table. Goldman Sachs &amp; Co. LLC, J.P. Morgan Securities LLC and UBS Securities LLC are the representatives of the underwriters.</w:t>
      </w:r>
    </w:p>
    <w:p>
      <w:pPr>
        <w:spacing w:after="0" w:line="229" w:lineRule="exact"/>
        <w:rPr>
          <w:sz w:val="20"/>
          <w:szCs w:val="20"/>
          <w:color w:val="auto"/>
        </w:rPr>
      </w:pPr>
    </w:p>
    <w:p>
      <w:pPr>
        <w:ind w:left="160"/>
        <w:spacing w:after="0"/>
        <w:tabs>
          <w:tab w:leader="none" w:pos="984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u w:val="single" w:color="auto"/>
          <w:color w:val="auto"/>
        </w:rPr>
        <w:t>Number of Shares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35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J.P. Morgan Securities LLC</w:t>
      </w:r>
    </w:p>
    <w:p>
      <w:pPr>
        <w:ind w:left="160"/>
        <w:spacing w:after="0" w:line="232" w:lineRule="auto"/>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-125730</wp:posOffset>
            </wp:positionV>
            <wp:extent cx="6929755" cy="1276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line="233" w:lineRule="auto"/>
        <w:rPr>
          <w:sz w:val="20"/>
          <w:szCs w:val="20"/>
          <w:color w:val="auto"/>
        </w:rPr>
      </w:pPr>
      <w:r>
        <w:rPr>
          <w:rFonts w:ascii="Arial" w:cs="Arial" w:eastAsia="Arial" w:hAnsi="Arial"/>
          <w:sz w:val="18"/>
          <w:szCs w:val="18"/>
          <w:color w:val="auto"/>
        </w:rPr>
        <w:t>Citigroup Global Markets Inc.</w:t>
      </w:r>
    </w:p>
    <w:p>
      <w:pPr>
        <w:ind w:left="160"/>
        <w:spacing w:after="0" w:line="232" w:lineRule="auto"/>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-125730</wp:posOffset>
            </wp:positionV>
            <wp:extent cx="6929755" cy="1276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William Blair &amp; Company, L.L.C.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44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-3175</wp:posOffset>
            </wp:positionV>
            <wp:extent cx="7391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9140" cy="825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13335</wp:posOffset>
            </wp:positionV>
            <wp:extent cx="7391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41"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3" w:lineRule="exact"/>
        <w:rPr>
          <w:sz w:val="20"/>
          <w:szCs w:val="20"/>
          <w:color w:val="auto"/>
        </w:rPr>
      </w:pPr>
    </w:p>
    <w:p>
      <w:pPr>
        <w:jc w:val="both"/>
        <w:ind w:left="160" w:right="20" w:firstLine="546"/>
        <w:spacing w:after="0" w:line="236" w:lineRule="auto"/>
        <w:rPr>
          <w:sz w:val="20"/>
          <w:szCs w:val="20"/>
          <w:color w:val="auto"/>
        </w:rPr>
      </w:pPr>
      <w:r>
        <w:rPr>
          <w:rFonts w:ascii="Arial" w:cs="Arial" w:eastAsia="Arial" w:hAnsi="Arial"/>
          <w:sz w:val="18"/>
          <w:szCs w:val="18"/>
          <w:color w:val="auto"/>
        </w:rPr>
        <w:t>The underwriters have an option to buy up to an additional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w:t>
      </w:r>
    </w:p>
    <w:tbl>
      <w:tblPr>
        <w:tblLayout w:type="fixed"/>
        <w:tblInd w:w="160" w:type="dxa"/>
        <w:tblCellMar>
          <w:top w:w="0" w:type="dxa"/>
          <w:left w:w="0" w:type="dxa"/>
          <w:bottom w:w="0" w:type="dxa"/>
          <w:right w:w="0" w:type="dxa"/>
        </w:tblCellMar>
      </w:tblPr>
      <w:tr>
        <w:trPr>
          <w:trHeight w:val="201"/>
        </w:trPr>
        <w:tc>
          <w:tcPr>
            <w:tcW w:w="9980" w:type="dxa"/>
            <w:vAlign w:val="bottom"/>
            <w:gridSpan w:val="6"/>
          </w:tcPr>
          <w:p>
            <w:pPr>
              <w:spacing w:after="0" w:line="201" w:lineRule="exact"/>
              <w:rPr>
                <w:sz w:val="20"/>
                <w:szCs w:val="20"/>
                <w:color w:val="auto"/>
              </w:rPr>
            </w:pPr>
            <w:r>
              <w:rPr>
                <w:rFonts w:ascii="Arial" w:cs="Arial" w:eastAsia="Arial" w:hAnsi="Arial"/>
                <w:sz w:val="18"/>
                <w:szCs w:val="18"/>
                <w:color w:val="auto"/>
              </w:rPr>
              <w:t>Company. Such amounts are shown assuming both no exercise and full exercise of the underwriters’ option to</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purchase</w:t>
            </w:r>
          </w:p>
        </w:tc>
        <w:tc>
          <w:tcPr>
            <w:tcW w:w="8800" w:type="dxa"/>
            <w:vAlign w:val="bottom"/>
            <w:gridSpan w:val="5"/>
          </w:tcPr>
          <w:p>
            <w:pPr>
              <w:ind w:left="360"/>
              <w:spacing w:after="0"/>
              <w:rPr>
                <w:sz w:val="20"/>
                <w:szCs w:val="20"/>
                <w:color w:val="auto"/>
              </w:rPr>
            </w:pPr>
            <w:r>
              <w:rPr>
                <w:rFonts w:ascii="Arial" w:cs="Arial" w:eastAsia="Arial" w:hAnsi="Arial"/>
                <w:sz w:val="18"/>
                <w:szCs w:val="18"/>
                <w:color w:val="auto"/>
              </w:rPr>
              <w:t>additional shares.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6"/>
        </w:trPr>
        <w:tc>
          <w:tcPr>
            <w:tcW w:w="1180" w:type="dxa"/>
            <w:vAlign w:val="bottom"/>
          </w:tcPr>
          <w:p>
            <w:pPr>
              <w:spacing w:after="0"/>
              <w:rPr>
                <w:sz w:val="24"/>
                <w:szCs w:val="24"/>
                <w:color w:val="auto"/>
              </w:rPr>
            </w:pPr>
          </w:p>
        </w:tc>
        <w:tc>
          <w:tcPr>
            <w:tcW w:w="8800" w:type="dxa"/>
            <w:vAlign w:val="bottom"/>
            <w:gridSpan w:val="5"/>
          </w:tcPr>
          <w:p>
            <w:pPr>
              <w:ind w:left="3440"/>
              <w:spacing w:after="0"/>
              <w:rPr>
                <w:sz w:val="20"/>
                <w:szCs w:val="20"/>
                <w:color w:val="auto"/>
              </w:rPr>
            </w:pPr>
            <w:r>
              <w:rPr>
                <w:rFonts w:ascii="Arial" w:cs="Arial" w:eastAsia="Arial" w:hAnsi="Arial"/>
                <w:sz w:val="18"/>
                <w:szCs w:val="18"/>
                <w:color w:val="auto"/>
              </w:rPr>
              <w:t>Paid by the Company</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8"/>
        </w:trPr>
        <w:tc>
          <w:tcPr>
            <w:tcW w:w="11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4"/>
        </w:trPr>
        <w:tc>
          <w:tcPr>
            <w:tcW w:w="11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Per Share</w:t>
            </w:r>
          </w:p>
        </w:tc>
        <w:tc>
          <w:tcPr>
            <w:tcW w:w="34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3"/>
        </w:trPr>
        <w:tc>
          <w:tcPr>
            <w:tcW w:w="1180" w:type="dxa"/>
            <w:vAlign w:val="bottom"/>
          </w:tcPr>
          <w:p>
            <w:pPr>
              <w:spacing w:after="0"/>
              <w:rPr>
                <w:sz w:val="20"/>
                <w:szCs w:val="20"/>
                <w:color w:val="auto"/>
              </w:rPr>
            </w:pPr>
            <w:r>
              <w:rPr>
                <w:rFonts w:ascii="Arial" w:cs="Arial" w:eastAsia="Arial" w:hAnsi="Arial"/>
                <w:sz w:val="18"/>
                <w:szCs w:val="18"/>
                <w:color w:val="auto"/>
              </w:rPr>
              <w:t>Total</w:t>
            </w:r>
          </w:p>
        </w:tc>
        <w:tc>
          <w:tcPr>
            <w:tcW w:w="8220" w:type="dxa"/>
            <w:vAlign w:val="bottom"/>
            <w:gridSpan w:val="4"/>
          </w:tcPr>
          <w:p>
            <w:pPr>
              <w:ind w:left="7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0" w:lineRule="exact"/>
        <w:rPr>
          <w:sz w:val="20"/>
          <w:szCs w:val="20"/>
          <w:color w:val="auto"/>
        </w:rPr>
      </w:pPr>
    </w:p>
    <w:p>
      <w:pPr>
        <w:ind w:left="160" w:right="220" w:firstLine="546"/>
        <w:spacing w:after="0" w:line="232" w:lineRule="auto"/>
        <w:rPr>
          <w:sz w:val="20"/>
          <w:szCs w:val="20"/>
          <w:color w:val="auto"/>
        </w:rPr>
      </w:pPr>
      <w:r>
        <w:rPr>
          <w:rFonts w:ascii="Arial" w:cs="Arial" w:eastAsia="Arial" w:hAnsi="Arial"/>
          <w:sz w:val="18"/>
          <w:szCs w:val="18"/>
          <w:color w:val="auto"/>
        </w:rPr>
        <w:t>Shares of Class A common stock sold by the underwriters to the public will initially be offered at the initial public offering price set forth on the cover of this prospectus. Any shares sold by the underwriters to securities dealers may be sold at a discount of up to</w:t>
      </w:r>
    </w:p>
    <w:p>
      <w:pPr>
        <w:spacing w:after="0" w:line="1" w:lineRule="exact"/>
        <w:rPr>
          <w:sz w:val="20"/>
          <w:szCs w:val="20"/>
          <w:color w:val="auto"/>
        </w:rPr>
      </w:pPr>
    </w:p>
    <w:p>
      <w:pPr>
        <w:ind w:left="160" w:firstLine="7"/>
        <w:spacing w:after="0" w:line="237" w:lineRule="auto"/>
        <w:tabs>
          <w:tab w:leader="none" w:pos="10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3" w:lineRule="exact"/>
        <w:rPr>
          <w:sz w:val="20"/>
          <w:szCs w:val="20"/>
          <w:color w:val="auto"/>
        </w:rPr>
      </w:pPr>
    </w:p>
    <w:p>
      <w:pPr>
        <w:ind w:left="160" w:right="100" w:firstLine="546"/>
        <w:spacing w:after="0" w:line="253" w:lineRule="auto"/>
        <w:rPr>
          <w:sz w:val="20"/>
          <w:szCs w:val="20"/>
          <w:color w:val="auto"/>
        </w:rPr>
      </w:pPr>
      <w:r>
        <w:rPr>
          <w:rFonts w:ascii="Arial" w:cs="Arial" w:eastAsia="Arial" w:hAnsi="Arial"/>
          <w:sz w:val="17"/>
          <w:szCs w:val="17"/>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our Class A common stock during the period from the date of this prospectus continuing through the date that is 180 days after the date of this prospectus, except with the prior written consent of the representatives, subject to certain exceptions.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6"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Notwithstanding the foregoing,</w:t>
      </w:r>
    </w:p>
    <w:p>
      <w:pPr>
        <w:spacing w:after="0" w:line="114" w:lineRule="exact"/>
        <w:rPr>
          <w:sz w:val="20"/>
          <w:szCs w:val="20"/>
          <w:color w:val="auto"/>
        </w:rPr>
      </w:pPr>
    </w:p>
    <w:p>
      <w:pPr>
        <w:ind w:left="1900" w:right="20" w:hanging="542"/>
        <w:spacing w:after="0" w:line="235" w:lineRule="auto"/>
        <w:tabs>
          <w:tab w:leader="none" w:pos="1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 at least 120 days have elapsed since the date of this prospectus, (b) the Company has released its earnings results for the quarterly period during which this offering occurred and (c) the lock-up period is scheduled to end during the last “open trading window period” under the Company’s insider trading policy that is regularly scheduled to begin prior to the date 180 days after the date of this prospectus, then the last day of the lock-up period will be the later of (A) the trading day immediately prior to the regularly scheduled commencement of the “open trading window period” described above and (B) 120 days after the date of this prospectus;</w:t>
      </w:r>
    </w:p>
    <w:p>
      <w:pPr>
        <w:spacing w:after="0" w:line="107" w:lineRule="exact"/>
        <w:rPr>
          <w:rFonts w:ascii="Arial" w:cs="Arial" w:eastAsia="Arial" w:hAnsi="Arial"/>
          <w:sz w:val="18"/>
          <w:szCs w:val="18"/>
          <w:color w:val="auto"/>
        </w:rPr>
      </w:pPr>
    </w:p>
    <w:p>
      <w:pPr>
        <w:ind w:left="1900" w:right="100" w:hanging="542"/>
        <w:spacing w:after="0" w:line="237" w:lineRule="auto"/>
        <w:tabs>
          <w:tab w:leader="none" w:pos="1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beginning on the first trading day following the 30-day anniversary of the date of this prospectus, 20% of the aggregate number of shares and vested options held by employees (including former employees, but excluding any directors or officers) of the Company will be released from the lock-up restrictions described above; and</w:t>
      </w:r>
    </w:p>
    <w:p>
      <w:pPr>
        <w:spacing w:after="0" w:line="108" w:lineRule="exact"/>
        <w:rPr>
          <w:rFonts w:ascii="Arial" w:cs="Arial" w:eastAsia="Arial" w:hAnsi="Arial"/>
          <w:sz w:val="18"/>
          <w:szCs w:val="18"/>
          <w:color w:val="auto"/>
        </w:rPr>
      </w:pPr>
    </w:p>
    <w:p>
      <w:pPr>
        <w:ind w:left="1900" w:right="80" w:hanging="542"/>
        <w:spacing w:after="0" w:line="249" w:lineRule="auto"/>
        <w:tabs>
          <w:tab w:leader="none" w:pos="1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beginning on the first trading following the 90-day anniversary of the date of this prospectus, 20% of the aggregate number of lock-up securities held by directors and officers of the Company may be sold pursuant to 10b5-1 plans, provided that (a) at the time of the proposed sale, the seller is a director or officer of the Company, (b) such 10b5-1 plan provides that any sales during the lock-up period must be at a price per share that is at least 25% greater than the initial public offering price per share of our Class A common stock shown on the cover of this prospectus, (c) the Company has released its earnings results for the first completed quarterly period following the most recent period for which financial statements are included in this prospectus and (d) any filings under Section 16 of the Exchange Act or other public filings or disclosures of the sale shall indicate that the sale was made pursuant to a 10b5-1 plan.</w:t>
      </w:r>
    </w:p>
    <w:p>
      <w:pPr>
        <w:spacing w:after="0" w:line="196" w:lineRule="exact"/>
        <w:rPr>
          <w:sz w:val="20"/>
          <w:szCs w:val="20"/>
          <w:color w:val="auto"/>
        </w:rPr>
      </w:pPr>
    </w:p>
    <w:p>
      <w:pPr>
        <w:ind w:left="160" w:right="640" w:firstLine="546"/>
        <w:spacing w:after="0" w:line="239" w:lineRule="auto"/>
        <w:rPr>
          <w:sz w:val="20"/>
          <w:szCs w:val="20"/>
          <w:color w:val="auto"/>
        </w:rPr>
      </w:pPr>
      <w:r>
        <w:rPr>
          <w:rFonts w:ascii="Arial" w:cs="Arial" w:eastAsia="Arial" w:hAnsi="Arial"/>
          <w:sz w:val="18"/>
          <w:szCs w:val="18"/>
          <w:color w:val="auto"/>
        </w:rPr>
        <w:t>The lock-up agreements applicable to the Company’s officers, directors and security holders include other exceptions to the restrictions on transfer, including:</w:t>
      </w:r>
    </w:p>
    <w:p>
      <w:pPr>
        <w:spacing w:after="0" w:line="109" w:lineRule="exact"/>
        <w:rPr>
          <w:sz w:val="20"/>
          <w:szCs w:val="20"/>
          <w:color w:val="auto"/>
        </w:rPr>
      </w:pPr>
    </w:p>
    <w:p>
      <w:pPr>
        <w:ind w:left="2020" w:right="20" w:hanging="435"/>
        <w:spacing w:after="0" w:line="235" w:lineRule="auto"/>
        <w:tabs>
          <w:tab w:leader="none" w:pos="2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transfer of shares as a bona fide gift or gifts or for bona fide estate planning purposes, provided that the donee or donees thereof agree to be bound in writing by the lock-up restrictions, and provided further that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110" w:lineRule="exact"/>
        <w:rPr>
          <w:rFonts w:ascii="Arial" w:cs="Arial" w:eastAsia="Arial" w:hAnsi="Arial"/>
          <w:sz w:val="18"/>
          <w:szCs w:val="18"/>
          <w:color w:val="auto"/>
        </w:rPr>
      </w:pPr>
    </w:p>
    <w:p>
      <w:pPr>
        <w:ind w:left="2020" w:right="20" w:hanging="435"/>
        <w:spacing w:after="0" w:line="235" w:lineRule="auto"/>
        <w:tabs>
          <w:tab w:leader="none" w:pos="2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transfer of shares to any trust for the direct or indirect benefit of the lock-up party or an immediate family member, provided that the trustee of the trust agrees to be bound in writing by the lock-up restrictions, provided further that any such transfer shall not involve a disposition for value, and provided further that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107" w:lineRule="exact"/>
        <w:rPr>
          <w:rFonts w:ascii="Arial" w:cs="Arial" w:eastAsia="Arial" w:hAnsi="Arial"/>
          <w:sz w:val="18"/>
          <w:szCs w:val="18"/>
          <w:color w:val="auto"/>
        </w:rPr>
      </w:pPr>
    </w:p>
    <w:p>
      <w:pPr>
        <w:ind w:left="2020" w:hanging="435"/>
        <w:spacing w:after="0" w:line="234" w:lineRule="auto"/>
        <w:tabs>
          <w:tab w:leader="none" w:pos="2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transfer of shares upon death or by will, testamentary document or intestate succession, provided that the transferee agrees to be bound in writing by the lock-up restrictions, provided further that any such transfer shall not involve a disposition for value, and provided further that no filing under Section 16(a) of the Exchange Act, reporting such transfer shall be voluntarily made during the lock-up period and if a report under Section 16(a) of the Exchange Act is required to be filed during the lock-up period, such report shall include a statement to the effect that (A) such transfer relates to the circumstances described in this bullet, and (B) the shares received are subject to a lock-up agreement with the underwriters;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6"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20" w:hanging="435"/>
        <w:spacing w:after="0" w:line="236"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transfer of shares in connection with a sale of shares acquired (A) from the underwriters in this offering or (B) in open market transactions after the date of this prospectus, provided that it shall be a condition to the transfer that no filing under Section 16(a) of the Exchange Act, reporting such transfer, shall be required or shall be voluntarily made during the lock-up period;</w:t>
      </w:r>
    </w:p>
    <w:p>
      <w:pPr>
        <w:spacing w:after="0" w:line="108" w:lineRule="exact"/>
        <w:rPr>
          <w:rFonts w:ascii="Arial" w:cs="Arial" w:eastAsia="Arial" w:hAnsi="Arial"/>
          <w:sz w:val="18"/>
          <w:szCs w:val="18"/>
          <w:color w:val="auto"/>
        </w:rPr>
      </w:pPr>
    </w:p>
    <w:p>
      <w:pPr>
        <w:ind w:left="2020" w:hanging="435"/>
        <w:spacing w:after="0" w:line="233"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transfer of shares to the Company in connection with the exercise of options or the vesting or settlement of restricted stock units or other equity awards, including in connection with “net” or “cashless” exercises, or the vesting or settlement of restricted stock units or other rights to purchase shares of common stock, for the payment of tax withholdings or remittance payments due as a result of the exercise of any such options or vesting or settlement of such restricted stock units or other rights to purchase shares of common stock, in all such cases, (A) pursuant to equity awards granted under a stock incentive plan or other equity award plan that is described herein and (B) provided that any shares of common stock received upon such exercise, vesting or settlement, in each case, that are not transferred to cover any such tax obligations shall be subject to the lock-up restrictions described above, provided further, (1) that no filing under Section 16(a) of the Exchange Act shall be required or shall be voluntarily made during the first 90 days after the date of this prospectus in connection with an option exercise described in this bullet unless such option would otherwise expire pursuant to its terms during such time and (2) that any filing under Section 16(a) of the Exchange Act that occurs 90 days after the date of this prospectus, or any other public filing or disclosure of such transfer shall clearly indicate in the footnotes thereto that such transfer relates to the circumstances described in this bullet;</w:t>
      </w:r>
    </w:p>
    <w:p>
      <w:pPr>
        <w:spacing w:after="0" w:line="109" w:lineRule="exact"/>
        <w:rPr>
          <w:rFonts w:ascii="Arial" w:cs="Arial" w:eastAsia="Arial" w:hAnsi="Arial"/>
          <w:sz w:val="18"/>
          <w:szCs w:val="18"/>
          <w:color w:val="auto"/>
        </w:rPr>
      </w:pPr>
    </w:p>
    <w:p>
      <w:pPr>
        <w:ind w:left="2020" w:hanging="435"/>
        <w:spacing w:after="0"/>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lock-up party is a partnership, limited liability company, corporation, trust or other business entity, transfers</w:t>
      </w:r>
    </w:p>
    <w:p>
      <w:pPr>
        <w:ind w:left="2020" w:right="40"/>
        <w:spacing w:after="0" w:line="233" w:lineRule="auto"/>
        <w:rPr>
          <w:rFonts w:ascii="Arial" w:cs="Arial" w:eastAsia="Arial" w:hAnsi="Arial"/>
          <w:sz w:val="18"/>
          <w:szCs w:val="18"/>
          <w:color w:val="auto"/>
        </w:rPr>
      </w:pPr>
      <w:r>
        <w:rPr>
          <w:rFonts w:ascii="Arial" w:cs="Arial" w:eastAsia="Arial" w:hAnsi="Arial"/>
          <w:sz w:val="18"/>
          <w:szCs w:val="18"/>
          <w:color w:val="auto"/>
        </w:rPr>
        <w:t>(A) to another corporation, partnership, limited liability company, trust or other business entity that is an affiliate (within the meaning set forth in Rule 405 as promulgated by the SEC under the Securities Act and including such party’s subsidiaries) of the lock-up party, (B) to any investment fund or other entity controlling, controlled by, managing or managed by or under common control with the locked-up party or affiliates thereof (including, for the avoidance of doubt, where the locked-up party is a partnership, to its general partner or a successor partnership or fund, or any other funds managed by such partnership) or (C) as part of a distribution, transfer or disposition to the locked-up party’s stockholders, limited partners, general partners, limited liability company members or other equityholders or to the estate of any such stockholders, limited partners, general partners, limited liability company members or equityholders; provided that the transferee or distributee agrees to be bound in writing by the lock-up restrictions; provided further that any such transfer shall not involve a disposition for value; and provided further that no filing under Section 16(a) of the Exchange Act, reporting such transfer, shall be required or shall be voluntarily made during the lock-up period;</w:t>
      </w:r>
    </w:p>
    <w:p>
      <w:pPr>
        <w:spacing w:after="0" w:line="116" w:lineRule="exact"/>
        <w:rPr>
          <w:rFonts w:ascii="Arial" w:cs="Arial" w:eastAsia="Arial" w:hAnsi="Arial"/>
          <w:sz w:val="18"/>
          <w:szCs w:val="18"/>
          <w:color w:val="auto"/>
        </w:rPr>
      </w:pPr>
    </w:p>
    <w:p>
      <w:pPr>
        <w:ind w:left="2020" w:right="220" w:hanging="435"/>
        <w:spacing w:after="0" w:line="235"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a qualified domestic order or in connection with a divorce settlement; provided that the transferee agrees to be bound in writing by the lock-up restrictions; and provided further that any filings under Section 16(a) of the Exchange Act, or any other public filing or disclosure of such transfer shall clearly indicate in the footnotes thereto that such transfer relates to the circumstances described in this bullet;</w:t>
      </w:r>
    </w:p>
    <w:p>
      <w:pPr>
        <w:spacing w:after="0" w:line="110" w:lineRule="exact"/>
        <w:rPr>
          <w:rFonts w:ascii="Arial" w:cs="Arial" w:eastAsia="Arial" w:hAnsi="Arial"/>
          <w:sz w:val="18"/>
          <w:szCs w:val="18"/>
          <w:color w:val="auto"/>
        </w:rPr>
      </w:pPr>
    </w:p>
    <w:p>
      <w:pPr>
        <w:ind w:left="2020" w:right="20" w:hanging="435"/>
        <w:spacing w:after="0" w:line="237" w:lineRule="auto"/>
        <w:tabs>
          <w:tab w:leader="none" w:pos="2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transfers to the Company, in connection with the repurchase of shares of Common Stock issued pursuant to an employee benefit plan or stock plan disclosed herein or pursuant to the agreements pursuant to which such shares were issued as disclosed</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56" w:right="5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900" w:right="160"/>
        <w:spacing w:after="0" w:line="237" w:lineRule="auto"/>
        <w:rPr>
          <w:sz w:val="20"/>
          <w:szCs w:val="20"/>
          <w:color w:val="auto"/>
        </w:rPr>
      </w:pPr>
      <w:r>
        <w:rPr>
          <w:rFonts w:ascii="Arial" w:cs="Arial" w:eastAsia="Arial" w:hAnsi="Arial"/>
          <w:sz w:val="18"/>
          <w:szCs w:val="18"/>
          <w:color w:val="auto"/>
        </w:rPr>
        <w:t>herein, in each case, upon termination of the locked-up party’s relationship with the Company; provided that any filings under Section 16(a) of the Exchange Act, or any other public filing or disclosure of such transfer shall clearly indicate in the footnotes thereto that such transfer relates to the circumstances described in this bullet;</w:t>
      </w:r>
    </w:p>
    <w:p>
      <w:pPr>
        <w:spacing w:after="0" w:line="109" w:lineRule="exact"/>
        <w:rPr>
          <w:sz w:val="20"/>
          <w:szCs w:val="20"/>
          <w:color w:val="auto"/>
        </w:rPr>
      </w:pPr>
    </w:p>
    <w:p>
      <w:pPr>
        <w:ind w:left="2020" w:hanging="435"/>
        <w:spacing w:after="0" w:line="234"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the Company’s capital stock and approved by the board of directors of the Company, and the result of which is that any person or group of persons becomes the beneficial owner of at least 50% of total voting power of the voting stock of the Company or the surviving entity (a “Change of Control Transaction”); provided that in the event that the Change of Control Transaction is not completed, the locked-up party’s shares shall remain subject to the lock-up provisions; provided, further that so long as the locked-up party’s shares are not transferred, sold or tendered, such shares shall remain subject to the lock-up provisions;</w:t>
      </w:r>
    </w:p>
    <w:p>
      <w:pPr>
        <w:spacing w:after="0" w:line="111" w:lineRule="exact"/>
        <w:rPr>
          <w:rFonts w:ascii="Arial" w:cs="Arial" w:eastAsia="Arial" w:hAnsi="Arial"/>
          <w:sz w:val="18"/>
          <w:szCs w:val="18"/>
          <w:color w:val="auto"/>
        </w:rPr>
      </w:pPr>
    </w:p>
    <w:p>
      <w:pPr>
        <w:ind w:left="2020" w:right="140" w:hanging="435"/>
        <w:spacing w:after="0" w:line="239"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with the prior written consent of Goldman Sachs &amp; Co. LLC and J.P. Morgan Securities LLC on behalf of the underwriters; and</w:t>
      </w:r>
    </w:p>
    <w:p>
      <w:pPr>
        <w:spacing w:after="0" w:line="109" w:lineRule="exact"/>
        <w:rPr>
          <w:rFonts w:ascii="Arial" w:cs="Arial" w:eastAsia="Arial" w:hAnsi="Arial"/>
          <w:sz w:val="18"/>
          <w:szCs w:val="18"/>
          <w:color w:val="auto"/>
        </w:rPr>
      </w:pPr>
    </w:p>
    <w:p>
      <w:pPr>
        <w:ind w:left="2020" w:right="100" w:hanging="435"/>
        <w:spacing w:after="0" w:line="236" w:lineRule="auto"/>
        <w:tabs>
          <w:tab w:leader="none" w:pos="2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entry into a written plan meeting the requirements of Rule 10b5-1 under the Exchange Act relating to the transfer, sale or other disposition of securities, if then permitted by the Company, provided that the securities subject to the plan may not be sold during the lock-up period (except to the extent otherwise allowed as described above).</w:t>
      </w:r>
    </w:p>
    <w:p>
      <w:pPr>
        <w:spacing w:after="0" w:line="202" w:lineRule="exact"/>
        <w:rPr>
          <w:sz w:val="20"/>
          <w:szCs w:val="20"/>
          <w:color w:val="auto"/>
        </w:rPr>
      </w:pPr>
    </w:p>
    <w:p>
      <w:pPr>
        <w:ind w:left="160" w:right="160" w:firstLine="546"/>
        <w:spacing w:after="0" w:line="237" w:lineRule="auto"/>
        <w:rPr>
          <w:sz w:val="20"/>
          <w:szCs w:val="20"/>
          <w:color w:val="auto"/>
        </w:rPr>
      </w:pPr>
      <w:r>
        <w:rPr>
          <w:rFonts w:ascii="Arial" w:cs="Arial" w:eastAsia="Arial" w:hAnsi="Arial"/>
          <w:sz w:val="18"/>
          <w:szCs w:val="18"/>
          <w:color w:val="auto"/>
        </w:rPr>
        <w:t>In addition, Goldman Sachs &amp; Co. LLC and J.P. Morgan Securities LLC may, in their sole discretion, release all or some portion of the shares subject to lock-up agreements prior to the expiration of the lock-up period. See “Shares Available for Future Sale” for a discussion of certain other transfer restrictions.</w:t>
      </w:r>
    </w:p>
    <w:p>
      <w:pPr>
        <w:spacing w:after="0" w:line="203"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the Company and the representatives of the underwriters.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applied to list our Class A common stock for trading on The Nasdaq Global Select Market under the symbol “XMTR”.</w:t>
      </w:r>
    </w:p>
    <w:p>
      <w:pPr>
        <w:spacing w:after="0" w:line="208"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6"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4" w:lineRule="exact"/>
        <w:rPr>
          <w:sz w:val="20"/>
          <w:szCs w:val="20"/>
          <w:color w:val="auto"/>
        </w:rPr>
      </w:pPr>
    </w:p>
    <w:p>
      <w:pPr>
        <w:ind w:left="160" w:right="140" w:firstLine="546"/>
        <w:spacing w:after="0" w:line="237"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160" w:right="20" w:firstLine="546"/>
        <w:spacing w:after="0" w:line="235"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European Economic Area</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10" w:lineRule="exact"/>
        <w:rPr>
          <w:sz w:val="20"/>
          <w:szCs w:val="20"/>
          <w:color w:val="auto"/>
        </w:rPr>
      </w:pPr>
    </w:p>
    <w:p>
      <w:pPr>
        <w:ind w:left="1340" w:hanging="638"/>
        <w:spacing w:after="0"/>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3" w:lineRule="exact"/>
        <w:rPr>
          <w:rFonts w:ascii="Arial" w:cs="Arial" w:eastAsia="Arial" w:hAnsi="Arial"/>
          <w:sz w:val="18"/>
          <w:szCs w:val="18"/>
          <w:color w:val="auto"/>
        </w:rPr>
      </w:pPr>
    </w:p>
    <w:p>
      <w:pPr>
        <w:ind w:left="1340" w:right="400" w:hanging="638"/>
        <w:spacing w:after="0" w:line="239" w:lineRule="auto"/>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09" w:lineRule="exact"/>
        <w:rPr>
          <w:rFonts w:ascii="Arial" w:cs="Arial" w:eastAsia="Arial" w:hAnsi="Arial"/>
          <w:sz w:val="18"/>
          <w:szCs w:val="18"/>
          <w:color w:val="auto"/>
        </w:rPr>
      </w:pPr>
    </w:p>
    <w:p>
      <w:pPr>
        <w:jc w:val="both"/>
        <w:ind w:left="1340" w:right="20" w:hanging="638"/>
        <w:spacing w:after="0" w:line="237" w:lineRule="auto"/>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the shares of shares shall require the us or any underwriter to publish a prospectus pursuant to Article 3 of the Prospectus Regulation or supplement a prospectus pursuant to Article 23 of the Prospectus Regulation.</w:t>
      </w:r>
    </w:p>
    <w:p>
      <w:pPr>
        <w:spacing w:after="0" w:line="203" w:lineRule="exact"/>
        <w:rPr>
          <w:sz w:val="20"/>
          <w:szCs w:val="20"/>
          <w:color w:val="auto"/>
        </w:rPr>
      </w:pPr>
    </w:p>
    <w:p>
      <w:pPr>
        <w:ind w:left="160" w:right="100" w:firstLine="546"/>
        <w:spacing w:after="0" w:line="234" w:lineRule="auto"/>
        <w:rPr>
          <w:sz w:val="20"/>
          <w:szCs w:val="20"/>
          <w:color w:val="auto"/>
        </w:rPr>
      </w:pPr>
      <w:r>
        <w:rPr>
          <w:rFonts w:ascii="Arial" w:cs="Arial" w:eastAsia="Arial" w:hAnsi="Arial"/>
          <w:sz w:val="18"/>
          <w:szCs w:val="18"/>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40"/>
          </w:cols>
          <w:pgMar w:left="320" w:top="456" w:right="5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20" w:firstLine="54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02" w:lineRule="exact"/>
        <w:rPr>
          <w:sz w:val="20"/>
          <w:szCs w:val="20"/>
          <w:color w:val="auto"/>
        </w:rPr>
      </w:pPr>
    </w:p>
    <w:p>
      <w:pPr>
        <w:ind w:left="160" w:right="100" w:firstLine="546"/>
        <w:spacing w:after="0" w:line="257" w:lineRule="auto"/>
        <w:rPr>
          <w:sz w:val="20"/>
          <w:szCs w:val="20"/>
          <w:color w:val="auto"/>
        </w:rPr>
      </w:pPr>
      <w:r>
        <w:rPr>
          <w:rFonts w:ascii="Arial" w:cs="Arial" w:eastAsia="Arial" w:hAnsi="Arial"/>
          <w:sz w:val="17"/>
          <w:szCs w:val="17"/>
          <w:color w:val="auto"/>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230" w:lineRule="exact"/>
        <w:rPr>
          <w:sz w:val="20"/>
          <w:szCs w:val="20"/>
          <w:color w:val="auto"/>
        </w:rPr>
      </w:pPr>
    </w:p>
    <w:p>
      <w:pPr>
        <w:ind w:left="160" w:right="200" w:firstLine="546"/>
        <w:spacing w:after="0" w:line="251" w:lineRule="auto"/>
        <w:rPr>
          <w:sz w:val="20"/>
          <w:szCs w:val="20"/>
          <w:color w:val="auto"/>
        </w:rPr>
      </w:pPr>
      <w:r>
        <w:rPr>
          <w:rFonts w:ascii="Arial" w:cs="Arial" w:eastAsia="Arial" w:hAnsi="Arial"/>
          <w:sz w:val="17"/>
          <w:szCs w:val="17"/>
          <w:color w:val="auto"/>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01" w:lineRule="exact"/>
        <w:rPr>
          <w:sz w:val="20"/>
          <w:szCs w:val="20"/>
          <w:color w:val="auto"/>
        </w:rPr>
      </w:pPr>
    </w:p>
    <w:p>
      <w:pPr>
        <w:ind w:left="920" w:hanging="218"/>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13" w:lineRule="exact"/>
        <w:rPr>
          <w:rFonts w:ascii="Arial" w:cs="Arial" w:eastAsia="Arial" w:hAnsi="Arial"/>
          <w:sz w:val="18"/>
          <w:szCs w:val="18"/>
          <w:color w:val="auto"/>
        </w:rPr>
      </w:pPr>
    </w:p>
    <w:p>
      <w:pPr>
        <w:ind w:left="920" w:right="980" w:hanging="218"/>
        <w:spacing w:after="0" w:line="239"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or</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208" w:lineRule="exact"/>
        <w:rPr>
          <w:sz w:val="20"/>
          <w:szCs w:val="20"/>
          <w:color w:val="auto"/>
        </w:rPr>
      </w:pPr>
    </w:p>
    <w:p>
      <w:pPr>
        <w:ind w:left="160" w:firstLine="546"/>
        <w:spacing w:after="0" w:line="239" w:lineRule="auto"/>
        <w:rPr>
          <w:sz w:val="20"/>
          <w:szCs w:val="20"/>
          <w:color w:val="auto"/>
        </w:rPr>
      </w:pPr>
      <w:r>
        <w:rPr>
          <w:rFonts w:ascii="Arial" w:cs="Arial" w:eastAsia="Arial" w:hAnsi="Arial"/>
          <w:sz w:val="18"/>
          <w:szCs w:val="18"/>
          <w:color w:val="auto"/>
        </w:rPr>
        <w:t>provided that no such offer of shares shall require the Issuer or any representative to publish a prospectus pursuant to section 85 of the FSMA or supplement a prospectus pursuant to Article 23 of the UK Prospectus Regulation.</w:t>
      </w:r>
    </w:p>
    <w:p>
      <w:pPr>
        <w:spacing w:after="0" w:line="203"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2" w:lineRule="exact"/>
        <w:rPr>
          <w:sz w:val="20"/>
          <w:szCs w:val="20"/>
          <w:color w:val="auto"/>
        </w:rPr>
      </w:pPr>
    </w:p>
    <w:p>
      <w:pPr>
        <w:ind w:left="160" w:right="140" w:firstLine="546"/>
        <w:spacing w:after="0" w:line="236"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202" w:lineRule="exact"/>
        <w:rPr>
          <w:sz w:val="20"/>
          <w:szCs w:val="20"/>
          <w:color w:val="auto"/>
        </w:rPr>
      </w:pPr>
    </w:p>
    <w:p>
      <w:pPr>
        <w:ind w:left="160" w:right="60" w:firstLine="546"/>
        <w:spacing w:after="0" w:line="23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60"/>
          </w:cols>
          <w:pgMar w:left="320" w:top="456" w:right="5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right="80"/>
        <w:spacing w:after="0" w:line="239" w:lineRule="auto"/>
        <w:rPr>
          <w:sz w:val="20"/>
          <w:szCs w:val="20"/>
          <w:color w:val="auto"/>
        </w:rPr>
      </w:pPr>
      <w:r>
        <w:rPr>
          <w:rFonts w:ascii="Arial" w:cs="Arial" w:eastAsia="Arial" w:hAnsi="Arial"/>
          <w:sz w:val="18"/>
          <w:szCs w:val="18"/>
          <w:color w:val="auto"/>
        </w:rPr>
        <w:t>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03" w:lineRule="exact"/>
        <w:rPr>
          <w:sz w:val="20"/>
          <w:szCs w:val="20"/>
          <w:color w:val="auto"/>
        </w:rPr>
      </w:pPr>
    </w:p>
    <w:p>
      <w:pPr>
        <w:jc w:val="both"/>
        <w:ind w:left="160" w:right="100" w:firstLine="546"/>
        <w:spacing w:after="0" w:line="23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Canada</w:t>
      </w:r>
    </w:p>
    <w:p>
      <w:pPr>
        <w:spacing w:after="0" w:line="230" w:lineRule="exact"/>
        <w:rPr>
          <w:sz w:val="20"/>
          <w:szCs w:val="20"/>
          <w:color w:val="auto"/>
        </w:rPr>
      </w:pPr>
    </w:p>
    <w:p>
      <w:pPr>
        <w:ind w:left="160" w:right="80" w:firstLine="546"/>
        <w:spacing w:after="0" w:line="23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4"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4"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Hong Kong</w:t>
      </w:r>
    </w:p>
    <w:p>
      <w:pPr>
        <w:spacing w:after="0" w:line="230" w:lineRule="exact"/>
        <w:rPr>
          <w:sz w:val="20"/>
          <w:szCs w:val="20"/>
          <w:color w:val="auto"/>
        </w:rPr>
      </w:pPr>
    </w:p>
    <w:p>
      <w:pPr>
        <w:ind w:left="160" w:firstLine="546"/>
        <w:spacing w:after="0" w:line="233"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Singapore</w:t>
      </w:r>
    </w:p>
    <w:p>
      <w:pPr>
        <w:spacing w:after="0" w:line="337" w:lineRule="exact"/>
        <w:rPr>
          <w:sz w:val="20"/>
          <w:szCs w:val="20"/>
          <w:color w:val="auto"/>
        </w:rPr>
      </w:pPr>
    </w:p>
    <w:p>
      <w:pPr>
        <w:ind w:left="160" w:right="260" w:firstLine="546"/>
        <w:spacing w:after="0" w:line="23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6" w:right="5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60"/>
        <w:spacing w:after="0" w:line="246" w:lineRule="auto"/>
        <w:rPr>
          <w:sz w:val="20"/>
          <w:szCs w:val="20"/>
          <w:color w:val="auto"/>
        </w:rPr>
      </w:pPr>
      <w:r>
        <w:rPr>
          <w:rFonts w:ascii="Arial" w:cs="Arial" w:eastAsia="Arial" w:hAnsi="Arial"/>
          <w:sz w:val="17"/>
          <w:szCs w:val="17"/>
          <w:color w:val="auto"/>
        </w:rPr>
        <w:t>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w:t>
      </w:r>
    </w:p>
    <w:p>
      <w:pPr>
        <w:ind w:left="160" w:firstLine="7"/>
        <w:spacing w:after="0" w:line="235" w:lineRule="auto"/>
        <w:tabs>
          <w:tab w:leader="none" w:pos="3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(the “SFA”) pursuant to Section 274 of the SFA, (ii) to a relevant person (as defined in Section 275(2) of the SFA) pursuant to Section 275(1) of the SFA, or any person pursuant to Section 275(1A), and in accordance with the conditions specified in Section 275 of the SFA and (where applicable) Regulation 3 of the Securities and Futures (Class of Investors) Regulations 2018, or (iii) otherwise pursuant to, and in accordance with the conditions of, any other applicable provision of the SFA.</w:t>
      </w:r>
    </w:p>
    <w:p>
      <w:pPr>
        <w:spacing w:after="0" w:line="204"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2" w:lineRule="exact"/>
        <w:rPr>
          <w:sz w:val="20"/>
          <w:szCs w:val="20"/>
          <w:color w:val="auto"/>
        </w:rPr>
      </w:pPr>
    </w:p>
    <w:p>
      <w:pPr>
        <w:ind w:left="920" w:right="680" w:hanging="218"/>
        <w:spacing w:after="0" w:line="239" w:lineRule="auto"/>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9" w:lineRule="exact"/>
        <w:rPr>
          <w:rFonts w:ascii="Arial" w:cs="Arial" w:eastAsia="Arial" w:hAnsi="Arial"/>
          <w:sz w:val="18"/>
          <w:szCs w:val="18"/>
          <w:color w:val="auto"/>
        </w:rPr>
      </w:pPr>
    </w:p>
    <w:p>
      <w:pPr>
        <w:ind w:left="920" w:hanging="218"/>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3" w:lineRule="exact"/>
        <w:rPr>
          <w:rFonts w:ascii="Arial" w:cs="Arial" w:eastAsia="Arial" w:hAnsi="Arial"/>
          <w:sz w:val="18"/>
          <w:szCs w:val="18"/>
          <w:color w:val="auto"/>
        </w:rPr>
      </w:pPr>
    </w:p>
    <w:p>
      <w:pPr>
        <w:ind w:left="920" w:hanging="218"/>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3" w:lineRule="exact"/>
        <w:rPr>
          <w:rFonts w:ascii="Arial" w:cs="Arial" w:eastAsia="Arial" w:hAnsi="Arial"/>
          <w:sz w:val="18"/>
          <w:szCs w:val="18"/>
          <w:color w:val="auto"/>
        </w:rPr>
      </w:pPr>
    </w:p>
    <w:p>
      <w:pPr>
        <w:ind w:left="920" w:right="20" w:hanging="218"/>
        <w:spacing w:after="0" w:line="239" w:lineRule="auto"/>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03" w:lineRule="exact"/>
        <w:rPr>
          <w:sz w:val="20"/>
          <w:szCs w:val="20"/>
          <w:color w:val="auto"/>
        </w:rPr>
      </w:pPr>
    </w:p>
    <w:p>
      <w:pPr>
        <w:ind w:left="160" w:right="160" w:firstLine="546"/>
        <w:spacing w:after="0" w:line="257" w:lineRule="auto"/>
        <w:rPr>
          <w:sz w:val="20"/>
          <w:szCs w:val="20"/>
          <w:color w:val="auto"/>
        </w:rPr>
      </w:pPr>
      <w:r>
        <w:rPr>
          <w:rFonts w:ascii="Arial" w:cs="Arial" w:eastAsia="Arial" w:hAnsi="Arial"/>
          <w:sz w:val="17"/>
          <w:szCs w:val="17"/>
          <w:color w:val="auto"/>
        </w:rPr>
        <w:t>Notification under Section 309B(1) of the SFA—The shares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Japan</w:t>
      </w:r>
    </w:p>
    <w:p>
      <w:pPr>
        <w:spacing w:after="0" w:line="230"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estimates that its share of the total expenses of the offering, excluding underwriting discounts and commissions, will</w:t>
      </w:r>
    </w:p>
    <w:p>
      <w:pPr>
        <w:spacing w:after="0" w:line="5"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be approximately $ . The Company has agreed to reimburse the underwriters for expenses relating to clearance of this offering with the Financial Industry Regulatory Authority up to $ .</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60"/>
          </w:cols>
          <w:pgMar w:left="320" w:top="456"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 of 1933.</w:t>
      </w:r>
    </w:p>
    <w:p>
      <w:pPr>
        <w:spacing w:after="0" w:line="203"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4"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00"/>
          </w:cols>
          <w:pgMar w:left="320" w:top="456" w:right="5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30" w:lineRule="exact"/>
        <w:rPr>
          <w:sz w:val="20"/>
          <w:szCs w:val="20"/>
          <w:color w:val="auto"/>
        </w:rPr>
      </w:pPr>
    </w:p>
    <w:p>
      <w:pPr>
        <w:ind w:left="160" w:firstLine="546"/>
        <w:spacing w:after="0" w:line="237" w:lineRule="auto"/>
        <w:rPr>
          <w:sz w:val="20"/>
          <w:szCs w:val="20"/>
          <w:color w:val="auto"/>
        </w:rPr>
      </w:pPr>
      <w:r>
        <w:rPr>
          <w:rFonts w:ascii="Arial" w:cs="Arial" w:eastAsia="Arial" w:hAnsi="Arial"/>
          <w:sz w:val="18"/>
          <w:szCs w:val="18"/>
          <w:color w:val="auto"/>
        </w:rPr>
        <w:t>Cooley LLP, Washington, D.C., which has acted as our counsel in connection with this offering, will pass on certain legal matters with respect to U.S. federal law in connection with this offering. Davis Polk &amp; Wardwell LLP, Menlo Park, California has acted as counsel to the underwriters in connection with this offering.</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30" w:lineRule="exact"/>
        <w:rPr>
          <w:sz w:val="20"/>
          <w:szCs w:val="20"/>
          <w:color w:val="auto"/>
        </w:rPr>
      </w:pPr>
    </w:p>
    <w:p>
      <w:pPr>
        <w:ind w:left="160" w:right="100" w:firstLine="546"/>
        <w:spacing w:after="0" w:line="236" w:lineRule="auto"/>
        <w:rPr>
          <w:sz w:val="20"/>
          <w:szCs w:val="20"/>
          <w:color w:val="auto"/>
        </w:rPr>
      </w:pPr>
      <w:r>
        <w:rPr>
          <w:rFonts w:ascii="Arial" w:cs="Arial" w:eastAsia="Arial" w:hAnsi="Arial"/>
          <w:sz w:val="18"/>
          <w:szCs w:val="18"/>
          <w:color w:val="auto"/>
        </w:rPr>
        <w:t>The consolidated financial statements of Xometry, Inc. as of and for the years ended December 31, 2020 and 2019, have been included herein and in the registration statement in reliance upon the report of KPMG LLP, independent registered public accounting firm, appearing elsewhere herein, and upon the authority of said firm as experts in accounting and auditing. The audit report covering these consolidated financial statements refers to a change to the method of accounting for leases.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0" w:lineRule="exact"/>
        <w:rPr>
          <w:sz w:val="20"/>
          <w:szCs w:val="20"/>
          <w:color w:val="auto"/>
        </w:rPr>
      </w:pPr>
    </w:p>
    <w:p>
      <w:pPr>
        <w:ind w:left="160" w:firstLine="546"/>
        <w:spacing w:after="0" w:line="24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94" w:lineRule="exact"/>
        <w:rPr>
          <w:sz w:val="20"/>
          <w:szCs w:val="20"/>
          <w:color w:val="auto"/>
        </w:rPr>
      </w:pPr>
    </w:p>
    <w:p>
      <w:pPr>
        <w:ind w:left="160" w:right="80" w:firstLine="546"/>
        <w:spacing w:after="0" w:line="237" w:lineRule="auto"/>
        <w:rPr>
          <w:sz w:val="20"/>
          <w:szCs w:val="20"/>
          <w:color w:val="auto"/>
        </w:rPr>
      </w:pPr>
      <w:r>
        <w:rPr>
          <w:rFonts w:ascii="Arial" w:cs="Arial" w:eastAsia="Arial" w:hAnsi="Arial"/>
          <w:sz w:val="18"/>
          <w:szCs w:val="18"/>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203"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We also maintain a website at www.xometry.com. Information contained in, or accessible through, our website is not a part of this prospectus, and the inclusion of our website address in this prospectus is only as an inactive textual reference.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60"/>
          </w:cols>
          <w:pgMar w:left="320" w:top="456"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Consolidated Financial Statements</w:t>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Page(s)</w:t>
            </w:r>
          </w:p>
        </w:tc>
      </w:tr>
      <w:tr>
        <w:trPr>
          <w:trHeight w:val="261"/>
        </w:trPr>
        <w:tc>
          <w:tcPr>
            <w:tcW w:w="10360" w:type="dxa"/>
            <w:vAlign w:val="bottom"/>
            <w:gridSpan w:val="8"/>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Report of Independent Registered Public Accounting Firm</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6"/>
        </w:trPr>
        <w:tc>
          <w:tcPr>
            <w:tcW w:w="45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58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r>
      <w:tr>
        <w:trPr>
          <w:trHeight w:val="269"/>
        </w:trPr>
        <w:tc>
          <w:tcPr>
            <w:tcW w:w="360" w:type="dxa"/>
            <w:vAlign w:val="bottom"/>
          </w:tcPr>
          <w:p>
            <w:pPr>
              <w:spacing w:after="0"/>
              <w:rPr>
                <w:sz w:val="23"/>
                <w:szCs w:val="23"/>
                <w:color w:val="auto"/>
              </w:rPr>
            </w:pPr>
          </w:p>
        </w:tc>
        <w:tc>
          <w:tcPr>
            <w:tcW w:w="10000" w:type="dxa"/>
            <w:vAlign w:val="bottom"/>
            <w:gridSpan w:val="7"/>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Consolidated Balance Sheets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Consolidated Statements of Operations and Comprehensive Loss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88"/>
        </w:trPr>
        <w:tc>
          <w:tcPr>
            <w:tcW w:w="36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Consolidated Statements of Changes in Convertible Preferred Stock and Stockholders’ Deficit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88"/>
        </w:trPr>
        <w:tc>
          <w:tcPr>
            <w:tcW w:w="36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184">
              <w:r>
                <w:rPr>
                  <w:rFonts w:ascii="Arial" w:cs="Arial" w:eastAsia="Arial" w:hAnsi="Arial"/>
                  <w:sz w:val="18"/>
                  <w:szCs w:val="18"/>
                  <w:color w:val="0000EE"/>
                  <w:w w:val="98"/>
                </w:rPr>
                <w:t>Consolidated Statements of Cash Flows</w:t>
              </w:r>
            </w:hyperlink>
          </w:p>
        </w:tc>
        <w:tc>
          <w:tcPr>
            <w:tcW w:w="4200" w:type="dxa"/>
            <w:vAlign w:val="bottom"/>
            <w:tcBorders>
              <w:top w:val="single" w:sz="8" w:color="0000EE"/>
            </w:tcBorders>
            <w:gridSpan w:val="3"/>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88"/>
        </w:trPr>
        <w:tc>
          <w:tcPr>
            <w:tcW w:w="34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85">
              <w:r>
                <w:rPr>
                  <w:rFonts w:ascii="Arial" w:cs="Arial" w:eastAsia="Arial" w:hAnsi="Arial"/>
                  <w:sz w:val="18"/>
                  <w:szCs w:val="18"/>
                  <w:color w:val="0000EE"/>
                  <w:w w:val="98"/>
                </w:rPr>
                <w:t>Notes to Consolidated Financial Statements</w:t>
              </w:r>
            </w:hyperlink>
          </w:p>
        </w:tc>
        <w:tc>
          <w:tcPr>
            <w:tcW w:w="68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F-8</w:t>
            </w:r>
          </w:p>
        </w:tc>
      </w:tr>
    </w:tbl>
    <w:p>
      <w:pPr>
        <w:sectPr>
          <w:pgSz w:w="11900" w:h="16838" w:orient="portrait"/>
          <w:cols w:equalWidth="0" w:num="1">
            <w:col w:w="11020"/>
          </w:cols>
          <w:pgMar w:left="320" w:top="456" w:right="5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Stockholders and Board of Directors</w:t>
      </w:r>
    </w:p>
    <w:p>
      <w:pPr>
        <w:ind w:left="160"/>
        <w:spacing w:after="0"/>
        <w:rPr>
          <w:sz w:val="20"/>
          <w:szCs w:val="20"/>
          <w:color w:val="auto"/>
        </w:rPr>
      </w:pPr>
      <w:r>
        <w:rPr>
          <w:rFonts w:ascii="Arial" w:cs="Arial" w:eastAsia="Arial" w:hAnsi="Arial"/>
          <w:sz w:val="18"/>
          <w:szCs w:val="18"/>
          <w:color w:val="auto"/>
        </w:rPr>
        <w:t>Xometry, Inc.:</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9"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We have audited the accompanying consolidated balance sheets of Xometry, Inc. and subsidiaries (the Company) as of December 31, 2020 and 2019, the related consolidated statements of operations and comprehensive loss, changes in convertible preferred stock and stockholders’ deficit, and cash flows for each of the years then ended, and the related notes and financial statement schedule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then ended, in conformity with U.S. generally accepted accounting principles.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Basis for Opinion</w:t>
      </w:r>
    </w:p>
    <w:p>
      <w:pPr>
        <w:spacing w:after="0" w:line="119"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KPMG LLP</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2015.</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McLean, Virginia</w:t>
      </w:r>
    </w:p>
    <w:p>
      <w:pPr>
        <w:ind w:left="160"/>
        <w:spacing w:after="0"/>
        <w:rPr>
          <w:sz w:val="20"/>
          <w:szCs w:val="20"/>
          <w:color w:val="auto"/>
        </w:rPr>
      </w:pPr>
      <w:r>
        <w:rPr>
          <w:rFonts w:ascii="Arial" w:cs="Arial" w:eastAsia="Arial" w:hAnsi="Arial"/>
          <w:sz w:val="18"/>
          <w:szCs w:val="18"/>
          <w:color w:val="auto"/>
        </w:rPr>
        <w:t>April 13, 2021</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40"/>
          </w:cols>
          <w:pgMar w:left="320" w:top="456" w:right="5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9"/>
              <w:spacing w:after="0" w:line="154"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0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59,874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49,512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10,860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less allowance for doubtful accounts of $0.6 million in 2020 and $0.4 million in 2019; and $0.6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0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million as of March 31, 2021</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line="156" w:lineRule="exact"/>
              <w:rPr>
                <w:sz w:val="20"/>
                <w:szCs w:val="20"/>
                <w:color w:val="auto"/>
              </w:rPr>
            </w:pPr>
            <w:r>
              <w:rPr>
                <w:rFonts w:ascii="Arial" w:cs="Arial" w:eastAsia="Arial" w:hAnsi="Arial"/>
                <w:sz w:val="14"/>
                <w:szCs w:val="14"/>
                <w:color w:val="auto"/>
              </w:rPr>
              <w:t>14,574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12,405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20,065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2,294</w:t>
            </w: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1,314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913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3"/>
                <w:szCs w:val="1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77,655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65,408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73,598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6,113</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4,216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6,671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right-of-use lease assets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1,922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788</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1,652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2,425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833</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2,188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88,963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77,411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5,640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7,935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7,460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13,606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15,196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2,355</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1,821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 current portion</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1,013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Finance lease liabilities, current portion</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87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15,753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7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38,381</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15,855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43,279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11,433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Operating lease liabilities, net of current portion</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1,118</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2,050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lease liabilities, net of current portion</w:t>
            </w: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00" w:type="dxa"/>
            <w:vAlign w:val="bottom"/>
          </w:tcPr>
          <w:p>
            <w:pPr>
              <w:ind w:left="56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39,499</w:t>
            </w: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29,352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44,268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 (Note 13)</w:t>
            </w: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792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Seed-1, $0.000001 par value. 4,200,000 shares authorized, issued and outstanding as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of December 31, 2020 and 2019; and March 31, 2021 (unaudited)</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4,200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Convertible preferred stock- Seed-2, $0.000001 par value. 2,188,322 shares authorized, issued and outstanding as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of December 31, 2020 and 2019; and March 31, 2021 (unaudited)</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2,998</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2,998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A-1, $0.000001 par value. 4,211,094 shares authorized, issued and outstanding</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 of December 31, 2020 and 2019; and March 31, 2021 (unaudited)</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8,704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8,704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Convertible preferred stock- Series A-2, $0.000001 par value. 1,591,230 shares authorized, issued and outstanding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as of December 31, 2020 and 2019; and March 31, 2021 (unaudited)</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12,839</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6,957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12,839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B, $0.000001 par value. 4,132,055 shares authorized and 4,044,271 issued and</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as of December 31, 2020 and 2019; and March 31, 2021 (unaudited)</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20,347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18,612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20,347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Convertible preferred stock- Series C, $0.000001 par value. 3,754,201 shares authorized, issued and outstanding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as of December 31, 2020 and 2019; and March 31, 2021 (unaudited)</w:t>
            </w: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26,004</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24,756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26,004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Series D, $0.000001 par value. 5,494,064 and 5,600,000 shares authorized and</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5,494,064 shares issued and outstanding as of December 31, 2020 and 2019; and 5,494,064 shares authorized,</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issued and outstanding as of March 31, 2021 (unaudited)</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54,864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54,929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54,864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Convertible preferred stock- Series E, $0.000001 par value. 2,400,000 shares authorized and 2,275,759 shares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issued and outstanding as of December 31, 2020; and March 31, 2021 (unaudited)</w:t>
            </w:r>
          </w:p>
        </w:tc>
        <w:tc>
          <w:tcPr>
            <w:tcW w:w="10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30,757</w:t>
            </w:r>
          </w:p>
        </w:tc>
        <w:tc>
          <w:tcPr>
            <w:tcW w:w="8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30,757</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deficit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Common stock, $0.000001 par value. Authorized 42,000,000 and 39,600,000 shares; 7,755,782 shares and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7,289,571 shares issued and outstanding as of December 31, 2020 and 2019; Authorized 42,000,000 shares;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tcPr>
          <w:p>
            <w:pPr>
              <w:ind w:left="420"/>
              <w:spacing w:after="0"/>
              <w:rPr>
                <w:sz w:val="20"/>
                <w:szCs w:val="20"/>
                <w:color w:val="auto"/>
              </w:rPr>
            </w:pPr>
            <w:r>
              <w:rPr>
                <w:rFonts w:ascii="Arial" w:cs="Arial" w:eastAsia="Arial" w:hAnsi="Arial"/>
                <w:sz w:val="14"/>
                <w:szCs w:val="14"/>
                <w:color w:val="auto"/>
              </w:rPr>
              <w:t>8,239,494 issued and outstanding as of March 31, 2021 (unaudited)</w:t>
            </w:r>
          </w:p>
        </w:tc>
        <w:tc>
          <w:tcPr>
            <w:tcW w:w="1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4,512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(111,962)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(77,609)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(122,463)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 stockholders’ deficit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7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(111,249)</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(73,097)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(120,369)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9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88,963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77,411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F-3</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Operations and Comprehensive Loss</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2"/>
              <w:spacing w:after="0" w:line="154"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4"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2"/>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141,406</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80,228</w:t>
            </w:r>
          </w:p>
        </w:tc>
        <w:tc>
          <w:tcPr>
            <w:tcW w:w="3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43,922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108,120</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65,492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34,087</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33,286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14,736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22,567</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14,599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7,563</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14,111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10,314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12,186</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10,637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3,664</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12,046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8,016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Impairment of goodwill and intangible assets</w:t>
            </w:r>
          </w:p>
        </w:tc>
        <w:tc>
          <w:tcPr>
            <w:tcW w:w="100" w:type="dxa"/>
            <w:vAlign w:val="bottom"/>
          </w:tcPr>
          <w:p>
            <w:pPr>
              <w:spacing w:after="0"/>
              <w:rPr>
                <w:sz w:val="17"/>
                <w:szCs w:val="17"/>
                <w:color w:val="auto"/>
              </w:rPr>
            </w:pPr>
          </w:p>
        </w:tc>
        <w:tc>
          <w:tcPr>
            <w:tcW w:w="13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1,592</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1,719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62,502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45,285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19,884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340"/>
              <w:spacing w:after="0" w:line="201" w:lineRule="exact"/>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7"/>
                <w:szCs w:val="17"/>
                <w:color w:val="auto"/>
              </w:rPr>
            </w:pP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(29,216)</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(30,549)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(10,049)</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(8,352)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7"/>
                <w:szCs w:val="17"/>
                <w:color w:val="auto"/>
              </w:rPr>
            </w:pP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(1,089)</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(241)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8"/>
                <w:szCs w:val="18"/>
                <w:color w:val="auto"/>
              </w:rPr>
              <w:t>Total other expenses</w:t>
            </w: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(31,085)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(30,994)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8"/>
                <w:szCs w:val="18"/>
                <w:color w:val="auto"/>
              </w:rPr>
              <w:t>Deemed dividend to preferred stockholders</w:t>
            </w: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Net loss attributable to common stockholders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(39,886)</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(30,994)</w:t>
            </w:r>
          </w:p>
        </w:tc>
        <w:tc>
          <w:tcPr>
            <w:tcW w:w="3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ind w:left="160"/>
              <w:spacing w:after="0" w:line="201" w:lineRule="exact"/>
              <w:rPr>
                <w:sz w:val="20"/>
                <w:szCs w:val="20"/>
                <w:color w:val="auto"/>
              </w:rPr>
            </w:pPr>
            <w:r>
              <w:rPr>
                <w:rFonts w:ascii="Arial" w:cs="Arial" w:eastAsia="Arial" w:hAnsi="Arial"/>
                <w:sz w:val="18"/>
                <w:szCs w:val="18"/>
                <w:color w:val="auto"/>
              </w:rPr>
              <w:t>and diluted</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(5.32)</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(4.88)</w:t>
            </w:r>
          </w:p>
        </w:tc>
        <w:tc>
          <w:tcPr>
            <w:tcW w:w="3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4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Weighted-average number of shares outstanding used to</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compute net loss per share attributable to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stockholders, basic and diluted</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w w:val="97"/>
              </w:rPr>
              <w:t>7,492,876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w w:val="99"/>
              </w:rPr>
              <w:t>6,345,498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w w:val="97"/>
              </w:rPr>
              <w:t>7,924,848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7,354,673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(31,085)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(30,994)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(30,875)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(30,994)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(10,471)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1260" w:type="dxa"/>
            <w:vAlign w:val="bottom"/>
          </w:tcPr>
          <w:p>
            <w:pPr>
              <w:spacing w:after="0"/>
              <w:rPr>
                <w:sz w:val="7"/>
                <w:szCs w:val="7"/>
                <w:color w:val="auto"/>
              </w:rPr>
            </w:pPr>
          </w:p>
        </w:tc>
        <w:tc>
          <w:tcPr>
            <w:tcW w:w="780" w:type="dxa"/>
            <w:vAlign w:val="bottom"/>
            <w:gridSpan w:val="5"/>
            <w:vMerge w:val="restart"/>
          </w:tcPr>
          <w:p>
            <w:pPr>
              <w:ind w:left="80"/>
              <w:spacing w:after="0"/>
              <w:rPr>
                <w:sz w:val="20"/>
                <w:szCs w:val="20"/>
                <w:color w:val="auto"/>
              </w:rPr>
            </w:pPr>
            <w:r>
              <w:rPr>
                <w:rFonts w:ascii="Arial" w:cs="Arial" w:eastAsia="Arial" w:hAnsi="Arial"/>
                <w:sz w:val="7"/>
                <w:szCs w:val="7"/>
                <w:b w:val="1"/>
                <w:bCs w:val="1"/>
                <w:color w:val="auto"/>
              </w:rPr>
              <w:t>Preferred Stock</w:t>
            </w:r>
          </w:p>
        </w:tc>
        <w:tc>
          <w:tcPr>
            <w:tcW w:w="800" w:type="dxa"/>
            <w:vAlign w:val="bottom"/>
            <w:gridSpan w:val="5"/>
            <w:vMerge w:val="restart"/>
          </w:tcPr>
          <w:p>
            <w:pPr>
              <w:ind w:left="8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gridSpan w:val="5"/>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5"/>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4"/>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40" w:type="dxa"/>
            <w:vAlign w:val="bottom"/>
            <w:gridSpan w:val="4"/>
            <w:vMerge w:val="restart"/>
          </w:tcPr>
          <w:p>
            <w:pPr>
              <w:jc w:val="center"/>
              <w:ind w:right="12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9"/>
              </w:rPr>
              <w:t>Accumulated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80" w:type="dxa"/>
            <w:vAlign w:val="bottom"/>
            <w:gridSpan w:val="5"/>
            <w:vMerge w:val="continue"/>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820" w:type="dxa"/>
            <w:vAlign w:val="bottom"/>
            <w:tcBorders>
              <w:right w:val="single" w:sz="8" w:color="auto"/>
            </w:tcBorders>
            <w:gridSpan w:val="4"/>
            <w:vMerge w:val="continu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Additional</w:t>
            </w:r>
          </w:p>
        </w:tc>
        <w:tc>
          <w:tcPr>
            <w:tcW w:w="60" w:type="dxa"/>
            <w:vAlign w:val="bottom"/>
          </w:tcPr>
          <w:p>
            <w:pPr>
              <w:spacing w:after="0"/>
              <w:rPr>
                <w:sz w:val="2"/>
                <w:szCs w:val="2"/>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7"/>
                <w:szCs w:val="7"/>
                <w:b w:val="1"/>
                <w:bCs w:val="1"/>
                <w:color w:val="auto"/>
              </w:rPr>
              <w:t>Other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1260" w:type="dxa"/>
            <w:vAlign w:val="bottom"/>
          </w:tcPr>
          <w:p>
            <w:pPr>
              <w:spacing w:after="0"/>
              <w:rPr>
                <w:sz w:val="4"/>
                <w:szCs w:val="4"/>
                <w:color w:val="auto"/>
              </w:rPr>
            </w:pPr>
          </w:p>
        </w:tc>
        <w:tc>
          <w:tcPr>
            <w:tcW w:w="500" w:type="dxa"/>
            <w:vAlign w:val="bottom"/>
            <w:gridSpan w:val="3"/>
            <w:vMerge w:val="restart"/>
          </w:tcPr>
          <w:p>
            <w:pPr>
              <w:ind w:left="220"/>
              <w:spacing w:after="0"/>
              <w:rPr>
                <w:sz w:val="20"/>
                <w:szCs w:val="20"/>
                <w:color w:val="auto"/>
              </w:rPr>
            </w:pPr>
            <w:r>
              <w:rPr>
                <w:rFonts w:ascii="Arial" w:cs="Arial" w:eastAsia="Arial" w:hAnsi="Arial"/>
                <w:sz w:val="7"/>
                <w:szCs w:val="7"/>
                <w:b w:val="1"/>
                <w:bCs w:val="1"/>
                <w:color w:val="auto"/>
              </w:rPr>
              <w:t>Seed-1</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3"/>
            <w:vMerge w:val="restart"/>
          </w:tcPr>
          <w:p>
            <w:pPr>
              <w:ind w:left="240"/>
              <w:spacing w:after="0"/>
              <w:rPr>
                <w:sz w:val="20"/>
                <w:szCs w:val="20"/>
                <w:color w:val="auto"/>
              </w:rPr>
            </w:pPr>
            <w:r>
              <w:rPr>
                <w:rFonts w:ascii="Arial" w:cs="Arial" w:eastAsia="Arial" w:hAnsi="Arial"/>
                <w:sz w:val="7"/>
                <w:szCs w:val="7"/>
                <w:b w:val="1"/>
                <w:bCs w:val="1"/>
                <w:color w:val="auto"/>
              </w:rPr>
              <w:t>Seed-2</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3"/>
            <w:vMerge w:val="restart"/>
          </w:tcPr>
          <w:p>
            <w:pPr>
              <w:ind w:left="180"/>
              <w:spacing w:after="0"/>
              <w:rPr>
                <w:sz w:val="20"/>
                <w:szCs w:val="20"/>
                <w:color w:val="auto"/>
              </w:rPr>
            </w:pPr>
            <w:r>
              <w:rPr>
                <w:rFonts w:ascii="Arial" w:cs="Arial" w:eastAsia="Arial" w:hAnsi="Arial"/>
                <w:sz w:val="7"/>
                <w:szCs w:val="7"/>
                <w:b w:val="1"/>
                <w:bCs w:val="1"/>
                <w:color w:val="auto"/>
                <w:w w:val="99"/>
              </w:rPr>
              <w:t>Series A-1</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5"/>
            <w:vMerge w:val="restart"/>
          </w:tcPr>
          <w:p>
            <w:pPr>
              <w:jc w:val="right"/>
              <w:ind w:right="300"/>
              <w:spacing w:after="0"/>
              <w:rPr>
                <w:sz w:val="20"/>
                <w:szCs w:val="20"/>
                <w:color w:val="auto"/>
              </w:rPr>
            </w:pPr>
            <w:r>
              <w:rPr>
                <w:rFonts w:ascii="Arial" w:cs="Arial" w:eastAsia="Arial" w:hAnsi="Arial"/>
                <w:sz w:val="7"/>
                <w:szCs w:val="7"/>
                <w:b w:val="1"/>
                <w:bCs w:val="1"/>
                <w:color w:val="auto"/>
              </w:rPr>
              <w:t>Series A-2</w:t>
            </w:r>
          </w:p>
        </w:tc>
        <w:tc>
          <w:tcPr>
            <w:tcW w:w="860" w:type="dxa"/>
            <w:vAlign w:val="bottom"/>
            <w:gridSpan w:val="4"/>
            <w:vMerge w:val="restart"/>
          </w:tcPr>
          <w:p>
            <w:pPr>
              <w:jc w:val="right"/>
              <w:ind w:right="340"/>
              <w:spacing w:after="0"/>
              <w:rPr>
                <w:sz w:val="20"/>
                <w:szCs w:val="20"/>
                <w:color w:val="auto"/>
              </w:rPr>
            </w:pPr>
            <w:r>
              <w:rPr>
                <w:rFonts w:ascii="Arial" w:cs="Arial" w:eastAsia="Arial" w:hAnsi="Arial"/>
                <w:sz w:val="7"/>
                <w:szCs w:val="7"/>
                <w:b w:val="1"/>
                <w:bCs w:val="1"/>
                <w:color w:val="auto"/>
              </w:rPr>
              <w:t>Series B</w:t>
            </w:r>
          </w:p>
        </w:tc>
        <w:tc>
          <w:tcPr>
            <w:tcW w:w="840" w:type="dxa"/>
            <w:vAlign w:val="bottom"/>
            <w:gridSpan w:val="4"/>
            <w:vMerge w:val="restart"/>
          </w:tcPr>
          <w:p>
            <w:pPr>
              <w:jc w:val="right"/>
              <w:ind w:right="340"/>
              <w:spacing w:after="0"/>
              <w:rPr>
                <w:sz w:val="20"/>
                <w:szCs w:val="20"/>
                <w:color w:val="auto"/>
              </w:rPr>
            </w:pPr>
            <w:r>
              <w:rPr>
                <w:rFonts w:ascii="Arial" w:cs="Arial" w:eastAsia="Arial" w:hAnsi="Arial"/>
                <w:sz w:val="7"/>
                <w:szCs w:val="7"/>
                <w:b w:val="1"/>
                <w:bCs w:val="1"/>
                <w:color w:val="auto"/>
              </w:rPr>
              <w:t>Series C</w:t>
            </w:r>
          </w:p>
        </w:tc>
        <w:tc>
          <w:tcPr>
            <w:tcW w:w="500" w:type="dxa"/>
            <w:vAlign w:val="bottom"/>
            <w:gridSpan w:val="2"/>
            <w:vMerge w:val="restart"/>
          </w:tcPr>
          <w:p>
            <w:pPr>
              <w:jc w:val="center"/>
              <w:ind w:left="184"/>
              <w:spacing w:after="0"/>
              <w:rPr>
                <w:sz w:val="20"/>
                <w:szCs w:val="20"/>
                <w:color w:val="auto"/>
              </w:rPr>
            </w:pPr>
            <w:r>
              <w:rPr>
                <w:rFonts w:ascii="Arial" w:cs="Arial" w:eastAsia="Arial" w:hAnsi="Arial"/>
                <w:sz w:val="7"/>
                <w:szCs w:val="7"/>
                <w:b w:val="1"/>
                <w:bCs w:val="1"/>
                <w:color w:val="auto"/>
                <w:w w:val="99"/>
              </w:rPr>
              <w:t>Series D</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7"/>
                <w:szCs w:val="7"/>
                <w:b w:val="1"/>
                <w:bCs w:val="1"/>
                <w:color w:val="auto"/>
                <w:w w:val="86"/>
              </w:rPr>
              <w:t>Series E</w:t>
            </w:r>
          </w:p>
        </w:tc>
        <w:tc>
          <w:tcPr>
            <w:tcW w:w="2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720" w:type="dxa"/>
            <w:vAlign w:val="bottom"/>
            <w:gridSpan w:val="4"/>
            <w:vMerge w:val="restart"/>
          </w:tcPr>
          <w:p>
            <w:pPr>
              <w:ind w:left="100"/>
              <w:spacing w:after="0"/>
              <w:rPr>
                <w:sz w:val="20"/>
                <w:szCs w:val="20"/>
                <w:color w:val="auto"/>
              </w:rPr>
            </w:pPr>
            <w:r>
              <w:rPr>
                <w:rFonts w:ascii="Arial" w:cs="Arial" w:eastAsia="Arial" w:hAnsi="Arial"/>
                <w:sz w:val="7"/>
                <w:szCs w:val="7"/>
                <w:b w:val="1"/>
                <w:bCs w:val="1"/>
                <w:color w:val="auto"/>
              </w:rPr>
              <w:t>Common Stock</w:t>
            </w:r>
          </w:p>
        </w:tc>
        <w:tc>
          <w:tcPr>
            <w:tcW w:w="1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7"/>
                <w:szCs w:val="7"/>
                <w:b w:val="1"/>
                <w:bCs w:val="1"/>
                <w:color w:val="auto"/>
                <w:w w:val="94"/>
              </w:rPr>
              <w:t>Paid-in</w:t>
            </w:r>
          </w:p>
        </w:tc>
        <w:tc>
          <w:tcPr>
            <w:tcW w:w="640" w:type="dxa"/>
            <w:vAlign w:val="bottom"/>
            <w:gridSpan w:val="3"/>
            <w:vMerge w:val="restart"/>
          </w:tcPr>
          <w:p>
            <w:pPr>
              <w:jc w:val="center"/>
              <w:ind w:right="100"/>
              <w:spacing w:after="0"/>
              <w:rPr>
                <w:sz w:val="20"/>
                <w:szCs w:val="20"/>
                <w:color w:val="auto"/>
              </w:rPr>
            </w:pPr>
            <w:r>
              <w:rPr>
                <w:rFonts w:ascii="Arial" w:cs="Arial" w:eastAsia="Arial" w:hAnsi="Arial"/>
                <w:sz w:val="7"/>
                <w:szCs w:val="7"/>
                <w:b w:val="1"/>
                <w:bCs w:val="1"/>
                <w:color w:val="auto"/>
              </w:rPr>
              <w:t>Comprehensive</w:t>
            </w:r>
          </w:p>
        </w:tc>
        <w:tc>
          <w:tcPr>
            <w:tcW w:w="460" w:type="dxa"/>
            <w:vAlign w:val="bottom"/>
            <w:gridSpan w:val="2"/>
            <w:vMerge w:val="restart"/>
          </w:tcPr>
          <w:p>
            <w:pPr>
              <w:spacing w:after="0"/>
              <w:rPr>
                <w:sz w:val="20"/>
                <w:szCs w:val="20"/>
                <w:color w:val="auto"/>
              </w:rPr>
            </w:pPr>
            <w:r>
              <w:rPr>
                <w:rFonts w:ascii="Arial" w:cs="Arial" w:eastAsia="Arial" w:hAnsi="Arial"/>
                <w:sz w:val="7"/>
                <w:szCs w:val="7"/>
                <w:b w:val="1"/>
                <w:bCs w:val="1"/>
                <w:color w:val="auto"/>
                <w:w w:val="95"/>
              </w:rPr>
              <w:t>Accumulated</w:t>
            </w:r>
          </w:p>
        </w:tc>
        <w:tc>
          <w:tcPr>
            <w:tcW w:w="100" w:type="dxa"/>
            <w:vAlign w:val="bottom"/>
          </w:tcPr>
          <w:p>
            <w:pPr>
              <w:spacing w:after="0"/>
              <w:rPr>
                <w:sz w:val="2"/>
                <w:szCs w:val="2"/>
                <w:color w:val="auto"/>
              </w:rPr>
            </w:pPr>
          </w:p>
        </w:tc>
        <w:tc>
          <w:tcPr>
            <w:tcW w:w="5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8"/>
        </w:trPr>
        <w:tc>
          <w:tcPr>
            <w:tcW w:w="12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1260" w:type="dxa"/>
            <w:vAlign w:val="bottom"/>
          </w:tcPr>
          <w:p>
            <w:pPr>
              <w:spacing w:after="0"/>
              <w:rPr>
                <w:sz w:val="7"/>
                <w:szCs w:val="7"/>
                <w:color w:val="auto"/>
              </w:rPr>
            </w:pPr>
          </w:p>
        </w:tc>
        <w:tc>
          <w:tcPr>
            <w:tcW w:w="340" w:type="dxa"/>
            <w:vAlign w:val="bottom"/>
          </w:tcPr>
          <w:p>
            <w:pPr>
              <w:ind w:left="4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280" w:type="dxa"/>
            <w:vAlign w:val="bottom"/>
            <w:gridSpan w:val="2"/>
          </w:tcPr>
          <w:p>
            <w:pPr>
              <w:spacing w:after="0"/>
              <w:rPr>
                <w:sz w:val="20"/>
                <w:szCs w:val="20"/>
                <w:color w:val="auto"/>
              </w:rPr>
            </w:pPr>
            <w:r>
              <w:rPr>
                <w:rFonts w:ascii="Arial" w:cs="Arial" w:eastAsia="Arial" w:hAnsi="Arial"/>
                <w:sz w:val="7"/>
                <w:szCs w:val="7"/>
                <w:b w:val="1"/>
                <w:bCs w:val="1"/>
                <w:color w:val="auto"/>
                <w:w w:val="98"/>
              </w:rPr>
              <w:t>Amount</w:t>
            </w:r>
          </w:p>
        </w:tc>
        <w:tc>
          <w:tcPr>
            <w:tcW w:w="80" w:type="dxa"/>
            <w:vAlign w:val="bottom"/>
          </w:tcPr>
          <w:p>
            <w:pPr>
              <w:spacing w:after="0"/>
              <w:rPr>
                <w:sz w:val="7"/>
                <w:szCs w:val="7"/>
                <w:color w:val="auto"/>
              </w:rPr>
            </w:pPr>
          </w:p>
        </w:tc>
        <w:tc>
          <w:tcPr>
            <w:tcW w:w="34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gridSpan w:val="3"/>
          </w:tcPr>
          <w:p>
            <w:pPr>
              <w:ind w:left="20"/>
              <w:spacing w:after="0"/>
              <w:rPr>
                <w:sz w:val="20"/>
                <w:szCs w:val="20"/>
                <w:color w:val="auto"/>
              </w:rPr>
            </w:pPr>
            <w:r>
              <w:rPr>
                <w:rFonts w:ascii="Arial" w:cs="Arial" w:eastAsia="Arial" w:hAnsi="Arial"/>
                <w:sz w:val="7"/>
                <w:szCs w:val="7"/>
                <w:b w:val="1"/>
                <w:bCs w:val="1"/>
                <w:color w:val="auto"/>
              </w:rPr>
              <w:t>Amount</w:t>
            </w:r>
          </w:p>
        </w:tc>
        <w:tc>
          <w:tcPr>
            <w:tcW w:w="36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gridSpan w:val="3"/>
          </w:tcPr>
          <w:p>
            <w:pPr>
              <w:ind w:left="20"/>
              <w:spacing w:after="0"/>
              <w:rPr>
                <w:sz w:val="20"/>
                <w:szCs w:val="20"/>
                <w:color w:val="auto"/>
              </w:rPr>
            </w:pPr>
            <w:r>
              <w:rPr>
                <w:rFonts w:ascii="Arial" w:cs="Arial" w:eastAsia="Arial" w:hAnsi="Arial"/>
                <w:sz w:val="7"/>
                <w:szCs w:val="7"/>
                <w:b w:val="1"/>
                <w:bCs w:val="1"/>
                <w:color w:val="auto"/>
              </w:rPr>
              <w:t>Amount</w:t>
            </w:r>
          </w:p>
        </w:tc>
        <w:tc>
          <w:tcPr>
            <w:tcW w:w="48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Shares</w:t>
            </w:r>
          </w:p>
        </w:tc>
        <w:tc>
          <w:tcPr>
            <w:tcW w:w="38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8"/>
              </w:rPr>
              <w:t>Amount</w:t>
            </w:r>
          </w:p>
        </w:tc>
        <w:tc>
          <w:tcPr>
            <w:tcW w:w="340" w:type="dxa"/>
            <w:vAlign w:val="bottom"/>
          </w:tcPr>
          <w:p>
            <w:pPr>
              <w:jc w:val="right"/>
              <w:ind w:right="24"/>
              <w:spacing w:after="0"/>
              <w:rPr>
                <w:sz w:val="20"/>
                <w:szCs w:val="20"/>
                <w:color w:val="auto"/>
              </w:rPr>
            </w:pPr>
            <w:r>
              <w:rPr>
                <w:rFonts w:ascii="Arial" w:cs="Arial" w:eastAsia="Arial" w:hAnsi="Arial"/>
                <w:sz w:val="7"/>
                <w:szCs w:val="7"/>
                <w:b w:val="1"/>
                <w:bCs w:val="1"/>
                <w:color w:val="auto"/>
              </w:rPr>
              <w:t>Shares</w:t>
            </w:r>
          </w:p>
        </w:tc>
        <w:tc>
          <w:tcPr>
            <w:tcW w:w="100" w:type="dxa"/>
            <w:vAlign w:val="bottom"/>
          </w:tcPr>
          <w:p>
            <w:pPr>
              <w:spacing w:after="0"/>
              <w:rPr>
                <w:sz w:val="7"/>
                <w:szCs w:val="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8"/>
              </w:rPr>
              <w:t>Amount</w:t>
            </w:r>
          </w:p>
        </w:tc>
        <w:tc>
          <w:tcPr>
            <w:tcW w:w="340" w:type="dxa"/>
            <w:vAlign w:val="bottom"/>
          </w:tcPr>
          <w:p>
            <w:pPr>
              <w:jc w:val="right"/>
              <w:ind w:right="24"/>
              <w:spacing w:after="0"/>
              <w:rPr>
                <w:sz w:val="20"/>
                <w:szCs w:val="20"/>
                <w:color w:val="auto"/>
              </w:rPr>
            </w:pPr>
            <w:r>
              <w:rPr>
                <w:rFonts w:ascii="Arial" w:cs="Arial" w:eastAsia="Arial" w:hAnsi="Arial"/>
                <w:sz w:val="7"/>
                <w:szCs w:val="7"/>
                <w:b w:val="1"/>
                <w:bCs w:val="1"/>
                <w:color w:val="auto"/>
              </w:rPr>
              <w:t>Shares</w:t>
            </w:r>
          </w:p>
        </w:tc>
        <w:tc>
          <w:tcPr>
            <w:tcW w:w="16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34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160" w:type="dxa"/>
            <w:vAlign w:val="bottom"/>
          </w:tcPr>
          <w:p>
            <w:pPr>
              <w:spacing w:after="0"/>
              <w:rPr>
                <w:sz w:val="7"/>
                <w:szCs w:val="7"/>
                <w:color w:val="auto"/>
              </w:rPr>
            </w:pP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7"/>
                <w:szCs w:val="7"/>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7"/>
                <w:szCs w:val="7"/>
                <w:b w:val="1"/>
                <w:bCs w:val="1"/>
                <w:color w:val="auto"/>
              </w:rPr>
              <w:t>Shares</w:t>
            </w:r>
          </w:p>
        </w:tc>
        <w:tc>
          <w:tcPr>
            <w:tcW w:w="280" w:type="dxa"/>
            <w:vAlign w:val="bottom"/>
            <w:gridSpan w:val="2"/>
          </w:tcPr>
          <w:p>
            <w:pPr>
              <w:ind w:left="20"/>
              <w:spacing w:after="0"/>
              <w:rPr>
                <w:sz w:val="20"/>
                <w:szCs w:val="20"/>
                <w:color w:val="auto"/>
              </w:rPr>
            </w:pPr>
            <w:r>
              <w:rPr>
                <w:rFonts w:ascii="Arial" w:cs="Arial" w:eastAsia="Arial" w:hAnsi="Arial"/>
                <w:sz w:val="7"/>
                <w:szCs w:val="7"/>
                <w:b w:val="1"/>
                <w:bCs w:val="1"/>
                <w:color w:val="auto"/>
                <w:w w:val="90"/>
              </w:rPr>
              <w:t>Amount</w:t>
            </w:r>
          </w:p>
        </w:tc>
        <w:tc>
          <w:tcPr>
            <w:tcW w:w="160" w:type="dxa"/>
            <w:vAlign w:val="bottom"/>
          </w:tcPr>
          <w:p>
            <w:pPr>
              <w:spacing w:after="0"/>
              <w:rPr>
                <w:sz w:val="7"/>
                <w:szCs w:val="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w w:val="94"/>
              </w:rPr>
              <w:t>Capital</w:t>
            </w:r>
          </w:p>
        </w:tc>
        <w:tc>
          <w:tcPr>
            <w:tcW w:w="60" w:type="dxa"/>
            <w:vAlign w:val="bottom"/>
          </w:tcPr>
          <w:p>
            <w:pPr>
              <w:spacing w:after="0"/>
              <w:rPr>
                <w:sz w:val="7"/>
                <w:szCs w:val="7"/>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7"/>
              </w:rPr>
              <w:t>Income</w:t>
            </w:r>
          </w:p>
        </w:tc>
        <w:tc>
          <w:tcPr>
            <w:tcW w:w="80" w:type="dxa"/>
            <w:vAlign w:val="bottom"/>
          </w:tcPr>
          <w:p>
            <w:pPr>
              <w:spacing w:after="0"/>
              <w:rPr>
                <w:sz w:val="7"/>
                <w:szCs w:val="7"/>
                <w:color w:val="auto"/>
              </w:rPr>
            </w:pPr>
          </w:p>
        </w:tc>
        <w:tc>
          <w:tcPr>
            <w:tcW w:w="380" w:type="dxa"/>
            <w:vAlign w:val="bottom"/>
          </w:tcPr>
          <w:p>
            <w:pPr>
              <w:ind w:left="40"/>
              <w:spacing w:after="0"/>
              <w:rPr>
                <w:sz w:val="20"/>
                <w:szCs w:val="20"/>
                <w:color w:val="auto"/>
              </w:rPr>
            </w:pPr>
            <w:r>
              <w:rPr>
                <w:rFonts w:ascii="Arial" w:cs="Arial" w:eastAsia="Arial" w:hAnsi="Arial"/>
                <w:sz w:val="7"/>
                <w:szCs w:val="7"/>
                <w:b w:val="1"/>
                <w:bCs w:val="1"/>
                <w:color w:val="auto"/>
              </w:rPr>
              <w:t>Deficit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20"/>
        </w:trPr>
        <w:tc>
          <w:tcPr>
            <w:tcW w:w="1260" w:type="dxa"/>
            <w:vAlign w:val="bottom"/>
            <w:vMerge w:val="restart"/>
            <w:shd w:val="clear" w:color="auto" w:fill="CCEEFF"/>
          </w:tcPr>
          <w:p>
            <w:pPr>
              <w:spacing w:after="0"/>
              <w:rPr>
                <w:sz w:val="20"/>
                <w:szCs w:val="20"/>
                <w:color w:val="auto"/>
              </w:rPr>
            </w:pPr>
            <w:r>
              <w:rPr>
                <w:rFonts w:ascii="Arial" w:cs="Arial" w:eastAsia="Arial" w:hAnsi="Arial"/>
                <w:sz w:val="7"/>
                <w:szCs w:val="7"/>
                <w:color w:val="auto"/>
              </w:rPr>
              <w:t>Balance, December 31, 2018</w:t>
            </w: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26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ind w:left="20"/>
              <w:spacing w:after="0" w:line="74" w:lineRule="exact"/>
              <w:rPr>
                <w:sz w:val="20"/>
                <w:szCs w:val="20"/>
                <w:color w:val="auto"/>
              </w:rPr>
            </w:pPr>
            <w:r>
              <w:rPr>
                <w:rFonts w:ascii="Arial" w:cs="Arial" w:eastAsia="Arial" w:hAnsi="Arial"/>
                <w:sz w:val="7"/>
                <w:szCs w:val="7"/>
                <w:color w:val="auto"/>
                <w:w w:val="96"/>
              </w:rPr>
              <w:t>4,200,000</w:t>
            </w:r>
          </w:p>
        </w:tc>
        <w:tc>
          <w:tcPr>
            <w:tcW w:w="160" w:type="dxa"/>
            <w:vAlign w:val="bottom"/>
            <w:gridSpan w:val="2"/>
            <w:shd w:val="clear" w:color="auto" w:fill="CCEEFF"/>
          </w:tcPr>
          <w:p>
            <w:pPr>
              <w:ind w:left="80"/>
              <w:spacing w:after="0" w:line="74" w:lineRule="exact"/>
              <w:rPr>
                <w:sz w:val="20"/>
                <w:szCs w:val="20"/>
                <w:color w:val="auto"/>
              </w:rPr>
            </w:pPr>
            <w:r>
              <w:rPr>
                <w:rFonts w:ascii="Arial" w:cs="Arial" w:eastAsia="Arial" w:hAnsi="Arial"/>
                <w:sz w:val="7"/>
                <w:szCs w:val="7"/>
                <w:color w:val="auto"/>
              </w:rPr>
              <w:t>$</w:t>
            </w:r>
          </w:p>
        </w:tc>
        <w:tc>
          <w:tcPr>
            <w:tcW w:w="280" w:type="dxa"/>
            <w:vAlign w:val="bottom"/>
            <w:gridSpan w:val="2"/>
            <w:shd w:val="clear" w:color="auto" w:fill="CCEEFF"/>
          </w:tcPr>
          <w:p>
            <w:pPr>
              <w:jc w:val="center"/>
              <w:ind w:right="60"/>
              <w:spacing w:after="0" w:line="74" w:lineRule="exact"/>
              <w:rPr>
                <w:sz w:val="20"/>
                <w:szCs w:val="20"/>
                <w:color w:val="auto"/>
              </w:rPr>
            </w:pPr>
            <w:r>
              <w:rPr>
                <w:rFonts w:ascii="Arial" w:cs="Arial" w:eastAsia="Arial" w:hAnsi="Arial"/>
                <w:sz w:val="7"/>
                <w:szCs w:val="7"/>
                <w:color w:val="auto"/>
              </w:rPr>
              <w:t>4,200</w:t>
            </w:r>
          </w:p>
        </w:tc>
        <w:tc>
          <w:tcPr>
            <w:tcW w:w="340" w:type="dxa"/>
            <w:vAlign w:val="bottom"/>
            <w:shd w:val="clear" w:color="auto" w:fill="CCEEFF"/>
          </w:tcPr>
          <w:p>
            <w:pPr>
              <w:ind w:left="40"/>
              <w:spacing w:after="0" w:line="74" w:lineRule="exact"/>
              <w:rPr>
                <w:sz w:val="20"/>
                <w:szCs w:val="20"/>
                <w:color w:val="auto"/>
              </w:rPr>
            </w:pPr>
            <w:r>
              <w:rPr>
                <w:rFonts w:ascii="Arial" w:cs="Arial" w:eastAsia="Arial" w:hAnsi="Arial"/>
                <w:sz w:val="7"/>
                <w:szCs w:val="7"/>
                <w:color w:val="auto"/>
                <w:w w:val="89"/>
              </w:rPr>
              <w:t>2,188,322</w:t>
            </w:r>
          </w:p>
        </w:tc>
        <w:tc>
          <w:tcPr>
            <w:tcW w:w="160" w:type="dxa"/>
            <w:vAlign w:val="bottom"/>
            <w:gridSpan w:val="2"/>
            <w:shd w:val="clear" w:color="auto" w:fill="CCEEFF"/>
          </w:tcPr>
          <w:p>
            <w:pPr>
              <w:ind w:left="80"/>
              <w:spacing w:after="0" w:line="74" w:lineRule="exact"/>
              <w:rPr>
                <w:sz w:val="20"/>
                <w:szCs w:val="20"/>
                <w:color w:val="auto"/>
              </w:rPr>
            </w:pPr>
            <w:r>
              <w:rPr>
                <w:rFonts w:ascii="Arial" w:cs="Arial" w:eastAsia="Arial" w:hAnsi="Arial"/>
                <w:sz w:val="7"/>
                <w:szCs w:val="7"/>
                <w:color w:val="auto"/>
              </w:rPr>
              <w:t>$</w:t>
            </w:r>
          </w:p>
        </w:tc>
        <w:tc>
          <w:tcPr>
            <w:tcW w:w="300" w:type="dxa"/>
            <w:vAlign w:val="bottom"/>
            <w:gridSpan w:val="2"/>
            <w:shd w:val="clear" w:color="auto" w:fill="CCEEFF"/>
          </w:tcPr>
          <w:p>
            <w:pPr>
              <w:jc w:val="center"/>
              <w:ind w:right="60"/>
              <w:spacing w:after="0" w:line="74" w:lineRule="exact"/>
              <w:rPr>
                <w:sz w:val="20"/>
                <w:szCs w:val="20"/>
                <w:color w:val="auto"/>
              </w:rPr>
            </w:pPr>
            <w:r>
              <w:rPr>
                <w:rFonts w:ascii="Arial" w:cs="Arial" w:eastAsia="Arial" w:hAnsi="Arial"/>
                <w:sz w:val="7"/>
                <w:szCs w:val="7"/>
                <w:color w:val="auto"/>
                <w:w w:val="91"/>
              </w:rPr>
              <w:t>2,998</w:t>
            </w:r>
          </w:p>
        </w:tc>
        <w:tc>
          <w:tcPr>
            <w:tcW w:w="360" w:type="dxa"/>
            <w:vAlign w:val="bottom"/>
            <w:shd w:val="clear" w:color="auto" w:fill="CCEEFF"/>
          </w:tcPr>
          <w:p>
            <w:pPr>
              <w:ind w:left="40"/>
              <w:spacing w:after="0" w:line="74" w:lineRule="exact"/>
              <w:rPr>
                <w:sz w:val="20"/>
                <w:szCs w:val="20"/>
                <w:color w:val="auto"/>
              </w:rPr>
            </w:pPr>
            <w:r>
              <w:rPr>
                <w:rFonts w:ascii="Arial" w:cs="Arial" w:eastAsia="Arial" w:hAnsi="Arial"/>
                <w:sz w:val="7"/>
                <w:szCs w:val="7"/>
                <w:color w:val="auto"/>
                <w:w w:val="96"/>
              </w:rPr>
              <w:t>4,211,094</w:t>
            </w:r>
          </w:p>
        </w:tc>
        <w:tc>
          <w:tcPr>
            <w:tcW w:w="180" w:type="dxa"/>
            <w:vAlign w:val="bottom"/>
            <w:gridSpan w:val="2"/>
            <w:shd w:val="clear" w:color="auto" w:fill="CCEEFF"/>
          </w:tcPr>
          <w:p>
            <w:pPr>
              <w:ind w:left="80"/>
              <w:spacing w:after="0" w:line="74" w:lineRule="exact"/>
              <w:rPr>
                <w:sz w:val="20"/>
                <w:szCs w:val="20"/>
                <w:color w:val="auto"/>
              </w:rPr>
            </w:pPr>
            <w:r>
              <w:rPr>
                <w:rFonts w:ascii="Arial" w:cs="Arial" w:eastAsia="Arial" w:hAnsi="Arial"/>
                <w:sz w:val="7"/>
                <w:szCs w:val="7"/>
                <w:color w:val="auto"/>
              </w:rPr>
              <w:t>$</w:t>
            </w:r>
          </w:p>
        </w:tc>
        <w:tc>
          <w:tcPr>
            <w:tcW w:w="280" w:type="dxa"/>
            <w:vAlign w:val="bottom"/>
            <w:gridSpan w:val="2"/>
            <w:shd w:val="clear" w:color="auto" w:fill="CCEEFF"/>
          </w:tcPr>
          <w:p>
            <w:pPr>
              <w:jc w:val="center"/>
              <w:ind w:right="100"/>
              <w:spacing w:after="0" w:line="74" w:lineRule="exact"/>
              <w:rPr>
                <w:sz w:val="20"/>
                <w:szCs w:val="20"/>
                <w:color w:val="auto"/>
              </w:rPr>
            </w:pPr>
            <w:r>
              <w:rPr>
                <w:rFonts w:ascii="Arial" w:cs="Arial" w:eastAsia="Arial" w:hAnsi="Arial"/>
                <w:sz w:val="7"/>
                <w:szCs w:val="7"/>
                <w:color w:val="auto"/>
              </w:rPr>
              <w:t>8,704</w:t>
            </w:r>
          </w:p>
        </w:tc>
        <w:tc>
          <w:tcPr>
            <w:tcW w:w="48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1,591,230</w:t>
            </w:r>
          </w:p>
        </w:tc>
        <w:tc>
          <w:tcPr>
            <w:tcW w:w="60" w:type="dxa"/>
            <w:vAlign w:val="bottom"/>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32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6,957</w:t>
            </w:r>
          </w:p>
        </w:tc>
        <w:tc>
          <w:tcPr>
            <w:tcW w:w="46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4,044,271</w:t>
            </w:r>
          </w:p>
        </w:tc>
        <w:tc>
          <w:tcPr>
            <w:tcW w:w="400" w:type="dxa"/>
            <w:vAlign w:val="bottom"/>
            <w:gridSpan w:val="2"/>
            <w:shd w:val="clear" w:color="auto" w:fill="CCEEFF"/>
          </w:tcPr>
          <w:p>
            <w:pPr>
              <w:jc w:val="right"/>
              <w:ind w:right="120"/>
              <w:spacing w:after="0" w:line="74" w:lineRule="exact"/>
              <w:rPr>
                <w:sz w:val="20"/>
                <w:szCs w:val="20"/>
                <w:color w:val="auto"/>
              </w:rPr>
            </w:pPr>
            <w:r>
              <w:rPr>
                <w:rFonts w:ascii="Arial" w:cs="Arial" w:eastAsia="Arial" w:hAnsi="Arial"/>
                <w:sz w:val="7"/>
                <w:szCs w:val="7"/>
                <w:color w:val="auto"/>
                <w:w w:val="95"/>
              </w:rPr>
              <w:t>$ 18,612</w:t>
            </w:r>
          </w:p>
        </w:tc>
        <w:tc>
          <w:tcPr>
            <w:tcW w:w="34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3,754,201</w:t>
            </w:r>
          </w:p>
        </w:tc>
        <w:tc>
          <w:tcPr>
            <w:tcW w:w="500" w:type="dxa"/>
            <w:vAlign w:val="bottom"/>
            <w:tcBorders>
              <w:left w:val="single" w:sz="8" w:color="CCEEFF"/>
            </w:tcBorders>
            <w:gridSpan w:val="3"/>
            <w:shd w:val="clear" w:color="auto" w:fill="CCEEFF"/>
          </w:tcPr>
          <w:p>
            <w:pPr>
              <w:jc w:val="right"/>
              <w:ind w:right="120"/>
              <w:spacing w:after="0" w:line="74" w:lineRule="exact"/>
              <w:rPr>
                <w:sz w:val="20"/>
                <w:szCs w:val="20"/>
                <w:color w:val="auto"/>
              </w:rPr>
            </w:pPr>
            <w:r>
              <w:rPr>
                <w:rFonts w:ascii="Arial" w:cs="Arial" w:eastAsia="Arial" w:hAnsi="Arial"/>
                <w:sz w:val="7"/>
                <w:szCs w:val="7"/>
                <w:color w:val="auto"/>
              </w:rPr>
              <w:t>$ 24,756</w:t>
            </w:r>
          </w:p>
        </w:tc>
        <w:tc>
          <w:tcPr>
            <w:tcW w:w="340" w:type="dxa"/>
            <w:vAlign w:val="bottom"/>
            <w:shd w:val="clear" w:color="auto" w:fill="CCEEFF"/>
          </w:tcPr>
          <w:p>
            <w:pPr>
              <w:jc w:val="right"/>
              <w:ind w:right="4"/>
              <w:spacing w:after="0" w:line="74" w:lineRule="exact"/>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160"/>
              <w:spacing w:after="0" w:line="74" w:lineRule="exact"/>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line="74" w:lineRule="exact"/>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320" w:type="dxa"/>
            <w:vAlign w:val="bottom"/>
            <w:tcBorders>
              <w:right w:val="single" w:sz="8" w:color="auto"/>
            </w:tcBorders>
            <w:gridSpan w:val="2"/>
            <w:shd w:val="clear" w:color="auto" w:fill="CCEEFF"/>
          </w:tcPr>
          <w:p>
            <w:pPr>
              <w:ind w:left="100"/>
              <w:spacing w:after="0" w:line="74" w:lineRule="exact"/>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jc w:val="right"/>
              <w:ind w:right="80"/>
              <w:spacing w:after="0" w:line="74" w:lineRule="exact"/>
              <w:rPr>
                <w:sz w:val="20"/>
                <w:szCs w:val="20"/>
                <w:color w:val="auto"/>
              </w:rPr>
            </w:pPr>
            <w:r>
              <w:rPr>
                <w:rFonts w:ascii="Arial" w:cs="Arial" w:eastAsia="Arial" w:hAnsi="Arial"/>
                <w:sz w:val="7"/>
                <w:szCs w:val="7"/>
                <w:color w:val="auto"/>
              </w:rPr>
              <w:t>6,083,135</w:t>
            </w:r>
          </w:p>
        </w:tc>
        <w:tc>
          <w:tcPr>
            <w:tcW w:w="120" w:type="dxa"/>
            <w:vAlign w:val="bottom"/>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160" w:type="dxa"/>
            <w:vAlign w:val="bottom"/>
            <w:shd w:val="clear" w:color="auto" w:fill="CCEEFF"/>
          </w:tcPr>
          <w:p>
            <w:pPr>
              <w:ind w:left="60"/>
              <w:spacing w:after="0" w:line="74" w:lineRule="exact"/>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100"/>
              <w:spacing w:after="0" w:line="74" w:lineRule="exact"/>
              <w:rPr>
                <w:sz w:val="20"/>
                <w:szCs w:val="20"/>
                <w:color w:val="auto"/>
              </w:rPr>
            </w:pPr>
            <w:r>
              <w:rPr>
                <w:rFonts w:ascii="Arial" w:cs="Arial" w:eastAsia="Arial" w:hAnsi="Arial"/>
                <w:sz w:val="7"/>
                <w:szCs w:val="7"/>
                <w:color w:val="auto"/>
              </w:rPr>
              <w:t>775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ind w:left="380"/>
              <w:spacing w:after="0" w:line="74"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38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(46,615)</w:t>
            </w:r>
          </w:p>
        </w:tc>
        <w:tc>
          <w:tcPr>
            <w:tcW w:w="180" w:type="dxa"/>
            <w:vAlign w:val="bottom"/>
            <w:tcBorders>
              <w:left w:val="single" w:sz="8" w:color="CCEEFF"/>
            </w:tcBorders>
            <w:gridSpan w:val="2"/>
            <w:shd w:val="clear" w:color="auto" w:fill="CCEEFF"/>
          </w:tcPr>
          <w:p>
            <w:pPr>
              <w:ind w:left="100"/>
              <w:spacing w:after="0" w:line="74" w:lineRule="exact"/>
              <w:rPr>
                <w:sz w:val="20"/>
                <w:szCs w:val="20"/>
                <w:color w:val="auto"/>
              </w:rPr>
            </w:pPr>
            <w:r>
              <w:rPr>
                <w:rFonts w:ascii="Arial" w:cs="Arial" w:eastAsia="Arial" w:hAnsi="Arial"/>
                <w:sz w:val="7"/>
                <w:szCs w:val="7"/>
                <w:color w:val="auto"/>
              </w:rPr>
              <w:t>$</w:t>
            </w:r>
          </w:p>
        </w:tc>
        <w:tc>
          <w:tcPr>
            <w:tcW w:w="480" w:type="dxa"/>
            <w:vAlign w:val="bottom"/>
            <w:gridSpan w:val="2"/>
            <w:shd w:val="clear" w:color="auto" w:fill="CCEEFF"/>
          </w:tcPr>
          <w:p>
            <w:pPr>
              <w:jc w:val="right"/>
              <w:ind w:right="60"/>
              <w:spacing w:after="0" w:line="74" w:lineRule="exact"/>
              <w:rPr>
                <w:sz w:val="20"/>
                <w:szCs w:val="20"/>
                <w:color w:val="auto"/>
              </w:rPr>
            </w:pPr>
            <w:r>
              <w:rPr>
                <w:rFonts w:ascii="Arial" w:cs="Arial" w:eastAsia="Arial" w:hAnsi="Arial"/>
                <w:sz w:val="7"/>
                <w:szCs w:val="7"/>
                <w:color w:val="auto"/>
              </w:rPr>
              <w:t>(45,840)</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Issuance of Common Stock</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1</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ind w:left="2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Issuance of preferred stock – Series D</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5,494,064</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w w:val="93"/>
              </w:rPr>
              <w:t>54,929</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Exercise of common stock options</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455,665</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450</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ind w:left="2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450</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544</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544</w:t>
            </w:r>
          </w:p>
        </w:tc>
        <w:tc>
          <w:tcPr>
            <w:tcW w:w="0" w:type="dxa"/>
            <w:vAlign w:val="bottom"/>
          </w:tcPr>
          <w:p>
            <w:pPr>
              <w:spacing w:after="0"/>
              <w:rPr>
                <w:sz w:val="1"/>
                <w:szCs w:val="1"/>
                <w:color w:val="auto"/>
              </w:rPr>
            </w:pPr>
          </w:p>
        </w:tc>
      </w:tr>
      <w:tr>
        <w:trPr>
          <w:trHeight w:val="83"/>
        </w:trPr>
        <w:tc>
          <w:tcPr>
            <w:tcW w:w="1260" w:type="dxa"/>
            <w:vAlign w:val="bottom"/>
          </w:tcPr>
          <w:p>
            <w:pPr>
              <w:spacing w:after="0"/>
              <w:rPr>
                <w:sz w:val="20"/>
                <w:szCs w:val="20"/>
                <w:color w:val="auto"/>
              </w:rPr>
            </w:pPr>
            <w:r>
              <w:rPr>
                <w:rFonts w:ascii="Arial" w:cs="Arial" w:eastAsia="Arial" w:hAnsi="Arial"/>
                <w:sz w:val="7"/>
                <w:szCs w:val="7"/>
                <w:color w:val="auto"/>
              </w:rPr>
              <w:t>Shares issued in connection with</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260" w:type="dxa"/>
            <w:vAlign w:val="bottom"/>
          </w:tcPr>
          <w:p>
            <w:pPr>
              <w:ind w:left="80"/>
              <w:spacing w:after="0" w:line="78" w:lineRule="exact"/>
              <w:rPr>
                <w:sz w:val="20"/>
                <w:szCs w:val="20"/>
                <w:color w:val="auto"/>
              </w:rPr>
            </w:pPr>
            <w:r>
              <w:rPr>
                <w:rFonts w:ascii="Arial" w:cs="Arial" w:eastAsia="Arial" w:hAnsi="Arial"/>
                <w:sz w:val="7"/>
                <w:szCs w:val="7"/>
                <w:color w:val="auto"/>
              </w:rPr>
              <w:t>business combination</w:t>
            </w:r>
          </w:p>
        </w:tc>
        <w:tc>
          <w:tcPr>
            <w:tcW w:w="340" w:type="dxa"/>
            <w:vAlign w:val="bottom"/>
          </w:tcPr>
          <w:p>
            <w:pPr>
              <w:ind w:left="22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gridSpan w:val="2"/>
          </w:tcPr>
          <w:p>
            <w:pPr>
              <w:jc w:val="center"/>
              <w:ind w:right="4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ind w:left="24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gridSpan w:val="2"/>
          </w:tcPr>
          <w:p>
            <w:pPr>
              <w:jc w:val="center"/>
              <w:ind w:right="40"/>
              <w:spacing w:after="0" w:line="78" w:lineRule="exact"/>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gridSpan w:val="2"/>
          </w:tcPr>
          <w:p>
            <w:pPr>
              <w:jc w:val="center"/>
              <w:ind w:right="60"/>
              <w:spacing w:after="0" w:line="78" w:lineRule="exact"/>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line="78" w:lineRule="exact"/>
              <w:rPr>
                <w:sz w:val="20"/>
                <w:szCs w:val="20"/>
                <w:color w:val="auto"/>
              </w:rPr>
            </w:pPr>
            <w:r>
              <w:rPr>
                <w:rFonts w:ascii="Arial" w:cs="Arial" w:eastAsia="Arial" w:hAnsi="Arial"/>
                <w:sz w:val="7"/>
                <w:szCs w:val="7"/>
                <w:color w:val="auto"/>
              </w:rPr>
              <w:t>—</w:t>
            </w:r>
          </w:p>
        </w:tc>
        <w:tc>
          <w:tcPr>
            <w:tcW w:w="60" w:type="dxa"/>
            <w:vAlign w:val="bottom"/>
          </w:tcPr>
          <w:p>
            <w:pPr>
              <w:spacing w:after="0"/>
              <w:rPr>
                <w:sz w:val="6"/>
                <w:szCs w:val="6"/>
                <w:color w:val="auto"/>
              </w:rPr>
            </w:pPr>
          </w:p>
        </w:tc>
        <w:tc>
          <w:tcPr>
            <w:tcW w:w="320" w:type="dxa"/>
            <w:vAlign w:val="bottom"/>
            <w:gridSpan w:val="2"/>
          </w:tcPr>
          <w:p>
            <w:pPr>
              <w:jc w:val="right"/>
              <w:ind w:right="140"/>
              <w:spacing w:after="0" w:line="78" w:lineRule="exact"/>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line="78" w:lineRule="exact"/>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line="7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6"/>
                <w:szCs w:val="6"/>
                <w:color w:val="auto"/>
              </w:rPr>
            </w:pPr>
          </w:p>
        </w:tc>
        <w:tc>
          <w:tcPr>
            <w:tcW w:w="400" w:type="dxa"/>
            <w:vAlign w:val="bottom"/>
            <w:gridSpan w:val="2"/>
          </w:tcPr>
          <w:p>
            <w:pPr>
              <w:jc w:val="right"/>
              <w:ind w:right="16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line="7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340" w:type="dxa"/>
            <w:vAlign w:val="bottom"/>
            <w:gridSpan w:val="2"/>
          </w:tcPr>
          <w:p>
            <w:pPr>
              <w:jc w:val="right"/>
              <w:ind w:right="160"/>
              <w:spacing w:after="0" w:line="78" w:lineRule="exact"/>
              <w:rPr>
                <w:sz w:val="20"/>
                <w:szCs w:val="20"/>
                <w:color w:val="auto"/>
              </w:rPr>
            </w:pPr>
            <w:r>
              <w:rPr>
                <w:rFonts w:ascii="Arial" w:cs="Arial" w:eastAsia="Arial" w:hAnsi="Arial"/>
                <w:sz w:val="7"/>
                <w:szCs w:val="7"/>
                <w:color w:val="auto"/>
              </w:rPr>
              <w:t>—</w:t>
            </w:r>
          </w:p>
        </w:tc>
        <w:tc>
          <w:tcPr>
            <w:tcW w:w="340" w:type="dxa"/>
            <w:vAlign w:val="bottom"/>
          </w:tcPr>
          <w:p>
            <w:pPr>
              <w:ind w:left="240"/>
              <w:spacing w:after="0" w:line="7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320" w:type="dxa"/>
            <w:vAlign w:val="bottom"/>
            <w:tcBorders>
              <w:right w:val="single" w:sz="8" w:color="auto"/>
            </w:tcBorders>
            <w:gridSpan w:val="2"/>
          </w:tcPr>
          <w:p>
            <w:pPr>
              <w:ind w:left="100"/>
              <w:spacing w:after="0" w:line="78" w:lineRule="exact"/>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line="78" w:lineRule="exact"/>
              <w:rPr>
                <w:sz w:val="20"/>
                <w:szCs w:val="20"/>
                <w:color w:val="auto"/>
              </w:rPr>
            </w:pPr>
            <w:r>
              <w:rPr>
                <w:rFonts w:ascii="Arial" w:cs="Arial" w:eastAsia="Arial" w:hAnsi="Arial"/>
                <w:sz w:val="7"/>
                <w:szCs w:val="7"/>
                <w:color w:val="auto"/>
              </w:rPr>
              <w:t>750,770</w:t>
            </w:r>
          </w:p>
        </w:tc>
        <w:tc>
          <w:tcPr>
            <w:tcW w:w="120" w:type="dxa"/>
            <w:vAlign w:val="bottom"/>
          </w:tcPr>
          <w:p>
            <w:pPr>
              <w:spacing w:after="0"/>
              <w:rPr>
                <w:sz w:val="6"/>
                <w:szCs w:val="6"/>
                <w:color w:val="auto"/>
              </w:rPr>
            </w:pPr>
          </w:p>
        </w:tc>
        <w:tc>
          <w:tcPr>
            <w:tcW w:w="160" w:type="dxa"/>
            <w:vAlign w:val="bottom"/>
          </w:tcPr>
          <w:p>
            <w:pPr>
              <w:ind w:left="60"/>
              <w:spacing w:after="0" w:line="7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400" w:type="dxa"/>
            <w:vAlign w:val="bottom"/>
            <w:gridSpan w:val="2"/>
          </w:tcPr>
          <w:p>
            <w:pPr>
              <w:jc w:val="right"/>
              <w:ind w:right="100"/>
              <w:spacing w:after="0" w:line="78" w:lineRule="exact"/>
              <w:rPr>
                <w:sz w:val="20"/>
                <w:szCs w:val="20"/>
                <w:color w:val="auto"/>
              </w:rPr>
            </w:pPr>
            <w:r>
              <w:rPr>
                <w:rFonts w:ascii="Arial" w:cs="Arial" w:eastAsia="Arial" w:hAnsi="Arial"/>
                <w:sz w:val="7"/>
                <w:szCs w:val="7"/>
                <w:color w:val="auto"/>
              </w:rPr>
              <w:t>2,743</w:t>
            </w:r>
          </w:p>
        </w:tc>
        <w:tc>
          <w:tcPr>
            <w:tcW w:w="60" w:type="dxa"/>
            <w:vAlign w:val="bottom"/>
          </w:tcPr>
          <w:p>
            <w:pPr>
              <w:spacing w:after="0"/>
              <w:rPr>
                <w:sz w:val="6"/>
                <w:szCs w:val="6"/>
                <w:color w:val="auto"/>
              </w:rPr>
            </w:pPr>
          </w:p>
        </w:tc>
        <w:tc>
          <w:tcPr>
            <w:tcW w:w="580" w:type="dxa"/>
            <w:vAlign w:val="bottom"/>
            <w:gridSpan w:val="2"/>
          </w:tcPr>
          <w:p>
            <w:pPr>
              <w:ind w:left="380"/>
              <w:spacing w:after="0" w:line="7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380" w:type="dxa"/>
            <w:vAlign w:val="bottom"/>
          </w:tcPr>
          <w:p>
            <w:pPr>
              <w:ind w:left="260"/>
              <w:spacing w:after="0" w:line="7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tcPr>
          <w:p>
            <w:pPr>
              <w:jc w:val="right"/>
              <w:ind w:right="80"/>
              <w:spacing w:after="0" w:line="78" w:lineRule="exact"/>
              <w:rPr>
                <w:sz w:val="20"/>
                <w:szCs w:val="20"/>
                <w:color w:val="auto"/>
              </w:rPr>
            </w:pPr>
            <w:r>
              <w:rPr>
                <w:rFonts w:ascii="Arial" w:cs="Arial" w:eastAsia="Arial" w:hAnsi="Arial"/>
                <w:sz w:val="7"/>
                <w:szCs w:val="7"/>
                <w:color w:val="auto"/>
              </w:rPr>
              <w:t>2,743</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Net loss</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jc w:val="center"/>
              <w:ind w:left="4"/>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jc w:val="center"/>
              <w:ind w:left="24"/>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jc w:val="center"/>
              <w:ind w:left="4"/>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2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7"/>
                <w:szCs w:val="7"/>
                <w:color w:val="auto"/>
              </w:rPr>
              <w:t>—</w:t>
            </w:r>
          </w:p>
        </w:tc>
        <w:tc>
          <w:tcPr>
            <w:tcW w:w="100" w:type="dxa"/>
            <w:vAlign w:val="bottom"/>
            <w:tcBorders>
              <w:right w:val="single" w:sz="8" w:color="auto"/>
            </w:tcBorders>
            <w:shd w:val="clear" w:color="auto" w:fill="CCEEFF"/>
          </w:tcPr>
          <w:p>
            <w:pPr>
              <w:spacing w:after="0"/>
              <w:rPr>
                <w:sz w:val="8"/>
                <w:szCs w:val="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ind w:left="38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7"/>
                <w:szCs w:val="7"/>
                <w:color w:val="auto"/>
              </w:rPr>
              <w:t>(30,994)</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(30,994)</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7"/>
                <w:szCs w:val="7"/>
                <w:color w:val="auto"/>
              </w:rPr>
              <w:t>Balance, December 31, 2019</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260" w:type="dxa"/>
            <w:vAlign w:val="bottom"/>
            <w:vMerge w:val="continue"/>
          </w:tcPr>
          <w:p>
            <w:pPr>
              <w:spacing w:after="0"/>
              <w:rPr>
                <w:sz w:val="8"/>
                <w:szCs w:val="8"/>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w w:val="96"/>
              </w:rPr>
              <w:t>4,200,000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rPr>
              <w:t>4,200</w:t>
            </w:r>
          </w:p>
        </w:tc>
        <w:tc>
          <w:tcPr>
            <w:tcW w:w="340" w:type="dxa"/>
            <w:vAlign w:val="bottom"/>
          </w:tcPr>
          <w:p>
            <w:pPr>
              <w:ind w:left="40"/>
              <w:spacing w:after="0"/>
              <w:rPr>
                <w:sz w:val="20"/>
                <w:szCs w:val="20"/>
                <w:color w:val="auto"/>
              </w:rPr>
            </w:pPr>
            <w:r>
              <w:rPr>
                <w:rFonts w:ascii="Arial" w:cs="Arial" w:eastAsia="Arial" w:hAnsi="Arial"/>
                <w:sz w:val="7"/>
                <w:szCs w:val="7"/>
                <w:color w:val="auto"/>
                <w:w w:val="89"/>
              </w:rPr>
              <w:t>2,188,322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w w:val="91"/>
              </w:rPr>
              <w:t>2,998</w:t>
            </w:r>
          </w:p>
        </w:tc>
        <w:tc>
          <w:tcPr>
            <w:tcW w:w="360" w:type="dxa"/>
            <w:vAlign w:val="bottom"/>
          </w:tcPr>
          <w:p>
            <w:pPr>
              <w:ind w:left="40"/>
              <w:spacing w:after="0"/>
              <w:rPr>
                <w:sz w:val="20"/>
                <w:szCs w:val="20"/>
                <w:color w:val="auto"/>
              </w:rPr>
            </w:pPr>
            <w:r>
              <w:rPr>
                <w:rFonts w:ascii="Arial" w:cs="Arial" w:eastAsia="Arial" w:hAnsi="Arial"/>
                <w:sz w:val="7"/>
                <w:szCs w:val="7"/>
                <w:color w:val="auto"/>
                <w:w w:val="96"/>
              </w:rPr>
              <w:t>4,211,094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7"/>
                <w:szCs w:val="7"/>
                <w:color w:val="auto"/>
              </w:rPr>
              <w:t>8,704</w:t>
            </w:r>
          </w:p>
        </w:tc>
        <w:tc>
          <w:tcPr>
            <w:tcW w:w="480" w:type="dxa"/>
            <w:vAlign w:val="bottom"/>
            <w:gridSpan w:val="2"/>
          </w:tcPr>
          <w:p>
            <w:pPr>
              <w:jc w:val="right"/>
              <w:ind w:right="100"/>
              <w:spacing w:after="0"/>
              <w:rPr>
                <w:sz w:val="20"/>
                <w:szCs w:val="20"/>
                <w:color w:val="auto"/>
              </w:rPr>
            </w:pPr>
            <w:r>
              <w:rPr>
                <w:rFonts w:ascii="Arial" w:cs="Arial" w:eastAsia="Arial" w:hAnsi="Arial"/>
                <w:sz w:val="7"/>
                <w:szCs w:val="7"/>
                <w:color w:val="auto"/>
              </w:rPr>
              <w:t>1,591,230</w:t>
            </w:r>
          </w:p>
        </w:tc>
        <w:tc>
          <w:tcPr>
            <w:tcW w:w="60" w:type="dxa"/>
            <w:vAlign w:val="bottom"/>
          </w:tcPr>
          <w:p>
            <w:pPr>
              <w:spacing w:after="0"/>
              <w:rPr>
                <w:sz w:val="8"/>
                <w:szCs w:val="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7"/>
                <w:szCs w:val="7"/>
                <w:color w:val="auto"/>
              </w:rPr>
              <w:t>6,957</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4,044,271</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18,612</w:t>
            </w:r>
          </w:p>
        </w:tc>
        <w:tc>
          <w:tcPr>
            <w:tcW w:w="340" w:type="dxa"/>
            <w:vAlign w:val="bottom"/>
          </w:tcPr>
          <w:p>
            <w:pPr>
              <w:jc w:val="right"/>
              <w:spacing w:after="0"/>
              <w:rPr>
                <w:sz w:val="20"/>
                <w:szCs w:val="20"/>
                <w:color w:val="auto"/>
              </w:rPr>
            </w:pPr>
            <w:r>
              <w:rPr>
                <w:rFonts w:ascii="Arial" w:cs="Arial" w:eastAsia="Arial" w:hAnsi="Arial"/>
                <w:sz w:val="7"/>
                <w:szCs w:val="7"/>
                <w:color w:val="auto"/>
              </w:rPr>
              <w:t>3,754,201</w:t>
            </w:r>
          </w:p>
        </w:tc>
        <w:tc>
          <w:tcPr>
            <w:tcW w:w="500" w:type="dxa"/>
            <w:vAlign w:val="bottom"/>
            <w:gridSpan w:val="3"/>
          </w:tcPr>
          <w:p>
            <w:pPr>
              <w:jc w:val="right"/>
              <w:ind w:right="120"/>
              <w:spacing w:after="0"/>
              <w:rPr>
                <w:sz w:val="20"/>
                <w:szCs w:val="20"/>
                <w:color w:val="auto"/>
              </w:rPr>
            </w:pPr>
            <w:r>
              <w:rPr>
                <w:rFonts w:ascii="Arial" w:cs="Arial" w:eastAsia="Arial" w:hAnsi="Arial"/>
                <w:sz w:val="7"/>
                <w:szCs w:val="7"/>
                <w:color w:val="auto"/>
              </w:rPr>
              <w:t>24,756</w:t>
            </w:r>
          </w:p>
        </w:tc>
        <w:tc>
          <w:tcPr>
            <w:tcW w:w="340" w:type="dxa"/>
            <w:vAlign w:val="bottom"/>
          </w:tcPr>
          <w:p>
            <w:pPr>
              <w:jc w:val="right"/>
              <w:spacing w:after="0"/>
              <w:rPr>
                <w:sz w:val="20"/>
                <w:szCs w:val="20"/>
                <w:color w:val="auto"/>
              </w:rPr>
            </w:pPr>
            <w:r>
              <w:rPr>
                <w:rFonts w:ascii="Arial" w:cs="Arial" w:eastAsia="Arial" w:hAnsi="Arial"/>
                <w:sz w:val="7"/>
                <w:szCs w:val="7"/>
                <w:color w:val="auto"/>
              </w:rPr>
              <w:t>5,494,064</w:t>
            </w:r>
          </w:p>
        </w:tc>
        <w:tc>
          <w:tcPr>
            <w:tcW w:w="160" w:type="dxa"/>
            <w:vAlign w:val="bottom"/>
          </w:tcPr>
          <w:p>
            <w:pPr>
              <w:spacing w:after="0"/>
              <w:rPr>
                <w:sz w:val="8"/>
                <w:szCs w:val="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w w:val="93"/>
              </w:rPr>
              <w:t>54,929</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7,289,571</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4,512</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(77,609)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(73,097)</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Repurchase of Stock</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(1,136,622)</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w w:val="98"/>
              </w:rPr>
              <w:t>(5,001)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(390,152)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(2,001)</w:t>
            </w: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(405,453)</w:t>
            </w:r>
          </w:p>
        </w:tc>
        <w:tc>
          <w:tcPr>
            <w:tcW w:w="5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7"/>
                <w:szCs w:val="7"/>
                <w:color w:val="auto"/>
              </w:rPr>
              <w:t>(2,700)</w:t>
            </w: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(314,659)</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(3,150)</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(5,578)</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7"/>
                <w:szCs w:val="7"/>
                <w:color w:val="auto"/>
              </w:rPr>
              <w:t>(3,223)</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(8,801)</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Issuance of Stock</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00"/>
              <w:spacing w:after="0"/>
              <w:rPr>
                <w:sz w:val="20"/>
                <w:szCs w:val="20"/>
                <w:color w:val="auto"/>
              </w:rPr>
            </w:pPr>
            <w:r>
              <w:rPr>
                <w:rFonts w:ascii="Arial" w:cs="Arial" w:eastAsia="Arial" w:hAnsi="Arial"/>
                <w:sz w:val="7"/>
                <w:szCs w:val="7"/>
                <w:color w:val="auto"/>
              </w:rPr>
              <w:t>1,136,622</w:t>
            </w:r>
          </w:p>
        </w:tc>
        <w:tc>
          <w:tcPr>
            <w:tcW w:w="60" w:type="dxa"/>
            <w:vAlign w:val="bottom"/>
          </w:tcPr>
          <w:p>
            <w:pPr>
              <w:spacing w:after="0"/>
              <w:rPr>
                <w:sz w:val="8"/>
                <w:szCs w:val="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7"/>
                <w:szCs w:val="7"/>
                <w:color w:val="auto"/>
                <w:w w:val="93"/>
              </w:rPr>
              <w:t>10,883</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390,152</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3,736</w:t>
            </w:r>
          </w:p>
        </w:tc>
        <w:tc>
          <w:tcPr>
            <w:tcW w:w="340" w:type="dxa"/>
            <w:vAlign w:val="bottom"/>
          </w:tcPr>
          <w:p>
            <w:pPr>
              <w:jc w:val="right"/>
              <w:spacing w:after="0"/>
              <w:rPr>
                <w:sz w:val="20"/>
                <w:szCs w:val="20"/>
                <w:color w:val="auto"/>
              </w:rPr>
            </w:pPr>
            <w:r>
              <w:rPr>
                <w:rFonts w:ascii="Arial" w:cs="Arial" w:eastAsia="Arial" w:hAnsi="Arial"/>
                <w:sz w:val="7"/>
                <w:szCs w:val="7"/>
                <w:color w:val="auto"/>
              </w:rPr>
              <w:t>405,453</w:t>
            </w:r>
          </w:p>
        </w:tc>
        <w:tc>
          <w:tcPr>
            <w:tcW w:w="500" w:type="dxa"/>
            <w:vAlign w:val="bottom"/>
            <w:gridSpan w:val="3"/>
          </w:tcPr>
          <w:p>
            <w:pPr>
              <w:jc w:val="right"/>
              <w:ind w:right="120"/>
              <w:spacing w:after="0"/>
              <w:rPr>
                <w:sz w:val="20"/>
                <w:szCs w:val="20"/>
                <w:color w:val="auto"/>
              </w:rPr>
            </w:pPr>
            <w:r>
              <w:rPr>
                <w:rFonts w:ascii="Arial" w:cs="Arial" w:eastAsia="Arial" w:hAnsi="Arial"/>
                <w:sz w:val="7"/>
                <w:szCs w:val="7"/>
                <w:color w:val="auto"/>
              </w:rPr>
              <w:t>3,948</w:t>
            </w:r>
          </w:p>
        </w:tc>
        <w:tc>
          <w:tcPr>
            <w:tcW w:w="340" w:type="dxa"/>
            <w:vAlign w:val="bottom"/>
          </w:tcPr>
          <w:p>
            <w:pPr>
              <w:jc w:val="right"/>
              <w:spacing w:after="0"/>
              <w:rPr>
                <w:sz w:val="20"/>
                <w:szCs w:val="20"/>
                <w:color w:val="auto"/>
              </w:rPr>
            </w:pPr>
            <w:r>
              <w:rPr>
                <w:rFonts w:ascii="Arial" w:cs="Arial" w:eastAsia="Arial" w:hAnsi="Arial"/>
                <w:sz w:val="7"/>
                <w:szCs w:val="7"/>
                <w:color w:val="auto"/>
              </w:rPr>
              <w:t>314,659</w:t>
            </w:r>
          </w:p>
        </w:tc>
        <w:tc>
          <w:tcPr>
            <w:tcW w:w="160" w:type="dxa"/>
            <w:vAlign w:val="bottom"/>
          </w:tcPr>
          <w:p>
            <w:pPr>
              <w:spacing w:after="0"/>
              <w:rPr>
                <w:sz w:val="8"/>
                <w:szCs w:val="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rPr>
              <w:t>3,085</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Issuance of preferred stock – Series E</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7"/>
                <w:szCs w:val="7"/>
                <w:color w:val="auto"/>
                <w:w w:val="96"/>
              </w:rPr>
              <w:t>2,275,759</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7"/>
                <w:szCs w:val="7"/>
                <w:color w:val="auto"/>
              </w:rPr>
              <w:t>30,757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Exercise of common stock options</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466,211</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563</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(45)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518</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1,006</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1,006</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Comprehensive income</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ind w:left="160"/>
              <w:spacing w:after="0"/>
              <w:rPr>
                <w:sz w:val="20"/>
                <w:szCs w:val="20"/>
                <w:color w:val="auto"/>
              </w:rPr>
            </w:pPr>
            <w:r>
              <w:rPr>
                <w:rFonts w:ascii="Arial" w:cs="Arial" w:eastAsia="Arial" w:hAnsi="Arial"/>
                <w:sz w:val="7"/>
                <w:szCs w:val="7"/>
                <w:color w:val="auto"/>
              </w:rPr>
              <w:t>Foreign currency translation</w:t>
            </w: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7"/>
                <w:szCs w:val="7"/>
                <w:color w:val="auto"/>
              </w:rPr>
              <w:t>210</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210</w:t>
            </w:r>
          </w:p>
        </w:tc>
        <w:tc>
          <w:tcPr>
            <w:tcW w:w="0" w:type="dxa"/>
            <w:vAlign w:val="bottom"/>
          </w:tcPr>
          <w:p>
            <w:pPr>
              <w:spacing w:after="0"/>
              <w:rPr>
                <w:sz w:val="1"/>
                <w:szCs w:val="1"/>
                <w:color w:val="auto"/>
              </w:rPr>
            </w:pPr>
          </w:p>
        </w:tc>
      </w:tr>
      <w:tr>
        <w:trPr>
          <w:trHeight w:val="94"/>
        </w:trPr>
        <w:tc>
          <w:tcPr>
            <w:tcW w:w="1260" w:type="dxa"/>
            <w:vAlign w:val="bottom"/>
          </w:tcPr>
          <w:p>
            <w:pPr>
              <w:ind w:left="160"/>
              <w:spacing w:after="0"/>
              <w:rPr>
                <w:sz w:val="20"/>
                <w:szCs w:val="20"/>
                <w:color w:val="auto"/>
              </w:rPr>
            </w:pPr>
            <w:r>
              <w:rPr>
                <w:rFonts w:ascii="Arial" w:cs="Arial" w:eastAsia="Arial" w:hAnsi="Arial"/>
                <w:sz w:val="7"/>
                <w:szCs w:val="7"/>
                <w:color w:val="auto"/>
              </w:rPr>
              <w:t>Net loss</w:t>
            </w:r>
          </w:p>
        </w:tc>
        <w:tc>
          <w:tcPr>
            <w:tcW w:w="340" w:type="dxa"/>
            <w:vAlign w:val="bottom"/>
          </w:tcPr>
          <w:p>
            <w:pPr>
              <w:ind w:left="22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4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580" w:type="dxa"/>
            <w:vAlign w:val="bottom"/>
            <w:gridSpan w:val="2"/>
          </w:tcPr>
          <w:p>
            <w:pPr>
              <w:ind w:left="38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7"/>
                <w:szCs w:val="7"/>
                <w:color w:val="auto"/>
              </w:rPr>
              <w:t>(31,085)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(31,085)</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Total comprehensive loss</w:t>
            </w: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(30,875)</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7"/>
                <w:szCs w:val="7"/>
                <w:color w:val="auto"/>
              </w:rPr>
              <w:t>Balance, December 31, 2020</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260" w:type="dxa"/>
            <w:vAlign w:val="bottom"/>
            <w:vMerge w:val="continue"/>
          </w:tcPr>
          <w:p>
            <w:pPr>
              <w:spacing w:after="0"/>
              <w:rPr>
                <w:sz w:val="8"/>
                <w:szCs w:val="8"/>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w w:val="96"/>
              </w:rPr>
              <w:t>4,200,000</w:t>
            </w:r>
          </w:p>
        </w:tc>
        <w:tc>
          <w:tcPr>
            <w:tcW w:w="160" w:type="dxa"/>
            <w:vAlign w:val="bottom"/>
            <w:gridSpan w:val="2"/>
          </w:tcPr>
          <w:p>
            <w:pPr>
              <w:ind w:left="80"/>
              <w:spacing w:after="0"/>
              <w:rPr>
                <w:sz w:val="20"/>
                <w:szCs w:val="20"/>
                <w:color w:val="auto"/>
              </w:rPr>
            </w:pPr>
            <w:r>
              <w:rPr>
                <w:rFonts w:ascii="Arial" w:cs="Arial" w:eastAsia="Arial" w:hAnsi="Arial"/>
                <w:sz w:val="7"/>
                <w:szCs w:val="7"/>
                <w:color w:val="auto"/>
              </w:rPr>
              <w:t>$</w:t>
            </w: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rPr>
              <w:t>4,200</w:t>
            </w:r>
          </w:p>
        </w:tc>
        <w:tc>
          <w:tcPr>
            <w:tcW w:w="340" w:type="dxa"/>
            <w:vAlign w:val="bottom"/>
          </w:tcPr>
          <w:p>
            <w:pPr>
              <w:ind w:left="40"/>
              <w:spacing w:after="0"/>
              <w:rPr>
                <w:sz w:val="20"/>
                <w:szCs w:val="20"/>
                <w:color w:val="auto"/>
              </w:rPr>
            </w:pPr>
            <w:r>
              <w:rPr>
                <w:rFonts w:ascii="Arial" w:cs="Arial" w:eastAsia="Arial" w:hAnsi="Arial"/>
                <w:sz w:val="7"/>
                <w:szCs w:val="7"/>
                <w:color w:val="auto"/>
                <w:w w:val="89"/>
              </w:rPr>
              <w:t>2,188,322</w:t>
            </w:r>
          </w:p>
        </w:tc>
        <w:tc>
          <w:tcPr>
            <w:tcW w:w="160" w:type="dxa"/>
            <w:vAlign w:val="bottom"/>
            <w:gridSpan w:val="2"/>
          </w:tcPr>
          <w:p>
            <w:pPr>
              <w:ind w:left="80"/>
              <w:spacing w:after="0"/>
              <w:rPr>
                <w:sz w:val="20"/>
                <w:szCs w:val="20"/>
                <w:color w:val="auto"/>
              </w:rPr>
            </w:pPr>
            <w:r>
              <w:rPr>
                <w:rFonts w:ascii="Arial" w:cs="Arial" w:eastAsia="Arial" w:hAnsi="Arial"/>
                <w:sz w:val="7"/>
                <w:szCs w:val="7"/>
                <w:color w:val="auto"/>
              </w:rPr>
              <w:t>$</w:t>
            </w: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w w:val="91"/>
              </w:rPr>
              <w:t>2,998</w:t>
            </w:r>
          </w:p>
        </w:tc>
        <w:tc>
          <w:tcPr>
            <w:tcW w:w="360" w:type="dxa"/>
            <w:vAlign w:val="bottom"/>
          </w:tcPr>
          <w:p>
            <w:pPr>
              <w:ind w:left="40"/>
              <w:spacing w:after="0"/>
              <w:rPr>
                <w:sz w:val="20"/>
                <w:szCs w:val="20"/>
                <w:color w:val="auto"/>
              </w:rPr>
            </w:pPr>
            <w:r>
              <w:rPr>
                <w:rFonts w:ascii="Arial" w:cs="Arial" w:eastAsia="Arial" w:hAnsi="Arial"/>
                <w:sz w:val="7"/>
                <w:szCs w:val="7"/>
                <w:color w:val="auto"/>
                <w:w w:val="96"/>
              </w:rPr>
              <w:t>4,211,094</w:t>
            </w:r>
          </w:p>
        </w:tc>
        <w:tc>
          <w:tcPr>
            <w:tcW w:w="180" w:type="dxa"/>
            <w:vAlign w:val="bottom"/>
            <w:gridSpan w:val="2"/>
          </w:tcPr>
          <w:p>
            <w:pPr>
              <w:ind w:left="80"/>
              <w:spacing w:after="0"/>
              <w:rPr>
                <w:sz w:val="20"/>
                <w:szCs w:val="20"/>
                <w:color w:val="auto"/>
              </w:rPr>
            </w:pPr>
            <w:r>
              <w:rPr>
                <w:rFonts w:ascii="Arial" w:cs="Arial" w:eastAsia="Arial" w:hAnsi="Arial"/>
                <w:sz w:val="7"/>
                <w:szCs w:val="7"/>
                <w:color w:val="auto"/>
              </w:rPr>
              <w:t>$</w:t>
            </w:r>
          </w:p>
        </w:tc>
        <w:tc>
          <w:tcPr>
            <w:tcW w:w="280" w:type="dxa"/>
            <w:vAlign w:val="bottom"/>
            <w:gridSpan w:val="2"/>
          </w:tcPr>
          <w:p>
            <w:pPr>
              <w:jc w:val="center"/>
              <w:ind w:right="100"/>
              <w:spacing w:after="0"/>
              <w:rPr>
                <w:sz w:val="20"/>
                <w:szCs w:val="20"/>
                <w:color w:val="auto"/>
              </w:rPr>
            </w:pPr>
            <w:r>
              <w:rPr>
                <w:rFonts w:ascii="Arial" w:cs="Arial" w:eastAsia="Arial" w:hAnsi="Arial"/>
                <w:sz w:val="7"/>
                <w:szCs w:val="7"/>
                <w:color w:val="auto"/>
              </w:rPr>
              <w:t>8,704</w:t>
            </w:r>
          </w:p>
        </w:tc>
        <w:tc>
          <w:tcPr>
            <w:tcW w:w="480" w:type="dxa"/>
            <w:vAlign w:val="bottom"/>
            <w:gridSpan w:val="2"/>
          </w:tcPr>
          <w:p>
            <w:pPr>
              <w:jc w:val="right"/>
              <w:ind w:right="100"/>
              <w:spacing w:after="0"/>
              <w:rPr>
                <w:sz w:val="20"/>
                <w:szCs w:val="20"/>
                <w:color w:val="auto"/>
              </w:rPr>
            </w:pPr>
            <w:r>
              <w:rPr>
                <w:rFonts w:ascii="Arial" w:cs="Arial" w:eastAsia="Arial" w:hAnsi="Arial"/>
                <w:sz w:val="7"/>
                <w:szCs w:val="7"/>
                <w:color w:val="auto"/>
              </w:rPr>
              <w:t>1,591,230</w:t>
            </w:r>
          </w:p>
        </w:tc>
        <w:tc>
          <w:tcPr>
            <w:tcW w:w="60" w:type="dxa"/>
            <w:vAlign w:val="bottom"/>
          </w:tcPr>
          <w:p>
            <w:pPr>
              <w:spacing w:after="0"/>
              <w:rPr>
                <w:sz w:val="20"/>
                <w:szCs w:val="20"/>
                <w:color w:val="auto"/>
              </w:rPr>
            </w:pPr>
            <w:r>
              <w:rPr>
                <w:rFonts w:ascii="Arial" w:cs="Arial" w:eastAsia="Arial" w:hAnsi="Arial"/>
                <w:sz w:val="7"/>
                <w:szCs w:val="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7"/>
                <w:szCs w:val="7"/>
                <w:color w:val="auto"/>
                <w:w w:val="93"/>
              </w:rPr>
              <w:t>12,839</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4,044,271</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w w:val="95"/>
              </w:rPr>
              <w:t>$ 20,347</w:t>
            </w:r>
          </w:p>
        </w:tc>
        <w:tc>
          <w:tcPr>
            <w:tcW w:w="340" w:type="dxa"/>
            <w:vAlign w:val="bottom"/>
          </w:tcPr>
          <w:p>
            <w:pPr>
              <w:jc w:val="right"/>
              <w:spacing w:after="0"/>
              <w:rPr>
                <w:sz w:val="20"/>
                <w:szCs w:val="20"/>
                <w:color w:val="auto"/>
              </w:rPr>
            </w:pPr>
            <w:r>
              <w:rPr>
                <w:rFonts w:ascii="Arial" w:cs="Arial" w:eastAsia="Arial" w:hAnsi="Arial"/>
                <w:sz w:val="7"/>
                <w:szCs w:val="7"/>
                <w:color w:val="auto"/>
              </w:rPr>
              <w:t>3,754,201</w:t>
            </w:r>
          </w:p>
        </w:tc>
        <w:tc>
          <w:tcPr>
            <w:tcW w:w="500" w:type="dxa"/>
            <w:vAlign w:val="bottom"/>
            <w:gridSpan w:val="3"/>
          </w:tcPr>
          <w:p>
            <w:pPr>
              <w:jc w:val="right"/>
              <w:ind w:right="120"/>
              <w:spacing w:after="0"/>
              <w:rPr>
                <w:sz w:val="20"/>
                <w:szCs w:val="20"/>
                <w:color w:val="auto"/>
              </w:rPr>
            </w:pPr>
            <w:r>
              <w:rPr>
                <w:rFonts w:ascii="Arial" w:cs="Arial" w:eastAsia="Arial" w:hAnsi="Arial"/>
                <w:sz w:val="7"/>
                <w:szCs w:val="7"/>
                <w:color w:val="auto"/>
              </w:rPr>
              <w:t>$ 26,004</w:t>
            </w:r>
          </w:p>
        </w:tc>
        <w:tc>
          <w:tcPr>
            <w:tcW w:w="340" w:type="dxa"/>
            <w:vAlign w:val="bottom"/>
          </w:tcPr>
          <w:p>
            <w:pPr>
              <w:jc w:val="right"/>
              <w:spacing w:after="0"/>
              <w:rPr>
                <w:sz w:val="20"/>
                <w:szCs w:val="20"/>
                <w:color w:val="auto"/>
              </w:rPr>
            </w:pPr>
            <w:r>
              <w:rPr>
                <w:rFonts w:ascii="Arial" w:cs="Arial" w:eastAsia="Arial" w:hAnsi="Arial"/>
                <w:sz w:val="7"/>
                <w:szCs w:val="7"/>
                <w:color w:val="auto"/>
              </w:rPr>
              <w:t>5,494,064</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w w:val="93"/>
              </w:rPr>
              <w:t>54,864</w:t>
            </w:r>
          </w:p>
        </w:tc>
        <w:tc>
          <w:tcPr>
            <w:tcW w:w="340" w:type="dxa"/>
            <w:vAlign w:val="bottom"/>
          </w:tcPr>
          <w:p>
            <w:pPr>
              <w:ind w:left="20"/>
              <w:spacing w:after="0"/>
              <w:rPr>
                <w:sz w:val="20"/>
                <w:szCs w:val="20"/>
                <w:color w:val="auto"/>
              </w:rPr>
            </w:pPr>
            <w:r>
              <w:rPr>
                <w:rFonts w:ascii="Arial" w:cs="Arial" w:eastAsia="Arial" w:hAnsi="Arial"/>
                <w:sz w:val="7"/>
                <w:szCs w:val="7"/>
                <w:color w:val="auto"/>
                <w:w w:val="96"/>
              </w:rPr>
              <w:t>2,275,759</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7"/>
                <w:szCs w:val="7"/>
                <w:color w:val="auto"/>
              </w:rPr>
              <w:t>30,757</w:t>
            </w:r>
          </w:p>
        </w:tc>
        <w:tc>
          <w:tcPr>
            <w:tcW w:w="440" w:type="dxa"/>
            <w:vAlign w:val="bottom"/>
            <w:gridSpan w:val="2"/>
          </w:tcPr>
          <w:p>
            <w:pPr>
              <w:jc w:val="right"/>
              <w:ind w:right="80"/>
              <w:spacing w:after="0"/>
              <w:rPr>
                <w:sz w:val="20"/>
                <w:szCs w:val="20"/>
                <w:color w:val="auto"/>
              </w:rPr>
            </w:pPr>
            <w:r>
              <w:rPr>
                <w:rFonts w:ascii="Arial" w:cs="Arial" w:eastAsia="Arial" w:hAnsi="Arial"/>
                <w:sz w:val="7"/>
                <w:szCs w:val="7"/>
                <w:color w:val="auto"/>
              </w:rPr>
              <w:t>7,755,782</w:t>
            </w: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60" w:type="dxa"/>
            <w:vAlign w:val="bottom"/>
          </w:tcPr>
          <w:p>
            <w:pPr>
              <w:ind w:left="60"/>
              <w:spacing w:after="0"/>
              <w:rPr>
                <w:sz w:val="20"/>
                <w:szCs w:val="20"/>
                <w:color w:val="auto"/>
              </w:rPr>
            </w:pPr>
            <w:r>
              <w:rPr>
                <w:rFonts w:ascii="Arial" w:cs="Arial" w:eastAsia="Arial" w:hAnsi="Arial"/>
                <w:sz w:val="7"/>
                <w:szCs w:val="7"/>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100"/>
              <w:spacing w:after="0"/>
              <w:rPr>
                <w:sz w:val="20"/>
                <w:szCs w:val="20"/>
                <w:color w:val="auto"/>
              </w:rPr>
            </w:pPr>
            <w:r>
              <w:rPr>
                <w:rFonts w:ascii="Arial" w:cs="Arial" w:eastAsia="Arial" w:hAnsi="Arial"/>
                <w:sz w:val="7"/>
                <w:szCs w:val="7"/>
                <w:color w:val="auto"/>
              </w:rPr>
              <w:t>503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ind w:left="360"/>
              <w:spacing w:after="0"/>
              <w:rPr>
                <w:sz w:val="20"/>
                <w:szCs w:val="20"/>
                <w:color w:val="auto"/>
              </w:rPr>
            </w:pPr>
            <w:r>
              <w:rPr>
                <w:rFonts w:ascii="Arial" w:cs="Arial" w:eastAsia="Arial" w:hAnsi="Arial"/>
                <w:sz w:val="7"/>
                <w:szCs w:val="7"/>
                <w:color w:val="auto"/>
              </w:rPr>
              <w:t>210</w:t>
            </w:r>
          </w:p>
        </w:tc>
        <w:tc>
          <w:tcPr>
            <w:tcW w:w="80" w:type="dxa"/>
            <w:vAlign w:val="bottom"/>
          </w:tcPr>
          <w:p>
            <w:pPr>
              <w:spacing w:after="0"/>
              <w:rPr>
                <w:sz w:val="20"/>
                <w:szCs w:val="20"/>
                <w:color w:val="auto"/>
              </w:rPr>
            </w:pPr>
            <w:r>
              <w:rPr>
                <w:rFonts w:ascii="Arial" w:cs="Arial" w:eastAsia="Arial" w:hAnsi="Arial"/>
                <w:sz w:val="7"/>
                <w:szCs w:val="7"/>
                <w:color w:val="auto"/>
              </w:rPr>
              <w:t>$</w:t>
            </w:r>
          </w:p>
        </w:tc>
        <w:tc>
          <w:tcPr>
            <w:tcW w:w="380" w:type="dxa"/>
            <w:vAlign w:val="bottom"/>
          </w:tcPr>
          <w:p>
            <w:pPr>
              <w:jc w:val="right"/>
              <w:spacing w:after="0"/>
              <w:rPr>
                <w:sz w:val="20"/>
                <w:szCs w:val="20"/>
                <w:color w:val="auto"/>
              </w:rPr>
            </w:pPr>
            <w:r>
              <w:rPr>
                <w:rFonts w:ascii="Arial" w:cs="Arial" w:eastAsia="Arial" w:hAnsi="Arial"/>
                <w:sz w:val="7"/>
                <w:szCs w:val="7"/>
                <w:color w:val="auto"/>
              </w:rPr>
              <w:t>(111,962)</w:t>
            </w:r>
          </w:p>
        </w:tc>
        <w:tc>
          <w:tcPr>
            <w:tcW w:w="180" w:type="dxa"/>
            <w:vAlign w:val="bottom"/>
            <w:gridSpan w:val="2"/>
          </w:tcPr>
          <w:p>
            <w:pPr>
              <w:ind w:left="100"/>
              <w:spacing w:after="0"/>
              <w:rPr>
                <w:sz w:val="20"/>
                <w:szCs w:val="20"/>
                <w:color w:val="auto"/>
              </w:rPr>
            </w:pPr>
            <w:r>
              <w:rPr>
                <w:rFonts w:ascii="Arial" w:cs="Arial" w:eastAsia="Arial" w:hAnsi="Arial"/>
                <w:sz w:val="7"/>
                <w:szCs w:val="7"/>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(111,249)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jc w:val="center"/>
        <w:ind w:right="-159"/>
        <w:spacing w:after="0" w:line="232"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gridSpan w:val="4"/>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780" w:type="dxa"/>
            <w:vAlign w:val="bottom"/>
            <w:gridSpan w:val="3"/>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60" w:type="dxa"/>
            <w:vAlign w:val="bottom"/>
          </w:tcPr>
          <w:p>
            <w:pPr>
              <w:spacing w:after="0"/>
              <w:rPr>
                <w:sz w:val="7"/>
                <w:szCs w:val="7"/>
                <w:color w:val="auto"/>
              </w:rPr>
            </w:pPr>
          </w:p>
        </w:tc>
        <w:tc>
          <w:tcPr>
            <w:tcW w:w="860" w:type="dxa"/>
            <w:vAlign w:val="bottom"/>
            <w:gridSpan w:val="4"/>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gridSpan w:val="5"/>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900" w:type="dxa"/>
            <w:vAlign w:val="bottom"/>
            <w:gridSpan w:val="5"/>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tcBorders>
              <w:right w:val="single" w:sz="8" w:color="auto"/>
            </w:tcBorders>
            <w:gridSpan w:val="3"/>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Accumulated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880" w:type="dxa"/>
            <w:vAlign w:val="bottom"/>
            <w:tcBorders>
              <w:right w:val="single" w:sz="8" w:color="auto"/>
            </w:tcBorders>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Additional</w:t>
            </w:r>
          </w:p>
        </w:tc>
        <w:tc>
          <w:tcPr>
            <w:tcW w:w="100" w:type="dxa"/>
            <w:vAlign w:val="bottom"/>
          </w:tcPr>
          <w:p>
            <w:pPr>
              <w:spacing w:after="0"/>
              <w:rPr>
                <w:sz w:val="2"/>
                <w:szCs w:val="2"/>
                <w:color w:val="auto"/>
              </w:rPr>
            </w:pPr>
          </w:p>
        </w:tc>
        <w:tc>
          <w:tcPr>
            <w:tcW w:w="540" w:type="dxa"/>
            <w:vAlign w:val="bottom"/>
            <w:gridSpan w:val="2"/>
            <w:vMerge w:val="restart"/>
          </w:tcPr>
          <w:p>
            <w:pPr>
              <w:jc w:val="right"/>
              <w:ind w:right="280"/>
              <w:spacing w:after="0"/>
              <w:rPr>
                <w:sz w:val="20"/>
                <w:szCs w:val="20"/>
                <w:color w:val="auto"/>
              </w:rPr>
            </w:pPr>
            <w:r>
              <w:rPr>
                <w:rFonts w:ascii="Arial" w:cs="Arial" w:eastAsia="Arial" w:hAnsi="Arial"/>
                <w:sz w:val="7"/>
                <w:szCs w:val="7"/>
                <w:b w:val="1"/>
                <w:bCs w:val="1"/>
                <w:color w:val="auto"/>
              </w:rPr>
              <w:t>Other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Seed-1</w:t>
            </w:r>
          </w:p>
        </w:tc>
        <w:tc>
          <w:tcPr>
            <w:tcW w:w="780" w:type="dxa"/>
            <w:vAlign w:val="bottom"/>
            <w:gridSpan w:val="3"/>
            <w:vMerge w:val="restart"/>
          </w:tcPr>
          <w:p>
            <w:pPr>
              <w:ind w:left="280"/>
              <w:spacing w:after="0"/>
              <w:rPr>
                <w:sz w:val="20"/>
                <w:szCs w:val="20"/>
                <w:color w:val="auto"/>
              </w:rPr>
            </w:pPr>
            <w:r>
              <w:rPr>
                <w:rFonts w:ascii="Arial" w:cs="Arial" w:eastAsia="Arial" w:hAnsi="Arial"/>
                <w:sz w:val="7"/>
                <w:szCs w:val="7"/>
                <w:b w:val="1"/>
                <w:bCs w:val="1"/>
                <w:color w:val="auto"/>
              </w:rPr>
              <w:t>Seed-2</w:t>
            </w:r>
          </w:p>
        </w:tc>
        <w:tc>
          <w:tcPr>
            <w:tcW w:w="60" w:type="dxa"/>
            <w:vAlign w:val="bottom"/>
          </w:tcPr>
          <w:p>
            <w:pPr>
              <w:spacing w:after="0"/>
              <w:rPr>
                <w:sz w:val="4"/>
                <w:szCs w:val="4"/>
                <w:color w:val="auto"/>
              </w:rPr>
            </w:pPr>
          </w:p>
        </w:tc>
        <w:tc>
          <w:tcPr>
            <w:tcW w:w="860" w:type="dxa"/>
            <w:vAlign w:val="bottom"/>
            <w:gridSpan w:val="4"/>
            <w:vMerge w:val="restart"/>
          </w:tcPr>
          <w:p>
            <w:pPr>
              <w:ind w:left="220"/>
              <w:spacing w:after="0"/>
              <w:rPr>
                <w:sz w:val="20"/>
                <w:szCs w:val="20"/>
                <w:color w:val="auto"/>
              </w:rPr>
            </w:pPr>
            <w:r>
              <w:rPr>
                <w:rFonts w:ascii="Arial" w:cs="Arial" w:eastAsia="Arial" w:hAnsi="Arial"/>
                <w:sz w:val="7"/>
                <w:szCs w:val="7"/>
                <w:b w:val="1"/>
                <w:bCs w:val="1"/>
                <w:color w:val="auto"/>
              </w:rPr>
              <w:t>Series A-1</w:t>
            </w:r>
          </w:p>
        </w:tc>
        <w:tc>
          <w:tcPr>
            <w:tcW w:w="880" w:type="dxa"/>
            <w:vAlign w:val="bottom"/>
            <w:gridSpan w:val="5"/>
            <w:vMerge w:val="restart"/>
          </w:tcPr>
          <w:p>
            <w:pPr>
              <w:ind w:left="240"/>
              <w:spacing w:after="0"/>
              <w:rPr>
                <w:sz w:val="20"/>
                <w:szCs w:val="20"/>
                <w:color w:val="auto"/>
              </w:rPr>
            </w:pPr>
            <w:r>
              <w:rPr>
                <w:rFonts w:ascii="Arial" w:cs="Arial" w:eastAsia="Arial" w:hAnsi="Arial"/>
                <w:sz w:val="7"/>
                <w:szCs w:val="7"/>
                <w:b w:val="1"/>
                <w:bCs w:val="1"/>
                <w:color w:val="auto"/>
              </w:rPr>
              <w:t>Series A-2</w:t>
            </w:r>
          </w:p>
        </w:tc>
        <w:tc>
          <w:tcPr>
            <w:tcW w:w="90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Series B</w:t>
            </w:r>
          </w:p>
        </w:tc>
        <w:tc>
          <w:tcPr>
            <w:tcW w:w="900" w:type="dxa"/>
            <w:vAlign w:val="bottom"/>
            <w:gridSpan w:val="4"/>
            <w:vMerge w:val="restart"/>
          </w:tcPr>
          <w:p>
            <w:pPr>
              <w:ind w:left="280"/>
              <w:spacing w:after="0"/>
              <w:rPr>
                <w:sz w:val="20"/>
                <w:szCs w:val="20"/>
                <w:color w:val="auto"/>
              </w:rPr>
            </w:pPr>
            <w:r>
              <w:rPr>
                <w:rFonts w:ascii="Arial" w:cs="Arial" w:eastAsia="Arial" w:hAnsi="Arial"/>
                <w:sz w:val="7"/>
                <w:szCs w:val="7"/>
                <w:b w:val="1"/>
                <w:bCs w:val="1"/>
                <w:color w:val="auto"/>
              </w:rPr>
              <w:t>Series C</w:t>
            </w:r>
          </w:p>
        </w:tc>
        <w:tc>
          <w:tcPr>
            <w:tcW w:w="900" w:type="dxa"/>
            <w:vAlign w:val="bottom"/>
            <w:gridSpan w:val="5"/>
            <w:vMerge w:val="restart"/>
          </w:tcPr>
          <w:p>
            <w:pPr>
              <w:ind w:left="280"/>
              <w:spacing w:after="0"/>
              <w:rPr>
                <w:sz w:val="20"/>
                <w:szCs w:val="20"/>
                <w:color w:val="auto"/>
              </w:rPr>
            </w:pPr>
            <w:r>
              <w:rPr>
                <w:rFonts w:ascii="Arial" w:cs="Arial" w:eastAsia="Arial" w:hAnsi="Arial"/>
                <w:sz w:val="7"/>
                <w:szCs w:val="7"/>
                <w:b w:val="1"/>
                <w:bCs w:val="1"/>
                <w:color w:val="auto"/>
              </w:rPr>
              <w:t>Series D</w:t>
            </w:r>
          </w:p>
        </w:tc>
        <w:tc>
          <w:tcPr>
            <w:tcW w:w="880" w:type="dxa"/>
            <w:vAlign w:val="bottom"/>
            <w:tcBorders>
              <w:right w:val="single" w:sz="8" w:color="auto"/>
            </w:tcBorders>
            <w:gridSpan w:val="3"/>
            <w:vMerge w:val="restart"/>
          </w:tcPr>
          <w:p>
            <w:pPr>
              <w:ind w:left="260"/>
              <w:spacing w:after="0"/>
              <w:rPr>
                <w:sz w:val="20"/>
                <w:szCs w:val="20"/>
                <w:color w:val="auto"/>
              </w:rPr>
            </w:pPr>
            <w:r>
              <w:rPr>
                <w:rFonts w:ascii="Arial" w:cs="Arial" w:eastAsia="Arial" w:hAnsi="Arial"/>
                <w:sz w:val="7"/>
                <w:szCs w:val="7"/>
                <w:b w:val="1"/>
                <w:bCs w:val="1"/>
                <w:color w:val="auto"/>
              </w:rPr>
              <w:t>Series E</w:t>
            </w:r>
          </w:p>
        </w:tc>
        <w:tc>
          <w:tcPr>
            <w:tcW w:w="20" w:type="dxa"/>
            <w:vAlign w:val="bottom"/>
          </w:tcPr>
          <w:p>
            <w:pPr>
              <w:spacing w:after="0"/>
              <w:rPr>
                <w:sz w:val="4"/>
                <w:szCs w:val="4"/>
                <w:color w:val="auto"/>
              </w:rPr>
            </w:pPr>
          </w:p>
        </w:tc>
        <w:tc>
          <w:tcPr>
            <w:tcW w:w="820" w:type="dxa"/>
            <w:vAlign w:val="bottom"/>
            <w:gridSpan w:val="6"/>
            <w:vMerge w:val="restart"/>
          </w:tcPr>
          <w:p>
            <w:pPr>
              <w:ind w:left="140"/>
              <w:spacing w:after="0"/>
              <w:rPr>
                <w:sz w:val="20"/>
                <w:szCs w:val="20"/>
                <w:color w:val="auto"/>
              </w:rPr>
            </w:pPr>
            <w:r>
              <w:rPr>
                <w:rFonts w:ascii="Arial" w:cs="Arial" w:eastAsia="Arial" w:hAnsi="Arial"/>
                <w:sz w:val="7"/>
                <w:szCs w:val="7"/>
                <w:b w:val="1"/>
                <w:bCs w:val="1"/>
                <w:color w:val="auto"/>
              </w:rPr>
              <w:t>Common Stock</w:t>
            </w:r>
          </w:p>
        </w:tc>
        <w:tc>
          <w:tcPr>
            <w:tcW w:w="2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880" w:type="dxa"/>
            <w:vAlign w:val="bottom"/>
            <w:tcBorders>
              <w:right w:val="single" w:sz="8" w:color="auto"/>
            </w:tcBorders>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8"/>
            <w:vMerge w:val="restart"/>
          </w:tcPr>
          <w:p>
            <w:pPr>
              <w:jc w:val="right"/>
              <w:ind w:right="80"/>
              <w:spacing w:after="0"/>
              <w:rPr>
                <w:sz w:val="20"/>
                <w:szCs w:val="20"/>
                <w:color w:val="auto"/>
              </w:rPr>
            </w:pPr>
            <w:r>
              <w:rPr>
                <w:rFonts w:ascii="Arial" w:cs="Arial" w:eastAsia="Arial" w:hAnsi="Arial"/>
                <w:sz w:val="7"/>
                <w:szCs w:val="7"/>
                <w:b w:val="1"/>
                <w:bCs w:val="1"/>
                <w:color w:val="auto"/>
              </w:rPr>
              <w:t>Paid-in   Comprehensive   Accumulated</w:t>
            </w:r>
          </w:p>
        </w:tc>
        <w:tc>
          <w:tcPr>
            <w:tcW w:w="40" w:type="dxa"/>
            <w:vAlign w:val="bottom"/>
          </w:tcPr>
          <w:p>
            <w:pPr>
              <w:spacing w:after="0"/>
              <w:rPr>
                <w:sz w:val="2"/>
                <w:szCs w:val="2"/>
                <w:color w:val="auto"/>
              </w:rPr>
            </w:pPr>
          </w:p>
        </w:tc>
        <w:tc>
          <w:tcPr>
            <w:tcW w:w="5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280" w:type="dxa"/>
            <w:vAlign w:val="bottom"/>
          </w:tcPr>
          <w:p>
            <w:pPr>
              <w:spacing w:after="0"/>
              <w:rPr>
                <w:sz w:val="20"/>
                <w:szCs w:val="20"/>
                <w:color w:val="auto"/>
              </w:rPr>
            </w:pPr>
            <w:r>
              <w:rPr>
                <w:rFonts w:ascii="Arial" w:cs="Arial" w:eastAsia="Arial" w:hAnsi="Arial"/>
                <w:sz w:val="7"/>
                <w:szCs w:val="7"/>
                <w:b w:val="1"/>
                <w:bCs w:val="1"/>
                <w:color w:val="auto"/>
                <w:w w:val="98"/>
              </w:rPr>
              <w:t>Amount</w:t>
            </w:r>
          </w:p>
        </w:tc>
        <w:tc>
          <w:tcPr>
            <w:tcW w:w="60" w:type="dxa"/>
            <w:vAlign w:val="bottom"/>
          </w:tcPr>
          <w:p>
            <w:pPr>
              <w:spacing w:after="0"/>
              <w:rPr>
                <w:sz w:val="7"/>
                <w:szCs w:val="7"/>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7"/>
                <w:szCs w:val="7"/>
                <w:b w:val="1"/>
                <w:bCs w:val="1"/>
                <w:color w:val="auto"/>
              </w:rPr>
              <w:t>Shares</w:t>
            </w:r>
          </w:p>
        </w:tc>
        <w:tc>
          <w:tcPr>
            <w:tcW w:w="36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420" w:type="dxa"/>
            <w:vAlign w:val="bottom"/>
          </w:tcPr>
          <w:p>
            <w:pPr>
              <w:ind w:left="8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ind w:left="40"/>
              <w:spacing w:after="0"/>
              <w:rPr>
                <w:sz w:val="20"/>
                <w:szCs w:val="20"/>
                <w:color w:val="auto"/>
              </w:rPr>
            </w:pPr>
            <w:r>
              <w:rPr>
                <w:rFonts w:ascii="Arial" w:cs="Arial" w:eastAsia="Arial" w:hAnsi="Arial"/>
                <w:sz w:val="7"/>
                <w:szCs w:val="7"/>
                <w:b w:val="1"/>
                <w:bCs w:val="1"/>
                <w:color w:val="auto"/>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2"/>
          </w:tcPr>
          <w:p>
            <w:pPr>
              <w:ind w:left="40"/>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rPr>
              <w:t>Amount</w:t>
            </w:r>
          </w:p>
        </w:tc>
        <w:tc>
          <w:tcPr>
            <w:tcW w:w="42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tcBorders>
              <w:right w:val="single" w:sz="8" w:color="auto"/>
            </w:tcBorders>
          </w:tcPr>
          <w:p>
            <w:pPr>
              <w:jc w:val="center"/>
              <w:ind w:right="16"/>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46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2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w w:val="94"/>
              </w:rPr>
              <w:t>Capital</w:t>
            </w:r>
          </w:p>
        </w:tc>
        <w:tc>
          <w:tcPr>
            <w:tcW w:w="100" w:type="dxa"/>
            <w:vAlign w:val="bottom"/>
          </w:tcPr>
          <w:p>
            <w:pPr>
              <w:spacing w:after="0"/>
              <w:rPr>
                <w:sz w:val="7"/>
                <w:szCs w:val="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7"/>
                <w:szCs w:val="7"/>
                <w:b w:val="1"/>
                <w:bCs w:val="1"/>
                <w:color w:val="auto"/>
              </w:rPr>
              <w:t>Income</w:t>
            </w:r>
          </w:p>
        </w:tc>
        <w:tc>
          <w:tcPr>
            <w:tcW w:w="80" w:type="dxa"/>
            <w:vAlign w:val="bottom"/>
          </w:tcPr>
          <w:p>
            <w:pPr>
              <w:spacing w:after="0"/>
              <w:rPr>
                <w:sz w:val="7"/>
                <w:szCs w:val="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40" w:type="dxa"/>
            <w:vAlign w:val="bottom"/>
            <w:tcBorders>
              <w:top w:val="single" w:sz="8" w:color="CCEEFF"/>
            </w:tcBorders>
            <w:shd w:val="clear" w:color="auto" w:fill="CCEEFF"/>
          </w:tcPr>
          <w:p>
            <w:pPr>
              <w:spacing w:after="0" w:line="74" w:lineRule="exact"/>
              <w:rPr>
                <w:sz w:val="20"/>
                <w:szCs w:val="20"/>
                <w:color w:val="auto"/>
              </w:rPr>
            </w:pPr>
            <w:r>
              <w:rPr>
                <w:rFonts w:ascii="Arial" w:cs="Arial" w:eastAsia="Arial" w:hAnsi="Arial"/>
                <w:sz w:val="8"/>
                <w:szCs w:val="8"/>
                <w:color w:val="auto"/>
              </w:rPr>
              <w:t>Balance, December</w:t>
            </w: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gridSpan w:val="2"/>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right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280" w:type="dxa"/>
            <w:vAlign w:val="bottom"/>
            <w:tcBorders>
              <w:top w:val="single" w:sz="8" w:color="auto"/>
            </w:tcBorders>
            <w:gridSpan w:val="2"/>
            <w:shd w:val="clear" w:color="auto" w:fill="CCEEFF"/>
          </w:tcPr>
          <w:p>
            <w:pPr>
              <w:spacing w:after="0"/>
              <w:rPr>
                <w:sz w:val="6"/>
                <w:szCs w:val="6"/>
                <w:color w:val="auto"/>
              </w:rPr>
            </w:pPr>
          </w:p>
        </w:tc>
        <w:tc>
          <w:tcPr>
            <w:tcW w:w="60" w:type="dxa"/>
            <w:vAlign w:val="bottom"/>
            <w:tcBorders>
              <w:top w:val="single" w:sz="8" w:color="CCEEFF"/>
            </w:tcBorders>
            <w:gridSpan w:val="2"/>
            <w:shd w:val="clear" w:color="auto" w:fill="CCEEFF"/>
          </w:tcPr>
          <w:p>
            <w:pPr>
              <w:spacing w:after="0"/>
              <w:rPr>
                <w:sz w:val="6"/>
                <w:szCs w:val="6"/>
                <w:color w:val="auto"/>
              </w:rPr>
            </w:pPr>
          </w:p>
        </w:tc>
        <w:tc>
          <w:tcPr>
            <w:tcW w:w="36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tcBorders>
            <w:gridSpan w:val="2"/>
            <w:shd w:val="clear" w:color="auto" w:fill="CCEEFF"/>
          </w:tcPr>
          <w:p>
            <w:pPr>
              <w:spacing w:after="0"/>
              <w:rPr>
                <w:sz w:val="6"/>
                <w:szCs w:val="6"/>
                <w:color w:val="auto"/>
              </w:rPr>
            </w:pPr>
          </w:p>
        </w:tc>
        <w:tc>
          <w:tcPr>
            <w:tcW w:w="48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31, 2019</w:t>
            </w:r>
          </w:p>
        </w:tc>
        <w:tc>
          <w:tcPr>
            <w:tcW w:w="440" w:type="dxa"/>
            <w:vAlign w:val="bottom"/>
            <w:shd w:val="clear" w:color="auto" w:fill="CCEEFF"/>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shd w:val="clear" w:color="auto" w:fill="CCEEFF"/>
          </w:tcPr>
          <w:p>
            <w:pPr>
              <w:ind w:left="60"/>
              <w:spacing w:after="0" w:line="94" w:lineRule="exact"/>
              <w:rPr>
                <w:sz w:val="20"/>
                <w:szCs w:val="20"/>
                <w:color w:val="auto"/>
              </w:rPr>
            </w:pPr>
            <w:r>
              <w:rPr>
                <w:rFonts w:ascii="Arial" w:cs="Arial" w:eastAsia="Arial" w:hAnsi="Arial"/>
                <w:sz w:val="9"/>
                <w:szCs w:val="9"/>
                <w:color w:val="auto"/>
              </w:rPr>
              <w:t>$4,200</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94"/>
              </w:rPr>
              <w:t>$2,998</w:t>
            </w:r>
          </w:p>
        </w:tc>
        <w:tc>
          <w:tcPr>
            <w:tcW w:w="560" w:type="dxa"/>
            <w:vAlign w:val="bottom"/>
            <w:gridSpan w:val="3"/>
            <w:shd w:val="clear" w:color="auto" w:fill="CCEEFF"/>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$8,704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6,957</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$ 18,612</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$ 24,756</w:t>
            </w:r>
          </w:p>
        </w:tc>
        <w:tc>
          <w:tcPr>
            <w:tcW w:w="46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shd w:val="clear" w:color="auto" w:fill="CCEEFF"/>
          </w:tcPr>
          <w:p>
            <w:pPr>
              <w:jc w:val="center"/>
              <w:ind w:right="40"/>
              <w:spacing w:after="0" w:line="94" w:lineRule="exact"/>
              <w:rPr>
                <w:sz w:val="20"/>
                <w:szCs w:val="20"/>
                <w:color w:val="auto"/>
              </w:rPr>
            </w:pPr>
            <w:r>
              <w:rPr>
                <w:rFonts w:ascii="Arial" w:cs="Arial" w:eastAsia="Arial" w:hAnsi="Arial"/>
                <w:sz w:val="9"/>
                <w:szCs w:val="9"/>
                <w:color w:val="auto"/>
                <w:w w:val="91"/>
              </w:rPr>
              <w:t>$ 54,929</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7,289,571</w:t>
            </w:r>
          </w:p>
        </w:tc>
        <w:tc>
          <w:tcPr>
            <w:tcW w:w="2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00"/>
              <w:spacing w:after="0" w:line="94" w:lineRule="exact"/>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4,512</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(77,609)</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(73,097)</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Exercise of common</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ind w:left="80"/>
              <w:spacing w:after="0" w:line="94" w:lineRule="exact"/>
              <w:rPr>
                <w:sz w:val="20"/>
                <w:szCs w:val="20"/>
                <w:color w:val="auto"/>
              </w:rPr>
            </w:pPr>
            <w:r>
              <w:rPr>
                <w:rFonts w:ascii="Arial" w:cs="Arial" w:eastAsia="Arial" w:hAnsi="Arial"/>
                <w:sz w:val="9"/>
                <w:szCs w:val="9"/>
                <w:color w:val="auto"/>
              </w:rPr>
              <w:t>stock options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169,212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95</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95</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Stock based</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148</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148</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Comprehensive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income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Foreign</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currency</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translation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(49)</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(49)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4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(8,607)</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(8,607)</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Total comprehensive</w:t>
            </w:r>
          </w:p>
        </w:tc>
        <w:tc>
          <w:tcPr>
            <w:tcW w:w="2500" w:type="dxa"/>
            <w:vAlign w:val="bottom"/>
            <w:gridSpan w:val="18"/>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loss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(8,656)</w:t>
            </w:r>
          </w:p>
        </w:tc>
        <w:tc>
          <w:tcPr>
            <w:tcW w:w="0" w:type="dxa"/>
            <w:vAlign w:val="bottom"/>
          </w:tcPr>
          <w:p>
            <w:pPr>
              <w:spacing w:after="0"/>
              <w:rPr>
                <w:sz w:val="1"/>
                <w:szCs w:val="1"/>
                <w:color w:val="auto"/>
              </w:rPr>
            </w:pPr>
          </w:p>
        </w:tc>
      </w:tr>
      <w:tr>
        <w:trPr>
          <w:trHeight w:val="100"/>
        </w:trPr>
        <w:tc>
          <w:tcPr>
            <w:tcW w:w="860" w:type="dxa"/>
            <w:vAlign w:val="bottom"/>
            <w:gridSpan w:val="2"/>
          </w:tcPr>
          <w:p>
            <w:pPr>
              <w:spacing w:after="0" w:line="100" w:lineRule="exact"/>
              <w:rPr>
                <w:sz w:val="20"/>
                <w:szCs w:val="20"/>
                <w:color w:val="auto"/>
              </w:rPr>
            </w:pPr>
            <w:r>
              <w:rPr>
                <w:rFonts w:ascii="Arial" w:cs="Arial" w:eastAsia="Arial" w:hAnsi="Arial"/>
                <w:sz w:val="9"/>
                <w:szCs w:val="9"/>
                <w:color w:val="auto"/>
              </w:rPr>
              <w:t>Balance, March 31,</w:t>
            </w: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2020</w:t>
            </w:r>
          </w:p>
        </w:tc>
        <w:tc>
          <w:tcPr>
            <w:tcW w:w="440" w:type="dxa"/>
            <w:vAlign w:val="bottom"/>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ind w:left="6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4,200</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tcPr>
          <w:p>
            <w:pPr>
              <w:spacing w:after="0" w:line="94" w:lineRule="exact"/>
              <w:rPr>
                <w:sz w:val="20"/>
                <w:szCs w:val="20"/>
                <w:color w:val="auto"/>
              </w:rPr>
            </w:pPr>
            <w:r>
              <w:rPr>
                <w:rFonts w:ascii="Arial" w:cs="Arial" w:eastAsia="Arial" w:hAnsi="Arial"/>
                <w:sz w:val="9"/>
                <w:szCs w:val="9"/>
                <w:u w:val="single" w:color="auto"/>
                <w:color w:val="auto"/>
                <w:w w:val="94"/>
              </w:rPr>
              <w:t>$</w:t>
            </w:r>
            <w:r>
              <w:rPr>
                <w:rFonts w:ascii="Arial" w:cs="Arial" w:eastAsia="Arial" w:hAnsi="Arial"/>
                <w:sz w:val="9"/>
                <w:szCs w:val="9"/>
                <w:color w:val="auto"/>
                <w:w w:val="94"/>
              </w:rPr>
              <w:t>2,998</w:t>
            </w:r>
          </w:p>
        </w:tc>
        <w:tc>
          <w:tcPr>
            <w:tcW w:w="560" w:type="dxa"/>
            <w:vAlign w:val="bottom"/>
            <w:gridSpan w:val="3"/>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tcPr>
          <w:p>
            <w:pPr>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8,704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tcPr>
          <w:p>
            <w:pPr>
              <w:jc w:val="right"/>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94" w:lineRule="exact"/>
              <w:rPr>
                <w:sz w:val="20"/>
                <w:szCs w:val="20"/>
                <w:color w:val="auto"/>
              </w:rPr>
            </w:pPr>
            <w:r>
              <w:rPr>
                <w:rFonts w:ascii="Arial" w:cs="Arial" w:eastAsia="Arial" w:hAnsi="Arial"/>
                <w:sz w:val="9"/>
                <w:szCs w:val="9"/>
                <w:color w:val="auto"/>
              </w:rPr>
              <w:t>6,957</w:t>
            </w:r>
          </w:p>
        </w:tc>
        <w:tc>
          <w:tcPr>
            <w:tcW w:w="60" w:type="dxa"/>
            <w:vAlign w:val="bottom"/>
          </w:tcPr>
          <w:p>
            <w:pPr>
              <w:spacing w:after="0"/>
              <w:rPr>
                <w:sz w:val="8"/>
                <w:szCs w:val="8"/>
                <w:color w:val="auto"/>
              </w:rPr>
            </w:pP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$ 18,612</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$ 24,756</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tcPr>
          <w:p>
            <w:pPr>
              <w:jc w:val="center"/>
              <w:ind w:right="40"/>
              <w:spacing w:after="0" w:line="94" w:lineRule="exact"/>
              <w:rPr>
                <w:sz w:val="20"/>
                <w:szCs w:val="20"/>
                <w:color w:val="auto"/>
              </w:rPr>
            </w:pPr>
            <w:r>
              <w:rPr>
                <w:rFonts w:ascii="Arial" w:cs="Arial" w:eastAsia="Arial" w:hAnsi="Arial"/>
                <w:sz w:val="9"/>
                <w:szCs w:val="9"/>
                <w:color w:val="auto"/>
                <w:w w:val="91"/>
              </w:rPr>
              <w:t>$ 54,929</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7,458,783</w:t>
            </w:r>
          </w:p>
        </w:tc>
        <w:tc>
          <w:tcPr>
            <w:tcW w:w="20" w:type="dxa"/>
            <w:vAlign w:val="bottom"/>
          </w:tcPr>
          <w:p>
            <w:pPr>
              <w:spacing w:after="0"/>
              <w:rPr>
                <w:sz w:val="8"/>
                <w:szCs w:val="8"/>
                <w:color w:val="auto"/>
              </w:rPr>
            </w:pPr>
          </w:p>
        </w:tc>
        <w:tc>
          <w:tcPr>
            <w:tcW w:w="14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tcPr>
          <w:p>
            <w:pPr>
              <w:ind w:left="1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4,755</w:t>
            </w:r>
          </w:p>
        </w:tc>
        <w:tc>
          <w:tcPr>
            <w:tcW w:w="100" w:type="dxa"/>
            <w:vAlign w:val="bottom"/>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(49)</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(86,216)</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(81,510)</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Balance, December</w:t>
            </w:r>
          </w:p>
        </w:tc>
        <w:tc>
          <w:tcPr>
            <w:tcW w:w="3060" w:type="dxa"/>
            <w:vAlign w:val="bottom"/>
            <w:gridSpan w:val="21"/>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31, 2020</w:t>
            </w:r>
          </w:p>
        </w:tc>
        <w:tc>
          <w:tcPr>
            <w:tcW w:w="440" w:type="dxa"/>
            <w:vAlign w:val="bottom"/>
            <w:shd w:val="clear" w:color="auto" w:fill="CCEEFF"/>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shd w:val="clear" w:color="auto" w:fill="CCEEFF"/>
          </w:tcPr>
          <w:p>
            <w:pPr>
              <w:ind w:left="60"/>
              <w:spacing w:after="0" w:line="94" w:lineRule="exact"/>
              <w:rPr>
                <w:sz w:val="20"/>
                <w:szCs w:val="20"/>
                <w:color w:val="auto"/>
              </w:rPr>
            </w:pPr>
            <w:r>
              <w:rPr>
                <w:rFonts w:ascii="Arial" w:cs="Arial" w:eastAsia="Arial" w:hAnsi="Arial"/>
                <w:sz w:val="9"/>
                <w:szCs w:val="9"/>
                <w:color w:val="auto"/>
              </w:rPr>
              <w:t>$4,200</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w w:val="94"/>
              </w:rPr>
              <w:t>$2,998</w:t>
            </w:r>
          </w:p>
        </w:tc>
        <w:tc>
          <w:tcPr>
            <w:tcW w:w="560" w:type="dxa"/>
            <w:vAlign w:val="bottom"/>
            <w:gridSpan w:val="3"/>
            <w:shd w:val="clear" w:color="auto" w:fill="CCEEFF"/>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$8,704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9"/>
                <w:szCs w:val="9"/>
                <w:color w:val="auto"/>
                <w:w w:val="94"/>
              </w:rPr>
              <w:t>12,839</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$ 20,347</w:t>
            </w:r>
          </w:p>
        </w:tc>
        <w:tc>
          <w:tcPr>
            <w:tcW w:w="50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$ 26,004</w:t>
            </w:r>
          </w:p>
        </w:tc>
        <w:tc>
          <w:tcPr>
            <w:tcW w:w="46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shd w:val="clear" w:color="auto" w:fill="CCEEFF"/>
          </w:tcPr>
          <w:p>
            <w:pPr>
              <w:jc w:val="center"/>
              <w:ind w:right="40"/>
              <w:spacing w:after="0" w:line="94" w:lineRule="exact"/>
              <w:rPr>
                <w:sz w:val="20"/>
                <w:szCs w:val="20"/>
                <w:color w:val="auto"/>
              </w:rPr>
            </w:pPr>
            <w:r>
              <w:rPr>
                <w:rFonts w:ascii="Arial" w:cs="Arial" w:eastAsia="Arial" w:hAnsi="Arial"/>
                <w:sz w:val="9"/>
                <w:szCs w:val="9"/>
                <w:color w:val="auto"/>
                <w:w w:val="91"/>
              </w:rPr>
              <w:t>$ 54,864</w:t>
            </w:r>
          </w:p>
        </w:tc>
        <w:tc>
          <w:tcPr>
            <w:tcW w:w="420" w:type="dxa"/>
            <w:vAlign w:val="bottom"/>
            <w:shd w:val="clear" w:color="auto" w:fill="CCEEFF"/>
          </w:tcPr>
          <w:p>
            <w:pPr>
              <w:ind w:left="20"/>
              <w:spacing w:after="0" w:line="94" w:lineRule="exact"/>
              <w:rPr>
                <w:sz w:val="20"/>
                <w:szCs w:val="20"/>
                <w:color w:val="auto"/>
              </w:rPr>
            </w:pPr>
            <w:r>
              <w:rPr>
                <w:rFonts w:ascii="Arial" w:cs="Arial" w:eastAsia="Arial" w:hAnsi="Arial"/>
                <w:sz w:val="9"/>
                <w:szCs w:val="9"/>
                <w:color w:val="auto"/>
                <w:w w:val="94"/>
              </w:rPr>
              <w:t>2,275,759</w:t>
            </w:r>
          </w:p>
        </w:tc>
        <w:tc>
          <w:tcPr>
            <w:tcW w:w="460" w:type="dxa"/>
            <w:vAlign w:val="bottom"/>
            <w:tcBorders>
              <w:right w:val="single" w:sz="8" w:color="auto"/>
            </w:tcBorders>
            <w:gridSpan w:val="2"/>
            <w:shd w:val="clear" w:color="auto" w:fill="CCEEFF"/>
          </w:tcPr>
          <w:p>
            <w:pPr>
              <w:jc w:val="center"/>
              <w:spacing w:after="0" w:line="94" w:lineRule="exact"/>
              <w:rPr>
                <w:sz w:val="20"/>
                <w:szCs w:val="20"/>
                <w:color w:val="auto"/>
              </w:rPr>
            </w:pPr>
            <w:r>
              <w:rPr>
                <w:rFonts w:ascii="Arial" w:cs="Arial" w:eastAsia="Arial" w:hAnsi="Arial"/>
                <w:sz w:val="9"/>
                <w:szCs w:val="9"/>
                <w:color w:val="auto"/>
                <w:w w:val="91"/>
              </w:rPr>
              <w:t>$ 30,757</w:t>
            </w: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7,755,782</w:t>
            </w:r>
          </w:p>
        </w:tc>
        <w:tc>
          <w:tcPr>
            <w:tcW w:w="2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00"/>
              <w:spacing w:after="0" w:line="94" w:lineRule="exact"/>
              <w:rPr>
                <w:sz w:val="20"/>
                <w:szCs w:val="20"/>
                <w:color w:val="auto"/>
              </w:rPr>
            </w:pPr>
            <w:r>
              <w:rPr>
                <w:rFonts w:ascii="Arial" w:cs="Arial" w:eastAsia="Arial" w:hAnsi="Arial"/>
                <w:sz w:val="9"/>
                <w:szCs w:val="9"/>
                <w:color w:val="auto"/>
              </w:rPr>
              <w:t>—</w:t>
            </w:r>
          </w:p>
        </w:tc>
        <w:tc>
          <w:tcPr>
            <w:tcW w:w="80" w:type="dxa"/>
            <w:vAlign w:val="bottom"/>
            <w:gridSpan w:val="2"/>
            <w:shd w:val="clear" w:color="auto" w:fill="CCEEFF"/>
          </w:tcPr>
          <w:p>
            <w:pPr>
              <w:ind w:left="20"/>
              <w:spacing w:after="0" w:line="94" w:lineRule="exact"/>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503</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210</w:t>
            </w: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w w:val="98"/>
              </w:rPr>
              <w:t>(111,962)</w:t>
            </w:r>
          </w:p>
        </w:tc>
        <w:tc>
          <w:tcPr>
            <w:tcW w:w="1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(111,249)</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Exercise of common</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ind w:left="80"/>
              <w:spacing w:after="0" w:line="94" w:lineRule="exact"/>
              <w:rPr>
                <w:sz w:val="20"/>
                <w:szCs w:val="20"/>
                <w:color w:val="auto"/>
              </w:rPr>
            </w:pPr>
            <w:r>
              <w:rPr>
                <w:rFonts w:ascii="Arial" w:cs="Arial" w:eastAsia="Arial" w:hAnsi="Arial"/>
                <w:sz w:val="9"/>
                <w:szCs w:val="9"/>
                <w:color w:val="auto"/>
              </w:rPr>
              <w:t>stock options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jc w:val="right"/>
              <w:ind w:right="20"/>
              <w:spacing w:after="0" w:line="94" w:lineRule="exact"/>
              <w:rPr>
                <w:sz w:val="20"/>
                <w:szCs w:val="20"/>
                <w:color w:val="auto"/>
              </w:rPr>
            </w:pPr>
            <w:r>
              <w:rPr>
                <w:rFonts w:ascii="Arial" w:cs="Arial" w:eastAsia="Arial" w:hAnsi="Arial"/>
                <w:sz w:val="9"/>
                <w:szCs w:val="9"/>
                <w:color w:val="auto"/>
              </w:rPr>
              <w:t>483,712</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846</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846</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Stock based</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compensation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505</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505</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Comprehensive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income</w:t>
            </w:r>
          </w:p>
        </w:tc>
        <w:tc>
          <w:tcPr>
            <w:tcW w:w="3060" w:type="dxa"/>
            <w:vAlign w:val="bottom"/>
            <w:gridSpan w:val="21"/>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Foreign</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currency</w:t>
            </w:r>
          </w:p>
        </w:tc>
        <w:tc>
          <w:tcPr>
            <w:tcW w:w="3060" w:type="dxa"/>
            <w:vAlign w:val="bottom"/>
            <w:gridSpan w:val="21"/>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translation</w:t>
            </w:r>
          </w:p>
        </w:tc>
        <w:tc>
          <w:tcPr>
            <w:tcW w:w="440" w:type="dxa"/>
            <w:vAlign w:val="bottom"/>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30</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4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40" w:type="dxa"/>
            <w:vAlign w:val="bottom"/>
          </w:tcPr>
          <w:p>
            <w:pPr>
              <w:ind w:left="30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360" w:type="dxa"/>
            <w:vAlign w:val="bottom"/>
            <w:gridSpan w:val="2"/>
          </w:tcPr>
          <w:p>
            <w:pPr>
              <w:ind w:left="14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0" w:type="dxa"/>
            <w:vAlign w:val="bottom"/>
            <w:gridSpan w:val="2"/>
          </w:tcPr>
          <w:p>
            <w:pPr>
              <w:ind w:left="200"/>
              <w:spacing w:after="0" w:line="94" w:lineRule="exact"/>
              <w:rPr>
                <w:sz w:val="20"/>
                <w:szCs w:val="20"/>
                <w:color w:val="auto"/>
              </w:rPr>
            </w:pPr>
            <w:r>
              <w:rPr>
                <w:rFonts w:ascii="Arial" w:cs="Arial" w:eastAsia="Arial" w:hAnsi="Arial"/>
                <w:sz w:val="9"/>
                <w:szCs w:val="9"/>
                <w:color w:val="auto"/>
              </w:rPr>
              <w:t>—</w:t>
            </w:r>
          </w:p>
        </w:tc>
        <w:tc>
          <w:tcPr>
            <w:tcW w:w="420" w:type="dxa"/>
            <w:vAlign w:val="bottom"/>
          </w:tcPr>
          <w:p>
            <w:pPr>
              <w:ind w:left="28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tcBorders>
              <w:right w:val="single" w:sz="8" w:color="auto"/>
            </w:tcBorders>
          </w:tcPr>
          <w:p>
            <w:pPr>
              <w:ind w:left="18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60" w:type="dxa"/>
            <w:vAlign w:val="bottom"/>
            <w:gridSpan w:val="2"/>
          </w:tcPr>
          <w:p>
            <w:pPr>
              <w:ind w:left="30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(10,501)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(10,501)</w:t>
            </w:r>
          </w:p>
        </w:tc>
        <w:tc>
          <w:tcPr>
            <w:tcW w:w="0" w:type="dxa"/>
            <w:vAlign w:val="bottom"/>
          </w:tcPr>
          <w:p>
            <w:pPr>
              <w:spacing w:after="0"/>
              <w:rPr>
                <w:sz w:val="1"/>
                <w:szCs w:val="1"/>
                <w:color w:val="auto"/>
              </w:rPr>
            </w:pPr>
          </w:p>
        </w:tc>
      </w:tr>
      <w:tr>
        <w:trPr>
          <w:trHeight w:val="93"/>
        </w:trPr>
        <w:tc>
          <w:tcPr>
            <w:tcW w:w="7860" w:type="dxa"/>
            <w:vAlign w:val="bottom"/>
            <w:tcBorders>
              <w:right w:val="single" w:sz="8" w:color="auto"/>
            </w:tcBorders>
            <w:gridSpan w:val="35"/>
          </w:tcPr>
          <w:p>
            <w:pPr>
              <w:spacing w:after="0"/>
              <w:rPr>
                <w:sz w:val="20"/>
                <w:szCs w:val="20"/>
                <w:color w:val="auto"/>
              </w:rPr>
            </w:pPr>
            <w:r>
              <w:rPr>
                <w:rFonts w:ascii="Arial" w:cs="Arial" w:eastAsia="Arial" w:hAnsi="Arial"/>
                <w:sz w:val="9"/>
                <w:szCs w:val="9"/>
                <w:color w:val="auto"/>
              </w:rPr>
              <w:t>Total comprehensive</w:t>
            </w:r>
          </w:p>
        </w:tc>
        <w:tc>
          <w:tcPr>
            <w:tcW w:w="2500" w:type="dxa"/>
            <w:vAlign w:val="bottom"/>
            <w:gridSpan w:val="18"/>
            <w:shd w:val="clear" w:color="auto" w:fill="CCEEFF"/>
          </w:tcPr>
          <w:p>
            <w:pPr>
              <w:spacing w:after="0"/>
              <w:rPr>
                <w:sz w:val="8"/>
                <w:szCs w:val="8"/>
                <w:color w:val="auto"/>
              </w:rPr>
            </w:pPr>
          </w:p>
        </w:tc>
        <w:tc>
          <w:tcPr>
            <w:tcW w:w="480" w:type="dxa"/>
            <w:vAlign w:val="bottom"/>
            <w:tcBorders>
              <w:top w:val="single" w:sz="8" w:color="auto"/>
            </w:tcBorders>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shd w:val="clear" w:color="auto" w:fill="CCEEFF"/>
          </w:tcPr>
          <w:p>
            <w:pPr>
              <w:ind w:left="80"/>
              <w:spacing w:after="0" w:line="94" w:lineRule="exact"/>
              <w:rPr>
                <w:sz w:val="20"/>
                <w:szCs w:val="20"/>
                <w:color w:val="auto"/>
              </w:rPr>
            </w:pPr>
            <w:r>
              <w:rPr>
                <w:rFonts w:ascii="Arial" w:cs="Arial" w:eastAsia="Arial" w:hAnsi="Arial"/>
                <w:sz w:val="9"/>
                <w:szCs w:val="9"/>
                <w:color w:val="auto"/>
              </w:rPr>
              <w:t>loss</w:t>
            </w: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(10,471)</w:t>
            </w:r>
          </w:p>
        </w:tc>
        <w:tc>
          <w:tcPr>
            <w:tcW w:w="0" w:type="dxa"/>
            <w:vAlign w:val="bottom"/>
          </w:tcPr>
          <w:p>
            <w:pPr>
              <w:spacing w:after="0"/>
              <w:rPr>
                <w:sz w:val="1"/>
                <w:szCs w:val="1"/>
                <w:color w:val="auto"/>
              </w:rPr>
            </w:pPr>
          </w:p>
        </w:tc>
      </w:tr>
      <w:tr>
        <w:trPr>
          <w:trHeight w:val="100"/>
        </w:trPr>
        <w:tc>
          <w:tcPr>
            <w:tcW w:w="860" w:type="dxa"/>
            <w:vAlign w:val="bottom"/>
            <w:gridSpan w:val="2"/>
          </w:tcPr>
          <w:p>
            <w:pPr>
              <w:spacing w:after="0" w:line="100" w:lineRule="exact"/>
              <w:rPr>
                <w:sz w:val="20"/>
                <w:szCs w:val="20"/>
                <w:color w:val="auto"/>
              </w:rPr>
            </w:pPr>
            <w:r>
              <w:rPr>
                <w:rFonts w:ascii="Arial" w:cs="Arial" w:eastAsia="Arial" w:hAnsi="Arial"/>
                <w:sz w:val="9"/>
                <w:szCs w:val="9"/>
                <w:color w:val="auto"/>
              </w:rPr>
              <w:t>Balance, March 31,</w:t>
            </w: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gridSpan w:val="2"/>
          </w:tcPr>
          <w:p>
            <w:pPr>
              <w:ind w:left="100"/>
              <w:spacing w:after="0" w:line="94" w:lineRule="exact"/>
              <w:rPr>
                <w:sz w:val="20"/>
                <w:szCs w:val="20"/>
                <w:color w:val="auto"/>
              </w:rPr>
            </w:pPr>
            <w:r>
              <w:rPr>
                <w:rFonts w:ascii="Arial" w:cs="Arial" w:eastAsia="Arial" w:hAnsi="Arial"/>
                <w:sz w:val="9"/>
                <w:szCs w:val="9"/>
                <w:color w:val="auto"/>
              </w:rPr>
              <w:t>2021</w:t>
            </w:r>
          </w:p>
        </w:tc>
        <w:tc>
          <w:tcPr>
            <w:tcW w:w="440" w:type="dxa"/>
            <w:vAlign w:val="bottom"/>
          </w:tcPr>
          <w:p>
            <w:pPr>
              <w:ind w:left="40"/>
              <w:spacing w:after="0" w:line="94" w:lineRule="exact"/>
              <w:rPr>
                <w:sz w:val="20"/>
                <w:szCs w:val="20"/>
                <w:color w:val="auto"/>
              </w:rPr>
            </w:pPr>
            <w:r>
              <w:rPr>
                <w:rFonts w:ascii="Arial" w:cs="Arial" w:eastAsia="Arial" w:hAnsi="Arial"/>
                <w:sz w:val="9"/>
                <w:szCs w:val="9"/>
                <w:color w:val="auto"/>
                <w:w w:val="94"/>
              </w:rPr>
              <w:t>4,200,000</w:t>
            </w:r>
          </w:p>
        </w:tc>
        <w:tc>
          <w:tcPr>
            <w:tcW w:w="400" w:type="dxa"/>
            <w:vAlign w:val="bottom"/>
            <w:gridSpan w:val="3"/>
          </w:tcPr>
          <w:p>
            <w:pPr>
              <w:ind w:left="60"/>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4,200</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2,188,322</w:t>
            </w:r>
          </w:p>
        </w:tc>
        <w:tc>
          <w:tcPr>
            <w:tcW w:w="280" w:type="dxa"/>
            <w:vAlign w:val="bottom"/>
          </w:tcPr>
          <w:p>
            <w:pPr>
              <w:spacing w:after="0" w:line="94" w:lineRule="exact"/>
              <w:rPr>
                <w:sz w:val="20"/>
                <w:szCs w:val="20"/>
                <w:color w:val="auto"/>
              </w:rPr>
            </w:pPr>
            <w:r>
              <w:rPr>
                <w:rFonts w:ascii="Arial" w:cs="Arial" w:eastAsia="Arial" w:hAnsi="Arial"/>
                <w:sz w:val="9"/>
                <w:szCs w:val="9"/>
                <w:u w:val="single" w:color="auto"/>
                <w:color w:val="auto"/>
                <w:w w:val="94"/>
              </w:rPr>
              <w:t>$</w:t>
            </w:r>
            <w:r>
              <w:rPr>
                <w:rFonts w:ascii="Arial" w:cs="Arial" w:eastAsia="Arial" w:hAnsi="Arial"/>
                <w:sz w:val="9"/>
                <w:szCs w:val="9"/>
                <w:color w:val="auto"/>
                <w:w w:val="94"/>
              </w:rPr>
              <w:t>2,998</w:t>
            </w:r>
          </w:p>
        </w:tc>
        <w:tc>
          <w:tcPr>
            <w:tcW w:w="560" w:type="dxa"/>
            <w:vAlign w:val="bottom"/>
            <w:gridSpan w:val="3"/>
          </w:tcPr>
          <w:p>
            <w:pPr>
              <w:jc w:val="center"/>
              <w:spacing w:after="0" w:line="94" w:lineRule="exact"/>
              <w:rPr>
                <w:sz w:val="20"/>
                <w:szCs w:val="20"/>
                <w:color w:val="auto"/>
              </w:rPr>
            </w:pPr>
            <w:r>
              <w:rPr>
                <w:rFonts w:ascii="Arial" w:cs="Arial" w:eastAsia="Arial" w:hAnsi="Arial"/>
                <w:sz w:val="9"/>
                <w:szCs w:val="9"/>
                <w:color w:val="auto"/>
                <w:w w:val="99"/>
              </w:rPr>
              <w:t>4,211,094</w:t>
            </w:r>
          </w:p>
        </w:tc>
        <w:tc>
          <w:tcPr>
            <w:tcW w:w="360" w:type="dxa"/>
            <w:vAlign w:val="bottom"/>
            <w:gridSpan w:val="2"/>
          </w:tcPr>
          <w:p>
            <w:pPr>
              <w:spacing w:after="0" w:line="94"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8,704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1,591,230</w:t>
            </w:r>
          </w:p>
        </w:tc>
        <w:tc>
          <w:tcPr>
            <w:tcW w:w="120" w:type="dxa"/>
            <w:vAlign w:val="bottom"/>
            <w:gridSpan w:val="2"/>
          </w:tcPr>
          <w:p>
            <w:pPr>
              <w:jc w:val="right"/>
              <w:spacing w:after="0" w:line="94" w:lineRule="exact"/>
              <w:rPr>
                <w:sz w:val="20"/>
                <w:szCs w:val="20"/>
                <w:color w:val="auto"/>
              </w:rPr>
            </w:pPr>
            <w:r>
              <w:rPr>
                <w:rFonts w:ascii="Arial" w:cs="Arial" w:eastAsia="Arial" w:hAnsi="Arial"/>
                <w:sz w:val="9"/>
                <w:szCs w:val="9"/>
                <w:color w:val="auto"/>
              </w:rPr>
              <w:t>$</w:t>
            </w:r>
          </w:p>
        </w:tc>
        <w:tc>
          <w:tcPr>
            <w:tcW w:w="340" w:type="dxa"/>
            <w:vAlign w:val="bottom"/>
            <w:gridSpan w:val="2"/>
          </w:tcPr>
          <w:p>
            <w:pPr>
              <w:jc w:val="right"/>
              <w:ind w:right="60"/>
              <w:spacing w:after="0" w:line="94" w:lineRule="exact"/>
              <w:rPr>
                <w:sz w:val="20"/>
                <w:szCs w:val="20"/>
                <w:color w:val="auto"/>
              </w:rPr>
            </w:pPr>
            <w:r>
              <w:rPr>
                <w:rFonts w:ascii="Arial" w:cs="Arial" w:eastAsia="Arial" w:hAnsi="Arial"/>
                <w:sz w:val="9"/>
                <w:szCs w:val="9"/>
                <w:color w:val="auto"/>
                <w:w w:val="94"/>
              </w:rPr>
              <w:t>12,839</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4,044,271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$ 20,347</w:t>
            </w:r>
          </w:p>
        </w:tc>
        <w:tc>
          <w:tcPr>
            <w:tcW w:w="500" w:type="dxa"/>
            <w:vAlign w:val="bottom"/>
            <w:gridSpan w:val="2"/>
          </w:tcPr>
          <w:p>
            <w:pPr>
              <w:ind w:left="40"/>
              <w:spacing w:after="0" w:line="94" w:lineRule="exact"/>
              <w:rPr>
                <w:sz w:val="20"/>
                <w:szCs w:val="20"/>
                <w:color w:val="auto"/>
              </w:rPr>
            </w:pPr>
            <w:r>
              <w:rPr>
                <w:rFonts w:ascii="Arial" w:cs="Arial" w:eastAsia="Arial" w:hAnsi="Arial"/>
                <w:sz w:val="9"/>
                <w:szCs w:val="9"/>
                <w:color w:val="auto"/>
              </w:rPr>
              <w:t>3,754,201</w:t>
            </w:r>
          </w:p>
        </w:tc>
        <w:tc>
          <w:tcPr>
            <w:tcW w:w="400" w:type="dxa"/>
            <w:vAlign w:val="bottom"/>
            <w:gridSpan w:val="2"/>
          </w:tcPr>
          <w:p>
            <w:pPr>
              <w:spacing w:after="0" w:line="94" w:lineRule="exact"/>
              <w:rPr>
                <w:sz w:val="20"/>
                <w:szCs w:val="20"/>
                <w:color w:val="auto"/>
              </w:rPr>
            </w:pPr>
            <w:r>
              <w:rPr>
                <w:rFonts w:ascii="Arial" w:cs="Arial" w:eastAsia="Arial" w:hAnsi="Arial"/>
                <w:sz w:val="9"/>
                <w:szCs w:val="9"/>
                <w:color w:val="auto"/>
              </w:rPr>
              <w:t>$ 26,004</w:t>
            </w:r>
          </w:p>
        </w:tc>
        <w:tc>
          <w:tcPr>
            <w:tcW w:w="460" w:type="dxa"/>
            <w:vAlign w:val="bottom"/>
            <w:gridSpan w:val="2"/>
          </w:tcPr>
          <w:p>
            <w:pPr>
              <w:ind w:left="40"/>
              <w:spacing w:after="0" w:line="94" w:lineRule="exact"/>
              <w:rPr>
                <w:sz w:val="20"/>
                <w:szCs w:val="20"/>
                <w:color w:val="auto"/>
              </w:rPr>
            </w:pPr>
            <w:r>
              <w:rPr>
                <w:rFonts w:ascii="Arial" w:cs="Arial" w:eastAsia="Arial" w:hAnsi="Arial"/>
                <w:sz w:val="9"/>
                <w:szCs w:val="9"/>
                <w:color w:val="auto"/>
                <w:w w:val="99"/>
              </w:rPr>
              <w:t>5,494,064</w:t>
            </w:r>
          </w:p>
        </w:tc>
        <w:tc>
          <w:tcPr>
            <w:tcW w:w="440" w:type="dxa"/>
            <w:vAlign w:val="bottom"/>
            <w:gridSpan w:val="3"/>
          </w:tcPr>
          <w:p>
            <w:pPr>
              <w:jc w:val="center"/>
              <w:ind w:right="40"/>
              <w:spacing w:after="0" w:line="94" w:lineRule="exact"/>
              <w:rPr>
                <w:sz w:val="20"/>
                <w:szCs w:val="20"/>
                <w:color w:val="auto"/>
              </w:rPr>
            </w:pPr>
            <w:r>
              <w:rPr>
                <w:rFonts w:ascii="Arial" w:cs="Arial" w:eastAsia="Arial" w:hAnsi="Arial"/>
                <w:sz w:val="9"/>
                <w:szCs w:val="9"/>
                <w:color w:val="auto"/>
                <w:w w:val="91"/>
              </w:rPr>
              <w:t>$ 54,864</w:t>
            </w:r>
          </w:p>
        </w:tc>
        <w:tc>
          <w:tcPr>
            <w:tcW w:w="420" w:type="dxa"/>
            <w:vAlign w:val="bottom"/>
          </w:tcPr>
          <w:p>
            <w:pPr>
              <w:ind w:left="20"/>
              <w:spacing w:after="0" w:line="94" w:lineRule="exact"/>
              <w:rPr>
                <w:sz w:val="20"/>
                <w:szCs w:val="20"/>
                <w:color w:val="auto"/>
              </w:rPr>
            </w:pPr>
            <w:r>
              <w:rPr>
                <w:rFonts w:ascii="Arial" w:cs="Arial" w:eastAsia="Arial" w:hAnsi="Arial"/>
                <w:sz w:val="9"/>
                <w:szCs w:val="9"/>
                <w:color w:val="auto"/>
                <w:w w:val="94"/>
              </w:rPr>
              <w:t>2,275,759</w:t>
            </w:r>
          </w:p>
        </w:tc>
        <w:tc>
          <w:tcPr>
            <w:tcW w:w="460" w:type="dxa"/>
            <w:vAlign w:val="bottom"/>
            <w:tcBorders>
              <w:right w:val="single" w:sz="8" w:color="auto"/>
            </w:tcBorders>
            <w:gridSpan w:val="2"/>
          </w:tcPr>
          <w:p>
            <w:pPr>
              <w:jc w:val="center"/>
              <w:spacing w:after="0" w:line="94" w:lineRule="exact"/>
              <w:rPr>
                <w:sz w:val="20"/>
                <w:szCs w:val="20"/>
                <w:color w:val="auto"/>
              </w:rPr>
            </w:pPr>
            <w:r>
              <w:rPr>
                <w:rFonts w:ascii="Arial" w:cs="Arial" w:eastAsia="Arial" w:hAnsi="Arial"/>
                <w:sz w:val="9"/>
                <w:szCs w:val="9"/>
                <w:color w:val="auto"/>
                <w:w w:val="91"/>
              </w:rPr>
              <w:t>$ 30,757</w:t>
            </w:r>
          </w:p>
        </w:tc>
        <w:tc>
          <w:tcPr>
            <w:tcW w:w="20" w:type="dxa"/>
            <w:vAlign w:val="bottom"/>
          </w:tcPr>
          <w:p>
            <w:pPr>
              <w:spacing w:after="0"/>
              <w:rPr>
                <w:sz w:val="8"/>
                <w:szCs w:val="8"/>
                <w:color w:val="auto"/>
              </w:rPr>
            </w:pPr>
          </w:p>
        </w:tc>
        <w:tc>
          <w:tcPr>
            <w:tcW w:w="440" w:type="dxa"/>
            <w:vAlign w:val="bottom"/>
          </w:tcPr>
          <w:p>
            <w:pPr>
              <w:jc w:val="right"/>
              <w:spacing w:after="0" w:line="94" w:lineRule="exact"/>
              <w:rPr>
                <w:sz w:val="20"/>
                <w:szCs w:val="20"/>
                <w:color w:val="auto"/>
              </w:rPr>
            </w:pPr>
            <w:r>
              <w:rPr>
                <w:rFonts w:ascii="Arial" w:cs="Arial" w:eastAsia="Arial" w:hAnsi="Arial"/>
                <w:sz w:val="9"/>
                <w:szCs w:val="9"/>
                <w:color w:val="auto"/>
              </w:rPr>
              <w:t>8,239,494</w:t>
            </w:r>
          </w:p>
        </w:tc>
        <w:tc>
          <w:tcPr>
            <w:tcW w:w="20" w:type="dxa"/>
            <w:vAlign w:val="bottom"/>
          </w:tcPr>
          <w:p>
            <w:pPr>
              <w:spacing w:after="0"/>
              <w:rPr>
                <w:sz w:val="8"/>
                <w:szCs w:val="8"/>
                <w:color w:val="auto"/>
              </w:rPr>
            </w:pPr>
          </w:p>
        </w:tc>
        <w:tc>
          <w:tcPr>
            <w:tcW w:w="14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220" w:type="dxa"/>
            <w:vAlign w:val="bottom"/>
            <w:gridSpan w:val="2"/>
          </w:tcPr>
          <w:p>
            <w:pPr>
              <w:ind w:left="10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1,854</w:t>
            </w:r>
          </w:p>
        </w:tc>
        <w:tc>
          <w:tcPr>
            <w:tcW w:w="100" w:type="dxa"/>
            <w:vAlign w:val="bottom"/>
          </w:tcPr>
          <w:p>
            <w:pPr>
              <w:jc w:val="right"/>
              <w:ind w:right="35"/>
              <w:spacing w:after="0"/>
              <w:rPr>
                <w:sz w:val="20"/>
                <w:szCs w:val="20"/>
                <w:color w:val="auto"/>
              </w:rPr>
            </w:pPr>
            <w:r>
              <w:rPr>
                <w:rFonts w:ascii="Arial" w:cs="Arial" w:eastAsia="Arial" w:hAnsi="Arial"/>
                <w:sz w:val="4"/>
                <w:szCs w:val="4"/>
                <w:color w:val="auto"/>
                <w:w w:val="87"/>
              </w:rPr>
              <w:t>$</w:t>
            </w:r>
          </w:p>
        </w:tc>
        <w:tc>
          <w:tcPr>
            <w:tcW w:w="54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240</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w:t>
            </w: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w w:val="98"/>
              </w:rPr>
              <w:t>(122,463)</w:t>
            </w:r>
          </w:p>
        </w:tc>
        <w:tc>
          <w:tcPr>
            <w:tcW w:w="120" w:type="dxa"/>
            <w:vAlign w:val="bottom"/>
            <w:gridSpan w:val="2"/>
          </w:tcPr>
          <w:p>
            <w:pPr>
              <w:ind w:left="4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(120,369)</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jc w:val="center"/>
        <w:ind w:right="-159"/>
        <w:spacing w:after="0"/>
        <w:rPr>
          <w:sz w:val="20"/>
          <w:szCs w:val="20"/>
          <w:color w:val="auto"/>
        </w:rPr>
      </w:pPr>
      <w:r>
        <w:rPr>
          <w:rFonts w:ascii="Arial" w:cs="Arial" w:eastAsia="Arial" w:hAnsi="Arial"/>
          <w:sz w:val="18"/>
          <w:szCs w:val="18"/>
          <w:color w:val="auto"/>
        </w:rPr>
        <w:t>(In thousands)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5"/>
            <w:shd w:val="clear" w:color="auto" w:fill="CCEEFF"/>
          </w:tcPr>
          <w:p>
            <w:pPr>
              <w:jc w:val="right"/>
              <w:ind w:right="229"/>
              <w:spacing w:after="0" w:line="154" w:lineRule="exact"/>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(31,085)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(30,994)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(10,501)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(8,607)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1,847</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734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1,719</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Reduction in carrying amount of right-of-use asset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based compensation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Non-cash interest expense</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writeoff</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Gain on sale of property and equipment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discount on short-term investments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Changes in other assets and liabilities: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(5,505)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(5,525)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792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2,813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1,856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8,569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1,645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280"/>
              <w:spacing w:after="0"/>
              <w:rPr>
                <w:sz w:val="20"/>
                <w:szCs w:val="20"/>
                <w:color w:val="auto"/>
              </w:rPr>
            </w:pPr>
            <w:r>
              <w:rPr>
                <w:rFonts w:ascii="Arial" w:cs="Arial" w:eastAsia="Arial" w:hAnsi="Arial"/>
                <w:sz w:val="14"/>
                <w:szCs w:val="14"/>
                <w:color w:val="auto"/>
              </w:rPr>
              <w:t>Lease liabilities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Net cash used in operating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(22,049)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5"/>
              </w:rPr>
              <w:t>(27,125)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(9,942)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short-term investments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(17,711)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5"/>
              </w:rPr>
              <w:t>(28,850)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(17,710)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short-term investments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28,571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30,470</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17,002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sale of property and equipment</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acquisitions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(2,350)</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(1,244)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A-2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10,883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A-2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B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3,948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C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D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54,929</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D convertible preferred stock</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issuance of Series E convertible preferred stock, net of issuance costs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30,757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Deemed dividend to preferred stockholders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stock options exercised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846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line of credit, net</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Proceeds from term loan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other borrowings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4,783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ind w:left="140"/>
              <w:spacing w:after="0"/>
              <w:rPr>
                <w:sz w:val="20"/>
                <w:szCs w:val="20"/>
                <w:color w:val="auto"/>
              </w:rPr>
            </w:pPr>
            <w:r>
              <w:rPr>
                <w:rFonts w:ascii="Arial" w:cs="Arial" w:eastAsia="Arial" w:hAnsi="Arial"/>
                <w:sz w:val="14"/>
                <w:szCs w:val="14"/>
                <w:color w:val="auto"/>
              </w:rPr>
              <w:t>Repayment of other borrowings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finance lease obligations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financing activities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35,261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54,715</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843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19,752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25,240</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(10,362)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14,882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59,874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40,122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4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59,874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40,122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49,512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36,219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vMerge w:val="restart"/>
          </w:tcPr>
          <w:p>
            <w:pPr>
              <w:spacing w:after="0"/>
              <w:rPr>
                <w:sz w:val="5"/>
                <w:szCs w:val="5"/>
                <w:color w:val="auto"/>
              </w:rPr>
            </w:pPr>
          </w:p>
        </w:tc>
        <w:tc>
          <w:tcPr>
            <w:tcW w:w="6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rPr>
                <w:sz w:val="20"/>
                <w:szCs w:val="20"/>
                <w:color w:val="auto"/>
              </w:rPr>
            </w:pPr>
            <w:r>
              <w:rPr>
                <w:rFonts w:ascii="Arial" w:cs="Arial" w:eastAsia="Arial" w:hAnsi="Arial"/>
                <w:sz w:val="14"/>
                <w:szCs w:val="14"/>
                <w:color w:val="auto"/>
              </w:rPr>
              <w:t>Cash paid for interest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1,269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1,111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326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activity:</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40" w:type="dxa"/>
            <w:vAlign w:val="bottom"/>
            <w:gridSpan w:val="2"/>
          </w:tcPr>
          <w:p>
            <w:pPr>
              <w:spacing w:after="0"/>
              <w:rPr>
                <w:sz w:val="20"/>
                <w:szCs w:val="20"/>
                <w:color w:val="auto"/>
              </w:rPr>
            </w:pPr>
            <w:r>
              <w:rPr>
                <w:rFonts w:ascii="Arial" w:cs="Arial" w:eastAsia="Arial" w:hAnsi="Arial"/>
                <w:sz w:val="14"/>
                <w:szCs w:val="14"/>
                <w:color w:val="auto"/>
              </w:rPr>
              <w:t>Non-cash consideration issued in connection with the acquisition of Shift GmbH</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2,743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right"/>
        <w:ind w:left="160" w:right="5280"/>
        <w:spacing w:after="0" w:line="436"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700" w:hanging="533"/>
        <w:spacing w:after="0"/>
        <w:tabs>
          <w:tab w:leader="none" w:pos="7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Xometry Inc. (“Xometry”, or the “Company”)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98" w:lineRule="exact"/>
        <w:rPr>
          <w:rFonts w:ascii="Arial" w:cs="Arial" w:eastAsia="Arial" w:hAnsi="Arial"/>
          <w:sz w:val="18"/>
          <w:szCs w:val="18"/>
          <w:b w:val="1"/>
          <w:bCs w:val="1"/>
          <w:color w:val="auto"/>
        </w:rPr>
      </w:pPr>
    </w:p>
    <w:p>
      <w:pPr>
        <w:ind w:left="720" w:right="1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Xometry’s seller capabilities include computer numerical control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w:t>
      </w:r>
    </w:p>
    <w:p>
      <w:pPr>
        <w:spacing w:after="0" w:line="95" w:lineRule="exact"/>
        <w:rPr>
          <w:rFonts w:ascii="Arial" w:cs="Arial" w:eastAsia="Arial" w:hAnsi="Arial"/>
          <w:sz w:val="18"/>
          <w:szCs w:val="18"/>
          <w:b w:val="1"/>
          <w:bCs w:val="1"/>
          <w:color w:val="auto"/>
        </w:rPr>
      </w:pPr>
    </w:p>
    <w:p>
      <w:pPr>
        <w:ind w:left="720" w:right="20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Machine Tool &amp; Supply Corporation (“MTS”), a machine and tool supplier, located in Tennessee and on November 26, 2019, the Company acquired Munich, Germany based Shift, an on-demand manufacturing marketplace in Europe.</w:t>
      </w:r>
    </w:p>
    <w:p>
      <w:pPr>
        <w:spacing w:after="0" w:line="327" w:lineRule="exact"/>
        <w:rPr>
          <w:rFonts w:ascii="Arial" w:cs="Arial" w:eastAsia="Arial" w:hAnsi="Arial"/>
          <w:sz w:val="18"/>
          <w:szCs w:val="18"/>
          <w:b w:val="1"/>
          <w:bCs w:val="1"/>
          <w:color w:val="auto"/>
        </w:rPr>
      </w:pPr>
    </w:p>
    <w:p>
      <w:pPr>
        <w:ind w:left="700" w:hanging="533"/>
        <w:spacing w:after="0"/>
        <w:tabs>
          <w:tab w:leader="none" w:pos="7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4" w:lineRule="exact"/>
        <w:rPr>
          <w:sz w:val="20"/>
          <w:szCs w:val="20"/>
          <w:color w:val="auto"/>
        </w:rPr>
      </w:pPr>
    </w:p>
    <w:p>
      <w:pPr>
        <w:ind w:left="1340" w:hanging="638"/>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Principles of Consolidation and Basis of Presentation</w:t>
      </w:r>
    </w:p>
    <w:p>
      <w:pPr>
        <w:spacing w:after="0" w:line="123" w:lineRule="exact"/>
        <w:rPr>
          <w:sz w:val="20"/>
          <w:szCs w:val="20"/>
          <w:color w:val="auto"/>
        </w:rPr>
      </w:pPr>
    </w:p>
    <w:p>
      <w:pPr>
        <w:ind w:left="1360" w:right="80"/>
        <w:spacing w:after="0" w:line="236" w:lineRule="auto"/>
        <w:rPr>
          <w:sz w:val="20"/>
          <w:szCs w:val="20"/>
          <w:color w:val="auto"/>
        </w:rPr>
      </w:pPr>
      <w:r>
        <w:rPr>
          <w:rFonts w:ascii="Arial" w:cs="Arial" w:eastAsia="Arial" w:hAnsi="Arial"/>
          <w:sz w:val="18"/>
          <w:szCs w:val="18"/>
          <w:color w:val="auto"/>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Europe.</w:t>
      </w:r>
    </w:p>
    <w:p>
      <w:pPr>
        <w:spacing w:after="0" w:line="77"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19" w:lineRule="exact"/>
        <w:rPr>
          <w:sz w:val="20"/>
          <w:szCs w:val="20"/>
          <w:color w:val="auto"/>
        </w:rPr>
      </w:pPr>
    </w:p>
    <w:p>
      <w:pPr>
        <w:ind w:left="1360" w:right="60"/>
        <w:spacing w:after="0" w:line="234" w:lineRule="auto"/>
        <w:rPr>
          <w:sz w:val="20"/>
          <w:szCs w:val="20"/>
          <w:color w:val="auto"/>
        </w:rPr>
      </w:pPr>
      <w:r>
        <w:rPr>
          <w:rFonts w:ascii="Arial" w:cs="Arial" w:eastAsia="Arial" w:hAnsi="Arial"/>
          <w:sz w:val="18"/>
          <w:szCs w:val="18"/>
          <w:color w:val="auto"/>
        </w:rPr>
        <w:t>The U.S. dollar (“USD”) is the functional currency for Xometry’s consolidated subsidiary operating in the U.S. The functional currency for the Company’s consolidated subsidiary operating in Germany is the Euro (“EUR”). For the Company’s consolidated subsidiary whose functional currency is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90" w:lineRule="exact"/>
        <w:rPr>
          <w:sz w:val="20"/>
          <w:szCs w:val="20"/>
          <w:color w:val="auto"/>
        </w:rPr>
      </w:pPr>
    </w:p>
    <w:p>
      <w:pPr>
        <w:ind w:left="1340" w:hanging="638"/>
        <w:spacing w:after="0"/>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Interim Consolidated Financial Information</w:t>
      </w:r>
    </w:p>
    <w:p>
      <w:pPr>
        <w:spacing w:after="0" w:line="123" w:lineRule="exact"/>
        <w:rPr>
          <w:sz w:val="20"/>
          <w:szCs w:val="20"/>
          <w:color w:val="auto"/>
        </w:rPr>
      </w:pPr>
    </w:p>
    <w:p>
      <w:pPr>
        <w:ind w:left="1360" w:right="380"/>
        <w:spacing w:after="0" w:line="236" w:lineRule="auto"/>
        <w:rPr>
          <w:sz w:val="20"/>
          <w:szCs w:val="20"/>
          <w:color w:val="auto"/>
        </w:rPr>
      </w:pPr>
      <w:r>
        <w:rPr>
          <w:rFonts w:ascii="Arial" w:cs="Arial" w:eastAsia="Arial" w:hAnsi="Arial"/>
          <w:sz w:val="18"/>
          <w:szCs w:val="18"/>
          <w:color w:val="auto"/>
        </w:rPr>
        <w:t>The accompanying interim Consolidated Balance Sheet as of March 31, 2021 and the Consolidated Statements of Operations and Comprehensive Loss, Consolidated Statements of Changes in Convertible Preferred Stock and Stockholders’ Deficit, and Cash Flows for the three months ended March 31, 2021 and 2020, and the related footnote disclosures are unaudited. These unaudited interim consolidated financial statements have been prepared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00"/>
          </w:cols>
          <w:pgMar w:left="320" w:top="456" w:right="5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100"/>
        <w:spacing w:after="0" w:line="235" w:lineRule="auto"/>
        <w:rPr>
          <w:sz w:val="20"/>
          <w:szCs w:val="20"/>
          <w:color w:val="auto"/>
        </w:rPr>
      </w:pPr>
      <w:r>
        <w:rPr>
          <w:rFonts w:ascii="Arial" w:cs="Arial" w:eastAsia="Arial" w:hAnsi="Arial"/>
          <w:sz w:val="18"/>
          <w:szCs w:val="18"/>
          <w:color w:val="auto"/>
        </w:rPr>
        <w:t>in accordance with GAAP. In management’s opinion, the unaudited interim consolidated financial statements include all adjustments necessary to state fairly the Company’s financial position as of March 31, 2021 and its results of operations and cash flows for the three months ended March 31, 2021 and 2020. The financial data and the other information disclosed in these notes to the consolidated financial statements related to these three-month periods are unaudited. The results for the three months ended March 31, 2021 are not necessarily indicative of the results expected for the full year ending December 31, 2021 or any future period.</w:t>
      </w:r>
    </w:p>
    <w:p>
      <w:pPr>
        <w:spacing w:after="0" w:line="86" w:lineRule="exact"/>
        <w:rPr>
          <w:sz w:val="20"/>
          <w:szCs w:val="20"/>
          <w:color w:val="auto"/>
        </w:rPr>
      </w:pPr>
    </w:p>
    <w:p>
      <w:pPr>
        <w:ind w:left="1340" w:hanging="638"/>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Reclassifications</w:t>
      </w:r>
    </w:p>
    <w:p>
      <w:pPr>
        <w:spacing w:after="0" w:line="123" w:lineRule="exact"/>
        <w:rPr>
          <w:sz w:val="20"/>
          <w:szCs w:val="20"/>
          <w:color w:val="auto"/>
        </w:rPr>
      </w:pPr>
    </w:p>
    <w:p>
      <w:pPr>
        <w:ind w:left="1360" w:right="300"/>
        <w:spacing w:after="0" w:line="239" w:lineRule="auto"/>
        <w:rPr>
          <w:sz w:val="20"/>
          <w:szCs w:val="20"/>
          <w:color w:val="auto"/>
        </w:rPr>
      </w:pPr>
      <w:r>
        <w:rPr>
          <w:rFonts w:ascii="Arial" w:cs="Arial" w:eastAsia="Arial" w:hAnsi="Arial"/>
          <w:sz w:val="18"/>
          <w:szCs w:val="18"/>
          <w:color w:val="auto"/>
        </w:rPr>
        <w:t>Certain line items on the Company’s consolidated financial statements have been reclassified to conform to the current period presentation.</w:t>
      </w:r>
    </w:p>
    <w:p>
      <w:pPr>
        <w:spacing w:after="0" w:line="87" w:lineRule="exact"/>
        <w:rPr>
          <w:sz w:val="20"/>
          <w:szCs w:val="20"/>
          <w:color w:val="auto"/>
        </w:rPr>
      </w:pPr>
    </w:p>
    <w:p>
      <w:pPr>
        <w:ind w:left="1340" w:hanging="638"/>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Use of Estimates</w:t>
      </w:r>
    </w:p>
    <w:p>
      <w:pPr>
        <w:spacing w:after="0" w:line="123" w:lineRule="exact"/>
        <w:rPr>
          <w:sz w:val="20"/>
          <w:szCs w:val="20"/>
          <w:color w:val="auto"/>
        </w:rPr>
      </w:pPr>
    </w:p>
    <w:p>
      <w:pPr>
        <w:ind w:left="1360" w:right="40"/>
        <w:spacing w:after="0" w:line="237"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87" w:lineRule="exact"/>
        <w:rPr>
          <w:sz w:val="20"/>
          <w:szCs w:val="20"/>
          <w:color w:val="auto"/>
        </w:rPr>
      </w:pPr>
    </w:p>
    <w:p>
      <w:pPr>
        <w:ind w:left="1340" w:hanging="638"/>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Business Combinations</w:t>
      </w:r>
    </w:p>
    <w:p>
      <w:pPr>
        <w:spacing w:after="0" w:line="123" w:lineRule="exact"/>
        <w:rPr>
          <w:sz w:val="20"/>
          <w:szCs w:val="20"/>
          <w:color w:val="auto"/>
        </w:rPr>
      </w:pPr>
    </w:p>
    <w:p>
      <w:pPr>
        <w:ind w:left="1360" w:right="120"/>
        <w:spacing w:after="0" w:line="234"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Acquisition costs, such as legal and consulting fees, are expensed as incurred.</w:t>
      </w:r>
    </w:p>
    <w:p>
      <w:pPr>
        <w:spacing w:after="0" w:line="89" w:lineRule="exact"/>
        <w:rPr>
          <w:sz w:val="20"/>
          <w:szCs w:val="20"/>
          <w:color w:val="auto"/>
        </w:rPr>
      </w:pPr>
    </w:p>
    <w:p>
      <w:pPr>
        <w:ind w:left="1340" w:hanging="638"/>
        <w:spacing w:after="0"/>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Measurements and Financial Instruments</w:t>
      </w:r>
    </w:p>
    <w:p>
      <w:pPr>
        <w:spacing w:after="0" w:line="123" w:lineRule="exact"/>
        <w:rPr>
          <w:sz w:val="20"/>
          <w:szCs w:val="20"/>
          <w:color w:val="auto"/>
        </w:rPr>
      </w:pPr>
    </w:p>
    <w:p>
      <w:pPr>
        <w:ind w:left="1360" w:right="60"/>
        <w:spacing w:after="0" w:line="236" w:lineRule="auto"/>
        <w:rPr>
          <w:sz w:val="20"/>
          <w:szCs w:val="20"/>
          <w:color w:val="auto"/>
        </w:rPr>
      </w:pPr>
      <w:r>
        <w:rPr>
          <w:rFonts w:ascii="Arial" w:cs="Arial" w:eastAsia="Arial" w:hAnsi="Arial"/>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95" w:lineRule="exact"/>
        <w:rPr>
          <w:sz w:val="20"/>
          <w:szCs w:val="20"/>
          <w:color w:val="auto"/>
        </w:rPr>
      </w:pPr>
    </w:p>
    <w:p>
      <w:pPr>
        <w:jc w:val="both"/>
        <w:ind w:left="1360" w:right="280"/>
        <w:spacing w:after="0" w:line="237" w:lineRule="auto"/>
        <w:rPr>
          <w:sz w:val="20"/>
          <w:szCs w:val="20"/>
          <w:color w:val="auto"/>
        </w:rPr>
      </w:pPr>
      <w:r>
        <w:rPr>
          <w:rFonts w:ascii="Arial" w:cs="Arial" w:eastAsia="Arial" w:hAnsi="Arial"/>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01" w:lineRule="exact"/>
        <w:rPr>
          <w:sz w:val="20"/>
          <w:szCs w:val="20"/>
          <w:color w:val="auto"/>
        </w:rPr>
      </w:pPr>
    </w:p>
    <w:p>
      <w:pPr>
        <w:ind w:left="1360"/>
        <w:spacing w:after="0" w:line="257" w:lineRule="auto"/>
        <w:rPr>
          <w:sz w:val="20"/>
          <w:szCs w:val="20"/>
          <w:color w:val="auto"/>
        </w:rPr>
      </w:pPr>
      <w:r>
        <w:rPr>
          <w:rFonts w:ascii="Arial" w:cs="Arial" w:eastAsia="Arial" w:hAnsi="Arial"/>
          <w:sz w:val="17"/>
          <w:szCs w:val="17"/>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81" w:lineRule="exact"/>
        <w:rPr>
          <w:sz w:val="20"/>
          <w:szCs w:val="20"/>
          <w:color w:val="auto"/>
        </w:rPr>
      </w:pPr>
    </w:p>
    <w:p>
      <w:pPr>
        <w:ind w:left="1360" w:right="320"/>
        <w:spacing w:after="0" w:line="237" w:lineRule="auto"/>
        <w:rPr>
          <w:sz w:val="20"/>
          <w:szCs w:val="20"/>
          <w:color w:val="auto"/>
        </w:rPr>
      </w:pPr>
      <w:r>
        <w:rPr>
          <w:rFonts w:ascii="Arial" w:cs="Arial" w:eastAsia="Arial" w:hAnsi="Arial"/>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20"/>
          </w:cols>
          <w:pgMar w:left="320" w:top="456" w:right="5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100"/>
        <w:spacing w:after="0" w:line="236" w:lineRule="auto"/>
        <w:rPr>
          <w:sz w:val="20"/>
          <w:szCs w:val="20"/>
          <w:color w:val="auto"/>
        </w:rPr>
      </w:pPr>
      <w:r>
        <w:rPr>
          <w:rFonts w:ascii="Arial" w:cs="Arial" w:eastAsia="Arial" w:hAnsi="Arial"/>
          <w:sz w:val="18"/>
          <w:szCs w:val="18"/>
          <w:color w:val="auto"/>
        </w:rPr>
        <w:t>The carrying amounts of certain of the Company’s financial instruments, which include cash equivalents, short-term investments, accounts receivable, prepaid expenses and other assets, accounts payable, accrued expenses and contract liabilities approximate their fair values due to their short maturities. The carrying value of the Company’s long-term debt, which is recorded at cost, approximates its fair value due to its expected repayment in 2021.</w:t>
      </w:r>
    </w:p>
    <w:p>
      <w:pPr>
        <w:spacing w:after="0" w:line="87" w:lineRule="exact"/>
        <w:rPr>
          <w:sz w:val="20"/>
          <w:szCs w:val="20"/>
          <w:color w:val="auto"/>
        </w:rPr>
      </w:pPr>
    </w:p>
    <w:p>
      <w:pPr>
        <w:ind w:left="1340" w:hanging="638"/>
        <w:spacing w:after="0"/>
        <w:tabs>
          <w:tab w:leader="none" w:pos="134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123" w:lineRule="exact"/>
        <w:rPr>
          <w:sz w:val="20"/>
          <w:szCs w:val="20"/>
          <w:color w:val="auto"/>
        </w:rPr>
      </w:pPr>
    </w:p>
    <w:p>
      <w:pPr>
        <w:ind w:left="1360" w:right="580"/>
        <w:spacing w:after="0" w:line="237" w:lineRule="auto"/>
        <w:rPr>
          <w:sz w:val="20"/>
          <w:szCs w:val="20"/>
          <w:color w:val="auto"/>
        </w:rPr>
      </w:pPr>
      <w:r>
        <w:rPr>
          <w:rFonts w:ascii="Arial" w:cs="Arial" w:eastAsia="Arial" w:hAnsi="Arial"/>
          <w:sz w:val="18"/>
          <w:szCs w:val="18"/>
          <w:color w:val="auto"/>
        </w:rPr>
        <w:t>Cash and cash equivalents consist of cash held in checking accounts and investments in money market funds. The Company considers all highly liquid securities purchased with an initial maturity of three months or less to be cash equivalents. These investments are stated at cost, which approximates fair value.</w:t>
      </w:r>
    </w:p>
    <w:p>
      <w:pPr>
        <w:spacing w:after="0" w:line="87" w:lineRule="exact"/>
        <w:rPr>
          <w:sz w:val="20"/>
          <w:szCs w:val="20"/>
          <w:color w:val="auto"/>
        </w:rPr>
      </w:pPr>
    </w:p>
    <w:p>
      <w:pPr>
        <w:ind w:left="1340" w:hanging="638"/>
        <w:spacing w:after="0"/>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Short-term Investments</w:t>
      </w:r>
    </w:p>
    <w:p>
      <w:pPr>
        <w:spacing w:after="0" w:line="123" w:lineRule="exact"/>
        <w:rPr>
          <w:sz w:val="20"/>
          <w:szCs w:val="20"/>
          <w:color w:val="auto"/>
        </w:rPr>
      </w:pPr>
    </w:p>
    <w:p>
      <w:pPr>
        <w:ind w:left="1360" w:right="140"/>
        <w:spacing w:after="0" w:line="235" w:lineRule="auto"/>
        <w:rPr>
          <w:sz w:val="20"/>
          <w:szCs w:val="20"/>
          <w:color w:val="auto"/>
        </w:rPr>
      </w:pPr>
      <w:r>
        <w:rPr>
          <w:rFonts w:ascii="Arial" w:cs="Arial" w:eastAsia="Arial" w:hAnsi="Arial"/>
          <w:sz w:val="18"/>
          <w:szCs w:val="18"/>
          <w:color w:val="auto"/>
        </w:rPr>
        <w:t>The Company invested in various short-term debt investments consisting of US Treasury Securities, US Government bonds, and commercial paper. All of the investments have original maturity dates that are 6 months or less. These securities have been classified as held to maturity on the Company’s balance sheet and are recorded at amortized cost. Because of the short-term nature of the investments, carrying value approximates fair value. The Company had no short-term investments at March 31, 2021 (unaudited) and December 31, 2020 and $10.9 million of short-term investments at December 31, 2019.</w:t>
      </w:r>
    </w:p>
    <w:p>
      <w:pPr>
        <w:spacing w:after="0" w:line="86" w:lineRule="exact"/>
        <w:rPr>
          <w:sz w:val="20"/>
          <w:szCs w:val="20"/>
          <w:color w:val="auto"/>
        </w:rPr>
      </w:pPr>
    </w:p>
    <w:p>
      <w:pPr>
        <w:ind w:left="1340" w:hanging="638"/>
        <w:spacing w:after="0"/>
        <w:tabs>
          <w:tab w:leader="none" w:pos="134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123" w:lineRule="exact"/>
        <w:rPr>
          <w:sz w:val="20"/>
          <w:szCs w:val="20"/>
          <w:color w:val="auto"/>
        </w:rPr>
      </w:pPr>
    </w:p>
    <w:p>
      <w:pPr>
        <w:ind w:left="1360" w:right="140"/>
        <w:spacing w:after="0" w:line="234"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For customers for which Xometry provides credit, the Company performs credit inquiries, including references checks, and query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90" w:lineRule="exact"/>
        <w:rPr>
          <w:sz w:val="20"/>
          <w:szCs w:val="20"/>
          <w:color w:val="auto"/>
        </w:rPr>
      </w:pPr>
    </w:p>
    <w:p>
      <w:pPr>
        <w:ind w:left="1340" w:hanging="638"/>
        <w:spacing w:after="0"/>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Inventory</w:t>
      </w:r>
    </w:p>
    <w:p>
      <w:pPr>
        <w:spacing w:after="0" w:line="123" w:lineRule="exact"/>
        <w:rPr>
          <w:sz w:val="20"/>
          <w:szCs w:val="20"/>
          <w:color w:val="auto"/>
        </w:rPr>
      </w:pPr>
    </w:p>
    <w:p>
      <w:pPr>
        <w:ind w:left="1360" w:right="260"/>
        <w:spacing w:after="0" w:line="236" w:lineRule="auto"/>
        <w:rPr>
          <w:sz w:val="20"/>
          <w:szCs w:val="20"/>
          <w:color w:val="auto"/>
        </w:rPr>
      </w:pPr>
      <w:r>
        <w:rPr>
          <w:rFonts w:ascii="Arial" w:cs="Arial" w:eastAsia="Arial" w:hAnsi="Arial"/>
          <w:sz w:val="18"/>
          <w:szCs w:val="18"/>
          <w:color w:val="auto"/>
        </w:rPr>
        <w:t>Inventory consists primarily of work-in-progress, raw materials and tools.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87" w:lineRule="exact"/>
        <w:rPr>
          <w:sz w:val="20"/>
          <w:szCs w:val="20"/>
          <w:color w:val="auto"/>
        </w:rPr>
      </w:pPr>
    </w:p>
    <w:p>
      <w:pPr>
        <w:ind w:left="1340" w:hanging="638"/>
        <w:spacing w:after="0"/>
        <w:tabs>
          <w:tab w:leader="none" w:pos="1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123" w:lineRule="exact"/>
        <w:rPr>
          <w:sz w:val="20"/>
          <w:szCs w:val="20"/>
          <w:color w:val="auto"/>
        </w:rPr>
      </w:pPr>
    </w:p>
    <w:p>
      <w:pPr>
        <w:ind w:left="1360" w:right="20"/>
        <w:spacing w:after="0" w:line="236"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95" w:lineRule="exact"/>
        <w:rPr>
          <w:sz w:val="20"/>
          <w:szCs w:val="20"/>
          <w:color w:val="auto"/>
        </w:rPr>
      </w:pPr>
    </w:p>
    <w:p>
      <w:pPr>
        <w:ind w:left="1360"/>
        <w:spacing w:after="0" w:line="235" w:lineRule="auto"/>
        <w:rPr>
          <w:sz w:val="20"/>
          <w:szCs w:val="20"/>
          <w:color w:val="auto"/>
        </w:rPr>
      </w:pPr>
      <w:r>
        <w:rPr>
          <w:rFonts w:ascii="Arial" w:cs="Arial" w:eastAsia="Arial" w:hAnsi="Arial"/>
          <w:sz w:val="18"/>
          <w:szCs w:val="18"/>
          <w:color w:val="auto"/>
        </w:rPr>
        <w:t>Property and equipment and intangibles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20"/>
          </w:cols>
          <w:pgMar w:left="320" w:top="456" w:right="5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300"/>
        <w:spacing w:after="0" w:line="237" w:lineRule="auto"/>
        <w:rPr>
          <w:sz w:val="20"/>
          <w:szCs w:val="20"/>
          <w:color w:val="auto"/>
        </w:rPr>
      </w:pPr>
      <w:r>
        <w:rPr>
          <w:rFonts w:ascii="Arial" w:cs="Arial" w:eastAsia="Arial" w:hAnsi="Arial"/>
          <w:sz w:val="18"/>
          <w:szCs w:val="18"/>
          <w:color w:val="auto"/>
        </w:rPr>
        <w:t>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96"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$3.6 million and $1.5 million for the years ended December 31, 2020 and 2019, respectively and $1.2 million for the quarter ended March 31, 2021 (unaudited).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90" w:lineRule="exact"/>
        <w:rPr>
          <w:sz w:val="20"/>
          <w:szCs w:val="20"/>
          <w:color w:val="auto"/>
        </w:rPr>
      </w:pPr>
    </w:p>
    <w:p>
      <w:pPr>
        <w:ind w:left="1340" w:hanging="638"/>
        <w:spacing w:after="0"/>
        <w:tabs>
          <w:tab w:leader="none" w:pos="134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p>
    <w:p>
      <w:pPr>
        <w:spacing w:after="0" w:line="123" w:lineRule="exact"/>
        <w:rPr>
          <w:sz w:val="20"/>
          <w:szCs w:val="20"/>
          <w:color w:val="auto"/>
        </w:rPr>
      </w:pPr>
    </w:p>
    <w:p>
      <w:pPr>
        <w:ind w:left="1360" w:right="120"/>
        <w:spacing w:after="0" w:line="236" w:lineRule="auto"/>
        <w:rPr>
          <w:sz w:val="20"/>
          <w:szCs w:val="20"/>
          <w:color w:val="auto"/>
        </w:rPr>
      </w:pPr>
      <w:r>
        <w:rPr>
          <w:rFonts w:ascii="Arial" w:cs="Arial" w:eastAsia="Arial" w:hAnsi="Arial"/>
          <w:sz w:val="18"/>
          <w:szCs w:val="18"/>
          <w:color w:val="auto"/>
        </w:rPr>
        <w:t>The Company derives substantially all of its revenue in the U.S. and Europe from the sale of parts and assemblies fulfilled using a vast network of manufacturers. The Company recognizes revenue from the sales to its buyers pursuant to Financial Accounting Standard Board’s (“FASB”) Accounting Standards Codification (“ASC”) Topic 606, Revenue from Contracts with Customers (“ASC 606”).</w:t>
      </w:r>
    </w:p>
    <w:p>
      <w:pPr>
        <w:spacing w:after="0" w:line="95" w:lineRule="exact"/>
        <w:rPr>
          <w:sz w:val="20"/>
          <w:szCs w:val="20"/>
          <w:color w:val="auto"/>
        </w:rPr>
      </w:pPr>
    </w:p>
    <w:p>
      <w:pPr>
        <w:ind w:left="1360" w:right="140"/>
        <w:spacing w:after="0" w:line="234" w:lineRule="auto"/>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99" w:lineRule="exact"/>
        <w:rPr>
          <w:sz w:val="20"/>
          <w:szCs w:val="20"/>
          <w:color w:val="auto"/>
        </w:rPr>
      </w:pPr>
    </w:p>
    <w:p>
      <w:pPr>
        <w:ind w:left="1360" w:right="20"/>
        <w:spacing w:after="0" w:line="234" w:lineRule="auto"/>
        <w:rPr>
          <w:sz w:val="20"/>
          <w:szCs w:val="20"/>
          <w:color w:val="auto"/>
        </w:rPr>
      </w:pPr>
      <w:r>
        <w:rPr>
          <w:rFonts w:ascii="Arial" w:cs="Arial" w:eastAsia="Arial" w:hAnsi="Arial"/>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sellers and the Company has margin risk on all of Xometry’s sales, (iii) the Company has discretion in determining how to fulfill each order, including selecting the seller and (iv) Xometry bears certain risk for product quality to the extent the buyer is not satisfied with the final product.</w:t>
      </w:r>
    </w:p>
    <w:p>
      <w:pPr>
        <w:spacing w:after="0" w:line="97" w:lineRule="exact"/>
        <w:rPr>
          <w:sz w:val="20"/>
          <w:szCs w:val="20"/>
          <w:color w:val="auto"/>
        </w:rPr>
      </w:pPr>
    </w:p>
    <w:p>
      <w:pPr>
        <w:jc w:val="both"/>
        <w:ind w:left="1360" w:right="240"/>
        <w:spacing w:after="0" w:line="237" w:lineRule="auto"/>
        <w:rPr>
          <w:sz w:val="20"/>
          <w:szCs w:val="20"/>
          <w:color w:val="auto"/>
        </w:rPr>
      </w:pPr>
      <w:r>
        <w:rPr>
          <w:rFonts w:ascii="Arial" w:cs="Arial" w:eastAsia="Arial" w:hAnsi="Arial"/>
          <w:sz w:val="18"/>
          <w:szCs w:val="18"/>
          <w:color w:val="auto"/>
        </w:rPr>
        <w:t>Revenue is shown net of estimated returns, refunds, and allowances. At March 31, 2021 (unaudited) and December 31, 2020, the Company has a $0.1 million provision for estimated returns, refunds or allowances. There was no provision for estimated returns, refunds or allowances at December 31, 2019.</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Contract Liabilities</w:t>
      </w:r>
    </w:p>
    <w:p>
      <w:pPr>
        <w:spacing w:after="0" w:line="119" w:lineRule="exact"/>
        <w:rPr>
          <w:sz w:val="20"/>
          <w:szCs w:val="20"/>
          <w:color w:val="auto"/>
        </w:rPr>
      </w:pPr>
    </w:p>
    <w:p>
      <w:pPr>
        <w:ind w:left="1360" w:right="380"/>
        <w:spacing w:after="0" w:line="239" w:lineRule="auto"/>
        <w:rPr>
          <w:sz w:val="20"/>
          <w:szCs w:val="20"/>
          <w:color w:val="auto"/>
        </w:rPr>
      </w:pPr>
      <w:r>
        <w:rPr>
          <w:rFonts w:ascii="Arial" w:cs="Arial" w:eastAsia="Arial" w:hAnsi="Arial"/>
          <w:sz w:val="18"/>
          <w:szCs w:val="18"/>
          <w:color w:val="auto"/>
        </w:rPr>
        <w:t>Contract liabilities are primarily derived from customer credit card payments received at the time an order is placed, for which the associated performance obligations have not been</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satisfied and revenue has not been recognized based on the Company’s revenue recognition criteria described above.</w:t>
      </w:r>
    </w:p>
    <w:p>
      <w:pPr>
        <w:spacing w:after="0" w:line="10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following table is a summary of the contract liabilities (in thousands):</w:t>
      </w:r>
    </w:p>
    <w:p>
      <w:pPr>
        <w:spacing w:after="0" w:line="229"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Rollforward of contract liabilities: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Contract liabilities at December 31, 2018</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6"/>
              </w:rPr>
              <w:t>$ 1,185</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(1,185)</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1,821</w:t>
            </w:r>
          </w:p>
        </w:tc>
      </w:tr>
      <w:tr>
        <w:trPr>
          <w:trHeight w:val="27"/>
        </w:trPr>
        <w:tc>
          <w:tcPr>
            <w:tcW w:w="7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liabilities at December 31, 2019</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6"/>
              </w:rPr>
              <w:t>$ 1,821</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(1,821)</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2,355</w:t>
            </w:r>
          </w:p>
        </w:tc>
      </w:tr>
      <w:tr>
        <w:trPr>
          <w:trHeight w:val="20"/>
        </w:trPr>
        <w:tc>
          <w:tcPr>
            <w:tcW w:w="7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8"/>
                <w:szCs w:val="18"/>
                <w:color w:val="auto"/>
              </w:rPr>
              <w:t>Contract liabilities at December 31, 2020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$ 2,355</w:t>
            </w: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 recognized</w:t>
            </w:r>
          </w:p>
        </w:tc>
        <w:tc>
          <w:tcPr>
            <w:tcW w:w="7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(2,355)</w:t>
            </w:r>
          </w:p>
        </w:tc>
      </w:tr>
      <w:tr>
        <w:trPr>
          <w:trHeight w:val="201"/>
        </w:trPr>
        <w:tc>
          <w:tcPr>
            <w:tcW w:w="7560" w:type="dxa"/>
            <w:vAlign w:val="bottom"/>
          </w:tcPr>
          <w:p>
            <w:pPr>
              <w:spacing w:after="0" w:line="201" w:lineRule="exact"/>
              <w:rPr>
                <w:sz w:val="20"/>
                <w:szCs w:val="20"/>
                <w:color w:val="auto"/>
              </w:rPr>
            </w:pPr>
            <w:r>
              <w:rPr>
                <w:rFonts w:ascii="Arial" w:cs="Arial" w:eastAsia="Arial" w:hAnsi="Arial"/>
                <w:sz w:val="18"/>
                <w:szCs w:val="18"/>
                <w:color w:val="auto"/>
              </w:rPr>
              <w:t>Payments received in advance</w:t>
            </w:r>
          </w:p>
        </w:tc>
        <w:tc>
          <w:tcPr>
            <w:tcW w:w="7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3,927</w:t>
            </w:r>
          </w:p>
        </w:tc>
      </w:tr>
      <w:tr>
        <w:trPr>
          <w:trHeight w:val="27"/>
        </w:trPr>
        <w:tc>
          <w:tcPr>
            <w:tcW w:w="7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liabilities at March 31, 2021 (unaudited)</w:t>
            </w:r>
          </w:p>
        </w:tc>
        <w:tc>
          <w:tcPr>
            <w:tcW w:w="7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6"/>
              </w:rPr>
              <w:t>$ 3,927</w:t>
            </w:r>
          </w:p>
        </w:tc>
      </w:tr>
      <w:tr>
        <w:trPr>
          <w:trHeight w:val="20"/>
        </w:trPr>
        <w:tc>
          <w:tcPr>
            <w:tcW w:w="7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2"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Sales Contract Acquisition Costs</w:t>
      </w:r>
    </w:p>
    <w:p>
      <w:pPr>
        <w:spacing w:after="0" w:line="119" w:lineRule="exact"/>
        <w:rPr>
          <w:sz w:val="20"/>
          <w:szCs w:val="20"/>
          <w:color w:val="auto"/>
        </w:rPr>
      </w:pPr>
    </w:p>
    <w:p>
      <w:pPr>
        <w:ind w:left="1360" w:right="20"/>
        <w:spacing w:after="0" w:line="235" w:lineRule="auto"/>
        <w:rPr>
          <w:sz w:val="20"/>
          <w:szCs w:val="20"/>
          <w:color w:val="auto"/>
        </w:rPr>
      </w:pPr>
      <w:r>
        <w:rPr>
          <w:rFonts w:ascii="Arial" w:cs="Arial" w:eastAsia="Arial" w:hAnsi="Arial"/>
          <w:sz w:val="18"/>
          <w:szCs w:val="18"/>
          <w:color w:val="auto"/>
        </w:rPr>
        <w:t>The Company’s incremental costs to obtain a contract may include a sales commission which is generally determined on a per order basis. The Company expenses sales commissions when earned, given the short period until the fulfillment of customer orders. The Company elected the practical expedient, allowed under Topic 606, to expense costs to obtain a contract as incurred when the amortization period would have been one year or less. Sales commissions Xometry pay are included in Xometry’s sales and marketing expenses in the Consolidated Statements of Operations and Comprehensive Loss.</w:t>
      </w:r>
    </w:p>
    <w:p>
      <w:pPr>
        <w:spacing w:after="0" w:line="86" w:lineRule="exact"/>
        <w:rPr>
          <w:sz w:val="20"/>
          <w:szCs w:val="20"/>
          <w:color w:val="auto"/>
        </w:rPr>
      </w:pPr>
    </w:p>
    <w:p>
      <w:pPr>
        <w:ind w:left="1340" w:hanging="638"/>
        <w:spacing w:after="0"/>
        <w:tabs>
          <w:tab w:leader="none" w:pos="13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w:t>
      </w:r>
    </w:p>
    <w:p>
      <w:pPr>
        <w:spacing w:after="0" w:line="123" w:lineRule="exact"/>
        <w:rPr>
          <w:sz w:val="20"/>
          <w:szCs w:val="20"/>
          <w:color w:val="auto"/>
        </w:rPr>
      </w:pPr>
    </w:p>
    <w:p>
      <w:pPr>
        <w:ind w:left="1360" w:right="140"/>
        <w:spacing w:after="0" w:line="239" w:lineRule="auto"/>
        <w:rPr>
          <w:sz w:val="20"/>
          <w:szCs w:val="20"/>
          <w:color w:val="auto"/>
        </w:rPr>
      </w:pPr>
      <w:r>
        <w:rPr>
          <w:rFonts w:ascii="Arial" w:cs="Arial" w:eastAsia="Arial" w:hAnsi="Arial"/>
          <w:sz w:val="18"/>
          <w:szCs w:val="18"/>
          <w:color w:val="auto"/>
        </w:rPr>
        <w:t>Cost of revenue primarily consists of the cost of the products that are manufactured by the Company’s sellers for delivery to buyers on Xometry’s platform, internal production costs, shipping costs and certain internal depreciation.</w:t>
      </w:r>
    </w:p>
    <w:p>
      <w:pPr>
        <w:spacing w:after="0" w:line="87" w:lineRule="exact"/>
        <w:rPr>
          <w:sz w:val="20"/>
          <w:szCs w:val="20"/>
          <w:color w:val="auto"/>
        </w:rPr>
      </w:pPr>
    </w:p>
    <w:p>
      <w:pPr>
        <w:ind w:left="1340" w:hanging="638"/>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Leases</w:t>
      </w:r>
    </w:p>
    <w:p>
      <w:pPr>
        <w:spacing w:after="0" w:line="105" w:lineRule="exact"/>
        <w:rPr>
          <w:sz w:val="20"/>
          <w:szCs w:val="20"/>
          <w:color w:val="auto"/>
        </w:rPr>
      </w:pPr>
    </w:p>
    <w:p>
      <w:pPr>
        <w:ind w:left="1360" w:right="220"/>
        <w:spacing w:after="0" w:line="242" w:lineRule="auto"/>
        <w:rPr>
          <w:sz w:val="20"/>
          <w:szCs w:val="20"/>
          <w:color w:val="auto"/>
        </w:rPr>
      </w:pPr>
      <w:r>
        <w:rPr>
          <w:rFonts w:ascii="Arial" w:cs="Arial" w:eastAsia="Arial" w:hAnsi="Arial"/>
          <w:sz w:val="18"/>
          <w:szCs w:val="18"/>
          <w:color w:val="auto"/>
        </w:rPr>
        <w:t xml:space="preserve">On January 1, 2019, the Company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method. On January 1, 2019, the Company recognized $2.6 million of right of use (“ROU”) operating lease assets and $2.8 million of operating lease liabilities, including noncurrent operating lease liabilities of $2.2 million, as a result of adopting this standard.</w:t>
      </w:r>
    </w:p>
    <w:p>
      <w:pPr>
        <w:spacing w:after="0" w:line="93"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The new standard provides several optional practical expedients for use in transition. The Company elected to use what the FASB deemed the “package of practical expedients,” which allows the Company not to reassess the Company’s previous conclusions about lease identification, lease classification and the accounting treatment for initial direct costs. The standard also provided several optional practical expedients for the ongoing accounting for leases. The Company has elected the short-term lease recognition exemption for all leases that qualify, meaning that for leases with terms of twelve months or less, the Company will not recognize ROU assets or lease liabilities on the Consolidated Balance Sheets. Additionally, the Company has elected to use the practical expedient to not separate lease and non-lease components for leases of real estate, meaning that for these leases, the non-lease components are included in the associated ROU asset and lease liability balances on the Company’s Consolidated Balance Sheets.</w:t>
      </w:r>
    </w:p>
    <w:p>
      <w:pPr>
        <w:spacing w:after="0" w:line="96" w:lineRule="exact"/>
        <w:rPr>
          <w:sz w:val="20"/>
          <w:szCs w:val="20"/>
          <w:color w:val="auto"/>
        </w:rPr>
      </w:pPr>
    </w:p>
    <w:p>
      <w:pPr>
        <w:ind w:left="1360" w:right="20"/>
        <w:spacing w:after="0" w:line="239" w:lineRule="auto"/>
        <w:rPr>
          <w:sz w:val="20"/>
          <w:szCs w:val="20"/>
          <w:color w:val="auto"/>
        </w:rPr>
      </w:pPr>
      <w:r>
        <w:rPr>
          <w:rFonts w:ascii="Arial" w:cs="Arial" w:eastAsia="Arial" w:hAnsi="Arial"/>
          <w:sz w:val="18"/>
          <w:szCs w:val="18"/>
          <w:color w:val="auto"/>
        </w:rPr>
        <w:t>The Company determines if an arrangement contains a lease and the classification of that lease, if applicable, at inception. Operating leases are included in operating lease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40"/>
          </w:cols>
          <w:pgMar w:left="320" w:top="456" w:right="5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260"/>
        <w:spacing w:after="0" w:line="239" w:lineRule="auto"/>
        <w:rPr>
          <w:sz w:val="20"/>
          <w:szCs w:val="20"/>
          <w:color w:val="auto"/>
        </w:rPr>
      </w:pPr>
      <w:r>
        <w:rPr>
          <w:rFonts w:ascii="Arial" w:cs="Arial" w:eastAsia="Arial" w:hAnsi="Arial"/>
          <w:sz w:val="18"/>
          <w:szCs w:val="18"/>
          <w:color w:val="auto"/>
        </w:rPr>
        <w:t>ROU assets, operating lease liabilities and operating lease liabilities (net of current portion) in the Consolidated Balance Sheets. The Company has finance leases as detailed in the Long-Lived Assets section above.</w:t>
      </w:r>
    </w:p>
    <w:p>
      <w:pPr>
        <w:spacing w:after="0" w:line="96"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92" w:lineRule="exact"/>
        <w:rPr>
          <w:sz w:val="20"/>
          <w:szCs w:val="20"/>
          <w:color w:val="auto"/>
        </w:rPr>
      </w:pPr>
    </w:p>
    <w:p>
      <w:pPr>
        <w:ind w:left="1340" w:hanging="638"/>
        <w:spacing w:after="0"/>
        <w:tabs>
          <w:tab w:leader="none" w:pos="134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p>
      <w:pPr>
        <w:ind w:left="1360" w:right="180"/>
        <w:spacing w:after="0" w:line="251" w:lineRule="auto"/>
        <w:rPr>
          <w:sz w:val="20"/>
          <w:szCs w:val="20"/>
          <w:color w:val="auto"/>
        </w:rPr>
      </w:pPr>
      <w:r>
        <w:rPr>
          <w:rFonts w:ascii="Arial" w:cs="Arial" w:eastAsia="Arial" w:hAnsi="Arial"/>
          <w:sz w:val="17"/>
          <w:szCs w:val="17"/>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years ended December 31, 2020 and 2019, the Company’s advertising costs were $12.0 million and $7.9 million, respectively. For the quarters ended March 31, 2021 and 2020 (unaudited), the Company’s advertising costs were $4.2 million and $2.4 million, respectively.</w:t>
      </w:r>
    </w:p>
    <w:p>
      <w:pPr>
        <w:spacing w:after="0" w:line="79" w:lineRule="exact"/>
        <w:rPr>
          <w:sz w:val="20"/>
          <w:szCs w:val="20"/>
          <w:color w:val="auto"/>
        </w:rPr>
      </w:pPr>
    </w:p>
    <w:p>
      <w:pPr>
        <w:ind w:left="1340" w:hanging="638"/>
        <w:spacing w:after="0"/>
        <w:tabs>
          <w:tab w:leader="none" w:pos="134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Operations and Support</w:t>
      </w:r>
    </w:p>
    <w:p>
      <w:pPr>
        <w:spacing w:after="0" w:line="123" w:lineRule="exact"/>
        <w:rPr>
          <w:sz w:val="20"/>
          <w:szCs w:val="20"/>
          <w:color w:val="auto"/>
        </w:rPr>
      </w:pPr>
    </w:p>
    <w:p>
      <w:pPr>
        <w:ind w:left="1360" w:right="20"/>
        <w:spacing w:after="0" w:line="236" w:lineRule="auto"/>
        <w:rPr>
          <w:sz w:val="20"/>
          <w:szCs w:val="20"/>
          <w:color w:val="auto"/>
        </w:rPr>
      </w:pPr>
      <w:r>
        <w:rPr>
          <w:rFonts w:ascii="Arial" w:cs="Arial" w:eastAsia="Arial" w:hAnsi="Arial"/>
          <w:sz w:val="18"/>
          <w:szCs w:val="18"/>
          <w:color w:val="auto"/>
        </w:rPr>
        <w:t>Operations and support expenses are the costs the Company incurs in support of the customers and sellers on Xometry’s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w:t>
      </w:r>
    </w:p>
    <w:p>
      <w:pPr>
        <w:spacing w:after="0" w:line="87" w:lineRule="exact"/>
        <w:rPr>
          <w:sz w:val="20"/>
          <w:szCs w:val="20"/>
          <w:color w:val="auto"/>
        </w:rPr>
      </w:pPr>
    </w:p>
    <w:p>
      <w:pPr>
        <w:ind w:left="1340" w:hanging="638"/>
        <w:spacing w:after="0"/>
        <w:tabs>
          <w:tab w:leader="none" w:pos="134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Product Development</w:t>
      </w:r>
    </w:p>
    <w:p>
      <w:pPr>
        <w:spacing w:after="0" w:line="123" w:lineRule="exact"/>
        <w:rPr>
          <w:sz w:val="20"/>
          <w:szCs w:val="20"/>
          <w:color w:val="auto"/>
        </w:rPr>
      </w:pPr>
    </w:p>
    <w:p>
      <w:pPr>
        <w:jc w:val="both"/>
        <w:ind w:left="1360" w:right="240"/>
        <w:spacing w:after="0" w:line="237"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87" w:lineRule="exact"/>
        <w:rPr>
          <w:sz w:val="20"/>
          <w:szCs w:val="20"/>
          <w:color w:val="auto"/>
        </w:rPr>
      </w:pPr>
    </w:p>
    <w:p>
      <w:pPr>
        <w:ind w:left="1340" w:hanging="638"/>
        <w:spacing w:after="0"/>
        <w:tabs>
          <w:tab w:leader="none" w:pos="13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left="1360" w:right="660"/>
        <w:spacing w:after="0" w:line="237"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87" w:lineRule="exact"/>
        <w:rPr>
          <w:sz w:val="20"/>
          <w:szCs w:val="20"/>
          <w:color w:val="auto"/>
        </w:rPr>
      </w:pPr>
    </w:p>
    <w:p>
      <w:pPr>
        <w:ind w:left="1340" w:hanging="638"/>
        <w:spacing w:after="0"/>
        <w:tabs>
          <w:tab w:leader="none" w:pos="13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Stock Based Compensation</w:t>
      </w:r>
    </w:p>
    <w:p>
      <w:pPr>
        <w:spacing w:after="0" w:line="123" w:lineRule="exact"/>
        <w:rPr>
          <w:sz w:val="20"/>
          <w:szCs w:val="20"/>
          <w:color w:val="auto"/>
        </w:rPr>
      </w:pPr>
    </w:p>
    <w:p>
      <w:pPr>
        <w:jc w:val="both"/>
        <w:ind w:left="1360" w:right="60"/>
        <w:spacing w:after="0" w:line="237" w:lineRule="auto"/>
        <w:rPr>
          <w:sz w:val="20"/>
          <w:szCs w:val="20"/>
          <w:color w:val="auto"/>
        </w:rPr>
      </w:pPr>
      <w:r>
        <w:rPr>
          <w:rFonts w:ascii="Arial" w:cs="Arial" w:eastAsia="Arial" w:hAnsi="Arial"/>
          <w:sz w:val="18"/>
          <w:szCs w:val="18"/>
          <w:color w:val="auto"/>
        </w:rPr>
        <w:t>Stock option awards are measured at the grant date fair value of the award. The Company estimates grant date fair value using the Black-Scholes option-pricing model. The fair value of stock options is recognized as compensation expense on a straight-line basis over the requisite service period, which is typically four years.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60"/>
          </w:cols>
          <w:pgMar w:left="320" w:top="456" w:right="5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Black-Scholes model considers several variables and assumptions in estimating the fair value of stock-based awards.</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These variables include:</w:t>
      </w:r>
    </w:p>
    <w:p>
      <w:pPr>
        <w:spacing w:after="0" w:line="114" w:lineRule="exact"/>
        <w:rPr>
          <w:sz w:val="20"/>
          <w:szCs w:val="20"/>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expected annual dividend yield;</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expected volatility over the expected term;</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risk free interest rate;</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 share value of the underlying common stock; and</w:t>
      </w:r>
    </w:p>
    <w:p>
      <w:pPr>
        <w:spacing w:after="0" w:line="113" w:lineRule="exact"/>
        <w:rPr>
          <w:rFonts w:ascii="Arial" w:cs="Arial" w:eastAsia="Arial" w:hAnsi="Arial"/>
          <w:sz w:val="18"/>
          <w:szCs w:val="18"/>
          <w:color w:val="auto"/>
        </w:rPr>
      </w:pPr>
    </w:p>
    <w:p>
      <w:pPr>
        <w:ind w:left="2020" w:hanging="221"/>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01" w:lineRule="exact"/>
        <w:rPr>
          <w:sz w:val="20"/>
          <w:szCs w:val="20"/>
          <w:color w:val="auto"/>
        </w:rPr>
      </w:pPr>
    </w:p>
    <w:p>
      <w:pPr>
        <w:ind w:left="1360" w:right="20"/>
        <w:spacing w:after="0" w:line="235" w:lineRule="auto"/>
        <w:rPr>
          <w:sz w:val="20"/>
          <w:szCs w:val="20"/>
          <w:color w:val="auto"/>
        </w:rPr>
      </w:pPr>
      <w:r>
        <w:rPr>
          <w:rFonts w:ascii="Arial" w:cs="Arial" w:eastAsia="Arial" w:hAnsi="Arial"/>
          <w:sz w:val="18"/>
          <w:szCs w:val="18"/>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The Company’s common stock is not publicly traded, and therefore, the Company used the historical volatility of the stock price of similar publicly traded peer companies. The Company utilized a dividend yield of zero, as it had no history or plan of declaring dividends on its common stock.</w:t>
      </w:r>
    </w:p>
    <w:p>
      <w:pPr>
        <w:spacing w:after="0" w:line="97" w:lineRule="exact"/>
        <w:rPr>
          <w:sz w:val="20"/>
          <w:szCs w:val="20"/>
          <w:color w:val="auto"/>
        </w:rPr>
      </w:pPr>
    </w:p>
    <w:p>
      <w:pPr>
        <w:ind w:left="1360" w:right="80"/>
        <w:spacing w:after="0" w:line="239" w:lineRule="auto"/>
        <w:rPr>
          <w:sz w:val="20"/>
          <w:szCs w:val="20"/>
          <w:color w:val="auto"/>
        </w:rPr>
      </w:pPr>
      <w:r>
        <w:rPr>
          <w:rFonts w:ascii="Arial" w:cs="Arial" w:eastAsia="Arial" w:hAnsi="Arial"/>
          <w:sz w:val="18"/>
          <w:szCs w:val="18"/>
          <w:color w:val="auto"/>
        </w:rPr>
        <w:t>Total stock-based compensation cost for the years ended December 31, 2020 and 2019 and for the quarters ended March 31, 2021 and 2020 (unaudited) were as follows (amounts in thousands):</w:t>
      </w:r>
    </w:p>
    <w:p>
      <w:pPr>
        <w:spacing w:after="0" w:line="217" w:lineRule="exact"/>
        <w:rPr>
          <w:sz w:val="20"/>
          <w:szCs w:val="20"/>
          <w:color w:val="auto"/>
        </w:rPr>
      </w:pPr>
    </w:p>
    <w:tbl>
      <w:tblPr>
        <w:tblLayout w:type="fixed"/>
        <w:tblInd w:w="148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4"/>
        </w:trPr>
        <w:tc>
          <w:tcPr>
            <w:tcW w:w="5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5"/>
          </w:tcPr>
          <w:p>
            <w:pPr>
              <w:jc w:val="right"/>
              <w:ind w:right="171"/>
              <w:spacing w:after="0" w:line="154"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3"/>
                <w:szCs w:val="13"/>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6"/>
              </w:rPr>
              <w:t>156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93</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53</w:t>
            </w:r>
          </w:p>
        </w:tc>
        <w:tc>
          <w:tcPr>
            <w:tcW w:w="3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23</w:t>
            </w:r>
          </w:p>
        </w:tc>
      </w:tr>
      <w:tr>
        <w:trPr>
          <w:trHeight w:val="201"/>
        </w:trPr>
        <w:tc>
          <w:tcPr>
            <w:tcW w:w="5100" w:type="dxa"/>
            <w:vAlign w:val="bottom"/>
          </w:tcPr>
          <w:p>
            <w:pPr>
              <w:spacing w:after="0" w:line="201" w:lineRule="exact"/>
              <w:rPr>
                <w:sz w:val="20"/>
                <w:szCs w:val="20"/>
                <w:color w:val="auto"/>
              </w:rPr>
            </w:pPr>
            <w:r>
              <w:rPr>
                <w:rFonts w:ascii="Arial" w:cs="Arial" w:eastAsia="Arial" w:hAnsi="Arial"/>
                <w:sz w:val="18"/>
                <w:szCs w:val="18"/>
                <w:color w:val="auto"/>
              </w:rPr>
              <w:t>Operations and support</w:t>
            </w:r>
          </w:p>
        </w:tc>
        <w:tc>
          <w:tcPr>
            <w:tcW w:w="120" w:type="dxa"/>
            <w:vAlign w:val="bottom"/>
          </w:tcPr>
          <w:p>
            <w:pPr>
              <w:spacing w:after="0"/>
              <w:rPr>
                <w:sz w:val="17"/>
                <w:szCs w:val="17"/>
                <w:color w:val="auto"/>
              </w:rPr>
            </w:pPr>
          </w:p>
        </w:tc>
        <w:tc>
          <w:tcPr>
            <w:tcW w:w="440" w:type="dxa"/>
            <w:vAlign w:val="bottom"/>
          </w:tcPr>
          <w:p>
            <w:pPr>
              <w:ind w:left="160"/>
              <w:spacing w:after="0" w:line="201" w:lineRule="exact"/>
              <w:rPr>
                <w:sz w:val="20"/>
                <w:szCs w:val="20"/>
                <w:color w:val="auto"/>
              </w:rPr>
            </w:pPr>
            <w:r>
              <w:rPr>
                <w:rFonts w:ascii="Arial" w:cs="Arial" w:eastAsia="Arial" w:hAnsi="Arial"/>
                <w:sz w:val="18"/>
                <w:szCs w:val="18"/>
                <w:color w:val="auto"/>
                <w:w w:val="86"/>
              </w:rPr>
              <w:t>259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3"/>
              </w:rPr>
              <w:t>154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104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38</w:t>
            </w: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6"/>
              </w:rPr>
              <w:t>375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3"/>
              </w:rPr>
              <w:t>223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55</w:t>
            </w:r>
          </w:p>
        </w:tc>
      </w:tr>
      <w:tr>
        <w:trPr>
          <w:trHeight w:val="201"/>
        </w:trPr>
        <w:tc>
          <w:tcPr>
            <w:tcW w:w="510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440" w:type="dxa"/>
            <w:vAlign w:val="bottom"/>
          </w:tcPr>
          <w:p>
            <w:pPr>
              <w:ind w:left="160"/>
              <w:spacing w:after="0" w:line="201" w:lineRule="exact"/>
              <w:rPr>
                <w:sz w:val="20"/>
                <w:szCs w:val="20"/>
                <w:color w:val="auto"/>
              </w:rPr>
            </w:pPr>
            <w:r>
              <w:rPr>
                <w:rFonts w:ascii="Arial" w:cs="Arial" w:eastAsia="Arial" w:hAnsi="Arial"/>
                <w:sz w:val="18"/>
                <w:szCs w:val="18"/>
                <w:color w:val="auto"/>
                <w:w w:val="86"/>
              </w:rPr>
              <w:t>216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273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32</w:t>
            </w:r>
          </w:p>
        </w:tc>
      </w:tr>
      <w:tr>
        <w:trPr>
          <w:trHeight w:val="27"/>
        </w:trPr>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 compensation expense</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3"/>
              </w:rPr>
              <w:t>544</w:t>
            </w:r>
          </w:p>
        </w:tc>
        <w:tc>
          <w:tcPr>
            <w:tcW w:w="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505</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u w:val="single" w:color="auto"/>
                <w:color w:val="auto"/>
              </w:rPr>
              <w:t>$</w:t>
            </w:r>
          </w:p>
        </w:tc>
        <w:tc>
          <w:tcPr>
            <w:tcW w:w="3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3"/>
              </w:rPr>
              <w:t>148</w:t>
            </w:r>
          </w:p>
        </w:tc>
      </w:tr>
      <w:tr>
        <w:trPr>
          <w:trHeight w:val="20"/>
        </w:trPr>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1" w:lineRule="exact"/>
        <w:rPr>
          <w:sz w:val="20"/>
          <w:szCs w:val="20"/>
          <w:color w:val="auto"/>
        </w:rPr>
      </w:pPr>
    </w:p>
    <w:p>
      <w:pPr>
        <w:ind w:left="1340" w:hanging="638"/>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Net Loss Per Share Attributable to Common Stockholders</w:t>
      </w:r>
    </w:p>
    <w:p>
      <w:pPr>
        <w:spacing w:after="0" w:line="123" w:lineRule="exact"/>
        <w:rPr>
          <w:sz w:val="20"/>
          <w:szCs w:val="20"/>
          <w:color w:val="auto"/>
        </w:rPr>
      </w:pPr>
    </w:p>
    <w:p>
      <w:pPr>
        <w:ind w:left="1360" w:right="160"/>
        <w:spacing w:after="0" w:line="235" w:lineRule="auto"/>
        <w:rPr>
          <w:sz w:val="20"/>
          <w:szCs w:val="20"/>
          <w:color w:val="auto"/>
        </w:rPr>
      </w:pPr>
      <w:r>
        <w:rPr>
          <w:rFonts w:ascii="Arial" w:cs="Arial" w:eastAsia="Arial" w:hAnsi="Arial"/>
          <w:sz w:val="18"/>
          <w:szCs w:val="18"/>
          <w:color w:val="auto"/>
        </w:rPr>
        <w:t>For purposes of calculating net income available to common stockholders the Company increased the net loss by the deemed dividends paid to the preferred stockholders. 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w:t>
      </w:r>
    </w:p>
    <w:p>
      <w:pPr>
        <w:spacing w:after="0" w:line="86" w:lineRule="exact"/>
        <w:rPr>
          <w:sz w:val="20"/>
          <w:szCs w:val="20"/>
          <w:color w:val="auto"/>
        </w:rPr>
      </w:pPr>
    </w:p>
    <w:p>
      <w:pPr>
        <w:ind w:left="1340" w:hanging="638"/>
        <w:spacing w:after="0"/>
        <w:tabs>
          <w:tab w:leader="none" w:pos="134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23" w:lineRule="exact"/>
        <w:rPr>
          <w:sz w:val="20"/>
          <w:szCs w:val="20"/>
          <w:color w:val="auto"/>
        </w:rPr>
      </w:pPr>
    </w:p>
    <w:p>
      <w:pPr>
        <w:ind w:left="1360"/>
        <w:spacing w:after="0" w:line="23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and are measured at the largest amount that is greater than 50% likely of being realized. Changes in recognition or measurement are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6" w:right="5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60"/>
        <w:spacing w:after="0" w:line="239" w:lineRule="auto"/>
        <w:rPr>
          <w:sz w:val="20"/>
          <w:szCs w:val="20"/>
          <w:color w:val="auto"/>
        </w:rPr>
      </w:pPr>
      <w:r>
        <w:rPr>
          <w:rFonts w:ascii="Arial" w:cs="Arial" w:eastAsia="Arial" w:hAnsi="Arial"/>
          <w:sz w:val="18"/>
          <w:szCs w:val="18"/>
          <w:color w:val="auto"/>
        </w:rPr>
        <w:t>reflected in the period in which the change in judgment occurs. To the extent that it is not considered to be more likely than not that a deferred tax asset will be realized, a valuation allowance will be established.</w:t>
      </w:r>
    </w:p>
    <w:p>
      <w:pPr>
        <w:spacing w:after="0" w:line="87" w:lineRule="exact"/>
        <w:rPr>
          <w:sz w:val="20"/>
          <w:szCs w:val="20"/>
          <w:color w:val="auto"/>
        </w:rPr>
      </w:pPr>
    </w:p>
    <w:p>
      <w:pPr>
        <w:ind w:left="1340" w:hanging="638"/>
        <w:spacing w:after="0"/>
        <w:tabs>
          <w:tab w:leader="none" w:pos="1340"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123" w:lineRule="exact"/>
        <w:rPr>
          <w:sz w:val="20"/>
          <w:szCs w:val="20"/>
          <w:color w:val="auto"/>
        </w:rPr>
      </w:pPr>
    </w:p>
    <w:p>
      <w:pPr>
        <w:jc w:val="both"/>
        <w:ind w:left="1360" w:right="280"/>
        <w:spacing w:after="0" w:line="237"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87" w:lineRule="exact"/>
        <w:rPr>
          <w:sz w:val="20"/>
          <w:szCs w:val="20"/>
          <w:color w:val="auto"/>
        </w:rPr>
      </w:pPr>
    </w:p>
    <w:p>
      <w:pPr>
        <w:ind w:left="1340" w:hanging="638"/>
        <w:spacing w:after="0"/>
        <w:tabs>
          <w:tab w:leader="none" w:pos="134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w:t>
      </w:r>
    </w:p>
    <w:p>
      <w:pPr>
        <w:spacing w:after="0" w:line="123" w:lineRule="exact"/>
        <w:rPr>
          <w:sz w:val="20"/>
          <w:szCs w:val="20"/>
          <w:color w:val="auto"/>
        </w:rPr>
      </w:pPr>
    </w:p>
    <w:p>
      <w:pPr>
        <w:ind w:left="1360" w:right="260"/>
        <w:spacing w:after="0" w:line="237"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which range from one to 15 years. Xometry reviews definite-lived intangible assets for impairment under the long-lived asset model described in Property and Equipment and Long-Lived Assets above.</w:t>
      </w:r>
    </w:p>
    <w:p>
      <w:pPr>
        <w:spacing w:after="0" w:line="87" w:lineRule="exact"/>
        <w:rPr>
          <w:sz w:val="20"/>
          <w:szCs w:val="20"/>
          <w:color w:val="auto"/>
        </w:rPr>
      </w:pPr>
    </w:p>
    <w:p>
      <w:pPr>
        <w:ind w:left="1340" w:hanging="638"/>
        <w:spacing w:after="0"/>
        <w:tabs>
          <w:tab w:leader="none" w:pos="1340"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123" w:lineRule="exact"/>
        <w:rPr>
          <w:sz w:val="20"/>
          <w:szCs w:val="20"/>
          <w:color w:val="auto"/>
        </w:rPr>
      </w:pPr>
    </w:p>
    <w:p>
      <w:pPr>
        <w:ind w:left="1360" w:right="180"/>
        <w:spacing w:after="0" w:line="236"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The Company test goodwill for impairment annually in the fourth quarter, or more frequently, if needed, and when there is a triggering event (e.g., a deterioration in general economic conditions or in the environment in which Xometry operates).</w:t>
      </w:r>
    </w:p>
    <w:p>
      <w:pPr>
        <w:spacing w:after="0" w:line="95" w:lineRule="exact"/>
        <w:rPr>
          <w:sz w:val="20"/>
          <w:szCs w:val="20"/>
          <w:color w:val="auto"/>
        </w:rPr>
      </w:pPr>
    </w:p>
    <w:p>
      <w:pPr>
        <w:ind w:left="1360"/>
        <w:spacing w:after="0" w:line="236" w:lineRule="auto"/>
        <w:rPr>
          <w:sz w:val="20"/>
          <w:szCs w:val="20"/>
          <w:color w:val="auto"/>
        </w:rPr>
      </w:pPr>
      <w:r>
        <w:rPr>
          <w:rFonts w:ascii="Arial" w:cs="Arial" w:eastAsia="Arial" w:hAnsi="Arial"/>
          <w:sz w:val="18"/>
          <w:szCs w:val="18"/>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95" w:lineRule="exact"/>
        <w:rPr>
          <w:sz w:val="20"/>
          <w:szCs w:val="20"/>
          <w:color w:val="auto"/>
        </w:rPr>
      </w:pPr>
    </w:p>
    <w:p>
      <w:pPr>
        <w:ind w:left="1360" w:right="200"/>
        <w:spacing w:after="0" w:line="236" w:lineRule="auto"/>
        <w:rPr>
          <w:sz w:val="20"/>
          <w:szCs w:val="20"/>
          <w:color w:val="auto"/>
        </w:rPr>
      </w:pPr>
      <w:r>
        <w:rPr>
          <w:rFonts w:ascii="Arial" w:cs="Arial" w:eastAsia="Arial" w:hAnsi="Arial"/>
          <w:sz w:val="18"/>
          <w:szCs w:val="18"/>
          <w:color w:val="auto"/>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87" w:lineRule="exact"/>
        <w:rPr>
          <w:sz w:val="20"/>
          <w:szCs w:val="20"/>
          <w:color w:val="auto"/>
        </w:rPr>
      </w:pPr>
    </w:p>
    <w:p>
      <w:pPr>
        <w:ind w:left="1340" w:hanging="638"/>
        <w:spacing w:after="0"/>
        <w:tabs>
          <w:tab w:leader="none" w:pos="134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105"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the Year Ended December 31, 2020</w:t>
      </w:r>
    </w:p>
    <w:p>
      <w:pPr>
        <w:spacing w:after="0" w:line="119" w:lineRule="exact"/>
        <w:rPr>
          <w:sz w:val="20"/>
          <w:szCs w:val="20"/>
          <w:color w:val="auto"/>
        </w:rPr>
      </w:pPr>
    </w:p>
    <w:p>
      <w:pPr>
        <w:ind w:left="1360" w:right="160"/>
        <w:spacing w:after="0" w:line="234" w:lineRule="auto"/>
        <w:rPr>
          <w:sz w:val="20"/>
          <w:szCs w:val="20"/>
          <w:color w:val="auto"/>
        </w:rPr>
      </w:pPr>
      <w:r>
        <w:rPr>
          <w:rFonts w:ascii="Arial" w:cs="Arial" w:eastAsia="Arial" w:hAnsi="Arial"/>
          <w:sz w:val="18"/>
          <w:szCs w:val="18"/>
          <w:color w:val="auto"/>
        </w:rPr>
        <w:t>In August 2018, the FASB issued Accounting Standards Update (“ASU”) 2018-13, Fair Value Measurement (Topic 820), Disclosure Framework-Changes to the Disclosure Requirements for Fair Value Measurement (“ASU 2018-13”). This ASU modifies the disclosure requirements for fair value measurements by removing, modifying, or adding 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ASU 2018-13 on January 1, 2020 and it did not materially impact the Company’s consolidated financial statements and related disclosures.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6" w:right="5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Future Periods</w:t>
      </w:r>
    </w:p>
    <w:p>
      <w:pPr>
        <w:spacing w:after="0" w:line="101" w:lineRule="exact"/>
        <w:rPr>
          <w:sz w:val="20"/>
          <w:szCs w:val="20"/>
          <w:color w:val="auto"/>
        </w:rPr>
      </w:pPr>
    </w:p>
    <w:p>
      <w:pPr>
        <w:ind w:left="1360"/>
        <w:spacing w:after="0" w:line="23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w:t>
      </w:r>
      <w:r>
        <w:rPr>
          <w:rFonts w:ascii="Arial" w:cs="Arial" w:eastAsia="Arial" w:hAnsi="Arial"/>
          <w:sz w:val="18"/>
          <w:szCs w:val="18"/>
          <w:i w:val="1"/>
          <w:iCs w:val="1"/>
          <w:color w:val="auto"/>
        </w:rPr>
        <w:t>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Topic 326 changes the impairment model for most financial assets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77" w:lineRule="exact"/>
        <w:rPr>
          <w:sz w:val="20"/>
          <w:szCs w:val="20"/>
          <w:color w:val="auto"/>
        </w:rPr>
      </w:pPr>
    </w:p>
    <w:p>
      <w:pPr>
        <w:ind w:left="1360" w:right="100"/>
        <w:spacing w:after="0" w:line="23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is expected to simplify and improve comparability of financial reporting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convertible instruments and contracts in an entity’s own equity. The ASU is effective for public business entities for fiscal years beginning after December 15, 2021, including interim periods within those fiscal years. For all other entities, the standard will be effective for fiscal years beginning after December 15, 2023, including interim periods within those fiscal years. Early adoption is permitted. The Company is currently evaluating the impact of ASU 2020-06 on its consolidated financial statements and related disclosures.</w:t>
      </w:r>
    </w:p>
    <w:p>
      <w:pPr>
        <w:spacing w:after="0" w:line="95" w:lineRule="exact"/>
        <w:rPr>
          <w:sz w:val="20"/>
          <w:szCs w:val="20"/>
          <w:color w:val="auto"/>
        </w:rPr>
      </w:pPr>
    </w:p>
    <w:p>
      <w:pPr>
        <w:ind w:left="1360" w:right="80"/>
        <w:spacing w:after="0" w:line="239"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328" w:lineRule="exact"/>
        <w:rPr>
          <w:sz w:val="20"/>
          <w:szCs w:val="20"/>
          <w:color w:val="auto"/>
        </w:rPr>
      </w:pPr>
    </w:p>
    <w:p>
      <w:pPr>
        <w:ind w:left="700" w:hanging="533"/>
        <w:spacing w:after="0"/>
        <w:tabs>
          <w:tab w:leader="none" w:pos="7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Credit Concentrations</w:t>
      </w:r>
    </w:p>
    <w:p>
      <w:pPr>
        <w:spacing w:after="0" w:line="122" w:lineRule="exact"/>
        <w:rPr>
          <w:rFonts w:ascii="Arial" w:cs="Arial" w:eastAsia="Arial" w:hAnsi="Arial"/>
          <w:sz w:val="18"/>
          <w:szCs w:val="18"/>
          <w:b w:val="1"/>
          <w:bCs w:val="1"/>
          <w:color w:val="auto"/>
        </w:rPr>
      </w:pPr>
    </w:p>
    <w:p>
      <w:pPr>
        <w:ind w:left="720" w:right="1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89"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For 2020, one customer accounted for more than 10% of the Company’s revenue with a total concentration of approximately</w:t>
      </w:r>
    </w:p>
    <w:p>
      <w:pPr>
        <w:ind w:left="720" w:righ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11.2%. As of December 31, 2020, no single customer accounted for more than 10% of the Company’s accounts receivable. For 2019, no single customer accounted for more than 10% of the Company’s revenue. As of December 31, 2019, one customer accounted for 16% of the Company’s accounts receivable.</w:t>
      </w:r>
    </w:p>
    <w:p>
      <w:pPr>
        <w:spacing w:after="0" w:line="95" w:lineRule="exact"/>
        <w:rPr>
          <w:rFonts w:ascii="Arial" w:cs="Arial" w:eastAsia="Arial" w:hAnsi="Arial"/>
          <w:sz w:val="18"/>
          <w:szCs w:val="18"/>
          <w:b w:val="1"/>
          <w:bCs w:val="1"/>
          <w:color w:val="auto"/>
        </w:rPr>
      </w:pPr>
    </w:p>
    <w:p>
      <w:pPr>
        <w:ind w:left="720" w:right="2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For the quarters ended March 31, 2021 and 2020 (unaudited), no one customer accounted for more than 10% of the Company’s revenue. As of March 31, 2021 (unaudited), one customer accounted for approximately 10% of the Company’s accounts receivable.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6"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hanging="533"/>
        <w:spacing w:after="0"/>
        <w:tabs>
          <w:tab w:leader="none" w:pos="7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2"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Inventory consists of raw materials, work-in-process, tools inventory and finished goods. Raw materials (plastics and metals) become manufactured products in the additive and subtractive manufacturing processes. Work in 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March 31, 2021 (unaudited), and December 31, 2020 and 2019 (in thousands):</w:t>
      </w:r>
    </w:p>
    <w:p>
      <w:pPr>
        <w:spacing w:after="0" w:line="218"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5"/>
                <w:szCs w:val="15"/>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4"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4"/>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80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9"/>
              </w:rPr>
              <w:t>(unaudited)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17"/>
                <w:szCs w:val="17"/>
                <w:color w:val="auto"/>
              </w:rPr>
            </w:pPr>
          </w:p>
        </w:tc>
        <w:tc>
          <w:tcPr>
            <w:tcW w:w="114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484</w:t>
            </w:r>
          </w:p>
        </w:tc>
        <w:tc>
          <w:tcPr>
            <w:tcW w:w="1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1,247</w:t>
            </w: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Tools inventory</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85</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1,492</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3"/>
              </w:rPr>
              <w:t>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Long-Lived Assets</w:t>
      </w:r>
    </w:p>
    <w:p>
      <w:pPr>
        <w:spacing w:after="0" w:line="122" w:lineRule="exact"/>
        <w:rPr>
          <w:rFonts w:ascii="Arial" w:cs="Arial" w:eastAsia="Arial" w:hAnsi="Arial"/>
          <w:sz w:val="18"/>
          <w:szCs w:val="18"/>
          <w:b w:val="1"/>
          <w:bCs w:val="1"/>
          <w:color w:val="auto"/>
        </w:rPr>
      </w:pPr>
    </w:p>
    <w:p>
      <w:pPr>
        <w:ind w:left="720" w:right="6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as of March 31, 2021 (unaudited), and December 31,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Useful Life</w:t>
            </w:r>
          </w:p>
        </w:tc>
        <w:tc>
          <w:tcPr>
            <w:tcW w:w="2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53"/>
              <w:spacing w:after="0" w:line="154"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right"/>
              <w:ind w:right="100"/>
              <w:spacing w:after="0" w:line="154"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ind w:right="71"/>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hardware</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3 years</w:t>
            </w:r>
          </w:p>
        </w:tc>
        <w:tc>
          <w:tcPr>
            <w:tcW w:w="4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$ 1,107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Manufacturing equipment</w:t>
            </w:r>
          </w:p>
        </w:tc>
        <w:tc>
          <w:tcPr>
            <w:tcW w:w="1260" w:type="dxa"/>
            <w:vAlign w:val="bottom"/>
          </w:tcPr>
          <w:p>
            <w:pPr>
              <w:spacing w:after="0"/>
              <w:rPr>
                <w:sz w:val="17"/>
                <w:szCs w:val="17"/>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2,603</w:t>
            </w: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2,603</w:t>
            </w:r>
          </w:p>
        </w:tc>
        <w:tc>
          <w:tcPr>
            <w:tcW w:w="180" w:type="dxa"/>
            <w:vAlign w:val="bottom"/>
          </w:tcPr>
          <w:p>
            <w:pPr>
              <w:spacing w:after="0"/>
              <w:rPr>
                <w:sz w:val="17"/>
                <w:szCs w:val="17"/>
                <w:color w:val="auto"/>
              </w:rPr>
            </w:pPr>
          </w:p>
        </w:tc>
        <w:tc>
          <w:tcPr>
            <w:tcW w:w="84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2,624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development</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3 years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9,226</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8,123</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4,493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Patent</w:t>
            </w:r>
          </w:p>
        </w:tc>
        <w:tc>
          <w:tcPr>
            <w:tcW w:w="1260" w:type="dxa"/>
            <w:vAlign w:val="bottom"/>
          </w:tcPr>
          <w:p>
            <w:pPr>
              <w:spacing w:after="0"/>
              <w:rPr>
                <w:sz w:val="17"/>
                <w:szCs w:val="17"/>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17 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147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40"/>
              <w:spacing w:after="0" w:line="200" w:lineRule="exact"/>
              <w:rPr>
                <w:sz w:val="20"/>
                <w:szCs w:val="20"/>
                <w:color w:val="auto"/>
              </w:rPr>
            </w:pPr>
            <w:r>
              <w:rPr>
                <w:rFonts w:ascii="Arial" w:cs="Arial" w:eastAsia="Arial" w:hAnsi="Arial"/>
                <w:sz w:val="18"/>
                <w:szCs w:val="18"/>
                <w:color w:val="auto"/>
                <w:w w:val="98"/>
              </w:rPr>
              <w:t>Shorter of useful</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2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life or lease term</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Furniture and fixtures</w:t>
            </w:r>
          </w:p>
        </w:tc>
        <w:tc>
          <w:tcPr>
            <w:tcW w:w="1260" w:type="dxa"/>
            <w:vAlign w:val="bottom"/>
          </w:tcPr>
          <w:p>
            <w:pPr>
              <w:spacing w:after="0"/>
              <w:rPr>
                <w:sz w:val="18"/>
                <w:szCs w:val="18"/>
                <w:color w:val="auto"/>
              </w:rPr>
            </w:pPr>
          </w:p>
        </w:tc>
        <w:tc>
          <w:tcPr>
            <w:tcW w:w="16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7 years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678</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518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14,951</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8"/>
              </w:rPr>
              <w:t>13,727</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9,522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Less accumulated depreciation</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(8,280)</w:t>
            </w:r>
          </w:p>
        </w:tc>
        <w:tc>
          <w:tcPr>
            <w:tcW w:w="100" w:type="dxa"/>
            <w:vAlign w:val="bottom"/>
          </w:tcPr>
          <w:p>
            <w:pPr>
              <w:spacing w:after="0"/>
              <w:rPr>
                <w:sz w:val="18"/>
                <w:szCs w:val="18"/>
                <w:color w:val="auto"/>
              </w:rPr>
            </w:pPr>
          </w:p>
        </w:tc>
        <w:tc>
          <w:tcPr>
            <w:tcW w:w="72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(7,614)</w:t>
            </w:r>
          </w:p>
        </w:tc>
        <w:tc>
          <w:tcPr>
            <w:tcW w:w="180" w:type="dxa"/>
            <w:vAlign w:val="bottom"/>
          </w:tcPr>
          <w:p>
            <w:pPr>
              <w:spacing w:after="0"/>
              <w:rPr>
                <w:sz w:val="18"/>
                <w:szCs w:val="18"/>
                <w:color w:val="auto"/>
              </w:rPr>
            </w:pPr>
          </w:p>
        </w:tc>
        <w:tc>
          <w:tcPr>
            <w:tcW w:w="8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(5,306)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6,671</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6,113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$ 4,216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9120" w:type="dxa"/>
            <w:vAlign w:val="bottom"/>
            <w:gridSpan w:val="13"/>
          </w:tcPr>
          <w:p>
            <w:pPr>
              <w:jc w:val="right"/>
              <w:ind w:right="880"/>
              <w:spacing w:after="0"/>
              <w:rPr>
                <w:sz w:val="20"/>
                <w:szCs w:val="20"/>
                <w:color w:val="auto"/>
              </w:rPr>
            </w:pPr>
            <w:r>
              <w:rPr>
                <w:rFonts w:ascii="Arial" w:cs="Arial" w:eastAsia="Arial" w:hAnsi="Arial"/>
                <w:sz w:val="18"/>
                <w:szCs w:val="18"/>
                <w:color w:val="auto"/>
                <w:w w:val="99"/>
              </w:rPr>
              <w:t>Depreciation expense for the years ended December 31, 2020 and 2019 was as follows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gridSpan w:val="2"/>
          </w:tcPr>
          <w:p>
            <w:pPr>
              <w:jc w:val="right"/>
              <w:ind w:right="120"/>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Cost of revenue</w:t>
            </w:r>
          </w:p>
        </w:tc>
        <w:tc>
          <w:tcPr>
            <w:tcW w:w="12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  230</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gridSpan w:val="2"/>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  282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jc w:val="right"/>
              <w:ind w:right="180"/>
              <w:spacing w:after="0" w:line="201" w:lineRule="exact"/>
              <w:rPr>
                <w:sz w:val="20"/>
                <w:szCs w:val="20"/>
                <w:color w:val="auto"/>
              </w:rPr>
            </w:pPr>
            <w:r>
              <w:rPr>
                <w:rFonts w:ascii="Arial" w:cs="Arial" w:eastAsia="Arial" w:hAnsi="Arial"/>
                <w:sz w:val="18"/>
                <w:szCs w:val="18"/>
                <w:color w:val="auto"/>
              </w:rPr>
              <w:t>23</w:t>
            </w:r>
          </w:p>
        </w:tc>
        <w:tc>
          <w:tcPr>
            <w:tcW w:w="900" w:type="dxa"/>
            <w:vAlign w:val="bottom"/>
            <w:gridSpan w:val="5"/>
          </w:tcPr>
          <w:p>
            <w:pPr>
              <w:jc w:val="right"/>
              <w:ind w:right="60"/>
              <w:spacing w:after="0" w:line="201"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support</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193</w:t>
            </w:r>
          </w:p>
        </w:tc>
        <w:tc>
          <w:tcPr>
            <w:tcW w:w="900" w:type="dxa"/>
            <w:vAlign w:val="bottom"/>
            <w:gridSpan w:val="5"/>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Product development</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1,543</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298</w:t>
            </w:r>
          </w:p>
        </w:tc>
        <w:tc>
          <w:tcPr>
            <w:tcW w:w="900" w:type="dxa"/>
            <w:vAlign w:val="bottom"/>
            <w:gridSpan w:val="5"/>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60" w:type="dxa"/>
            <w:vAlign w:val="bottom"/>
            <w:gridSpan w:val="2"/>
          </w:tcPr>
          <w:p>
            <w:pPr>
              <w:spacing w:after="0"/>
              <w:rPr>
                <w:sz w:val="20"/>
                <w:szCs w:val="20"/>
                <w:color w:val="auto"/>
              </w:rPr>
            </w:pPr>
            <w:r>
              <w:rPr>
                <w:rFonts w:ascii="Arial" w:cs="Arial" w:eastAsia="Arial" w:hAnsi="Arial"/>
                <w:sz w:val="18"/>
                <w:szCs w:val="18"/>
                <w:color w:val="auto"/>
              </w:rPr>
              <w:t>Total depreciation expense</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2,287</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60" w:type="dxa"/>
            <w:vAlign w:val="bottom"/>
            <w:gridSpan w:val="3"/>
            <w:vMerge w:val="restart"/>
          </w:tcPr>
          <w:p>
            <w:pPr>
              <w:ind w:left="1080"/>
              <w:spacing w:after="0"/>
              <w:rPr>
                <w:sz w:val="20"/>
                <w:szCs w:val="20"/>
                <w:color w:val="auto"/>
              </w:rPr>
            </w:pPr>
            <w:r>
              <w:rPr>
                <w:rFonts w:ascii="Arial" w:cs="Arial" w:eastAsia="Arial" w:hAnsi="Arial"/>
                <w:sz w:val="18"/>
                <w:szCs w:val="18"/>
                <w:color w:val="auto"/>
              </w:rPr>
              <w:t>F-17</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56" w:right="7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expense for the quarters ended March 31, 2021 and 2020 (unaudited)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jc w:val="right"/>
              <w:ind w:right="151"/>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sales</w:t>
            </w:r>
          </w:p>
        </w:tc>
        <w:tc>
          <w:tcPr>
            <w:tcW w:w="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61</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Operations and support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51</w:t>
            </w:r>
          </w:p>
        </w:tc>
      </w:tr>
      <w:tr>
        <w:trPr>
          <w:trHeight w:val="201"/>
        </w:trPr>
        <w:tc>
          <w:tcPr>
            <w:tcW w:w="870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93"/>
              </w:rPr>
              <w:t>570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3"/>
              </w:rPr>
              <w:t>287</w:t>
            </w:r>
          </w:p>
        </w:tc>
      </w:tr>
      <w:tr>
        <w:trPr>
          <w:trHeight w:val="201"/>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47</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666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452</w:t>
            </w:r>
          </w:p>
        </w:tc>
      </w:tr>
      <w:tr>
        <w:trPr>
          <w:trHeight w:val="20"/>
        </w:trPr>
        <w:tc>
          <w:tcPr>
            <w:tcW w:w="8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1" w:lineRule="exact"/>
        <w:rPr>
          <w:sz w:val="20"/>
          <w:szCs w:val="20"/>
          <w:color w:val="auto"/>
        </w:rPr>
      </w:pPr>
    </w:p>
    <w:p>
      <w:pPr>
        <w:ind w:left="700" w:hanging="533"/>
        <w:spacing w:after="0"/>
        <w:tabs>
          <w:tab w:leader="none" w:pos="7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2" w:lineRule="exact"/>
        <w:rPr>
          <w:rFonts w:ascii="Arial" w:cs="Arial" w:eastAsia="Arial" w:hAnsi="Arial"/>
          <w:sz w:val="18"/>
          <w:szCs w:val="18"/>
          <w:b w:val="1"/>
          <w:bCs w:val="1"/>
          <w:color w:val="auto"/>
        </w:rPr>
      </w:pPr>
    </w:p>
    <w:p>
      <w:pPr>
        <w:ind w:left="7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Operating lease expense for the years ended December 31, 2020 and 2019 and for the quarters ended March 31, 2021 and 2020 (unaudited) was as follows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40" w:type="dxa"/>
            <w:vAlign w:val="bottom"/>
            <w:tcBorders>
              <w:bottom w:val="single" w:sz="8" w:color="CCEEFF"/>
            </w:tcBorders>
          </w:tcPr>
          <w:p>
            <w:pPr>
              <w:spacing w:after="0"/>
              <w:rPr>
                <w:sz w:val="13"/>
                <w:szCs w:val="13"/>
                <w:color w:val="auto"/>
              </w:rPr>
            </w:pPr>
          </w:p>
        </w:tc>
        <w:tc>
          <w:tcPr>
            <w:tcW w:w="31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gridSpan w:val="3"/>
          </w:tcPr>
          <w:p>
            <w:pPr>
              <w:jc w:val="right"/>
              <w:ind w:right="40"/>
              <w:spacing w:after="0" w:line="154"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Cost of revenue</w:t>
            </w:r>
          </w:p>
        </w:tc>
        <w:tc>
          <w:tcPr>
            <w:tcW w:w="3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9"/>
              </w:rPr>
              <w:t>196</w:t>
            </w: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94"/>
              </w:rPr>
              <w:t>$169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7"/>
                <w:szCs w:val="17"/>
                <w:color w:val="auto"/>
              </w:rPr>
            </w:pPr>
          </w:p>
        </w:tc>
        <w:tc>
          <w:tcPr>
            <w:tcW w:w="5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1,024</w:t>
            </w:r>
          </w:p>
        </w:tc>
        <w:tc>
          <w:tcPr>
            <w:tcW w:w="460" w:type="dxa"/>
            <w:vAlign w:val="bottom"/>
          </w:tcPr>
          <w:p>
            <w:pPr>
              <w:spacing w:after="0"/>
              <w:rPr>
                <w:sz w:val="17"/>
                <w:szCs w:val="17"/>
                <w:color w:val="auto"/>
              </w:rPr>
            </w:pP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lease expense</w:t>
            </w:r>
          </w:p>
        </w:tc>
        <w:tc>
          <w:tcPr>
            <w:tcW w:w="4120" w:type="dxa"/>
            <w:vAlign w:val="bottom"/>
            <w:gridSpan w:val="5"/>
            <w:shd w:val="clear" w:color="auto" w:fill="CCEEFF"/>
          </w:tcPr>
          <w:p>
            <w:pPr>
              <w:jc w:val="right"/>
              <w:ind w:right="4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1,220</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240" w:type="dxa"/>
            <w:vAlign w:val="bottom"/>
            <w:gridSpan w:val="2"/>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55"/>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33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36</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$ 45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w w:val="99"/>
              </w:rPr>
              <w:t>282</w:t>
            </w:r>
          </w:p>
        </w:tc>
        <w:tc>
          <w:tcPr>
            <w:tcW w:w="460" w:type="dxa"/>
            <w:vAlign w:val="bottom"/>
          </w:tcPr>
          <w:p>
            <w:pPr>
              <w:spacing w:after="0"/>
              <w:rPr>
                <w:sz w:val="17"/>
                <w:szCs w:val="17"/>
                <w:color w:val="auto"/>
              </w:rPr>
            </w:pP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lease expense</w:t>
            </w:r>
          </w:p>
        </w:tc>
        <w:tc>
          <w:tcPr>
            <w:tcW w:w="3240" w:type="dxa"/>
            <w:vAlign w:val="bottom"/>
            <w:gridSpan w:val="2"/>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318</w:t>
            </w: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200"/>
        <w:spacing w:after="0" w:line="239" w:lineRule="auto"/>
        <w:rPr>
          <w:sz w:val="20"/>
          <w:szCs w:val="20"/>
          <w:color w:val="auto"/>
        </w:rPr>
      </w:pPr>
      <w:r>
        <w:rPr>
          <w:rFonts w:ascii="Arial" w:cs="Arial" w:eastAsia="Arial" w:hAnsi="Arial"/>
          <w:sz w:val="18"/>
          <w:szCs w:val="18"/>
          <w:color w:val="auto"/>
        </w:rPr>
        <w:t>The following table includes supplemental cash and non-cash information related to Xometry’s leases during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794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1"/>
        </w:trPr>
        <w:tc>
          <w:tcPr>
            <w:tcW w:w="794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1"/>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1640" w:type="dxa"/>
            <w:vAlign w:val="bottom"/>
            <w:gridSpan w:val="3"/>
          </w:tcPr>
          <w:p>
            <w:pPr>
              <w:jc w:val="right"/>
              <w:ind w:right="460"/>
              <w:spacing w:after="0" w:line="201" w:lineRule="exact"/>
              <w:rPr>
                <w:sz w:val="20"/>
                <w:szCs w:val="20"/>
                <w:color w:val="auto"/>
              </w:rPr>
            </w:pPr>
            <w:r>
              <w:rPr>
                <w:rFonts w:ascii="Arial" w:cs="Arial" w:eastAsia="Arial" w:hAnsi="Arial"/>
                <w:sz w:val="18"/>
                <w:szCs w:val="18"/>
                <w:color w:val="auto"/>
              </w:rPr>
              <w:t>$1,222</w:t>
            </w: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$724</w:t>
            </w:r>
          </w:p>
        </w:tc>
      </w:tr>
      <w:tr>
        <w:trPr>
          <w:trHeight w:val="201"/>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Financing cash flows from financing leases</w:t>
            </w:r>
          </w:p>
        </w:tc>
        <w:tc>
          <w:tcPr>
            <w:tcW w:w="1640" w:type="dxa"/>
            <w:vAlign w:val="bottom"/>
            <w:gridSpan w:val="3"/>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164</w:t>
            </w:r>
          </w:p>
        </w:tc>
      </w:tr>
      <w:tr>
        <w:trPr>
          <w:trHeight w:val="200"/>
        </w:trPr>
        <w:tc>
          <w:tcPr>
            <w:tcW w:w="7940" w:type="dxa"/>
            <w:vAlign w:val="bottom"/>
          </w:tcPr>
          <w:p>
            <w:pPr>
              <w:spacing w:after="0" w:line="200" w:lineRule="exact"/>
              <w:rPr>
                <w:sz w:val="20"/>
                <w:szCs w:val="20"/>
                <w:color w:val="auto"/>
              </w:rPr>
            </w:pPr>
            <w:r>
              <w:rPr>
                <w:rFonts w:ascii="Arial" w:cs="Arial" w:eastAsia="Arial" w:hAnsi="Arial"/>
                <w:sz w:val="18"/>
                <w:szCs w:val="18"/>
                <w:color w:val="auto"/>
              </w:rPr>
              <w:t>New operating lease right-of-use assets obtained, excluding the amount initially capitalized in</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7940" w:type="dxa"/>
            <w:vAlign w:val="bottom"/>
          </w:tcPr>
          <w:p>
            <w:pPr>
              <w:ind w:left="180"/>
              <w:spacing w:after="0"/>
              <w:rPr>
                <w:sz w:val="20"/>
                <w:szCs w:val="20"/>
                <w:color w:val="auto"/>
              </w:rPr>
            </w:pPr>
            <w:r>
              <w:rPr>
                <w:rFonts w:ascii="Arial" w:cs="Arial" w:eastAsia="Arial" w:hAnsi="Arial"/>
                <w:sz w:val="18"/>
                <w:szCs w:val="18"/>
                <w:color w:val="auto"/>
              </w:rPr>
              <w:t>conjunction with the adoption of Topic 842</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95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bl>
    <w:p>
      <w:pPr>
        <w:spacing w:after="0" w:line="201" w:lineRule="exact"/>
        <w:rPr>
          <w:sz w:val="20"/>
          <w:szCs w:val="20"/>
          <w:color w:val="auto"/>
        </w:rPr>
      </w:pPr>
    </w:p>
    <w:p>
      <w:pPr>
        <w:ind w:left="720" w:right="60"/>
        <w:spacing w:after="0" w:line="239" w:lineRule="auto"/>
        <w:rPr>
          <w:sz w:val="20"/>
          <w:szCs w:val="20"/>
          <w:color w:val="auto"/>
        </w:rPr>
      </w:pPr>
      <w:r>
        <w:rPr>
          <w:rFonts w:ascii="Arial" w:cs="Arial" w:eastAsia="Arial" w:hAnsi="Arial"/>
          <w:sz w:val="18"/>
          <w:szCs w:val="18"/>
          <w:color w:val="auto"/>
        </w:rPr>
        <w:t>The following table (unaudited) includes supplemental cash information related to Xometry’s leases for the quarters ended March 31, 2021 and 2020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7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March 31,</w:t>
            </w:r>
          </w:p>
        </w:tc>
      </w:tr>
      <w:tr>
        <w:trPr>
          <w:trHeight w:val="154"/>
        </w:trPr>
        <w:tc>
          <w:tcPr>
            <w:tcW w:w="7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209"/>
              <w:spacing w:after="0" w:line="154"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4"/>
        </w:trPr>
        <w:tc>
          <w:tcPr>
            <w:tcW w:w="7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8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7140" w:type="dxa"/>
            <w:vAlign w:val="bottom"/>
          </w:tcPr>
          <w:p>
            <w:pPr>
              <w:ind w:left="36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2200" w:type="dxa"/>
            <w:vAlign w:val="bottom"/>
            <w:gridSpan w:val="2"/>
          </w:tcPr>
          <w:p>
            <w:pPr>
              <w:jc w:val="right"/>
              <w:ind w:right="149"/>
              <w:spacing w:after="0" w:line="201" w:lineRule="exact"/>
              <w:rPr>
                <w:sz w:val="20"/>
                <w:szCs w:val="20"/>
                <w:color w:val="auto"/>
              </w:rPr>
            </w:pPr>
            <w:r>
              <w:rPr>
                <w:rFonts w:ascii="Arial" w:cs="Arial" w:eastAsia="Arial" w:hAnsi="Arial"/>
                <w:sz w:val="18"/>
                <w:szCs w:val="18"/>
                <w:color w:val="auto"/>
              </w:rPr>
              <w:t>$295</w:t>
            </w: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$303</w:t>
            </w:r>
          </w:p>
        </w:tc>
      </w:tr>
      <w:tr>
        <w:trPr>
          <w:trHeight w:val="201"/>
        </w:trPr>
        <w:tc>
          <w:tcPr>
            <w:tcW w:w="7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Financing cash flows from financing leases</w:t>
            </w:r>
          </w:p>
        </w:tc>
        <w:tc>
          <w:tcPr>
            <w:tcW w:w="2200" w:type="dxa"/>
            <w:vAlign w:val="bottom"/>
            <w:gridSpan w:val="2"/>
            <w:shd w:val="clear" w:color="auto" w:fill="CCEEFF"/>
          </w:tcPr>
          <w:p>
            <w:pPr>
              <w:jc w:val="right"/>
              <w:ind w:right="149"/>
              <w:spacing w:after="0" w:line="201" w:lineRule="exact"/>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w:t>
            </w:r>
          </w:p>
        </w:tc>
      </w:tr>
      <w:tr>
        <w:trPr>
          <w:trHeight w:val="360"/>
        </w:trPr>
        <w:tc>
          <w:tcPr>
            <w:tcW w:w="7140" w:type="dxa"/>
            <w:vAlign w:val="bottom"/>
          </w:tcPr>
          <w:p>
            <w:pPr>
              <w:ind w:left="4840"/>
              <w:spacing w:after="0"/>
              <w:rPr>
                <w:sz w:val="20"/>
                <w:szCs w:val="20"/>
                <w:color w:val="auto"/>
              </w:rPr>
            </w:pPr>
            <w:r>
              <w:rPr>
                <w:rFonts w:ascii="Arial" w:cs="Arial" w:eastAsia="Arial" w:hAnsi="Arial"/>
                <w:sz w:val="18"/>
                <w:szCs w:val="18"/>
                <w:color w:val="auto"/>
              </w:rPr>
              <w:t>F-18</w:t>
            </w: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20"/>
          </w:cols>
          <w:pgMar w:left="320" w:top="456" w:right="6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Xometry’s aggregate annual lease obligations at December 31, 2020 are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2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2021</w:t>
            </w:r>
          </w:p>
        </w:tc>
        <w:tc>
          <w:tcPr>
            <w:tcW w:w="16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1,153</w:t>
            </w:r>
          </w:p>
        </w:tc>
        <w:tc>
          <w:tcPr>
            <w:tcW w:w="12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2022</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gridSpan w:val="2"/>
          </w:tcPr>
          <w:p>
            <w:pPr>
              <w:jc w:val="right"/>
              <w:ind w:right="1200"/>
              <w:spacing w:after="0" w:line="201" w:lineRule="exact"/>
              <w:rPr>
                <w:sz w:val="20"/>
                <w:szCs w:val="20"/>
                <w:color w:val="auto"/>
              </w:rPr>
            </w:pPr>
            <w:r>
              <w:rPr>
                <w:rFonts w:ascii="Arial" w:cs="Arial" w:eastAsia="Arial" w:hAnsi="Arial"/>
                <w:sz w:val="18"/>
                <w:szCs w:val="18"/>
                <w:color w:val="auto"/>
              </w:rPr>
              <w:t>557</w:t>
            </w: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2023</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1200"/>
              <w:spacing w:after="0" w:line="201" w:lineRule="exact"/>
              <w:rPr>
                <w:sz w:val="20"/>
                <w:szCs w:val="20"/>
                <w:color w:val="auto"/>
              </w:rPr>
            </w:pPr>
            <w:r>
              <w:rPr>
                <w:rFonts w:ascii="Arial" w:cs="Arial" w:eastAsia="Arial" w:hAnsi="Arial"/>
                <w:sz w:val="18"/>
                <w:szCs w:val="18"/>
                <w:color w:val="auto"/>
              </w:rPr>
              <w:t>362</w:t>
            </w: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2024</w:t>
            </w:r>
          </w:p>
        </w:tc>
        <w:tc>
          <w:tcPr>
            <w:tcW w:w="16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331</w:t>
            </w:r>
          </w:p>
        </w:tc>
        <w:tc>
          <w:tcPr>
            <w:tcW w:w="1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undiscounted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1200"/>
              <w:spacing w:after="0" w:line="201" w:lineRule="exact"/>
              <w:rPr>
                <w:sz w:val="20"/>
                <w:szCs w:val="20"/>
                <w:color w:val="auto"/>
              </w:rPr>
            </w:pPr>
            <w:r>
              <w:rPr>
                <w:rFonts w:ascii="Arial" w:cs="Arial" w:eastAsia="Arial" w:hAnsi="Arial"/>
                <w:sz w:val="18"/>
                <w:szCs w:val="18"/>
                <w:color w:val="auto"/>
              </w:rPr>
              <w:t>2,403</w:t>
            </w: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Less imputed interest</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272</w:t>
            </w: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2,131</w:t>
            </w: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Xometry’s aggregate annual lease obligations at March 31, 2021 (unaudited) are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1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80"/>
              <w:spacing w:after="0" w:line="154" w:lineRule="exact"/>
              <w:rPr>
                <w:sz w:val="20"/>
                <w:szCs w:val="20"/>
                <w:color w:val="auto"/>
              </w:rPr>
            </w:pPr>
            <w:r>
              <w:rPr>
                <w:rFonts w:ascii="Arial" w:cs="Arial" w:eastAsia="Arial" w:hAnsi="Arial"/>
                <w:sz w:val="14"/>
                <w:szCs w:val="14"/>
                <w:b w:val="1"/>
                <w:bCs w:val="1"/>
                <w:color w:val="auto"/>
              </w:rPr>
              <w:t>(unaudited)</w:t>
            </w: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2021</w:t>
            </w:r>
          </w:p>
        </w:tc>
        <w:tc>
          <w:tcPr>
            <w:tcW w:w="2120" w:type="dxa"/>
            <w:vAlign w:val="bottom"/>
            <w:gridSpan w:val="2"/>
            <w:shd w:val="clear" w:color="auto" w:fill="CCEEFF"/>
          </w:tcPr>
          <w:p>
            <w:pPr>
              <w:ind w:left="16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844</w:t>
            </w:r>
          </w:p>
        </w:tc>
        <w:tc>
          <w:tcPr>
            <w:tcW w:w="158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2022</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557</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2023</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362</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2024</w:t>
            </w:r>
          </w:p>
        </w:tc>
        <w:tc>
          <w:tcPr>
            <w:tcW w:w="16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undiscounted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2,094</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less imputed interest</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229</w:t>
            </w: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lease obligations</w:t>
            </w:r>
          </w:p>
        </w:tc>
        <w:tc>
          <w:tcPr>
            <w:tcW w:w="1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1,865</w:t>
            </w:r>
          </w:p>
        </w:tc>
        <w:tc>
          <w:tcPr>
            <w:tcW w:w="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14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100"/>
        <w:spacing w:after="0" w:line="239" w:lineRule="auto"/>
        <w:rPr>
          <w:sz w:val="20"/>
          <w:szCs w:val="20"/>
          <w:color w:val="auto"/>
        </w:rPr>
      </w:pPr>
      <w:r>
        <w:rPr>
          <w:rFonts w:ascii="Arial" w:cs="Arial" w:eastAsia="Arial" w:hAnsi="Arial"/>
          <w:sz w:val="18"/>
          <w:szCs w:val="18"/>
          <w:color w:val="auto"/>
        </w:rPr>
        <w:t>The following are the remaining weighted average lease terms and discount rates for Xometry’s leases as of December 31, 2020 and 2019:</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520" w:type="dxa"/>
            <w:vAlign w:val="bottom"/>
          </w:tcPr>
          <w:p>
            <w:pPr>
              <w:spacing w:after="0"/>
              <w:rPr>
                <w:sz w:val="15"/>
                <w:szCs w:val="15"/>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5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94"/>
        </w:trPr>
        <w:tc>
          <w:tcPr>
            <w:tcW w:w="85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Weighted average remaining lease term (in years)</w:t>
            </w: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6"/>
                <w:szCs w:val="16"/>
                <w:color w:val="auto"/>
              </w:rPr>
            </w:pPr>
          </w:p>
        </w:tc>
      </w:tr>
      <w:tr>
        <w:trPr>
          <w:trHeight w:val="213"/>
        </w:trPr>
        <w:tc>
          <w:tcPr>
            <w:tcW w:w="85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8.45%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r>
    </w:tbl>
    <w:p>
      <w:pPr>
        <w:spacing w:after="0" w:line="200" w:lineRule="exact"/>
        <w:rPr>
          <w:sz w:val="20"/>
          <w:szCs w:val="20"/>
          <w:color w:val="auto"/>
        </w:rPr>
      </w:pPr>
    </w:p>
    <w:p>
      <w:pPr>
        <w:ind w:left="720" w:right="520"/>
        <w:spacing w:after="0" w:line="239" w:lineRule="auto"/>
        <w:rPr>
          <w:sz w:val="20"/>
          <w:szCs w:val="20"/>
          <w:color w:val="auto"/>
        </w:rPr>
      </w:pPr>
      <w:r>
        <w:rPr>
          <w:rFonts w:ascii="Arial" w:cs="Arial" w:eastAsia="Arial" w:hAnsi="Arial"/>
          <w:sz w:val="18"/>
          <w:szCs w:val="18"/>
          <w:color w:val="auto"/>
        </w:rPr>
        <w:t>The following are the remaining weighted average lease terms and discount rate for Xometry’s leases as of March 31, 2021 (unaudited):</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90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r>
      <w:tr>
        <w:trPr>
          <w:trHeight w:val="154"/>
        </w:trPr>
        <w:tc>
          <w:tcPr>
            <w:tcW w:w="90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3"/>
                <w:szCs w:val="13"/>
                <w:color w:val="auto"/>
              </w:rPr>
            </w:pPr>
          </w:p>
        </w:tc>
      </w:tr>
      <w:tr>
        <w:trPr>
          <w:trHeight w:val="154"/>
        </w:trPr>
        <w:tc>
          <w:tcPr>
            <w:tcW w:w="904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201"/>
        </w:trPr>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remaining lease term (in years)</w:t>
            </w:r>
          </w:p>
        </w:tc>
        <w:tc>
          <w:tcPr>
            <w:tcW w:w="10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2.6</w:t>
            </w:r>
          </w:p>
        </w:tc>
      </w:tr>
      <w:tr>
        <w:trPr>
          <w:trHeight w:val="213"/>
        </w:trPr>
        <w:tc>
          <w:tcPr>
            <w:tcW w:w="90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r>
    </w:tbl>
    <w:p>
      <w:pPr>
        <w:spacing w:after="0" w:line="326" w:lineRule="exact"/>
        <w:rPr>
          <w:sz w:val="20"/>
          <w:szCs w:val="20"/>
          <w:color w:val="auto"/>
        </w:rPr>
      </w:pPr>
    </w:p>
    <w:p>
      <w:pPr>
        <w:ind w:left="700" w:hanging="533"/>
        <w:spacing w:after="0"/>
        <w:tabs>
          <w:tab w:leader="none" w:pos="7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2" w:lineRule="exact"/>
        <w:rPr>
          <w:rFonts w:ascii="Arial" w:cs="Arial" w:eastAsia="Arial" w:hAnsi="Arial"/>
          <w:sz w:val="18"/>
          <w:szCs w:val="18"/>
          <w:b w:val="1"/>
          <w:bCs w:val="1"/>
          <w:color w:val="auto"/>
        </w:rPr>
      </w:pPr>
    </w:p>
    <w:p>
      <w:pPr>
        <w:ind w:left="7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rights upon liquidation, and dissolution of the Company.</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0940"/>
          </w:cols>
          <w:pgMar w:left="320" w:top="456" w:right="6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hanging="533"/>
        <w:spacing w:after="0"/>
        <w:tabs>
          <w:tab w:leader="none" w:pos="7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2" w:lineRule="exact"/>
        <w:rPr>
          <w:rFonts w:ascii="Arial" w:cs="Arial" w:eastAsia="Arial" w:hAnsi="Arial"/>
          <w:sz w:val="18"/>
          <w:szCs w:val="18"/>
          <w:b w:val="1"/>
          <w:bCs w:val="1"/>
          <w:color w:val="auto"/>
        </w:rPr>
      </w:pPr>
    </w:p>
    <w:p>
      <w:pPr>
        <w:ind w:left="720" w:right="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Company has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203" w:lineRule="exact"/>
        <w:rPr>
          <w:rFonts w:ascii="Arial" w:cs="Arial" w:eastAsia="Arial" w:hAnsi="Arial"/>
          <w:sz w:val="18"/>
          <w:szCs w:val="18"/>
          <w:b w:val="1"/>
          <w:bCs w:val="1"/>
          <w:color w:val="auto"/>
        </w:rPr>
      </w:pPr>
    </w:p>
    <w:p>
      <w:pPr>
        <w:ind w:left="720" w:righ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 numbers of authorized and outstanding shares in the Convertible Preferred Stock, with their total respective liquidation preferences, were as follows (in thousands, except share and per share data):</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650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24"/>
                <w:szCs w:val="24"/>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54"/>
        </w:trPr>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60" w:type="dxa"/>
            <w:vAlign w:val="bottom"/>
            <w:gridSpan w:val="3"/>
          </w:tcPr>
          <w:p>
            <w:pPr>
              <w:jc w:val="right"/>
              <w:ind w:right="1160"/>
              <w:spacing w:after="0" w:line="154"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78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rPr>
              <w:t>Carrying</w:t>
            </w:r>
          </w:p>
        </w:tc>
      </w:tr>
      <w:tr>
        <w:trPr>
          <w:trHeight w:val="154"/>
        </w:trPr>
        <w:tc>
          <w:tcPr>
            <w:tcW w:w="6500" w:type="dxa"/>
            <w:vAlign w:val="bottom"/>
          </w:tcPr>
          <w:p>
            <w:pPr>
              <w:spacing w:after="0"/>
              <w:rPr>
                <w:sz w:val="13"/>
                <w:szCs w:val="13"/>
                <w:color w:val="auto"/>
              </w:rPr>
            </w:pPr>
          </w:p>
        </w:tc>
        <w:tc>
          <w:tcPr>
            <w:tcW w:w="8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Authorized</w:t>
            </w:r>
          </w:p>
        </w:tc>
        <w:tc>
          <w:tcPr>
            <w:tcW w:w="4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Value</w:t>
            </w:r>
          </w:p>
        </w:tc>
      </w:tr>
      <w:tr>
        <w:trPr>
          <w:trHeight w:val="181"/>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Seed-1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4,200,000</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4,200</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2,188,322</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2,998</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4,211,094</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1,591,230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12,884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12,839</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4,132,055</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20,764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20,347</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3,754,201</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26,248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26,004</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5,494,064</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54,933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54,864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E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2,400,000</w:t>
            </w:r>
          </w:p>
        </w:tc>
        <w:tc>
          <w:tcPr>
            <w:tcW w:w="4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2,275,759</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32,693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30,757</w:t>
            </w:r>
          </w:p>
        </w:tc>
      </w:tr>
      <w:tr>
        <w:trPr>
          <w:trHeight w:val="20"/>
        </w:trPr>
        <w:tc>
          <w:tcPr>
            <w:tcW w:w="6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500" w:type="dxa"/>
            <w:vAlign w:val="bottom"/>
          </w:tcPr>
          <w:p>
            <w:pPr>
              <w:spacing w:after="0"/>
              <w:rPr>
                <w:sz w:val="20"/>
                <w:szCs w:val="20"/>
                <w:color w:val="auto"/>
              </w:rPr>
            </w:pPr>
            <w:r>
              <w:rPr>
                <w:rFonts w:ascii="Arial" w:cs="Arial" w:eastAsia="Arial" w:hAnsi="Arial"/>
                <w:sz w:val="14"/>
                <w:szCs w:val="14"/>
                <w:color w:val="auto"/>
              </w:rPr>
              <w:t>Totals</w:t>
            </w:r>
          </w:p>
        </w:tc>
        <w:tc>
          <w:tcPr>
            <w:tcW w:w="800" w:type="dxa"/>
            <w:vAlign w:val="bottom"/>
          </w:tcPr>
          <w:p>
            <w:pPr>
              <w:jc w:val="right"/>
              <w:spacing w:after="0"/>
              <w:rPr>
                <w:sz w:val="20"/>
                <w:szCs w:val="20"/>
                <w:color w:val="auto"/>
              </w:rPr>
            </w:pPr>
            <w:r>
              <w:rPr>
                <w:rFonts w:ascii="Arial" w:cs="Arial" w:eastAsia="Arial" w:hAnsi="Arial"/>
                <w:sz w:val="14"/>
                <w:szCs w:val="14"/>
                <w:color w:val="auto"/>
              </w:rPr>
              <w:t>27,970,966</w:t>
            </w:r>
          </w:p>
        </w:tc>
        <w:tc>
          <w:tcPr>
            <w:tcW w:w="4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27,758,941</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163,520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160,713</w:t>
            </w:r>
          </w:p>
        </w:tc>
      </w:tr>
      <w:tr>
        <w:trPr>
          <w:trHeight w:val="20"/>
        </w:trPr>
        <w:tc>
          <w:tcPr>
            <w:tcW w:w="6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600" w:right="60" w:hanging="433"/>
        <w:spacing w:after="0" w:line="254" w:lineRule="auto"/>
        <w:tabs>
          <w:tab w:leader="none" w:pos="6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This table reflects the numbers of authorized and outstanding shares in the Convertible Preferred Stock, with their total respective liquidation preferences as of March 31, 2021 (unaudited).</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tcPr>
          <w:p>
            <w:pPr>
              <w:jc w:val="right"/>
              <w:ind w:right="1160"/>
              <w:spacing w:after="0" w:line="154" w:lineRule="exact"/>
              <w:rPr>
                <w:sz w:val="20"/>
                <w:szCs w:val="20"/>
                <w:color w:val="auto"/>
              </w:rPr>
            </w:pPr>
            <w:r>
              <w:rPr>
                <w:rFonts w:ascii="Arial" w:cs="Arial" w:eastAsia="Arial" w:hAnsi="Arial"/>
                <w:sz w:val="14"/>
                <w:szCs w:val="14"/>
                <w:b w:val="1"/>
                <w:bCs w:val="1"/>
                <w:color w:val="auto"/>
                <w:w w:val="98"/>
              </w:rPr>
              <w:t>Shares</w:t>
            </w: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78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rPr>
              <w:t>Carrying</w:t>
            </w:r>
          </w:p>
        </w:tc>
      </w:tr>
      <w:tr>
        <w:trPr>
          <w:trHeight w:val="154"/>
        </w:trPr>
        <w:tc>
          <w:tcPr>
            <w:tcW w:w="65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40"/>
              <w:spacing w:after="0" w:line="154" w:lineRule="exact"/>
              <w:rPr>
                <w:sz w:val="20"/>
                <w:szCs w:val="20"/>
                <w:color w:val="auto"/>
              </w:rPr>
            </w:pPr>
            <w:r>
              <w:rPr>
                <w:rFonts w:ascii="Arial" w:cs="Arial" w:eastAsia="Arial" w:hAnsi="Arial"/>
                <w:sz w:val="14"/>
                <w:szCs w:val="14"/>
                <w:b w:val="1"/>
                <w:bCs w:val="1"/>
                <w:color w:val="auto"/>
              </w:rPr>
              <w:t>Authorized</w:t>
            </w: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4"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Value</w:t>
            </w:r>
          </w:p>
        </w:tc>
      </w:tr>
      <w:tr>
        <w:trPr>
          <w:trHeight w:val="181"/>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Seed-1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4,200,000</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4,200</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2,188,322</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2,998</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4,211,094</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1,591,230</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6,957</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4,132,055</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18,846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18,612</w:t>
            </w:r>
          </w:p>
        </w:tc>
      </w:tr>
      <w:tr>
        <w:trPr>
          <w:trHeight w:val="160"/>
        </w:trPr>
        <w:tc>
          <w:tcPr>
            <w:tcW w:w="6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3,754,201</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24,756</w:t>
            </w:r>
          </w:p>
        </w:tc>
      </w:tr>
      <w:tr>
        <w:trPr>
          <w:trHeight w:val="160"/>
        </w:trPr>
        <w:tc>
          <w:tcPr>
            <w:tcW w:w="650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5,600,000</w:t>
            </w:r>
          </w:p>
        </w:tc>
        <w:tc>
          <w:tcPr>
            <w:tcW w:w="164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55,000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54,929</w:t>
            </w:r>
          </w:p>
        </w:tc>
      </w:tr>
      <w:tr>
        <w:trPr>
          <w:trHeight w:val="27"/>
        </w:trPr>
        <w:tc>
          <w:tcPr>
            <w:tcW w:w="6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Totals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25,676,902</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25,483,182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121,844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121,156</w:t>
            </w:r>
          </w:p>
        </w:tc>
      </w:tr>
      <w:tr>
        <w:trPr>
          <w:trHeight w:val="20"/>
        </w:trPr>
        <w:tc>
          <w:tcPr>
            <w:tcW w:w="6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right="60"/>
        <w:spacing w:after="0" w:line="234"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The Company exercised its right of first refusal to reacquire these shares of Convertible Preferred Stock from these certain stockholders at the same price the third party was willing to pay for such shares of Convertible Preferred Stock. In conjunction with the Series E offering, the Company sold the same shares of Series A-2, B, C and D Convertible Preferred Stock to the Series E investors for the same price that the Company paid to acquire such shares of Convertible Preferred Stock. The Company recorded an $8.8 million deemed dividend to the selling stockholders, which represents the excess of the purchase price of the shares of Convertible Preferred Stock purchased by the Company over the original cost of the shares and was recorded in additional paid-in-capital and accumulated deficit.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is a reconciliation of the Convertible Preferred Stock reacquired and reissued in 2020 (in thousands):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2"/>
          </w:tcPr>
          <w:p>
            <w:pPr>
              <w:jc w:val="center"/>
              <w:ind w:left="14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2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2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41"/>
        </w:trPr>
        <w:tc>
          <w:tcPr>
            <w:tcW w:w="29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rPr>
              <w:t>Cash Paid to</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Reacquire</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9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Preferred</w:t>
            </w:r>
          </w:p>
        </w:tc>
        <w:tc>
          <w:tcPr>
            <w:tcW w:w="22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Carrying</w:t>
            </w:r>
          </w:p>
        </w:tc>
      </w:tr>
      <w:tr>
        <w:trPr>
          <w:trHeight w:val="174"/>
        </w:trPr>
        <w:tc>
          <w:tcPr>
            <w:tcW w:w="29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Repurchased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Issued</w:t>
            </w:r>
          </w:p>
        </w:tc>
        <w:tc>
          <w:tcPr>
            <w:tcW w:w="220" w:type="dxa"/>
            <w:vAlign w:val="bottom"/>
          </w:tcPr>
          <w:p>
            <w:pPr>
              <w:spacing w:after="0"/>
              <w:rPr>
                <w:sz w:val="15"/>
                <w:szCs w:val="15"/>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40"/>
        </w:trPr>
        <w:tc>
          <w:tcPr>
            <w:tcW w:w="29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Series:</w:t>
            </w: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5"/>
        </w:trPr>
        <w:tc>
          <w:tcPr>
            <w:tcW w:w="2940" w:type="dxa"/>
            <w:vAlign w:val="bottom"/>
          </w:tcPr>
          <w:p>
            <w:pPr>
              <w:ind w:left="300"/>
              <w:spacing w:after="0"/>
              <w:rPr>
                <w:sz w:val="20"/>
                <w:szCs w:val="20"/>
                <w:color w:val="auto"/>
              </w:rPr>
            </w:pPr>
            <w:r>
              <w:rPr>
                <w:rFonts w:ascii="Arial" w:cs="Arial" w:eastAsia="Arial" w:hAnsi="Arial"/>
                <w:sz w:val="14"/>
                <w:szCs w:val="14"/>
                <w:color w:val="auto"/>
              </w:rPr>
              <w:t>Series Seed-1 Convertible Preferred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940" w:type="dxa"/>
            <w:vAlign w:val="bottom"/>
          </w:tcPr>
          <w:p>
            <w:pPr>
              <w:ind w:left="440"/>
              <w:spacing w:after="0" w:line="156" w:lineRule="exact"/>
              <w:rPr>
                <w:sz w:val="20"/>
                <w:szCs w:val="20"/>
                <w:color w:val="auto"/>
              </w:rPr>
            </w:pPr>
            <w:r>
              <w:rPr>
                <w:rFonts w:ascii="Arial" w:cs="Arial" w:eastAsia="Arial" w:hAnsi="Arial"/>
                <w:sz w:val="14"/>
                <w:szCs w:val="14"/>
                <w:color w:val="auto"/>
              </w:rPr>
              <w:t>Stock</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4,200,000</w:t>
            </w:r>
          </w:p>
        </w:tc>
        <w:tc>
          <w:tcPr>
            <w:tcW w:w="220" w:type="dxa"/>
            <w:vAlign w:val="bottom"/>
          </w:tcPr>
          <w:p>
            <w:pPr>
              <w:spacing w:after="0"/>
              <w:rPr>
                <w:sz w:val="13"/>
                <w:szCs w:val="13"/>
                <w:color w:val="auto"/>
              </w:rPr>
            </w:pPr>
          </w:p>
        </w:tc>
        <w:tc>
          <w:tcPr>
            <w:tcW w:w="114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3"/>
          </w:tcPr>
          <w:p>
            <w:pPr>
              <w:jc w:val="right"/>
              <w:ind w:right="140"/>
              <w:spacing w:after="0" w:line="156" w:lineRule="exact"/>
              <w:rPr>
                <w:sz w:val="20"/>
                <w:szCs w:val="20"/>
                <w:color w:val="auto"/>
              </w:rPr>
            </w:pPr>
            <w:r>
              <w:rPr>
                <w:rFonts w:ascii="Arial" w:cs="Arial" w:eastAsia="Arial" w:hAnsi="Arial"/>
                <w:sz w:val="14"/>
                <w:szCs w:val="14"/>
                <w:color w:val="auto"/>
              </w:rPr>
              <w:t>4,200,000</w:t>
            </w:r>
          </w:p>
        </w:tc>
        <w:tc>
          <w:tcPr>
            <w:tcW w:w="80" w:type="dxa"/>
            <w:vAlign w:val="bottom"/>
          </w:tcPr>
          <w:p>
            <w:pPr>
              <w:spacing w:after="0"/>
              <w:rPr>
                <w:sz w:val="13"/>
                <w:szCs w:val="13"/>
                <w:color w:val="auto"/>
              </w:rPr>
            </w:pPr>
          </w:p>
        </w:tc>
        <w:tc>
          <w:tcPr>
            <w:tcW w:w="80" w:type="dxa"/>
            <w:vAlign w:val="bottom"/>
          </w:tcPr>
          <w:p>
            <w:pPr>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4,200</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ind w:left="50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4,200</w:t>
            </w:r>
          </w:p>
        </w:tc>
      </w:tr>
      <w:tr>
        <w:trPr>
          <w:trHeight w:val="165"/>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Seed-2 Convertible Preferred</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294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Stock</w:t>
            </w: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2,188,322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2,998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0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2,998</w:t>
            </w: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A-1 Convertible Preferred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4,211,094</w:t>
            </w:r>
          </w:p>
        </w:tc>
        <w:tc>
          <w:tcPr>
            <w:tcW w:w="22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4,211,094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8,704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8,704</w:t>
            </w:r>
          </w:p>
        </w:tc>
      </w:tr>
      <w:tr>
        <w:trPr>
          <w:trHeight w:val="160"/>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A-2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(1,136,622)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1,136,622</w:t>
            </w:r>
          </w:p>
        </w:tc>
        <w:tc>
          <w:tcPr>
            <w:tcW w:w="12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1,591,230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(5,001)</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10,883</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12,839</w:t>
            </w: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B Convertible Preferred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4,044,271</w:t>
            </w:r>
          </w:p>
        </w:tc>
        <w:tc>
          <w:tcPr>
            <w:tcW w:w="2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(390,152)</w:t>
            </w:r>
          </w:p>
        </w:tc>
        <w:tc>
          <w:tcPr>
            <w:tcW w:w="800" w:type="dxa"/>
            <w:vAlign w:val="bottom"/>
          </w:tcPr>
          <w:p>
            <w:pPr>
              <w:jc w:val="right"/>
              <w:spacing w:after="0"/>
              <w:rPr>
                <w:sz w:val="20"/>
                <w:szCs w:val="20"/>
                <w:color w:val="auto"/>
              </w:rPr>
            </w:pPr>
            <w:r>
              <w:rPr>
                <w:rFonts w:ascii="Arial" w:cs="Arial" w:eastAsia="Arial" w:hAnsi="Arial"/>
                <w:sz w:val="14"/>
                <w:szCs w:val="14"/>
                <w:color w:val="auto"/>
              </w:rPr>
              <w:t>390,152</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4,044,271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18,612</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(2,001)</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20,347</w:t>
            </w:r>
          </w:p>
        </w:tc>
      </w:tr>
      <w:tr>
        <w:trPr>
          <w:trHeight w:val="160"/>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C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(405,453)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405,453</w:t>
            </w:r>
          </w:p>
        </w:tc>
        <w:tc>
          <w:tcPr>
            <w:tcW w:w="120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3,754,201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24,756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26,004</w:t>
            </w:r>
          </w:p>
        </w:tc>
      </w:tr>
      <w:tr>
        <w:trPr>
          <w:trHeight w:val="160"/>
        </w:trPr>
        <w:tc>
          <w:tcPr>
            <w:tcW w:w="2940" w:type="dxa"/>
            <w:vAlign w:val="bottom"/>
          </w:tcPr>
          <w:p>
            <w:pPr>
              <w:ind w:left="300"/>
              <w:spacing w:after="0"/>
              <w:rPr>
                <w:sz w:val="20"/>
                <w:szCs w:val="20"/>
                <w:color w:val="auto"/>
              </w:rPr>
            </w:pPr>
            <w:r>
              <w:rPr>
                <w:rFonts w:ascii="Arial" w:cs="Arial" w:eastAsia="Arial" w:hAnsi="Arial"/>
                <w:sz w:val="14"/>
                <w:szCs w:val="14"/>
                <w:color w:val="auto"/>
              </w:rPr>
              <w:t>Series D Convertible Preferred Stock</w:t>
            </w:r>
          </w:p>
        </w:tc>
        <w:tc>
          <w:tcPr>
            <w:tcW w:w="860" w:type="dxa"/>
            <w:vAlign w:val="bottom"/>
          </w:tcPr>
          <w:p>
            <w:pPr>
              <w:jc w:val="right"/>
              <w:spacing w:after="0"/>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(314,659)</w:t>
            </w:r>
          </w:p>
        </w:tc>
        <w:tc>
          <w:tcPr>
            <w:tcW w:w="800" w:type="dxa"/>
            <w:vAlign w:val="bottom"/>
          </w:tcPr>
          <w:p>
            <w:pPr>
              <w:jc w:val="right"/>
              <w:spacing w:after="0"/>
              <w:rPr>
                <w:sz w:val="20"/>
                <w:szCs w:val="20"/>
                <w:color w:val="auto"/>
              </w:rPr>
            </w:pPr>
            <w:r>
              <w:rPr>
                <w:rFonts w:ascii="Arial" w:cs="Arial" w:eastAsia="Arial" w:hAnsi="Arial"/>
                <w:sz w:val="14"/>
                <w:szCs w:val="14"/>
                <w:color w:val="auto"/>
              </w:rPr>
              <w:t>314,659</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5,494,064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54,929</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(3,150)</w:t>
            </w:r>
          </w:p>
        </w:tc>
        <w:tc>
          <w:tcPr>
            <w:tcW w:w="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3,085</w:t>
            </w: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54,864</w:t>
            </w:r>
          </w:p>
        </w:tc>
      </w:tr>
      <w:tr>
        <w:trPr>
          <w:trHeight w:val="160"/>
        </w:trPr>
        <w:tc>
          <w:tcPr>
            <w:tcW w:w="2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Series E Convertible Preferred Stock</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2,275,759</w:t>
            </w:r>
          </w:p>
        </w:tc>
        <w:tc>
          <w:tcPr>
            <w:tcW w:w="22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2,275,759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30,757</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30,757</w:t>
            </w:r>
          </w:p>
        </w:tc>
      </w:tr>
      <w:tr>
        <w:trPr>
          <w:trHeight w:val="20"/>
        </w:trPr>
        <w:tc>
          <w:tcPr>
            <w:tcW w:w="2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940" w:type="dxa"/>
            <w:vAlign w:val="bottom"/>
          </w:tcPr>
          <w:p>
            <w:pPr>
              <w:spacing w:after="0"/>
              <w:rPr>
                <w:sz w:val="20"/>
                <w:szCs w:val="20"/>
                <w:color w:val="auto"/>
              </w:rPr>
            </w:pPr>
            <w:r>
              <w:rPr>
                <w:rFonts w:ascii="Arial" w:cs="Arial" w:eastAsia="Arial" w:hAnsi="Arial"/>
                <w:sz w:val="14"/>
                <w:szCs w:val="14"/>
                <w:color w:val="auto"/>
              </w:rPr>
              <w:t>Totals</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25,483,182</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(2,246,886)</w:t>
            </w:r>
          </w:p>
        </w:tc>
        <w:tc>
          <w:tcPr>
            <w:tcW w:w="800" w:type="dxa"/>
            <w:vAlign w:val="bottom"/>
          </w:tcPr>
          <w:p>
            <w:pPr>
              <w:jc w:val="right"/>
              <w:spacing w:after="0"/>
              <w:rPr>
                <w:sz w:val="20"/>
                <w:szCs w:val="20"/>
                <w:color w:val="auto"/>
              </w:rPr>
            </w:pPr>
            <w:r>
              <w:rPr>
                <w:rFonts w:ascii="Arial" w:cs="Arial" w:eastAsia="Arial" w:hAnsi="Arial"/>
                <w:sz w:val="14"/>
                <w:szCs w:val="14"/>
                <w:color w:val="auto"/>
              </w:rPr>
              <w:t>4,522,645</w:t>
            </w:r>
          </w:p>
        </w:tc>
        <w:tc>
          <w:tcPr>
            <w:tcW w:w="12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27,758,941</w:t>
            </w:r>
          </w:p>
        </w:tc>
        <w:tc>
          <w:tcPr>
            <w:tcW w:w="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121,156</w:t>
            </w: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(12,852)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52,409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160,713</w:t>
            </w:r>
          </w:p>
        </w:tc>
      </w:tr>
      <w:tr>
        <w:trPr>
          <w:trHeight w:val="20"/>
        </w:trPr>
        <w:tc>
          <w:tcPr>
            <w:tcW w:w="2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2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Deemed dividend paid to preferred</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294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stockholders</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(8,801)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940" w:type="dxa"/>
            <w:vAlign w:val="bottom"/>
          </w:tcPr>
          <w:p>
            <w:pPr>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(21,653)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1340" w:hanging="638"/>
        <w:spacing w:after="0"/>
        <w:tabs>
          <w:tab w:leader="none" w:pos="134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Voting</w:t>
      </w:r>
    </w:p>
    <w:p>
      <w:pPr>
        <w:spacing w:after="0" w:line="123" w:lineRule="exact"/>
        <w:rPr>
          <w:sz w:val="20"/>
          <w:szCs w:val="20"/>
          <w:color w:val="auto"/>
        </w:rPr>
      </w:pPr>
    </w:p>
    <w:p>
      <w:pPr>
        <w:ind w:left="1360" w:right="60"/>
        <w:spacing w:after="0" w:line="239" w:lineRule="auto"/>
        <w:rPr>
          <w:sz w:val="20"/>
          <w:szCs w:val="20"/>
          <w:color w:val="auto"/>
        </w:rPr>
      </w:pPr>
      <w:r>
        <w:rPr>
          <w:rFonts w:ascii="Arial" w:cs="Arial" w:eastAsia="Arial" w:hAnsi="Arial"/>
          <w:sz w:val="18"/>
          <w:szCs w:val="18"/>
          <w:color w:val="auto"/>
        </w:rPr>
        <w:t>Each share of Convertible Preferred Stock has voting rights equal to an equivalent number of shares of common stock into which it is convertible and votes together as one class with the common stock.</w:t>
      </w:r>
    </w:p>
    <w:p>
      <w:pPr>
        <w:spacing w:after="0" w:line="87" w:lineRule="exact"/>
        <w:rPr>
          <w:sz w:val="20"/>
          <w:szCs w:val="20"/>
          <w:color w:val="auto"/>
        </w:rPr>
      </w:pPr>
    </w:p>
    <w:p>
      <w:pPr>
        <w:ind w:left="1340" w:hanging="638"/>
        <w:spacing w:after="0"/>
        <w:tabs>
          <w:tab w:leader="none" w:pos="134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p>
    <w:p>
      <w:pPr>
        <w:spacing w:after="0" w:line="123" w:lineRule="exact"/>
        <w:rPr>
          <w:sz w:val="20"/>
          <w:szCs w:val="20"/>
          <w:color w:val="auto"/>
        </w:rPr>
      </w:pPr>
    </w:p>
    <w:p>
      <w:pPr>
        <w:ind w:left="1360" w:right="40"/>
        <w:spacing w:after="0" w:line="235" w:lineRule="auto"/>
        <w:rPr>
          <w:sz w:val="20"/>
          <w:szCs w:val="20"/>
          <w:color w:val="auto"/>
        </w:rPr>
      </w:pPr>
      <w:r>
        <w:rPr>
          <w:rFonts w:ascii="Arial" w:cs="Arial" w:eastAsia="Arial" w:hAnsi="Arial"/>
          <w:sz w:val="18"/>
          <w:szCs w:val="18"/>
          <w:color w:val="auto"/>
        </w:rPr>
        <w:t>The holders of the Convertible Preferred Stock and the holders of the shares of common stock are entitled to receive dividends, when, as and if declared by the Board of Directors of the Company, out of any assets legally available therefore, on an as-converted basis. Prior to the payment of any dividend to the holders of common stock (other than dividends of common stock), the Company is required to pay a dividend on each outstanding share of Convertible Preferred Stock equal to 8% of the applicable original issue price of such share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6"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60" w:right="260"/>
        <w:spacing w:after="0" w:line="237" w:lineRule="auto"/>
        <w:rPr>
          <w:sz w:val="20"/>
          <w:szCs w:val="20"/>
          <w:color w:val="auto"/>
        </w:rPr>
      </w:pPr>
      <w:r>
        <w:rPr>
          <w:rFonts w:ascii="Arial" w:cs="Arial" w:eastAsia="Arial" w:hAnsi="Arial"/>
          <w:sz w:val="18"/>
          <w:szCs w:val="18"/>
          <w:color w:val="auto"/>
        </w:rPr>
        <w:t>of Convertible Preferred Stock, having accrued from the date the first share of Series E Convertible Preferred Stock was issued. Dividends are not mandatory or cumulative and no rights or interest shall accrue to the holders of Convertible Preferred Stock and common stock, unless declared.</w:t>
      </w:r>
    </w:p>
    <w:p>
      <w:pPr>
        <w:spacing w:after="0" w:line="87" w:lineRule="exact"/>
        <w:rPr>
          <w:sz w:val="20"/>
          <w:szCs w:val="20"/>
          <w:color w:val="auto"/>
        </w:rPr>
      </w:pPr>
    </w:p>
    <w:p>
      <w:pPr>
        <w:ind w:left="1340" w:hanging="638"/>
        <w:spacing w:after="0"/>
        <w:tabs>
          <w:tab w:leader="none" w:pos="134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123" w:lineRule="exact"/>
        <w:rPr>
          <w:sz w:val="20"/>
          <w:szCs w:val="20"/>
          <w:color w:val="auto"/>
        </w:rPr>
      </w:pPr>
    </w:p>
    <w:p>
      <w:pPr>
        <w:ind w:left="1360" w:right="60"/>
        <w:spacing w:after="0" w:line="234" w:lineRule="auto"/>
        <w:rPr>
          <w:sz w:val="20"/>
          <w:szCs w:val="20"/>
          <w:color w:val="auto"/>
        </w:rPr>
      </w:pPr>
      <w:r>
        <w:rPr>
          <w:rFonts w:ascii="Arial" w:cs="Arial" w:eastAsia="Arial" w:hAnsi="Arial"/>
          <w:sz w:val="18"/>
          <w:szCs w:val="18"/>
          <w:color w:val="auto"/>
        </w:rPr>
        <w:t>Each share of Convertible Preferred Stock is convertible, at the option of the holder, into one share of common stock, as determined by dividing its issuance price per share by the applicable conversion price, subject to adjustments. Each share of Convertible Preferred Stock will automatically be converted into common stock upon either (i) closing of a public offering with gross proceeds of at least $50 million and the purchase price of such shares is at least $20.43 per share or (ii) written consent of the holders of a majority of the outstanding shares of Convertible Preferred Stock electing such a conversion, provided, however, that the conversion of the Series D Convertible Preferred Stock and Series E Convertible Preferred Stock shall require the vote or written consent of a majority of the outstanding shares of Series D Convertible Preferred Stock and Series E Convertible Preferred Stock, respectively.</w:t>
      </w:r>
    </w:p>
    <w:p>
      <w:pPr>
        <w:spacing w:after="0" w:line="89" w:lineRule="exact"/>
        <w:rPr>
          <w:sz w:val="20"/>
          <w:szCs w:val="20"/>
          <w:color w:val="auto"/>
        </w:rPr>
      </w:pPr>
    </w:p>
    <w:p>
      <w:pPr>
        <w:ind w:left="1340" w:hanging="638"/>
        <w:spacing w:after="0"/>
        <w:tabs>
          <w:tab w:leader="none" w:pos="1340"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and Share Preference</w:t>
      </w:r>
    </w:p>
    <w:p>
      <w:pPr>
        <w:spacing w:after="0" w:line="123" w:lineRule="exact"/>
        <w:rPr>
          <w:sz w:val="20"/>
          <w:szCs w:val="20"/>
          <w:color w:val="auto"/>
        </w:rPr>
      </w:pPr>
    </w:p>
    <w:p>
      <w:pPr>
        <w:ind w:left="1360" w:right="140"/>
        <w:spacing w:after="0" w:line="236"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Convertible Preferred Stock, on a pari passu basis, are entitled to liquidation preference equal to the original purchase price plus declared and unpaid dividends. After payment of the amounts above, if assets or funds remain in the Company, all remaining assets and funds shall be distributed pro rata among holders of common stock.</w:t>
      </w:r>
    </w:p>
    <w:p>
      <w:pPr>
        <w:spacing w:after="0" w:line="87" w:lineRule="exact"/>
        <w:rPr>
          <w:sz w:val="20"/>
          <w:szCs w:val="20"/>
          <w:color w:val="auto"/>
        </w:rPr>
      </w:pPr>
    </w:p>
    <w:p>
      <w:pPr>
        <w:ind w:left="1340" w:hanging="638"/>
        <w:spacing w:after="0"/>
        <w:tabs>
          <w:tab w:leader="none" w:pos="134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Redemption</w:t>
      </w:r>
    </w:p>
    <w:p>
      <w:pPr>
        <w:spacing w:after="0" w:line="123" w:lineRule="exact"/>
        <w:rPr>
          <w:sz w:val="20"/>
          <w:szCs w:val="20"/>
          <w:color w:val="auto"/>
        </w:rPr>
      </w:pPr>
    </w:p>
    <w:p>
      <w:pPr>
        <w:ind w:left="1360" w:right="40"/>
        <w:spacing w:after="0" w:line="234" w:lineRule="auto"/>
        <w:rPr>
          <w:sz w:val="20"/>
          <w:szCs w:val="20"/>
          <w:color w:val="auto"/>
        </w:rPr>
      </w:pPr>
      <w:r>
        <w:rPr>
          <w:rFonts w:ascii="Arial" w:cs="Arial" w:eastAsia="Arial" w:hAnsi="Arial"/>
          <w:sz w:val="18"/>
          <w:szCs w:val="18"/>
          <w:color w:val="auto"/>
        </w:rPr>
        <w:t>The holders of Convertible Preferred Stock have no voluntary rights to redeem their shares. The Convertible Preferred Stock has deemed liquidation provisions which require the shares to be redeemed upon a change in control or other deemed liquidation events. Although the Convertible Preferred Stock is not mandatorily or currently redeemable, a deemed liquidation event would constitute a redemption event outside the Company’s control. As a result of these liquidation features, all shares of Convertible Preferred Stock have been classified outside of stockholders’ deficit as temporary equity on the Consolidated Balance Sheets. The carrying values of the Company’s Convertible Preferred Stock have not been accreted to their redemption values as these events are not considered probable of occurring. Subsequent adjustments of the carrying values to redemption values will be made only if and when it becomes probable the preferred shares will become redeemable.</w:t>
      </w:r>
    </w:p>
    <w:p>
      <w:pPr>
        <w:spacing w:after="0" w:line="328" w:lineRule="exact"/>
        <w:rPr>
          <w:sz w:val="20"/>
          <w:szCs w:val="20"/>
          <w:color w:val="auto"/>
        </w:rPr>
      </w:pPr>
    </w:p>
    <w:p>
      <w:pPr>
        <w:ind w:left="700" w:hanging="533"/>
        <w:spacing w:after="0"/>
        <w:tabs>
          <w:tab w:leader="none" w:pos="7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2" w:lineRule="exact"/>
        <w:rPr>
          <w:rFonts w:ascii="Arial" w:cs="Arial" w:eastAsia="Arial" w:hAnsi="Arial"/>
          <w:sz w:val="18"/>
          <w:szCs w:val="18"/>
          <w:b w:val="1"/>
          <w:bCs w:val="1"/>
          <w:color w:val="auto"/>
        </w:rPr>
      </w:pPr>
    </w:p>
    <w:p>
      <w:pPr>
        <w:ind w:left="720" w:right="1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2016, the Company adopted a new stock compensation plan (the “2016 Equity Incentive Plan”) pursuant to which the Company may grant stock options, stock purchase rights, restricted stock awards, or stock awards to employees, directors and consultants (including prospective employees, directors, and consultants).</w:t>
      </w:r>
    </w:p>
    <w:p>
      <w:pPr>
        <w:spacing w:after="0" w:line="95"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fair value of the Company’s common stock has been estimated by management as there is no public market for the Company’s common stock. Xometry’s market-based methodology considers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60"/>
        <w:spacing w:after="0" w:line="236" w:lineRule="auto"/>
        <w:rPr>
          <w:sz w:val="20"/>
          <w:szCs w:val="20"/>
          <w:color w:val="auto"/>
        </w:rPr>
      </w:pPr>
      <w:r>
        <w:rPr>
          <w:rFonts w:ascii="Arial" w:cs="Arial" w:eastAsia="Arial" w:hAnsi="Arial"/>
          <w:sz w:val="18"/>
          <w:szCs w:val="18"/>
          <w:color w:val="auto"/>
        </w:rPr>
        <w:t>As of December 31, 2020 and 2019, there were 203,535 and 1,200,489 shares available for the Company to grant under the 2016 Equity Incentive Plan. As of March 31, 2021, there were 121,414 shares available for the Company to grant under the 2016 Equity Incentive Plan. The weighted average assumptions for 2020 and 2019 are provided in the following table. For the years ended December 31, 2020 and 2019, the Company recognized forfeitures as incurred.</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24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8240" w:type="dxa"/>
            <w:vAlign w:val="bottom"/>
          </w:tcPr>
          <w:p>
            <w:pPr>
              <w:spacing w:after="0"/>
              <w:rPr>
                <w:sz w:val="13"/>
                <w:szCs w:val="13"/>
                <w:color w:val="auto"/>
              </w:rPr>
            </w:pPr>
          </w:p>
        </w:tc>
        <w:tc>
          <w:tcPr>
            <w:tcW w:w="4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r>
      <w:tr>
        <w:trPr>
          <w:trHeight w:val="181"/>
        </w:trPr>
        <w:tc>
          <w:tcPr>
            <w:tcW w:w="82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Valuation assumptions:</w:t>
            </w: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1"/>
        </w:trPr>
        <w:tc>
          <w:tcPr>
            <w:tcW w:w="8240" w:type="dxa"/>
            <w:vAlign w:val="bottom"/>
          </w:tcPr>
          <w:p>
            <w:pPr>
              <w:ind w:left="360"/>
              <w:spacing w:after="0" w:line="201" w:lineRule="exact"/>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6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 %</w:t>
            </w:r>
          </w:p>
        </w:tc>
      </w:tr>
      <w:tr>
        <w:trPr>
          <w:trHeight w:val="201"/>
        </w:trPr>
        <w:tc>
          <w:tcPr>
            <w:tcW w:w="8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Expected volatility</w:t>
            </w:r>
          </w:p>
        </w:tc>
        <w:tc>
          <w:tcPr>
            <w:tcW w:w="8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48%</w:t>
            </w:r>
          </w:p>
        </w:tc>
        <w:tc>
          <w:tcPr>
            <w:tcW w:w="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45%</w:t>
            </w:r>
          </w:p>
        </w:tc>
      </w:tr>
      <w:tr>
        <w:trPr>
          <w:trHeight w:val="201"/>
        </w:trPr>
        <w:tc>
          <w:tcPr>
            <w:tcW w:w="8240" w:type="dxa"/>
            <w:vAlign w:val="bottom"/>
          </w:tcPr>
          <w:p>
            <w:pPr>
              <w:ind w:left="360"/>
              <w:spacing w:after="0" w:line="201" w:lineRule="exact"/>
              <w:rPr>
                <w:sz w:val="20"/>
                <w:szCs w:val="20"/>
                <w:color w:val="auto"/>
              </w:rPr>
            </w:pPr>
            <w:r>
              <w:rPr>
                <w:rFonts w:ascii="Arial" w:cs="Arial" w:eastAsia="Arial" w:hAnsi="Arial"/>
                <w:sz w:val="18"/>
                <w:szCs w:val="18"/>
                <w:color w:val="auto"/>
              </w:rPr>
              <w:t>Expected term (years)</w:t>
            </w:r>
          </w:p>
        </w:tc>
        <w:tc>
          <w:tcPr>
            <w:tcW w:w="86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6.0</w:t>
            </w:r>
          </w:p>
        </w:tc>
        <w:tc>
          <w:tcPr>
            <w:tcW w:w="9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6.0</w:t>
            </w:r>
          </w:p>
        </w:tc>
      </w:tr>
      <w:tr>
        <w:trPr>
          <w:trHeight w:val="201"/>
        </w:trPr>
        <w:tc>
          <w:tcPr>
            <w:tcW w:w="8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0.5%</w:t>
            </w:r>
          </w:p>
        </w:tc>
        <w:tc>
          <w:tcPr>
            <w:tcW w:w="9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1.8%</w:t>
            </w:r>
          </w:p>
        </w:tc>
      </w:tr>
      <w:tr>
        <w:trPr>
          <w:trHeight w:val="213"/>
        </w:trPr>
        <w:tc>
          <w:tcPr>
            <w:tcW w:w="8240" w:type="dxa"/>
            <w:vAlign w:val="bottom"/>
          </w:tcPr>
          <w:p>
            <w:pPr>
              <w:ind w:left="360"/>
              <w:spacing w:after="0"/>
              <w:rPr>
                <w:sz w:val="20"/>
                <w:szCs w:val="20"/>
                <w:color w:val="auto"/>
              </w:rPr>
            </w:pPr>
            <w:r>
              <w:rPr>
                <w:rFonts w:ascii="Arial" w:cs="Arial" w:eastAsia="Arial" w:hAnsi="Arial"/>
                <w:sz w:val="18"/>
                <w:szCs w:val="18"/>
                <w:color w:val="auto"/>
              </w:rPr>
              <w:t>Fair value of share</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$4.46</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r>
    </w:tbl>
    <w:p>
      <w:pPr>
        <w:spacing w:after="0" w:line="200"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A summary of the status of the Company’s stock option activity and the changes during the quarter and/or years then ended are as follows (in millions, except share and per share amounts):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Weighted</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Average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3"/>
                <w:szCs w:val="13"/>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Intrinsic</w:t>
            </w: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Per Share</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r>
      <w:tr>
        <w:trPr>
          <w:trHeight w:val="194"/>
        </w:trPr>
        <w:tc>
          <w:tcPr>
            <w:tcW w:w="20" w:type="dxa"/>
            <w:vAlign w:val="bottom"/>
          </w:tcPr>
          <w:p>
            <w:pPr>
              <w:spacing w:after="0"/>
              <w:rPr>
                <w:sz w:val="16"/>
                <w:szCs w:val="16"/>
                <w:color w:val="auto"/>
              </w:rPr>
            </w:pPr>
          </w:p>
        </w:tc>
        <w:tc>
          <w:tcPr>
            <w:tcW w:w="4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2,251,098</w:t>
            </w: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1.33</w:t>
            </w:r>
          </w:p>
        </w:tc>
        <w:tc>
          <w:tcPr>
            <w:tcW w:w="6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8.5</w:t>
            </w: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1,170,598</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3.18</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(455,665)</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(336,784)</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1.65</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(8,720)</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1.47</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2,620,527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Exercisable at December 31, 2019</w:t>
            </w: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992,914</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40"/>
              <w:spacing w:after="0" w:line="195" w:lineRule="exact"/>
              <w:rPr>
                <w:sz w:val="20"/>
                <w:szCs w:val="20"/>
                <w:color w:val="auto"/>
              </w:rPr>
            </w:pPr>
            <w:r>
              <w:rPr>
                <w:rFonts w:ascii="Arial" w:cs="Arial" w:eastAsia="Arial" w:hAnsi="Arial"/>
                <w:sz w:val="18"/>
                <w:szCs w:val="18"/>
                <w:color w:val="auto"/>
              </w:rPr>
              <w:t>1.32</w:t>
            </w:r>
          </w:p>
        </w:tc>
        <w:tc>
          <w:tcPr>
            <w:tcW w:w="112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Balance at December 31, 2019</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2,620,527</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2.16</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1,144,457</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3.98</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(492,839)</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1.16</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(131,129)</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(15,413)</w:t>
            </w:r>
          </w:p>
        </w:tc>
        <w:tc>
          <w:tcPr>
            <w:tcW w:w="140" w:type="dxa"/>
            <w:vAlign w:val="bottom"/>
          </w:tcPr>
          <w:p>
            <w:pPr>
              <w:spacing w:after="0"/>
              <w:rPr>
                <w:sz w:val="18"/>
                <w:szCs w:val="18"/>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1.46</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3,125,603</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68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4680" w:type="dxa"/>
            <w:vAlign w:val="bottom"/>
            <w:gridSpan w:val="2"/>
          </w:tcPr>
          <w:p>
            <w:pPr>
              <w:spacing w:after="0" w:line="195" w:lineRule="exact"/>
              <w:rPr>
                <w:sz w:val="20"/>
                <w:szCs w:val="20"/>
                <w:color w:val="auto"/>
              </w:rPr>
            </w:pPr>
            <w:r>
              <w:rPr>
                <w:rFonts w:ascii="Arial" w:cs="Arial" w:eastAsia="Arial" w:hAnsi="Arial"/>
                <w:sz w:val="18"/>
                <w:szCs w:val="18"/>
                <w:color w:val="auto"/>
              </w:rPr>
              <w:t>Exercisable at December 31, 2020</w:t>
            </w:r>
          </w:p>
        </w:tc>
        <w:tc>
          <w:tcPr>
            <w:tcW w:w="1540" w:type="dxa"/>
            <w:vAlign w:val="bottom"/>
            <w:gridSpan w:val="2"/>
          </w:tcPr>
          <w:p>
            <w:pPr>
              <w:jc w:val="right"/>
              <w:ind w:right="680"/>
              <w:spacing w:after="0" w:line="195" w:lineRule="exact"/>
              <w:rPr>
                <w:sz w:val="20"/>
                <w:szCs w:val="20"/>
                <w:color w:val="auto"/>
              </w:rPr>
            </w:pPr>
            <w:r>
              <w:rPr>
                <w:rFonts w:ascii="Arial" w:cs="Arial" w:eastAsia="Arial" w:hAnsi="Arial"/>
                <w:sz w:val="18"/>
                <w:szCs w:val="18"/>
                <w:color w:val="auto"/>
              </w:rPr>
              <w:t>1,193,301</w:t>
            </w:r>
          </w:p>
        </w:tc>
        <w:tc>
          <w:tcPr>
            <w:tcW w:w="140" w:type="dxa"/>
            <w:vAlign w:val="bottom"/>
          </w:tcPr>
          <w:p>
            <w:pPr>
              <w:spacing w:after="0"/>
              <w:rPr>
                <w:sz w:val="16"/>
                <w:szCs w:val="16"/>
                <w:color w:val="auto"/>
              </w:rPr>
            </w:pPr>
          </w:p>
        </w:tc>
        <w:tc>
          <w:tcPr>
            <w:tcW w:w="14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2.14</w:t>
            </w:r>
          </w:p>
        </w:tc>
        <w:tc>
          <w:tcPr>
            <w:tcW w:w="112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7.2</w:t>
            </w:r>
          </w:p>
        </w:tc>
        <w:tc>
          <w:tcPr>
            <w:tcW w:w="46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2.8</w:t>
            </w: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2020</w:t>
            </w:r>
          </w:p>
        </w:tc>
        <w:tc>
          <w:tcPr>
            <w:tcW w:w="154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3,151,270</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2.97</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8.3</w:t>
            </w:r>
          </w:p>
        </w:tc>
        <w:tc>
          <w:tcPr>
            <w:tcW w:w="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4.4</w:t>
            </w: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80"/>
              <w:spacing w:after="0" w:line="201" w:lineRule="exact"/>
              <w:rPr>
                <w:sz w:val="20"/>
                <w:szCs w:val="20"/>
                <w:color w:val="auto"/>
              </w:rPr>
            </w:pPr>
            <w:r>
              <w:rPr>
                <w:rFonts w:ascii="Arial" w:cs="Arial" w:eastAsia="Arial" w:hAnsi="Arial"/>
                <w:sz w:val="18"/>
                <w:szCs w:val="18"/>
                <w:color w:val="auto"/>
              </w:rPr>
              <w:t>85,050</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10.93</w:t>
            </w: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(474,054)</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1.75</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tcPr>
          <w:p>
            <w:pPr>
              <w:ind w:left="34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(12,913)</w:t>
            </w:r>
          </w:p>
        </w:tc>
        <w:tc>
          <w:tcPr>
            <w:tcW w:w="140" w:type="dxa"/>
            <w:vAlign w:val="bottom"/>
          </w:tcPr>
          <w:p>
            <w:pPr>
              <w:spacing w:after="0"/>
              <w:rPr>
                <w:sz w:val="17"/>
                <w:szCs w:val="17"/>
                <w:color w:val="auto"/>
              </w:rPr>
            </w:pPr>
          </w:p>
        </w:tc>
        <w:tc>
          <w:tcPr>
            <w:tcW w:w="148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3.52</w:t>
            </w:r>
          </w:p>
        </w:tc>
        <w:tc>
          <w:tcPr>
            <w:tcW w:w="112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Expired</w:t>
            </w:r>
          </w:p>
        </w:tc>
        <w:tc>
          <w:tcPr>
            <w:tcW w:w="154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(6,912)</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2.02</w:t>
            </w:r>
          </w:p>
        </w:tc>
        <w:tc>
          <w:tcPr>
            <w:tcW w:w="112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8"/>
                <w:szCs w:val="18"/>
                <w:color w:val="auto"/>
              </w:rPr>
              <w:t>Balance at March 31, 2021 (unaudited)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2,742,441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3.43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Exercisable at March 31, 2021 (unaudited)</w:t>
            </w: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933,378</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40"/>
              <w:spacing w:after="0" w:line="195" w:lineRule="exact"/>
              <w:rPr>
                <w:sz w:val="20"/>
                <w:szCs w:val="20"/>
                <w:color w:val="auto"/>
              </w:rPr>
            </w:pPr>
            <w:r>
              <w:rPr>
                <w:rFonts w:ascii="Arial" w:cs="Arial" w:eastAsia="Arial" w:hAnsi="Arial"/>
                <w:sz w:val="18"/>
                <w:szCs w:val="18"/>
                <w:color w:val="auto"/>
              </w:rPr>
              <w:t>2.57</w:t>
            </w:r>
          </w:p>
        </w:tc>
        <w:tc>
          <w:tcPr>
            <w:tcW w:w="112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7.6</w:t>
            </w:r>
          </w:p>
        </w:tc>
        <w:tc>
          <w:tcPr>
            <w:tcW w:w="460" w:type="dxa"/>
            <w:vAlign w:val="bottom"/>
            <w:gridSpan w:val="2"/>
            <w:shd w:val="clear" w:color="auto" w:fill="CCEEFF"/>
          </w:tcPr>
          <w:p>
            <w:pPr>
              <w:ind w:left="320"/>
              <w:spacing w:after="0" w:line="195"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8.6</w:t>
            </w:r>
          </w:p>
        </w:tc>
      </w:tr>
    </w:tbl>
    <w:p>
      <w:pPr>
        <w:spacing w:after="0" w:line="213" w:lineRule="exact"/>
        <w:rPr>
          <w:sz w:val="20"/>
          <w:szCs w:val="20"/>
          <w:color w:val="auto"/>
        </w:rPr>
      </w:pPr>
    </w:p>
    <w:p>
      <w:pPr>
        <w:ind w:left="720" w:right="140"/>
        <w:spacing w:after="0" w:line="237" w:lineRule="auto"/>
        <w:rPr>
          <w:sz w:val="20"/>
          <w:szCs w:val="20"/>
          <w:color w:val="auto"/>
        </w:rPr>
      </w:pPr>
      <w:r>
        <w:rPr>
          <w:rFonts w:ascii="Arial" w:cs="Arial" w:eastAsia="Arial" w:hAnsi="Arial"/>
          <w:sz w:val="18"/>
          <w:szCs w:val="18"/>
          <w:color w:val="auto"/>
        </w:rPr>
        <w:t>The weighted average grant date fair value of options granted during 2020 and 2019 was $1.79 and $1.41, respectively. The total intrinsic value of options exercised during the years ended December 31, 2020 and 2019 was $1.6 million and $1.2 million, respectively.</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20"/>
          </w:cols>
          <w:pgMar w:left="320" w:top="456" w:right="5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weighted average grant date fair value of options granted during the quarter ended March 31, 2021 was $5.39 (unaudited).</w:t>
      </w:r>
    </w:p>
    <w:p>
      <w:pPr>
        <w:ind w:left="720"/>
        <w:spacing w:after="0"/>
        <w:rPr>
          <w:sz w:val="20"/>
          <w:szCs w:val="20"/>
          <w:color w:val="auto"/>
        </w:rPr>
      </w:pPr>
      <w:r>
        <w:rPr>
          <w:rFonts w:ascii="Arial" w:cs="Arial" w:eastAsia="Arial" w:hAnsi="Arial"/>
          <w:sz w:val="18"/>
          <w:szCs w:val="18"/>
          <w:color w:val="auto"/>
        </w:rPr>
        <w:t>The total intrinsic value of options exercised during the quarter ended March 31, 2021 was $5.0 million (unaudited).</w:t>
      </w:r>
    </w:p>
    <w:p>
      <w:pPr>
        <w:spacing w:after="0" w:line="101" w:lineRule="exact"/>
        <w:rPr>
          <w:sz w:val="20"/>
          <w:szCs w:val="20"/>
          <w:color w:val="auto"/>
        </w:rPr>
      </w:pPr>
    </w:p>
    <w:p>
      <w:pPr>
        <w:ind w:left="720" w:right="340"/>
        <w:spacing w:after="0" w:line="237" w:lineRule="auto"/>
        <w:rPr>
          <w:sz w:val="20"/>
          <w:szCs w:val="20"/>
          <w:color w:val="auto"/>
        </w:rPr>
      </w:pPr>
      <w:r>
        <w:rPr>
          <w:rFonts w:ascii="Arial" w:cs="Arial" w:eastAsia="Arial" w:hAnsi="Arial"/>
          <w:sz w:val="18"/>
          <w:szCs w:val="18"/>
          <w:color w:val="auto"/>
        </w:rPr>
        <w:t>At December 31, 2020 and 2019, there was $2.4 million and $1.5 million, respectively, of total unrecognized compensation cost related to unvested stock options granted under the 2016 Equity Incentive Plan. That cost is expected to be recognized over a weighted average period of 1.21 years and 1.26 years at December 31, 2020 and 2019, respectively.</w:t>
      </w:r>
    </w:p>
    <w:p>
      <w:pPr>
        <w:spacing w:after="0" w:line="96"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At March 31, 2021 (unaudited), there was $2.7 million of total unrecognized compensation cost related to unvested stock options granted under the 2016 Equity Incentive Plan. That cost is expected to be recognized over a weighted average period of 1.15 years at March 31, 2021 (unaudited).</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333" w:lineRule="exact"/>
        <w:rPr>
          <w:sz w:val="20"/>
          <w:szCs w:val="20"/>
          <w:color w:val="auto"/>
        </w:rPr>
      </w:pPr>
    </w:p>
    <w:p>
      <w:pPr>
        <w:ind w:left="700" w:hanging="533"/>
        <w:spacing w:after="0"/>
        <w:tabs>
          <w:tab w:leader="none" w:pos="7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2" w:lineRule="exact"/>
        <w:rPr>
          <w:rFonts w:ascii="Arial" w:cs="Arial" w:eastAsia="Arial" w:hAnsi="Arial"/>
          <w:sz w:val="18"/>
          <w:szCs w:val="18"/>
          <w:b w:val="1"/>
          <w:bCs w:val="1"/>
          <w:color w:val="auto"/>
        </w:rPr>
      </w:pPr>
    </w:p>
    <w:p>
      <w:pPr>
        <w:ind w:left="72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had no current or deferred income tax benefit or expense in the U.S. or Germany for the years ended December 31, 2020 and 2019 or for the quarter ended March 31, 2021 (unaudited).</w:t>
      </w:r>
    </w:p>
    <w:p>
      <w:pPr>
        <w:spacing w:after="0" w:line="95"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statutory federal income tax rate to the Company’s effective tax rate was as follows: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3420" w:type="dxa"/>
            <w:vAlign w:val="bottom"/>
            <w:tcBorders>
              <w:bottom w:val="single" w:sz="8" w:color="CCEEFF"/>
            </w:tcBorders>
          </w:tcPr>
          <w:p>
            <w:pPr>
              <w:spacing w:after="0"/>
              <w:rPr>
                <w:sz w:val="13"/>
                <w:szCs w:val="13"/>
                <w:color w:val="auto"/>
              </w:rPr>
            </w:pPr>
          </w:p>
        </w:tc>
        <w:tc>
          <w:tcPr>
            <w:tcW w:w="506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6"/>
              </w:rPr>
              <w:t>2020</w:t>
            </w:r>
          </w:p>
        </w:tc>
        <w:tc>
          <w:tcPr>
            <w:tcW w:w="7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3"/>
                <w:szCs w:val="13"/>
                <w:color w:val="auto"/>
              </w:rPr>
            </w:pPr>
          </w:p>
        </w:tc>
      </w:tr>
      <w:tr>
        <w:trPr>
          <w:trHeight w:val="194"/>
        </w:trPr>
        <w:tc>
          <w:tcPr>
            <w:tcW w:w="34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Federal tax statutory rate</w:t>
            </w:r>
          </w:p>
        </w:tc>
        <w:tc>
          <w:tcPr>
            <w:tcW w:w="50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540"/>
              <w:spacing w:after="0" w:line="194" w:lineRule="exact"/>
              <w:rPr>
                <w:sz w:val="20"/>
                <w:szCs w:val="20"/>
                <w:color w:val="auto"/>
              </w:rPr>
            </w:pPr>
            <w:r>
              <w:rPr>
                <w:rFonts w:ascii="Arial" w:cs="Arial" w:eastAsia="Arial" w:hAnsi="Arial"/>
                <w:sz w:val="18"/>
                <w:szCs w:val="18"/>
                <w:color w:val="auto"/>
              </w:rPr>
              <w:t>21%</w:t>
            </w:r>
          </w:p>
        </w:tc>
        <w:tc>
          <w:tcPr>
            <w:tcW w:w="5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21%</w:t>
            </w:r>
          </w:p>
        </w:tc>
      </w:tr>
      <w:tr>
        <w:trPr>
          <w:trHeight w:val="201"/>
        </w:trPr>
        <w:tc>
          <w:tcPr>
            <w:tcW w:w="3420" w:type="dxa"/>
            <w:vAlign w:val="bottom"/>
          </w:tcPr>
          <w:p>
            <w:pPr>
              <w:spacing w:after="0" w:line="201" w:lineRule="exact"/>
              <w:rPr>
                <w:sz w:val="20"/>
                <w:szCs w:val="20"/>
                <w:color w:val="auto"/>
              </w:rPr>
            </w:pPr>
            <w:r>
              <w:rPr>
                <w:rFonts w:ascii="Arial" w:cs="Arial" w:eastAsia="Arial" w:hAnsi="Arial"/>
                <w:sz w:val="18"/>
                <w:szCs w:val="18"/>
                <w:color w:val="auto"/>
              </w:rPr>
              <w:t>Foreign rate difference</w:t>
            </w:r>
          </w:p>
        </w:tc>
        <w:tc>
          <w:tcPr>
            <w:tcW w:w="6080" w:type="dxa"/>
            <w:vAlign w:val="bottom"/>
            <w:gridSpan w:val="3"/>
          </w:tcPr>
          <w:p>
            <w:pPr>
              <w:jc w:val="right"/>
              <w:ind w:right="700"/>
              <w:spacing w:after="0" w:line="201" w:lineRule="exact"/>
              <w:rPr>
                <w:sz w:val="20"/>
                <w:szCs w:val="20"/>
                <w:color w:val="auto"/>
              </w:rPr>
            </w:pPr>
            <w:r>
              <w:rPr>
                <w:rFonts w:ascii="Arial" w:cs="Arial" w:eastAsia="Arial" w:hAnsi="Arial"/>
                <w:sz w:val="18"/>
                <w:szCs w:val="18"/>
                <w:color w:val="auto"/>
              </w:rPr>
              <w:t>3</w:t>
            </w:r>
          </w:p>
        </w:tc>
        <w:tc>
          <w:tcPr>
            <w:tcW w:w="5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w:t>
            </w:r>
          </w:p>
        </w:tc>
      </w:tr>
      <w:tr>
        <w:trPr>
          <w:trHeight w:val="214"/>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6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01"/>
        </w:trPr>
        <w:tc>
          <w:tcPr>
            <w:tcW w:w="3420" w:type="dxa"/>
            <w:vAlign w:val="bottom"/>
          </w:tcPr>
          <w:p>
            <w:pPr>
              <w:spacing w:after="0" w:line="201" w:lineRule="exact"/>
              <w:rPr>
                <w:sz w:val="20"/>
                <w:szCs w:val="20"/>
                <w:color w:val="auto"/>
              </w:rPr>
            </w:pPr>
            <w:r>
              <w:rPr>
                <w:rFonts w:ascii="Arial" w:cs="Arial" w:eastAsia="Arial" w:hAnsi="Arial"/>
                <w:sz w:val="18"/>
                <w:szCs w:val="18"/>
                <w:color w:val="auto"/>
              </w:rPr>
              <w:t>Valuation allowance</w:t>
            </w:r>
          </w:p>
        </w:tc>
        <w:tc>
          <w:tcPr>
            <w:tcW w:w="5060" w:type="dxa"/>
            <w:vAlign w:val="bottom"/>
          </w:tcPr>
          <w:p>
            <w:pPr>
              <w:spacing w:after="0"/>
              <w:rPr>
                <w:sz w:val="17"/>
                <w:szCs w:val="17"/>
                <w:color w:val="auto"/>
              </w:rPr>
            </w:pPr>
          </w:p>
        </w:tc>
        <w:tc>
          <w:tcPr>
            <w:tcW w:w="10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(22)</w:t>
            </w:r>
          </w:p>
        </w:tc>
        <w:tc>
          <w:tcPr>
            <w:tcW w:w="5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w:t>
            </w:r>
          </w:p>
        </w:tc>
      </w:tr>
      <w:tr>
        <w:trPr>
          <w:trHeight w:val="27"/>
        </w:trPr>
        <w:tc>
          <w:tcPr>
            <w:tcW w:w="34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342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 %</w:t>
            </w:r>
          </w:p>
        </w:tc>
      </w:tr>
      <w:tr>
        <w:trPr>
          <w:trHeight w:val="20"/>
        </w:trPr>
        <w:tc>
          <w:tcPr>
            <w:tcW w:w="34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3"/>
        </w:trPr>
        <w:tc>
          <w:tcPr>
            <w:tcW w:w="3420" w:type="dxa"/>
            <w:vAlign w:val="bottom"/>
          </w:tcPr>
          <w:p>
            <w:pPr>
              <w:spacing w:after="0"/>
              <w:rPr>
                <w:sz w:val="24"/>
                <w:szCs w:val="24"/>
                <w:color w:val="auto"/>
              </w:rPr>
            </w:pPr>
          </w:p>
        </w:tc>
        <w:tc>
          <w:tcPr>
            <w:tcW w:w="6080" w:type="dxa"/>
            <w:vAlign w:val="bottom"/>
            <w:gridSpan w:val="3"/>
          </w:tcPr>
          <w:p>
            <w:pPr>
              <w:jc w:val="right"/>
              <w:ind w:right="4300"/>
              <w:spacing w:after="0"/>
              <w:rPr>
                <w:sz w:val="20"/>
                <w:szCs w:val="20"/>
                <w:color w:val="auto"/>
              </w:rPr>
            </w:pPr>
            <w:r>
              <w:rPr>
                <w:rFonts w:ascii="Arial" w:cs="Arial" w:eastAsia="Arial" w:hAnsi="Arial"/>
                <w:sz w:val="18"/>
                <w:szCs w:val="18"/>
                <w:color w:val="auto"/>
              </w:rPr>
              <w:t>F-24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720"/>
        <w:spacing w:after="0" w:line="237" w:lineRule="auto"/>
        <w:rPr>
          <w:sz w:val="20"/>
          <w:szCs w:val="20"/>
          <w:color w:val="auto"/>
        </w:rPr>
      </w:pPr>
      <w:r>
        <w:rPr>
          <w:rFonts w:ascii="Arial" w:cs="Arial" w:eastAsia="Arial" w:hAnsi="Arial"/>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2020 and 2019 are presented below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3"/>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40" w:type="dxa"/>
            <w:vAlign w:val="bottom"/>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Deferred tax assets:</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Deferred compensation</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Deferred rent</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Sec. 163(j) interest limitation carryforward</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390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Allowance for doubtful accounts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operating loss</w:t>
            </w:r>
          </w:p>
        </w:tc>
        <w:tc>
          <w:tcPr>
            <w:tcW w:w="2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25,709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20,877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22,276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Less valuation allowance</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(26,148)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8"/>
              </w:rPr>
              <w:t>(21,176)</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deferred tax assets, net</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gridSpan w:val="2"/>
            <w:vMerge w:val="continue"/>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7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Deferred tax liabilities:</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ind w:left="340"/>
              <w:spacing w:after="0" w:line="201" w:lineRule="exact"/>
              <w:rPr>
                <w:sz w:val="20"/>
                <w:szCs w:val="20"/>
                <w:color w:val="auto"/>
              </w:rPr>
            </w:pPr>
            <w:r>
              <w:rPr>
                <w:rFonts w:ascii="Arial" w:cs="Arial" w:eastAsia="Arial" w:hAnsi="Arial"/>
                <w:sz w:val="18"/>
                <w:szCs w:val="18"/>
                <w:color w:val="auto"/>
              </w:rPr>
              <w:t>Fixed assets</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(227)</w:t>
            </w:r>
          </w:p>
        </w:tc>
        <w:tc>
          <w:tcPr>
            <w:tcW w:w="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Acquisition costs and intangibles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b w:val="1"/>
                <w:bCs w:val="1"/>
                <w:color w:val="auto"/>
              </w:rPr>
              <w:t>Total deferred tax liabilities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(1,315)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7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deferred tax asset/liability</w:t>
            </w:r>
          </w:p>
        </w:tc>
        <w:tc>
          <w:tcPr>
            <w:tcW w:w="2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Tax Valuation Allowance</w:t>
      </w:r>
    </w:p>
    <w:p>
      <w:pPr>
        <w:spacing w:after="0" w:line="119" w:lineRule="exact"/>
        <w:rPr>
          <w:sz w:val="20"/>
          <w:szCs w:val="20"/>
          <w:color w:val="auto"/>
        </w:rPr>
      </w:pPr>
    </w:p>
    <w:p>
      <w:pPr>
        <w:ind w:left="720" w:right="20"/>
        <w:spacing w:after="0" w:line="235"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97" w:lineRule="exact"/>
        <w:rPr>
          <w:sz w:val="20"/>
          <w:szCs w:val="20"/>
          <w:color w:val="auto"/>
        </w:rPr>
      </w:pPr>
    </w:p>
    <w:p>
      <w:pPr>
        <w:ind w:left="720" w:right="20"/>
        <w:spacing w:after="0" w:line="234" w:lineRule="auto"/>
        <w:rPr>
          <w:sz w:val="20"/>
          <w:szCs w:val="20"/>
          <w:color w:val="auto"/>
        </w:rPr>
      </w:pPr>
      <w:r>
        <w:rPr>
          <w:rFonts w:ascii="Arial" w:cs="Arial" w:eastAsia="Arial" w:hAnsi="Arial"/>
          <w:sz w:val="18"/>
          <w:szCs w:val="18"/>
          <w:color w:val="auto"/>
        </w:rPr>
        <w:t>As of December 31, 2020, and 2019, the Company had a valuation allowance of $26.1 million and $21.2 million, respectively, against certain deferred tax assets. The valuation allowance relates to the deferred tax assets of the Company’s U.S. entities, including federal and state tax attributes and timing differences, as well as the deferred tax assets of its foreign subsidiary. The increase in the valuation allowance during 2020 is primarily related to the pre-tax losses generated in the U.S and Germany. The Company has a full valuation allowance against its net deferred tax assets as a result of cumulative losses as of December 31, 2020 and 2019 and March 31, 2021 (unaudited). As of March 31, 2021 (unaudited), no facts or circumstances arose that affected the Company’s determination as to the full valuation established against the net deferred tax assets.</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19" w:lineRule="exact"/>
        <w:rPr>
          <w:sz w:val="20"/>
          <w:szCs w:val="20"/>
          <w:color w:val="auto"/>
        </w:rPr>
      </w:pPr>
    </w:p>
    <w:p>
      <w:pPr>
        <w:jc w:val="both"/>
        <w:ind w:left="720" w:right="20"/>
        <w:spacing w:after="0" w:line="237" w:lineRule="auto"/>
        <w:rPr>
          <w:sz w:val="20"/>
          <w:szCs w:val="20"/>
          <w:color w:val="auto"/>
        </w:rPr>
      </w:pPr>
      <w:r>
        <w:rPr>
          <w:rFonts w:ascii="Arial" w:cs="Arial" w:eastAsia="Arial" w:hAnsi="Arial"/>
          <w:sz w:val="18"/>
          <w:szCs w:val="18"/>
          <w:color w:val="auto"/>
        </w:rPr>
        <w:t>As of December 31, 2020, the Company has net operating loss (“NOL”) carryforwards for U.S. federal income tax purposes, and similar state amounts, of approximately $90.1 million available to reduce future income subject to income taxes before limitations. As of December 31, 2020 the</w:t>
      </w:r>
    </w:p>
    <w:p>
      <w:pPr>
        <w:spacing w:after="0" w:line="13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900"/>
          </w:cols>
          <w:pgMar w:left="320" w:top="456" w:right="6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100"/>
        <w:spacing w:after="0" w:line="248" w:lineRule="auto"/>
        <w:rPr>
          <w:sz w:val="20"/>
          <w:szCs w:val="20"/>
          <w:color w:val="auto"/>
        </w:rPr>
      </w:pPr>
      <w:r>
        <w:rPr>
          <w:rFonts w:ascii="Arial" w:cs="Arial" w:eastAsia="Arial" w:hAnsi="Arial"/>
          <w:sz w:val="17"/>
          <w:szCs w:val="17"/>
          <w:color w:val="auto"/>
        </w:rPr>
        <w:t>Company had a net operating loss carryforward for tax purposes related to its foreign subsidiary of $10.2 million. U.S. federal net operating carryforwards generated prior to 2018 in the approximate amount of $26.6 million will begin to expire, if not utilized, in 2033. German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 As of December 31, 2020 the $90.1 million of U.S. federal net operating losses excludes $14.7 million of acquired net operating losses that the Company expects to be substantially limited by Section 382 of the U.S. Internal Revenue Code and does not expect to claim on a U.S. Tax Return. As of December 31, 2020 the Company completed an analysis on the remaining $90.1 million of U.S. federal net operating losses, pursuant to Section 382 of the U.S. Internal Revenue Code, to determine the impact ownership changes have had on the ability of the company to utilize net operating losses it has generated. Based on the results of this study, the Company expects the $90.1 million of U.S. federal net operating losses to be available to offset future taxable income.</w:t>
      </w:r>
    </w:p>
    <w:p>
      <w:pPr>
        <w:spacing w:after="0" w:line="74"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Uncertain Tax Positions</w:t>
      </w:r>
    </w:p>
    <w:p>
      <w:pPr>
        <w:spacing w:after="0" w:line="119"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The Company has not identified any unrecognized tax benefits.</w:t>
      </w:r>
    </w:p>
    <w:p>
      <w:pPr>
        <w:spacing w:after="0" w:line="95"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There were no interest or penalties assessed by income taxing authorities during the years ended December 31, 2020 and 2019 or for the quarters ended March 31, 2021 and 2020 (unaudited). The Company is not currently under examination by any tax jurisdiction</w:t>
      </w:r>
    </w:p>
    <w:p>
      <w:pPr>
        <w:spacing w:after="0" w:line="7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COVID -19</w:t>
      </w:r>
    </w:p>
    <w:p>
      <w:pPr>
        <w:spacing w:after="0" w:line="119" w:lineRule="exact"/>
        <w:rPr>
          <w:sz w:val="20"/>
          <w:szCs w:val="20"/>
          <w:color w:val="auto"/>
        </w:rPr>
      </w:pPr>
    </w:p>
    <w:p>
      <w:pPr>
        <w:jc w:val="both"/>
        <w:ind w:left="720" w:right="160"/>
        <w:spacing w:after="0" w:line="236" w:lineRule="auto"/>
        <w:rPr>
          <w:sz w:val="20"/>
          <w:szCs w:val="20"/>
          <w:color w:val="auto"/>
        </w:rPr>
      </w:pPr>
      <w:r>
        <w:rPr>
          <w:rFonts w:ascii="Arial" w:cs="Arial" w:eastAsia="Arial" w:hAnsi="Arial"/>
          <w:sz w:val="18"/>
          <w:szCs w:val="18"/>
          <w:color w:val="auto"/>
        </w:rPr>
        <w:t>The COVID-19 pandemic has a global reach, and many countries have introduced measures that provide relief to taxpayers in a variety of ways. The Company has evaluated these measures, including the CARES Act in the United States, and has concluded that these did not have a significant impact on its income tax (provision)/benefit for the year ended December 31, 2020 or for the quarter ended March 31, 2021 (unaudited).</w:t>
      </w:r>
    </w:p>
    <w:p>
      <w:pPr>
        <w:spacing w:after="0" w:line="327" w:lineRule="exact"/>
        <w:rPr>
          <w:sz w:val="20"/>
          <w:szCs w:val="20"/>
          <w:color w:val="auto"/>
        </w:rPr>
      </w:pPr>
    </w:p>
    <w:p>
      <w:pPr>
        <w:ind w:left="700" w:hanging="533"/>
        <w:spacing w:after="0"/>
        <w:tabs>
          <w:tab w:leader="none" w:pos="7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2" w:lineRule="exact"/>
        <w:rPr>
          <w:rFonts w:ascii="Arial" w:cs="Arial" w:eastAsia="Arial" w:hAnsi="Arial"/>
          <w:sz w:val="18"/>
          <w:szCs w:val="18"/>
          <w:b w:val="1"/>
          <w:bCs w:val="1"/>
          <w:color w:val="auto"/>
        </w:rPr>
      </w:pPr>
    </w:p>
    <w:p>
      <w:pPr>
        <w:ind w:left="720" w:right="5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line="154"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(31,085)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8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120" w:type="dxa"/>
            <w:vAlign w:val="bottom"/>
          </w:tcPr>
          <w:p>
            <w:pPr>
              <w:spacing w:after="0"/>
              <w:rPr>
                <w:sz w:val="17"/>
                <w:szCs w:val="17"/>
                <w:color w:val="auto"/>
              </w:rPr>
            </w:pPr>
          </w:p>
        </w:tc>
        <w:tc>
          <w:tcPr>
            <w:tcW w:w="11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(8,801)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(39,886)</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80" w:type="dxa"/>
            <w:vAlign w:val="bottom"/>
          </w:tcPr>
          <w:p>
            <w:pPr>
              <w:ind w:left="160"/>
              <w:spacing w:after="0" w:line="201" w:lineRule="exact"/>
              <w:rPr>
                <w:sz w:val="20"/>
                <w:szCs w:val="20"/>
                <w:color w:val="auto"/>
              </w:rPr>
            </w:pPr>
            <w:r>
              <w:rPr>
                <w:rFonts w:ascii="Arial" w:cs="Arial" w:eastAsia="Arial" w:hAnsi="Arial"/>
                <w:sz w:val="18"/>
                <w:szCs w:val="18"/>
                <w:color w:val="auto"/>
              </w:rPr>
              <w:t>attributable to common stockholders, basic and diluted</w:t>
            </w:r>
          </w:p>
        </w:tc>
        <w:tc>
          <w:tcPr>
            <w:tcW w:w="120" w:type="dxa"/>
            <w:vAlign w:val="bottom"/>
          </w:tcPr>
          <w:p>
            <w:pPr>
              <w:spacing w:after="0"/>
              <w:rPr>
                <w:sz w:val="17"/>
                <w:szCs w:val="17"/>
                <w:color w:val="auto"/>
              </w:rPr>
            </w:pPr>
          </w:p>
        </w:tc>
        <w:tc>
          <w:tcPr>
            <w:tcW w:w="118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7"/>
              </w:rPr>
              <w:t>7,492,876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6,345,498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(5.32)</w:t>
            </w:r>
          </w:p>
        </w:tc>
        <w:tc>
          <w:tcPr>
            <w:tcW w:w="4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4820"/>
              <w:spacing w:after="0"/>
              <w:rPr>
                <w:sz w:val="20"/>
                <w:szCs w:val="20"/>
                <w:color w:val="auto"/>
              </w:rPr>
            </w:pPr>
            <w:r>
              <w:rPr>
                <w:rFonts w:ascii="Arial" w:cs="Arial" w:eastAsia="Arial" w:hAnsi="Arial"/>
                <w:sz w:val="18"/>
                <w:szCs w:val="18"/>
                <w:color w:val="auto"/>
              </w:rPr>
              <w:t>F-26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7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As of December 31, 2020 and 2019, the Company had approximately 28.6 million shares and approximately 26.0 million shares, respectively, that are potentially dilutive securities that were excluded from the computation of diluted net loss per share because including them would have had an anti-dilutive effect. Of these potentially dilutive shares at December 31, 2020 and 2019, approximately 27.8 million shares and approximately 25.5 million shares, respectively are in the form of convertible preferred stock, approximately 836,000 shares and approximately 497,000 shares, respectively are in the form of outstanding stock options and approximately 14,000 shares and approximately 9,000 shares, respectively are in the form of outstanding warrants.</w:t>
      </w:r>
    </w:p>
    <w:p>
      <w:pPr>
        <w:spacing w:after="0" w:line="202" w:lineRule="exact"/>
        <w:rPr>
          <w:sz w:val="20"/>
          <w:szCs w:val="20"/>
          <w:color w:val="auto"/>
        </w:rPr>
      </w:pPr>
    </w:p>
    <w:p>
      <w:pPr>
        <w:ind w:left="720" w:right="880"/>
        <w:spacing w:after="0" w:line="239" w:lineRule="auto"/>
        <w:rPr>
          <w:sz w:val="20"/>
          <w:szCs w:val="20"/>
          <w:color w:val="auto"/>
        </w:rPr>
      </w:pPr>
      <w:r>
        <w:rPr>
          <w:rFonts w:ascii="Arial" w:cs="Arial" w:eastAsia="Arial" w:hAnsi="Arial"/>
          <w:sz w:val="18"/>
          <w:szCs w:val="18"/>
          <w:color w:val="auto"/>
        </w:rPr>
        <w:t>The following (unaudited) table sets forth the computation of basic and diluted net loss per share attributable to common stockholders (in thousands, except share and per share data):</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201" w:lineRule="exact"/>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40" w:type="dxa"/>
            <w:vAlign w:val="bottom"/>
          </w:tcPr>
          <w:p>
            <w:pPr>
              <w:spacing w:after="0" w:line="201" w:lineRule="exact"/>
              <w:rPr>
                <w:sz w:val="20"/>
                <w:szCs w:val="20"/>
                <w:color w:val="auto"/>
              </w:rPr>
            </w:pPr>
            <w:r>
              <w:rPr>
                <w:rFonts w:ascii="Arial" w:cs="Arial" w:eastAsia="Arial" w:hAnsi="Arial"/>
                <w:sz w:val="18"/>
                <w:szCs w:val="18"/>
                <w:color w:val="auto"/>
              </w:rPr>
              <w:t>Deemed dividend to preferred stockholders</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w:t>
            </w:r>
          </w:p>
        </w:tc>
        <w:tc>
          <w:tcPr>
            <w:tcW w:w="6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201" w:lineRule="exact"/>
              <w:rPr>
                <w:sz w:val="20"/>
                <w:szCs w:val="20"/>
                <w:color w:val="auto"/>
              </w:rPr>
            </w:pPr>
            <w:r>
              <w:rPr>
                <w:rFonts w:ascii="Arial" w:cs="Arial" w:eastAsia="Arial" w:hAnsi="Arial"/>
                <w:sz w:val="18"/>
                <w:szCs w:val="18"/>
                <w:color w:val="auto"/>
              </w:rPr>
              <w:t>(10,501)</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 loss per</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tcPr>
          <w:p>
            <w:pPr>
              <w:ind w:left="160"/>
              <w:spacing w:after="0" w:line="201" w:lineRule="exact"/>
              <w:rPr>
                <w:sz w:val="20"/>
                <w:szCs w:val="20"/>
                <w:color w:val="auto"/>
              </w:rPr>
            </w:pPr>
            <w:r>
              <w:rPr>
                <w:rFonts w:ascii="Arial" w:cs="Arial" w:eastAsia="Arial" w:hAnsi="Arial"/>
                <w:sz w:val="18"/>
                <w:szCs w:val="18"/>
                <w:color w:val="auto"/>
              </w:rPr>
              <w:t>share attributable to common stockholders, basic and diluted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689"/>
              <w:spacing w:after="0" w:line="201" w:lineRule="exact"/>
              <w:rPr>
                <w:sz w:val="20"/>
                <w:szCs w:val="20"/>
                <w:color w:val="auto"/>
              </w:rPr>
            </w:pPr>
            <w:r>
              <w:rPr>
                <w:rFonts w:ascii="Arial" w:cs="Arial" w:eastAsia="Arial" w:hAnsi="Arial"/>
                <w:sz w:val="18"/>
                <w:szCs w:val="18"/>
                <w:color w:val="auto"/>
                <w:w w:val="97"/>
              </w:rPr>
              <w:t>7,924,848</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7,354,673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680" w:type="dxa"/>
            <w:vAlign w:val="bottom"/>
            <w:gridSpan w:val="2"/>
            <w:shd w:val="clear" w:color="auto" w:fill="CCEEFF"/>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9"/>
              <w:spacing w:after="0" w:line="195"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As of March 31, 2021 and 2020, the Company had approximately 29.4 million shares and approximately 26.4 million shares, respectively, that are potentially dilutive securities that were excluded from the computation of diluted net loss per share because including them would have had an anti-dilutive effect. Of these potentially dilutive shares at March 31, 2021 and 2020, approximately 27.8 million shares and approximately 25.5 million shares, respectively are in the form of convertible preferred stock, approximately 1.6 million shares and approximately 912,000 shares, respectively are in the form of outstanding stock options and approximately 51,000 shares and approximately 13,000 shares, respectively are in the form of outstanding warrants.</w:t>
      </w:r>
    </w:p>
    <w:p>
      <w:pPr>
        <w:spacing w:after="0" w:line="327" w:lineRule="exact"/>
        <w:rPr>
          <w:sz w:val="20"/>
          <w:szCs w:val="20"/>
          <w:color w:val="auto"/>
        </w:rPr>
      </w:pPr>
    </w:p>
    <w:p>
      <w:pPr>
        <w:ind w:left="720" w:right="6860" w:hanging="553"/>
        <w:spacing w:after="0" w:line="391" w:lineRule="auto"/>
        <w:tabs>
          <w:tab w:leader="none" w:pos="709"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Supplemental Disclosures </w:t>
      </w:r>
      <w:r>
        <w:rPr>
          <w:rFonts w:ascii="Arial" w:cs="Arial" w:eastAsia="Arial" w:hAnsi="Arial"/>
          <w:sz w:val="17"/>
          <w:szCs w:val="17"/>
          <w:i w:val="1"/>
          <w:iCs w:val="1"/>
          <w:color w:val="auto"/>
        </w:rPr>
        <w:t>Accumulated Other Comprehensive Income</w:t>
      </w:r>
    </w:p>
    <w:p>
      <w:pPr>
        <w:ind w:left="720" w:right="120"/>
        <w:spacing w:after="0" w:line="239" w:lineRule="auto"/>
        <w:rPr>
          <w:rFonts w:ascii="Arial" w:cs="Arial" w:eastAsia="Arial" w:hAnsi="Arial"/>
          <w:sz w:val="17"/>
          <w:szCs w:val="17"/>
          <w:b w:val="1"/>
          <w:bCs w:val="1"/>
          <w:color w:val="auto"/>
        </w:rPr>
      </w:pPr>
      <w:r>
        <w:rPr>
          <w:rFonts w:ascii="Arial" w:cs="Arial" w:eastAsia="Arial" w:hAnsi="Arial"/>
          <w:sz w:val="18"/>
          <w:szCs w:val="18"/>
          <w:color w:val="auto"/>
        </w:rPr>
        <w:t>The changes in composition of accumulated other comprehensive income, net of tax, as of December 31, 2020 and 2019 were as follows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Foreign Currency</w:t>
            </w:r>
          </w:p>
        </w:tc>
      </w:tr>
      <w:tr>
        <w:trPr>
          <w:trHeight w:val="174"/>
        </w:trPr>
        <w:tc>
          <w:tcPr>
            <w:tcW w:w="46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Translation Adjustment</w:t>
            </w:r>
          </w:p>
        </w:tc>
      </w:tr>
      <w:tr>
        <w:trPr>
          <w:trHeight w:val="194"/>
        </w:trPr>
        <w:tc>
          <w:tcPr>
            <w:tcW w:w="4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Balance as of December 31, 2019</w:t>
            </w:r>
          </w:p>
        </w:tc>
        <w:tc>
          <w:tcPr>
            <w:tcW w:w="37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ind w:left="1160"/>
              <w:spacing w:after="0" w:line="194"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46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gain</w:t>
            </w: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210</w:t>
            </w:r>
          </w:p>
        </w:tc>
      </w:tr>
      <w:tr>
        <w:trPr>
          <w:trHeight w:val="201"/>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37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ind w:left="116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7"/>
        </w:trPr>
        <w:tc>
          <w:tcPr>
            <w:tcW w:w="46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3920" w:type="dxa"/>
            <w:vAlign w:val="bottom"/>
            <w:gridSpan w:val="2"/>
          </w:tcPr>
          <w:p>
            <w:pPr>
              <w:ind w:left="37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210</w:t>
            </w:r>
          </w:p>
        </w:tc>
      </w:tr>
      <w:tr>
        <w:trPr>
          <w:trHeight w:val="20"/>
        </w:trPr>
        <w:tc>
          <w:tcPr>
            <w:tcW w:w="46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4620" w:type="dxa"/>
            <w:vAlign w:val="bottom"/>
          </w:tcPr>
          <w:p>
            <w:pPr>
              <w:spacing w:after="0"/>
              <w:rPr>
                <w:sz w:val="24"/>
                <w:szCs w:val="24"/>
                <w:color w:val="auto"/>
              </w:rPr>
            </w:pPr>
          </w:p>
        </w:tc>
        <w:tc>
          <w:tcPr>
            <w:tcW w:w="3920" w:type="dxa"/>
            <w:vAlign w:val="bottom"/>
            <w:gridSpan w:val="2"/>
          </w:tcPr>
          <w:p>
            <w:pPr>
              <w:ind w:left="220"/>
              <w:spacing w:after="0"/>
              <w:rPr>
                <w:sz w:val="20"/>
                <w:szCs w:val="20"/>
                <w:color w:val="auto"/>
              </w:rPr>
            </w:pPr>
            <w:r>
              <w:rPr>
                <w:rFonts w:ascii="Arial" w:cs="Arial" w:eastAsia="Arial" w:hAnsi="Arial"/>
                <w:sz w:val="18"/>
                <w:szCs w:val="18"/>
                <w:color w:val="auto"/>
              </w:rPr>
              <w:t>F-27</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320" w:top="456" w:right="5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changes in composition of accumulated other comprehensive income, net of tax, as of March 31, 2021 and 2020 (unaudited)</w:t>
      </w:r>
    </w:p>
    <w:p>
      <w:pPr>
        <w:ind w:left="720"/>
        <w:spacing w:after="0"/>
        <w:rPr>
          <w:sz w:val="20"/>
          <w:szCs w:val="20"/>
          <w:color w:val="auto"/>
        </w:rPr>
      </w:pPr>
      <w:r>
        <w:rPr>
          <w:rFonts w:ascii="Arial" w:cs="Arial" w:eastAsia="Arial" w:hAnsi="Arial"/>
          <w:sz w:val="18"/>
          <w:szCs w:val="18"/>
          <w:color w:val="auto"/>
        </w:rPr>
        <w:t>were as follows (in thousands):</w:t>
      </w:r>
    </w:p>
    <w:p>
      <w:pPr>
        <w:spacing w:after="0" w:line="221"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Foreign Currency</w:t>
            </w:r>
          </w:p>
        </w:tc>
      </w:tr>
      <w:tr>
        <w:trPr>
          <w:trHeight w:val="174"/>
        </w:trPr>
        <w:tc>
          <w:tcPr>
            <w:tcW w:w="832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 Adjustment</w:t>
            </w:r>
          </w:p>
        </w:tc>
      </w:tr>
      <w:tr>
        <w:trPr>
          <w:trHeight w:val="154"/>
        </w:trPr>
        <w:tc>
          <w:tcPr>
            <w:tcW w:w="8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314"/>
              <w:spacing w:after="0" w:line="154"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1"/>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 31, 2019</w:t>
            </w:r>
          </w:p>
        </w:tc>
        <w:tc>
          <w:tcPr>
            <w:tcW w:w="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1"/>
        </w:trPr>
        <w:tc>
          <w:tcPr>
            <w:tcW w:w="83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loss</w:t>
            </w:r>
          </w:p>
        </w:tc>
        <w:tc>
          <w:tcPr>
            <w:tcW w:w="160" w:type="dxa"/>
            <w:vAlign w:val="bottom"/>
          </w:tcPr>
          <w:p>
            <w:pPr>
              <w:spacing w:after="0"/>
              <w:rPr>
                <w:sz w:val="17"/>
                <w:szCs w:val="17"/>
                <w:color w:val="auto"/>
              </w:rPr>
            </w:pPr>
          </w:p>
        </w:tc>
        <w:tc>
          <w:tcPr>
            <w:tcW w:w="15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(49)</w:t>
            </w:r>
          </w:p>
        </w:tc>
      </w:tr>
      <w:tr>
        <w:trPr>
          <w:trHeight w:val="201"/>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7"/>
        </w:trPr>
        <w:tc>
          <w:tcPr>
            <w:tcW w:w="8320" w:type="dxa"/>
            <w:vAlign w:val="bottom"/>
          </w:tcPr>
          <w:p>
            <w:pPr>
              <w:spacing w:after="0"/>
              <w:rPr>
                <w:sz w:val="20"/>
                <w:szCs w:val="20"/>
                <w:color w:val="auto"/>
              </w:rPr>
            </w:pPr>
            <w:r>
              <w:rPr>
                <w:rFonts w:ascii="Arial" w:cs="Arial" w:eastAsia="Arial" w:hAnsi="Arial"/>
                <w:sz w:val="18"/>
                <w:szCs w:val="18"/>
                <w:color w:val="auto"/>
              </w:rPr>
              <w:t>Balance as of March 31, 2020 (unaudited)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0"/>
        </w:trPr>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8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as of December 31, 2020</w:t>
            </w:r>
          </w:p>
        </w:tc>
        <w:tc>
          <w:tcPr>
            <w:tcW w:w="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6"/>
                <w:szCs w:val="16"/>
                <w:color w:val="auto"/>
              </w:rPr>
            </w:pPr>
          </w:p>
        </w:tc>
      </w:tr>
      <w:tr>
        <w:trPr>
          <w:trHeight w:val="201"/>
        </w:trPr>
        <w:tc>
          <w:tcPr>
            <w:tcW w:w="832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gain</w:t>
            </w:r>
          </w:p>
        </w:tc>
        <w:tc>
          <w:tcPr>
            <w:tcW w:w="160" w:type="dxa"/>
            <w:vAlign w:val="bottom"/>
          </w:tcPr>
          <w:p>
            <w:pPr>
              <w:spacing w:after="0"/>
              <w:rPr>
                <w:sz w:val="17"/>
                <w:szCs w:val="17"/>
                <w:color w:val="auto"/>
              </w:rPr>
            </w:pPr>
          </w:p>
        </w:tc>
        <w:tc>
          <w:tcPr>
            <w:tcW w:w="15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30</w:t>
            </w:r>
          </w:p>
        </w:tc>
      </w:tr>
      <w:tr>
        <w:trPr>
          <w:trHeight w:val="201"/>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r>
      <w:tr>
        <w:trPr>
          <w:trHeight w:val="207"/>
        </w:trPr>
        <w:tc>
          <w:tcPr>
            <w:tcW w:w="8320" w:type="dxa"/>
            <w:vAlign w:val="bottom"/>
          </w:tcPr>
          <w:p>
            <w:pPr>
              <w:spacing w:after="0"/>
              <w:rPr>
                <w:sz w:val="20"/>
                <w:szCs w:val="20"/>
                <w:color w:val="auto"/>
              </w:rPr>
            </w:pPr>
            <w:r>
              <w:rPr>
                <w:rFonts w:ascii="Arial" w:cs="Arial" w:eastAsia="Arial" w:hAnsi="Arial"/>
                <w:sz w:val="18"/>
                <w:szCs w:val="18"/>
                <w:color w:val="auto"/>
              </w:rPr>
              <w:t>Balance as of March 31, 2021 (unaudited)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22" w:lineRule="exact"/>
        <w:rPr>
          <w:rFonts w:ascii="Arial" w:cs="Arial" w:eastAsia="Arial" w:hAnsi="Arial"/>
          <w:sz w:val="18"/>
          <w:szCs w:val="18"/>
          <w:b w:val="1"/>
          <w:bCs w:val="1"/>
          <w:color w:val="auto"/>
        </w:rPr>
      </w:pPr>
    </w:p>
    <w:p>
      <w:pPr>
        <w:ind w:left="720"/>
        <w:spacing w:after="0" w:line="246" w:lineRule="auto"/>
        <w:rPr>
          <w:rFonts w:ascii="Arial" w:cs="Arial" w:eastAsia="Arial" w:hAnsi="Arial"/>
          <w:sz w:val="18"/>
          <w:szCs w:val="18"/>
          <w:b w:val="1"/>
          <w:bCs w:val="1"/>
          <w:color w:val="auto"/>
        </w:rPr>
      </w:pPr>
      <w:r>
        <w:rPr>
          <w:rFonts w:ascii="Arial" w:cs="Arial" w:eastAsia="Arial" w:hAnsi="Arial"/>
          <w:sz w:val="17"/>
          <w:szCs w:val="17"/>
          <w:color w:val="auto"/>
        </w:rPr>
        <w:t>The Company is party to an Amended and Restated Loan and Security Agreement with Hercules Capital, Inc. (“Hercules”), or the Amended Loan and Security Agreement, for a term loan, or the term loan facility. Under the Amended Loan and Security Agreement, effective January 30, 2020, the Company can borrow up to $15 million under a term loan, all of which became available to the Company immediately on the agreement date. The Company had borrowings under the term loan of $15 million as of March 31, 2021 (unaudited), December 31, 2020 and $11 million as of December 31, 2019. As of March 31, 2021 (unaudited) and December 31, 2020, the loan pays interest at the greater of (i) 8.7% per annum or (ii) 8.7% per annum plus the prime rate minus</w:t>
      </w:r>
    </w:p>
    <w:p>
      <w:pPr>
        <w:spacing w:after="0" w:line="1" w:lineRule="exact"/>
        <w:rPr>
          <w:rFonts w:ascii="Arial" w:cs="Arial" w:eastAsia="Arial" w:hAnsi="Arial"/>
          <w:sz w:val="18"/>
          <w:szCs w:val="18"/>
          <w:b w:val="1"/>
          <w:bCs w:val="1"/>
          <w:color w:val="auto"/>
        </w:rPr>
      </w:pPr>
    </w:p>
    <w:p>
      <w:pPr>
        <w:ind w:left="72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4.75% per annum. The term loan agreement requires a maximum $1.2 million end of term fee due and payable on the maturity date of May 1, 2022, however, if the term loan is repaid prior to November 1, 2021, the amount owed would be $0.9 million. As of March 31, 2021 (unaudited) and December 31, 2020, the Company owed $15.8 million on this term loan, including principal borrowings and accrued end of term fee. As Xometry intends to repay this term loan in 2021, the Company has classified this term loan as a current liability on the Consolidated Balance Sheet. Xometry’s obligations under the Amended Loan and Security Agreement are secured by substantially all of Xometry’s assets.</w:t>
      </w:r>
    </w:p>
    <w:p>
      <w:pPr>
        <w:spacing w:after="0" w:line="94" w:lineRule="exact"/>
        <w:rPr>
          <w:rFonts w:ascii="Arial" w:cs="Arial" w:eastAsia="Arial" w:hAnsi="Arial"/>
          <w:sz w:val="18"/>
          <w:szCs w:val="18"/>
          <w:b w:val="1"/>
          <w:bCs w:val="1"/>
          <w:color w:val="auto"/>
        </w:rPr>
      </w:pPr>
    </w:p>
    <w:p>
      <w:pPr>
        <w:jc w:val="both"/>
        <w:ind w:left="720" w:right="1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has the right to terminate its obligation to make further advances to Xometry immediately and without notice upon the occurrence and during the continuance of an event of default.</w:t>
      </w:r>
    </w:p>
    <w:p>
      <w:pPr>
        <w:spacing w:after="0" w:line="95" w:lineRule="exact"/>
        <w:rPr>
          <w:rFonts w:ascii="Arial" w:cs="Arial" w:eastAsia="Arial" w:hAnsi="Arial"/>
          <w:sz w:val="18"/>
          <w:szCs w:val="18"/>
          <w:b w:val="1"/>
          <w:bCs w:val="1"/>
          <w:color w:val="auto"/>
        </w:rPr>
      </w:pPr>
    </w:p>
    <w:p>
      <w:pPr>
        <w:ind w:left="720" w:right="8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w:t>
      </w:r>
    </w:p>
    <w:p>
      <w:pPr>
        <w:spacing w:after="0" w:line="95" w:lineRule="exact"/>
        <w:rPr>
          <w:rFonts w:ascii="Arial" w:cs="Arial" w:eastAsia="Arial" w:hAnsi="Arial"/>
          <w:sz w:val="18"/>
          <w:szCs w:val="18"/>
          <w:b w:val="1"/>
          <w:bCs w:val="1"/>
          <w:color w:val="auto"/>
        </w:rPr>
      </w:pPr>
    </w:p>
    <w:p>
      <w:pPr>
        <w:ind w:left="720" w:right="4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the Company’s capital stock, enter into transactions with affiliates outside the ordinary course of business, and create liens on Company assets. Xometry is in compliance with covenants and were in compliance with these covenants as of March 31, 2021 (unaudited) and December 31, 2020.</w:t>
      </w:r>
    </w:p>
    <w:p>
      <w:pPr>
        <w:spacing w:after="0" w:line="94" w:lineRule="exact"/>
        <w:rPr>
          <w:rFonts w:ascii="Arial" w:cs="Arial" w:eastAsia="Arial" w:hAnsi="Arial"/>
          <w:sz w:val="18"/>
          <w:szCs w:val="18"/>
          <w:b w:val="1"/>
          <w:bCs w:val="1"/>
          <w:color w:val="auto"/>
        </w:rPr>
      </w:pPr>
    </w:p>
    <w:p>
      <w:pPr>
        <w:ind w:left="720" w:right="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had a $2.5 million credit facility with Comerica Bank. The Company could borrow $2.5 million on a receivable revolver not to exceed 80% of eligible accounts receivables and bore interest at the Prime Reference rate plus 1.5%. Comerica had a first priority security interest in all</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80"/>
          </w:cols>
          <w:pgMar w:left="320" w:top="456"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160"/>
        <w:spacing w:after="0" w:line="239" w:lineRule="auto"/>
        <w:rPr>
          <w:sz w:val="20"/>
          <w:szCs w:val="20"/>
          <w:color w:val="auto"/>
        </w:rPr>
      </w:pPr>
      <w:r>
        <w:rPr>
          <w:rFonts w:ascii="Arial" w:cs="Arial" w:eastAsia="Arial" w:hAnsi="Arial"/>
          <w:sz w:val="18"/>
          <w:szCs w:val="18"/>
          <w:color w:val="auto"/>
        </w:rPr>
        <w:t>assets of the Company with a negative pledge on intellectual property. The revolver was paid off on May 16, 2019 and terminated on June 30, 2019.</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Paycheck Protection Program</w:t>
      </w:r>
    </w:p>
    <w:p>
      <w:pPr>
        <w:spacing w:after="0" w:line="119" w:lineRule="exact"/>
        <w:rPr>
          <w:sz w:val="20"/>
          <w:szCs w:val="20"/>
          <w:color w:val="auto"/>
        </w:rPr>
      </w:pPr>
    </w:p>
    <w:p>
      <w:pPr>
        <w:ind w:left="720"/>
        <w:spacing w:after="0" w:line="236" w:lineRule="auto"/>
        <w:rPr>
          <w:sz w:val="20"/>
          <w:szCs w:val="20"/>
          <w:color w:val="auto"/>
        </w:rPr>
      </w:pPr>
      <w:r>
        <w:rPr>
          <w:rFonts w:ascii="Arial" w:cs="Arial" w:eastAsia="Arial" w:hAnsi="Arial"/>
          <w:sz w:val="18"/>
          <w:szCs w:val="18"/>
          <w:color w:val="auto"/>
        </w:rPr>
        <w:t>In April 2020, the Company received loan proceeds in the amount of approximately $4.8 million under the Paycheck Protection Program (“PPP”). The PPP, established as part of the Coronavirus Aid, Relief and Economic Security Act (“CARES Act”) enacted March 27, 2020, provides for loans to qualifying businesses for amounts up to 2.5 times of the average monthly payroll expenses of the qualifying business. The Company paid back the loan principal with interest on July 8, 2020.</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Contingencies</w:t>
      </w:r>
    </w:p>
    <w:p>
      <w:pPr>
        <w:spacing w:after="0" w:line="119" w:lineRule="exact"/>
        <w:rPr>
          <w:sz w:val="20"/>
          <w:szCs w:val="20"/>
          <w:color w:val="auto"/>
        </w:rPr>
      </w:pPr>
    </w:p>
    <w:p>
      <w:pPr>
        <w:ind w:left="720" w:right="60"/>
        <w:spacing w:after="0" w:line="236" w:lineRule="auto"/>
        <w:rPr>
          <w:sz w:val="20"/>
          <w:szCs w:val="20"/>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327" w:lineRule="exact"/>
        <w:rPr>
          <w:sz w:val="20"/>
          <w:szCs w:val="20"/>
          <w:color w:val="auto"/>
        </w:rPr>
      </w:pPr>
    </w:p>
    <w:p>
      <w:pPr>
        <w:ind w:left="700" w:hanging="533"/>
        <w:spacing w:after="0"/>
        <w:tabs>
          <w:tab w:leader="none" w:pos="7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2" w:lineRule="exact"/>
        <w:rPr>
          <w:rFonts w:ascii="Arial" w:cs="Arial" w:eastAsia="Arial" w:hAnsi="Arial"/>
          <w:sz w:val="18"/>
          <w:szCs w:val="18"/>
          <w:b w:val="1"/>
          <w:bCs w:val="1"/>
          <w:color w:val="auto"/>
        </w:rPr>
      </w:pPr>
    </w:p>
    <w:p>
      <w:pPr>
        <w:ind w:left="720" w:right="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MTS, a machine and tool supplier, for cash consideration of $0.7 million with the intent of supplementing the Company’s existing product offerings. In connection with the MTS acquisition, Xometry recognized net assets of $0.6 million, which primarily included customer receivables at the time of acquisition and approximately $0.1 million of goodwill related to expected synergies.</w:t>
      </w:r>
    </w:p>
    <w:p>
      <w:pPr>
        <w:spacing w:after="0" w:line="95" w:lineRule="exact"/>
        <w:rPr>
          <w:rFonts w:ascii="Arial" w:cs="Arial" w:eastAsia="Arial" w:hAnsi="Arial"/>
          <w:sz w:val="18"/>
          <w:szCs w:val="18"/>
          <w:b w:val="1"/>
          <w:bCs w:val="1"/>
          <w:color w:val="auto"/>
        </w:rPr>
      </w:pPr>
    </w:p>
    <w:p>
      <w:pPr>
        <w:ind w:left="72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Payments of $0.2 million were paid to the owners on the first and second anniversary of the transaction, subject to their continuous employment. As such, these payments were not included in the acquisition consideration.</w:t>
      </w:r>
    </w:p>
    <w:p>
      <w:pPr>
        <w:spacing w:after="0" w:line="95" w:lineRule="exact"/>
        <w:rPr>
          <w:rFonts w:ascii="Arial" w:cs="Arial" w:eastAsia="Arial" w:hAnsi="Arial"/>
          <w:sz w:val="18"/>
          <w:szCs w:val="18"/>
          <w:b w:val="1"/>
          <w:bCs w:val="1"/>
          <w:color w:val="auto"/>
        </w:rPr>
      </w:pPr>
    </w:p>
    <w:p>
      <w:pPr>
        <w:ind w:left="720" w:right="1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November 26, 2019, the Company acquired Munich, Germany based Shift GmbH, through a stock purchase for consideration of $3.6 million with the intent of expanding Xometry’s platform and network of sellers. The aggregate purchase price included $0.9 million of cash and 750,770 shares of Xometry common stock, which had a fair value of $2.7 million at the date of the acquisition. The goodwill of $1.4 million arising from the acquisition related to certain expected synergies.</w:t>
      </w:r>
    </w:p>
    <w:p>
      <w:pPr>
        <w:spacing w:after="0" w:line="95" w:lineRule="exact"/>
        <w:rPr>
          <w:rFonts w:ascii="Arial" w:cs="Arial" w:eastAsia="Arial" w:hAnsi="Arial"/>
          <w:sz w:val="18"/>
          <w:szCs w:val="18"/>
          <w:b w:val="1"/>
          <w:bCs w:val="1"/>
          <w:color w:val="auto"/>
        </w:rPr>
      </w:pPr>
    </w:p>
    <w:p>
      <w:pPr>
        <w:ind w:left="720" w:right="6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following table (in thousands) summarizes the consideration paid for Shift and the fair value of the assets acquired and liabilities assumed on the acquisition date.</w:t>
      </w:r>
    </w:p>
    <w:p>
      <w:pPr>
        <w:spacing w:after="0" w:line="22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Cash</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876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2,743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60" w:type="dxa"/>
            <w:vAlign w:val="bottom"/>
          </w:tcPr>
          <w:p>
            <w:pPr>
              <w:ind w:left="360"/>
              <w:spacing w:after="0"/>
              <w:rPr>
                <w:sz w:val="20"/>
                <w:szCs w:val="20"/>
                <w:color w:val="auto"/>
              </w:rPr>
            </w:pPr>
            <w:r>
              <w:rPr>
                <w:rFonts w:ascii="Arial" w:cs="Arial" w:eastAsia="Arial" w:hAnsi="Arial"/>
                <w:sz w:val="18"/>
                <w:szCs w:val="18"/>
                <w:color w:val="auto"/>
              </w:rPr>
              <w:t>Fair value of consideration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3,619</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Acquisition costs included in general and administrative</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1"/>
        </w:trPr>
        <w:tc>
          <w:tcPr>
            <w:tcW w:w="9360" w:type="dxa"/>
            <w:vAlign w:val="bottom"/>
          </w:tcPr>
          <w:p>
            <w:pPr>
              <w:spacing w:after="0" w:line="201" w:lineRule="exact"/>
              <w:rPr>
                <w:sz w:val="20"/>
                <w:szCs w:val="20"/>
                <w:color w:val="auto"/>
              </w:rPr>
            </w:pPr>
            <w:r>
              <w:rPr>
                <w:rFonts w:ascii="Arial" w:cs="Arial" w:eastAsia="Arial" w:hAnsi="Arial"/>
                <w:sz w:val="18"/>
                <w:szCs w:val="18"/>
                <w:color w:val="auto"/>
              </w:rPr>
              <w:t>Recognized amounts of identifiable assets acquired and liabilities assumed: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7"/>
              </w:rPr>
              <w:t>2,170</w:t>
            </w:r>
          </w:p>
        </w:tc>
        <w:tc>
          <w:tcPr>
            <w:tcW w:w="0" w:type="dxa"/>
            <w:vAlign w:val="bottom"/>
          </w:tcPr>
          <w:p>
            <w:pPr>
              <w:spacing w:after="0"/>
              <w:rPr>
                <w:sz w:val="1"/>
                <w:szCs w:val="1"/>
                <w:color w:val="auto"/>
              </w:rPr>
            </w:pPr>
          </w:p>
        </w:tc>
      </w:tr>
      <w:tr>
        <w:trPr>
          <w:trHeight w:val="201"/>
        </w:trPr>
        <w:tc>
          <w:tcPr>
            <w:tcW w:w="9360" w:type="dxa"/>
            <w:vAlign w:val="bottom"/>
          </w:tcPr>
          <w:p>
            <w:pPr>
              <w:ind w:left="360"/>
              <w:spacing w:after="0" w:line="201"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7"/>
        </w:trPr>
        <w:tc>
          <w:tcPr>
            <w:tcW w:w="9360" w:type="dxa"/>
            <w:vAlign w:val="bottom"/>
          </w:tcPr>
          <w:p>
            <w:pPr>
              <w:ind w:left="720"/>
              <w:spacing w:after="0"/>
              <w:rPr>
                <w:sz w:val="20"/>
                <w:szCs w:val="20"/>
                <w:color w:val="auto"/>
              </w:rPr>
            </w:pPr>
            <w:r>
              <w:rPr>
                <w:rFonts w:ascii="Arial" w:cs="Arial" w:eastAsia="Arial" w:hAnsi="Arial"/>
                <w:sz w:val="18"/>
                <w:szCs w:val="18"/>
                <w:color w:val="auto"/>
              </w:rPr>
              <w:t>Total identifiable net assets assumed</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1,354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6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3,619</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840"/>
              <w:spacing w:after="0"/>
              <w:rPr>
                <w:sz w:val="20"/>
                <w:szCs w:val="20"/>
                <w:color w:val="auto"/>
              </w:rPr>
            </w:pPr>
            <w:r>
              <w:rPr>
                <w:rFonts w:ascii="Arial" w:cs="Arial" w:eastAsia="Arial" w:hAnsi="Arial"/>
                <w:sz w:val="18"/>
                <w:szCs w:val="18"/>
                <w:color w:val="auto"/>
              </w:rPr>
              <w:t>F-29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line="239" w:lineRule="auto"/>
        <w:rPr>
          <w:sz w:val="20"/>
          <w:szCs w:val="20"/>
          <w:color w:val="auto"/>
        </w:rPr>
      </w:pPr>
      <w:r>
        <w:rPr>
          <w:rFonts w:ascii="Arial" w:cs="Arial" w:eastAsia="Arial" w:hAnsi="Arial"/>
          <w:sz w:val="18"/>
          <w:szCs w:val="18"/>
          <w:color w:val="auto"/>
        </w:rPr>
        <w:t>The acquired intangible assets, all of which are being amortized, were assigned weighted-average useful life of approximately three years. During 2020 and 2019, the Company recognized $3.1 million and $0.1 million of revenue, respectively from Shift.</w:t>
      </w:r>
    </w:p>
    <w:p>
      <w:pPr>
        <w:spacing w:after="0" w:line="96" w:lineRule="exact"/>
        <w:rPr>
          <w:sz w:val="20"/>
          <w:szCs w:val="20"/>
          <w:color w:val="auto"/>
        </w:rPr>
      </w:pPr>
    </w:p>
    <w:p>
      <w:pPr>
        <w:ind w:left="720" w:right="380"/>
        <w:spacing w:after="0" w:line="239" w:lineRule="auto"/>
        <w:rPr>
          <w:sz w:val="20"/>
          <w:szCs w:val="20"/>
          <w:color w:val="auto"/>
        </w:rPr>
      </w:pPr>
      <w:r>
        <w:rPr>
          <w:rFonts w:ascii="Arial" w:cs="Arial" w:eastAsia="Arial" w:hAnsi="Arial"/>
          <w:sz w:val="18"/>
          <w:szCs w:val="18"/>
          <w:color w:val="auto"/>
        </w:rPr>
        <w:t>The acquisitions of MTS and Shift were not considered material individually or in the aggregate to the Company for the periods presented, and therefore, pro forma information has not been presented.</w:t>
      </w:r>
    </w:p>
    <w:p>
      <w:pPr>
        <w:spacing w:after="0" w:line="328" w:lineRule="exact"/>
        <w:rPr>
          <w:sz w:val="20"/>
          <w:szCs w:val="20"/>
          <w:color w:val="auto"/>
        </w:rPr>
      </w:pPr>
    </w:p>
    <w:p>
      <w:pPr>
        <w:ind w:left="700" w:hanging="533"/>
        <w:spacing w:after="0"/>
        <w:tabs>
          <w:tab w:leader="none" w:pos="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22" w:lineRule="exact"/>
        <w:rPr>
          <w:rFonts w:ascii="Arial" w:cs="Arial" w:eastAsia="Arial" w:hAnsi="Arial"/>
          <w:sz w:val="18"/>
          <w:szCs w:val="18"/>
          <w:b w:val="1"/>
          <w:bCs w:val="1"/>
          <w:color w:val="auto"/>
        </w:rPr>
      </w:pPr>
    </w:p>
    <w:p>
      <w:pPr>
        <w:ind w:left="720"/>
        <w:spacing w:after="0" w:line="248" w:lineRule="auto"/>
        <w:rPr>
          <w:rFonts w:ascii="Arial" w:cs="Arial" w:eastAsia="Arial" w:hAnsi="Arial"/>
          <w:sz w:val="18"/>
          <w:szCs w:val="18"/>
          <w:b w:val="1"/>
          <w:bCs w:val="1"/>
          <w:color w:val="auto"/>
        </w:rPr>
      </w:pPr>
      <w:r>
        <w:rPr>
          <w:rFonts w:ascii="Arial" w:cs="Arial" w:eastAsia="Arial" w:hAnsi="Arial"/>
          <w:sz w:val="17"/>
          <w:szCs w:val="17"/>
          <w:color w:val="auto"/>
        </w:rPr>
        <w:t>Xometry is organized in two segments referred to as the U.S. and Europe. Xometry’s operating segments are also the Company’s reportable segments. Xometry’s reportable segments, whose products and offerings are generally the same, are managed separately based on geography. The accounting policies of the reportable segments are the same as those described in Note 2— Summary of Significant Accounting Policies.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corporate overhead to the Europe segment. The Company’s CODM monitors assets of the consolidated Company, but does not use assets, by operating segment when assessing performance or making operating segment resource decisions. As of December 31, 2019, the Company only had one segment. For the year ended December 31, 2019, our Europe segment had revenue of approximately $0.1 million, a net loss of approximately $0.4 million, property and equipment of $42,000, depreciation and amortization of $0.1 million, and expenditures for property and equipment of $13,000.</w:t>
      </w:r>
    </w:p>
    <w:p>
      <w:pPr>
        <w:spacing w:after="0" w:line="85"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reflect certain segment information for the year ended December 31, 2020 and the quarters ended March 31,</w:t>
      </w: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2021 and 2020 (unaudited)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3020" w:type="dxa"/>
            <w:vAlign w:val="bottom"/>
          </w:tcPr>
          <w:p>
            <w:pPr>
              <w:spacing w:after="0"/>
              <w:rPr>
                <w:sz w:val="15"/>
                <w:szCs w:val="15"/>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center"/>
              <w:ind w:left="9"/>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60" w:type="dxa"/>
            <w:vAlign w:val="bottom"/>
            <w:gridSpan w:val="2"/>
            <w:vMerge w:val="continue"/>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left="9"/>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3220" w:type="dxa"/>
            <w:vAlign w:val="bottom"/>
            <w:gridSpan w:val="2"/>
            <w:shd w:val="clear" w:color="auto" w:fill="CCEEFF"/>
          </w:tcPr>
          <w:p>
            <w:pPr>
              <w:ind w:left="30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138,272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$ 41,299</w:t>
            </w:r>
          </w:p>
        </w:tc>
        <w:tc>
          <w:tcPr>
            <w:tcW w:w="8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$26,258</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3,134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2,623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ind w:left="30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141,406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$ 43,922</w:t>
            </w:r>
          </w:p>
        </w:tc>
        <w:tc>
          <w:tcPr>
            <w:tcW w:w="8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26,689</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Segment Losses</w:t>
            </w:r>
          </w:p>
        </w:tc>
        <w:tc>
          <w:tcPr>
            <w:tcW w:w="3020" w:type="dxa"/>
            <w:vAlign w:val="bottom"/>
          </w:tcPr>
          <w:p>
            <w:pPr>
              <w:spacing w:after="0"/>
              <w:rPr>
                <w:sz w:val="22"/>
                <w:szCs w:val="22"/>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jc w:val="center"/>
              <w:ind w:left="9"/>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3760" w:type="dxa"/>
            <w:vAlign w:val="bottom"/>
            <w:gridSpan w:val="2"/>
            <w:vMerge w:val="continue"/>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4"/>
          </w:tcPr>
          <w:p>
            <w:pPr>
              <w:jc w:val="center"/>
              <w:ind w:left="9"/>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3220" w:type="dxa"/>
            <w:vAlign w:val="bottom"/>
            <w:gridSpan w:val="2"/>
            <w:shd w:val="clear" w:color="auto" w:fill="CCEEFF"/>
          </w:tcPr>
          <w:p>
            <w:pPr>
              <w:ind w:left="30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(22,130)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 (8,162)</w:t>
            </w:r>
          </w:p>
        </w:tc>
        <w:tc>
          <w:tcPr>
            <w:tcW w:w="8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 (7,442)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(8,955)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right"/>
              <w:ind w:right="160"/>
              <w:spacing w:after="0" w:line="201" w:lineRule="exact"/>
              <w:rPr>
                <w:sz w:val="20"/>
                <w:szCs w:val="20"/>
                <w:color w:val="auto"/>
              </w:rPr>
            </w:pPr>
            <w:r>
              <w:rPr>
                <w:rFonts w:ascii="Arial" w:cs="Arial" w:eastAsia="Arial" w:hAnsi="Arial"/>
                <w:sz w:val="18"/>
                <w:szCs w:val="18"/>
                <w:color w:val="auto"/>
              </w:rPr>
              <w:t>(2,339)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94"/>
              </w:rPr>
              <w:t>(1,165)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ind w:left="30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(31,085)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160"/>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(10,501)</w:t>
            </w:r>
          </w:p>
        </w:tc>
        <w:tc>
          <w:tcPr>
            <w:tcW w:w="8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 (8,607)</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December</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Segment Property and Equipment</w:t>
            </w: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31,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1"/>
        </w:trPr>
        <w:tc>
          <w:tcPr>
            <w:tcW w:w="3760" w:type="dxa"/>
            <w:vAlign w:val="bottom"/>
            <w:gridSpan w:val="2"/>
            <w:vMerge w:val="continue"/>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3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5,612</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9"/>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3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9"/>
              <w:spacing w:after="0" w:line="201" w:lineRule="exact"/>
              <w:rPr>
                <w:sz w:val="20"/>
                <w:szCs w:val="20"/>
                <w:color w:val="auto"/>
              </w:rPr>
            </w:pPr>
            <w:r>
              <w:rPr>
                <w:rFonts w:ascii="Arial" w:cs="Arial" w:eastAsia="Arial" w:hAnsi="Arial"/>
                <w:sz w:val="18"/>
                <w:szCs w:val="18"/>
                <w:color w:val="auto"/>
              </w:rPr>
              <w:t>6,113</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9"/>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20" w:type="dxa"/>
            <w:vAlign w:val="bottom"/>
            <w:gridSpan w:val="2"/>
            <w:vMerge w:val="restart"/>
          </w:tcPr>
          <w:p>
            <w:pPr>
              <w:ind w:left="1080"/>
              <w:spacing w:after="0"/>
              <w:rPr>
                <w:sz w:val="20"/>
                <w:szCs w:val="20"/>
                <w:color w:val="auto"/>
              </w:rPr>
            </w:pPr>
            <w:r>
              <w:rPr>
                <w:rFonts w:ascii="Arial" w:cs="Arial" w:eastAsia="Arial" w:hAnsi="Arial"/>
                <w:sz w:val="18"/>
                <w:szCs w:val="18"/>
                <w:color w:val="auto"/>
              </w:rPr>
              <w:t>F-30</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Depreciation and Amortization</w:t>
            </w:r>
          </w:p>
        </w:tc>
        <w:tc>
          <w:tcPr>
            <w:tcW w:w="120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left="240"/>
              <w:spacing w:after="0" w:line="154"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2,389</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641</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$506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731</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93</w:t>
            </w: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3,120</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rPr>
              <w:t>734</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Expenditures for Property and Equipment and</w:t>
            </w:r>
          </w:p>
        </w:tc>
        <w:tc>
          <w:tcPr>
            <w:tcW w:w="1200" w:type="dxa"/>
            <w:vAlign w:val="bottom"/>
          </w:tcPr>
          <w:p>
            <w:pPr>
              <w:spacing w:after="0"/>
              <w:rPr>
                <w:sz w:val="22"/>
                <w:szCs w:val="22"/>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Long-Lived Assets</w:t>
            </w:r>
          </w:p>
        </w:tc>
        <w:tc>
          <w:tcPr>
            <w:tcW w:w="1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left="240"/>
              <w:spacing w:after="0" w:line="154"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3,671</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w w:val="97"/>
              </w:rPr>
              <w:t>1,094</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$971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519</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150</w:t>
            </w:r>
          </w:p>
        </w:tc>
        <w:tc>
          <w:tcPr>
            <w:tcW w:w="4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4,190</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w w:val="97"/>
              </w:rPr>
              <w:t>1,244</w:t>
            </w:r>
          </w:p>
        </w:tc>
        <w:tc>
          <w:tcPr>
            <w:tcW w:w="4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Segment Impairments of Goodwill and Intangible Assets</w:t>
            </w:r>
          </w:p>
        </w:tc>
        <w:tc>
          <w:tcPr>
            <w:tcW w:w="1200" w:type="dxa"/>
            <w:vAlign w:val="bottom"/>
          </w:tcPr>
          <w:p>
            <w:pPr>
              <w:spacing w:after="0"/>
              <w:rPr>
                <w:sz w:val="22"/>
                <w:szCs w:val="22"/>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U.S.</w:t>
            </w:r>
          </w:p>
        </w:tc>
        <w:tc>
          <w:tcPr>
            <w:tcW w:w="1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83</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2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1,592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2" w:lineRule="exact"/>
        <w:rPr>
          <w:rFonts w:ascii="Arial" w:cs="Arial" w:eastAsia="Arial" w:hAnsi="Arial"/>
          <w:sz w:val="18"/>
          <w:szCs w:val="18"/>
          <w:b w:val="1"/>
          <w:bCs w:val="1"/>
          <w:color w:val="auto"/>
        </w:rPr>
      </w:pPr>
    </w:p>
    <w:p>
      <w:pPr>
        <w:ind w:left="720" w:right="8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Certain companies and/or affiliates of companies that are holders of the Company’s Convertible Preferred Stock acquire products and assemblies through the Xometry platform. As such, Xometry’s revenue and accounts receivable include amounts from these companies and/or affiliates of these companies. For the years ended December 31, 2020 and 2019, Xometry recognized revenue of approximately $1.5 million in each year from companies/and or affiliates of companies that are holders of the Company’s Convertible Preferred Stock. As of December 31, 2020 and 2019, the Company had approximately $0.4 million and approximately $0.5 million of accounts receivable from companies and/or affiliates of companies that are holders of the Company’s Convertible Preferred Stock.</w:t>
      </w:r>
    </w:p>
    <w:p>
      <w:pPr>
        <w:spacing w:after="0" w:line="205" w:lineRule="exact"/>
        <w:rPr>
          <w:rFonts w:ascii="Arial" w:cs="Arial" w:eastAsia="Arial" w:hAnsi="Arial"/>
          <w:sz w:val="18"/>
          <w:szCs w:val="18"/>
          <w:b w:val="1"/>
          <w:bCs w:val="1"/>
          <w:color w:val="auto"/>
        </w:rPr>
      </w:pPr>
    </w:p>
    <w:p>
      <w:pPr>
        <w:ind w:left="720" w:right="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For the quarters ended March 31, 2021 and 2020 (unaudited), Xometry recognized revenue of approximately $0.2 million and $0.4 million, respectively from companies/and or affiliates of companies that are holders of the Company’s Convertible Preferred Stock. As of March 31, 2021 (unaudited), the Company had approximately $0.5 million of accounts receivable from companies and/or affiliates of companies that are holders of the Company’s Convertible Preferred Stock.</w:t>
      </w:r>
    </w:p>
    <w:p>
      <w:pPr>
        <w:spacing w:after="0" w:line="202" w:lineRule="exact"/>
        <w:rPr>
          <w:rFonts w:ascii="Arial" w:cs="Arial" w:eastAsia="Arial" w:hAnsi="Arial"/>
          <w:sz w:val="18"/>
          <w:szCs w:val="18"/>
          <w:b w:val="1"/>
          <w:bCs w:val="1"/>
          <w:color w:val="auto"/>
        </w:rPr>
      </w:pPr>
    </w:p>
    <w:p>
      <w:pPr>
        <w:ind w:left="7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In February 2018, the Company entered into a consulting agreement with Business Improvement Systems, Inc., which is owned by Peter Goguen. Peter Goguen is Xometry’s Chief Operating Officer. Pursuant to the terms of this agreement, the Company paid Business Improvement Systems, Inc. a monthly consulting fee in the amount of $11,667. Business Improvement Systems, Inc. provided the Company with consulting services related to operating services. This agreement was terminated as of January 31, 2021. For both years ended December 31, 2020 and 2019, the Company paid Business Improvement Systems, Inc., $0.2 million. As of December 31, 2020 and 2019, the Company had approximately $0.1 million and approximately $0.04 million payable to Business Improvement Systems, Inc., respectively.</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56" w:right="5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line="237" w:lineRule="auto"/>
        <w:rPr>
          <w:sz w:val="20"/>
          <w:szCs w:val="20"/>
          <w:color w:val="auto"/>
        </w:rPr>
      </w:pPr>
      <w:r>
        <w:rPr>
          <w:rFonts w:ascii="Arial" w:cs="Arial" w:eastAsia="Arial" w:hAnsi="Arial"/>
          <w:sz w:val="18"/>
          <w:szCs w:val="18"/>
          <w:color w:val="auto"/>
        </w:rPr>
        <w:t>For the quarters ended March 31, 2021 and 2020 (unaudited), the Company paid Business Improvement Systems, Inc., approximately $0.1 million and $50,000, respectively. As of March 31, 2021 (unaudited), the Company had no amounts payable to Business Improvement Systems, Inc.</w:t>
      </w:r>
    </w:p>
    <w:p>
      <w:pPr>
        <w:spacing w:after="0" w:line="328" w:lineRule="exact"/>
        <w:rPr>
          <w:sz w:val="20"/>
          <w:szCs w:val="20"/>
          <w:color w:val="auto"/>
        </w:rPr>
      </w:pPr>
    </w:p>
    <w:p>
      <w:pPr>
        <w:ind w:left="700" w:hanging="533"/>
        <w:spacing w:after="0"/>
        <w:tabs>
          <w:tab w:leader="none" w:pos="7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2"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intangible assets (dollars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 in</w:t>
            </w:r>
          </w:p>
        </w:tc>
        <w:tc>
          <w:tcPr>
            <w:tcW w:w="3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54"/>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center"/>
              <w:ind w:left="35"/>
              <w:spacing w:after="0" w:line="154"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w:t>
            </w: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515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762</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478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1,404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1,247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$ 2,984</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1,398</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$ 1,586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 in</w:t>
            </w:r>
          </w:p>
        </w:tc>
        <w:tc>
          <w:tcPr>
            <w:tcW w:w="3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Intangible Assets</w:t>
            </w:r>
          </w:p>
        </w:tc>
        <w:tc>
          <w:tcPr>
            <w:tcW w:w="1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512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762</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438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1,404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1,269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$ 2,984</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1,332</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$ 1,652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 in</w:t>
            </w:r>
          </w:p>
        </w:tc>
        <w:tc>
          <w:tcPr>
            <w:tcW w:w="3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Intangible Assets</w:t>
            </w:r>
          </w:p>
        </w:tc>
        <w:tc>
          <w:tcPr>
            <w:tcW w:w="1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360"/>
              <w:spacing w:after="0" w:line="201" w:lineRule="exact"/>
              <w:rPr>
                <w:sz w:val="20"/>
                <w:szCs w:val="20"/>
                <w:color w:val="auto"/>
              </w:rPr>
            </w:pPr>
            <w:r>
              <w:rPr>
                <w:rFonts w:ascii="Arial" w:cs="Arial" w:eastAsia="Arial" w:hAnsi="Arial"/>
                <w:sz w:val="18"/>
                <w:szCs w:val="18"/>
                <w:color w:val="auto"/>
              </w:rPr>
              <w:t>Amortizing intangible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Non Compete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80</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Customer Relationships</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489</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Trade Name</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253</w:t>
            </w: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1"/>
        </w:trPr>
        <w:tc>
          <w:tcPr>
            <w:tcW w:w="3840" w:type="dxa"/>
            <w:vAlign w:val="bottom"/>
          </w:tcPr>
          <w:p>
            <w:pPr>
              <w:ind w:left="720"/>
              <w:spacing w:after="0" w:line="201" w:lineRule="exact"/>
              <w:rPr>
                <w:sz w:val="20"/>
                <w:szCs w:val="20"/>
                <w:color w:val="auto"/>
              </w:rPr>
            </w:pPr>
            <w:r>
              <w:rPr>
                <w:rFonts w:ascii="Arial" w:cs="Arial" w:eastAsia="Arial" w:hAnsi="Arial"/>
                <w:sz w:val="18"/>
                <w:szCs w:val="18"/>
                <w:color w:val="auto"/>
              </w:rPr>
              <w:t>Developed Technology</w:t>
            </w:r>
          </w:p>
        </w:tc>
        <w:tc>
          <w:tcPr>
            <w:tcW w:w="248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708</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186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1"/>
        </w:trPr>
        <w:tc>
          <w:tcPr>
            <w:tcW w:w="3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Vendor Relationships</w:t>
            </w:r>
          </w:p>
        </w:tc>
        <w:tc>
          <w:tcPr>
            <w:tcW w:w="248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1,269</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1,245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4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$ 2,825</w:t>
            </w:r>
          </w:p>
        </w:tc>
        <w:tc>
          <w:tcPr>
            <w:tcW w:w="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$ 2,425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80" w:type="dxa"/>
            <w:vAlign w:val="bottom"/>
            <w:gridSpan w:val="3"/>
            <w:vMerge w:val="restart"/>
          </w:tcPr>
          <w:p>
            <w:pPr>
              <w:jc w:val="right"/>
              <w:ind w:right="1120"/>
              <w:spacing w:after="0"/>
              <w:rPr>
                <w:sz w:val="20"/>
                <w:szCs w:val="20"/>
                <w:color w:val="auto"/>
              </w:rPr>
            </w:pPr>
            <w:r>
              <w:rPr>
                <w:rFonts w:ascii="Arial" w:cs="Arial" w:eastAsia="Arial" w:hAnsi="Arial"/>
                <w:sz w:val="18"/>
                <w:szCs w:val="18"/>
                <w:color w:val="auto"/>
              </w:rPr>
              <w:t>F-32</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840" w:type="dxa"/>
            <w:vAlign w:val="bottom"/>
          </w:tcPr>
          <w:p>
            <w:pPr>
              <w:spacing w:after="0"/>
              <w:rPr>
                <w:sz w:val="24"/>
                <w:szCs w:val="24"/>
                <w:color w:val="auto"/>
              </w:rPr>
            </w:pPr>
          </w:p>
        </w:tc>
        <w:tc>
          <w:tcPr>
            <w:tcW w:w="24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6" w:right="6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right="220"/>
        <w:spacing w:after="0" w:line="235" w:lineRule="auto"/>
        <w:rPr>
          <w:sz w:val="20"/>
          <w:szCs w:val="20"/>
          <w:color w:val="auto"/>
        </w:rPr>
      </w:pPr>
      <w:r>
        <w:rPr>
          <w:rFonts w:ascii="Arial" w:cs="Arial" w:eastAsia="Arial" w:hAnsi="Arial"/>
          <w:sz w:val="18"/>
          <w:szCs w:val="18"/>
          <w:color w:val="auto"/>
        </w:rPr>
        <w:t>Prior to recognizing the goodwill impairments in 2020 and 2019, Xometry evaluated the property and equipment and tangible and intangible long-lived assets for impairment. During 2020, Xometry recognized $0.1 million of impairment related to an intangible asset (a tradename) that Xometry ceased using in the U.S. reporting unit. Xometry wrote down the intangible asset to zero, its estimated fair value. The Company’s estimate of fair value considered discounted future cash flows associated with future use of the tradename. No impairments of intangible assets were recognized in 2019.</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provides a rollforward of the carrying amount of goodwill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6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52"/>
              <w:spacing w:after="0" w:line="154"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4"/>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71"/>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2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(unaudited)</w:t>
            </w:r>
          </w:p>
        </w:tc>
        <w:tc>
          <w:tcPr>
            <w:tcW w:w="58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January 1:</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Gross goodwill</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3,907</w:t>
            </w:r>
          </w:p>
        </w:tc>
        <w:tc>
          <w:tcPr>
            <w:tcW w:w="5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3,907</w:t>
            </w:r>
          </w:p>
        </w:tc>
        <w:tc>
          <w:tcPr>
            <w:tcW w:w="10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$ 2,477</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impact of foreign exchange</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154</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tcPr>
          <w:p>
            <w:pPr>
              <w:spacing w:after="0" w:line="201" w:lineRule="exact"/>
              <w:rPr>
                <w:sz w:val="20"/>
                <w:szCs w:val="20"/>
                <w:color w:val="auto"/>
              </w:rPr>
            </w:pPr>
            <w:r>
              <w:rPr>
                <w:rFonts w:ascii="Arial" w:cs="Arial" w:eastAsia="Arial" w:hAnsi="Arial"/>
                <w:sz w:val="18"/>
                <w:szCs w:val="18"/>
                <w:color w:val="auto"/>
              </w:rPr>
              <w:t>Accumulated impairments</w:t>
            </w:r>
          </w:p>
        </w:tc>
        <w:tc>
          <w:tcPr>
            <w:tcW w:w="180" w:type="dxa"/>
            <w:vAlign w:val="bottom"/>
          </w:tcPr>
          <w:p>
            <w:pPr>
              <w:spacing w:after="0"/>
              <w:rPr>
                <w:sz w:val="18"/>
                <w:szCs w:val="18"/>
                <w:color w:val="auto"/>
              </w:rPr>
            </w:pPr>
          </w:p>
        </w:tc>
        <w:tc>
          <w:tcPr>
            <w:tcW w:w="1200" w:type="dxa"/>
            <w:vAlign w:val="bottom"/>
            <w:gridSpan w:val="3"/>
          </w:tcPr>
          <w:p>
            <w:pPr>
              <w:jc w:val="right"/>
              <w:ind w:right="520"/>
              <w:spacing w:after="0" w:line="201" w:lineRule="exact"/>
              <w:rPr>
                <w:sz w:val="20"/>
                <w:szCs w:val="20"/>
                <w:color w:val="auto"/>
              </w:rPr>
            </w:pPr>
            <w:r>
              <w:rPr>
                <w:rFonts w:ascii="Arial" w:cs="Arial" w:eastAsia="Arial" w:hAnsi="Arial"/>
                <w:sz w:val="18"/>
                <w:szCs w:val="18"/>
                <w:color w:val="auto"/>
              </w:rPr>
              <w:t>(3,228)</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(1,719)</w:t>
            </w:r>
          </w:p>
        </w:tc>
        <w:tc>
          <w:tcPr>
            <w:tcW w:w="260" w:type="dxa"/>
            <w:vAlign w:val="bottom"/>
          </w:tcPr>
          <w:p>
            <w:pPr>
              <w:spacing w:after="0"/>
              <w:rPr>
                <w:sz w:val="18"/>
                <w:szCs w:val="18"/>
                <w:color w:val="auto"/>
              </w:rPr>
            </w:pP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goodwill as of January 1,</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2,188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2,477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Goodwill acquired during the year</w:t>
            </w:r>
          </w:p>
        </w:tc>
        <w:tc>
          <w:tcPr>
            <w:tcW w:w="180" w:type="dxa"/>
            <w:vAlign w:val="bottom"/>
          </w:tcPr>
          <w:p>
            <w:pPr>
              <w:spacing w:after="0"/>
              <w:rPr>
                <w:sz w:val="17"/>
                <w:szCs w:val="17"/>
                <w:color w:val="auto"/>
              </w:rPr>
            </w:pPr>
          </w:p>
        </w:tc>
        <w:tc>
          <w:tcPr>
            <w:tcW w:w="1200" w:type="dxa"/>
            <w:vAlign w:val="bottom"/>
            <w:gridSpan w:val="3"/>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Impact of foreign exchange</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6720" w:type="dxa"/>
            <w:vAlign w:val="bottom"/>
          </w:tcPr>
          <w:p>
            <w:pPr>
              <w:spacing w:after="0" w:line="201" w:lineRule="exact"/>
              <w:rPr>
                <w:sz w:val="20"/>
                <w:szCs w:val="20"/>
                <w:color w:val="auto"/>
              </w:rPr>
            </w:pPr>
            <w:r>
              <w:rPr>
                <w:rFonts w:ascii="Arial" w:cs="Arial" w:eastAsia="Arial" w:hAnsi="Arial"/>
                <w:sz w:val="18"/>
                <w:szCs w:val="18"/>
                <w:color w:val="auto"/>
              </w:rPr>
              <w:t>Impairment expense</w:t>
            </w:r>
          </w:p>
        </w:tc>
        <w:tc>
          <w:tcPr>
            <w:tcW w:w="180" w:type="dxa"/>
            <w:vAlign w:val="bottom"/>
          </w:tcPr>
          <w:p>
            <w:pPr>
              <w:spacing w:after="0"/>
              <w:rPr>
                <w:sz w:val="18"/>
                <w:szCs w:val="18"/>
                <w:color w:val="auto"/>
              </w:rPr>
            </w:pPr>
          </w:p>
        </w:tc>
        <w:tc>
          <w:tcPr>
            <w:tcW w:w="62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(1,509)</w:t>
            </w:r>
          </w:p>
        </w:tc>
        <w:tc>
          <w:tcPr>
            <w:tcW w:w="100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goodwill as of March 31, and December 31,</w:t>
            </w:r>
          </w:p>
        </w:tc>
        <w:tc>
          <w:tcPr>
            <w:tcW w:w="18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$ 2,188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Balance as of December 31:</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goodwill</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3,907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3,907</w:t>
            </w:r>
          </w:p>
        </w:tc>
        <w:tc>
          <w:tcPr>
            <w:tcW w:w="100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$ 3,907</w:t>
            </w:r>
          </w:p>
        </w:tc>
        <w:tc>
          <w:tcPr>
            <w:tcW w:w="0" w:type="dxa"/>
            <w:vAlign w:val="bottom"/>
          </w:tcPr>
          <w:p>
            <w:pPr>
              <w:spacing w:after="0"/>
              <w:rPr>
                <w:sz w:val="1"/>
                <w:szCs w:val="1"/>
                <w:color w:val="auto"/>
              </w:rPr>
            </w:pPr>
          </w:p>
        </w:tc>
      </w:tr>
      <w:tr>
        <w:trPr>
          <w:trHeight w:val="201"/>
        </w:trPr>
        <w:tc>
          <w:tcPr>
            <w:tcW w:w="6720" w:type="dxa"/>
            <w:vAlign w:val="bottom"/>
          </w:tcPr>
          <w:p>
            <w:pPr>
              <w:spacing w:after="0" w:line="201" w:lineRule="exact"/>
              <w:rPr>
                <w:sz w:val="20"/>
                <w:szCs w:val="20"/>
                <w:color w:val="auto"/>
              </w:rPr>
            </w:pPr>
            <w:r>
              <w:rPr>
                <w:rFonts w:ascii="Arial" w:cs="Arial" w:eastAsia="Arial" w:hAnsi="Arial"/>
                <w:sz w:val="18"/>
                <w:szCs w:val="18"/>
                <w:color w:val="auto"/>
              </w:rPr>
              <w:t>Impact of foreign exchange</w:t>
            </w: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154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260" w:type="dxa"/>
            <w:vAlign w:val="bottom"/>
          </w:tcPr>
          <w:p>
            <w:pPr>
              <w:spacing w:after="0"/>
              <w:rPr>
                <w:sz w:val="17"/>
                <w:szCs w:val="17"/>
                <w:color w:val="auto"/>
              </w:rPr>
            </w:pPr>
          </w:p>
        </w:tc>
        <w:tc>
          <w:tcPr>
            <w:tcW w:w="7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impairment expense</w:t>
            </w:r>
          </w:p>
        </w:tc>
        <w:tc>
          <w:tcPr>
            <w:tcW w:w="1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8"/>
              </w:rPr>
              <w:t>(3,228)</w:t>
            </w:r>
          </w:p>
        </w:tc>
        <w:tc>
          <w:tcPr>
            <w:tcW w:w="10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7"/>
        </w:trPr>
        <w:tc>
          <w:tcPr>
            <w:tcW w:w="6720" w:type="dxa"/>
            <w:vAlign w:val="bottom"/>
          </w:tcPr>
          <w:p>
            <w:pPr>
              <w:ind w:left="360"/>
              <w:spacing w:after="0"/>
              <w:rPr>
                <w:sz w:val="20"/>
                <w:szCs w:val="20"/>
                <w:color w:val="auto"/>
              </w:rPr>
            </w:pPr>
            <w:r>
              <w:rPr>
                <w:rFonts w:ascii="Arial" w:cs="Arial" w:eastAsia="Arial" w:hAnsi="Arial"/>
                <w:sz w:val="18"/>
                <w:szCs w:val="18"/>
                <w:color w:val="auto"/>
              </w:rPr>
              <w:t>Net goodwill as of March 31, and December 31,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720"/>
        <w:spacing w:after="0" w:line="235" w:lineRule="auto"/>
        <w:rPr>
          <w:sz w:val="20"/>
          <w:szCs w:val="20"/>
          <w:color w:val="auto"/>
        </w:rPr>
      </w:pPr>
      <w:r>
        <w:rPr>
          <w:rFonts w:ascii="Arial" w:cs="Arial" w:eastAsia="Arial" w:hAnsi="Arial"/>
          <w:sz w:val="18"/>
          <w:szCs w:val="18"/>
          <w:color w:val="auto"/>
        </w:rPr>
        <w:t>During 2020 and 2019, the goodwill impairment analyses indicated that certain of reporting units with goodwill attributed to them had carrying amounts which exceeded their fair values. The underperformance of the reporting units relative to their expected performance drove the decline in the fair value of each reporting unit. As a result, during the years ended December 31, 2020 and 2019, Xometry recorded a pretax charge to reduce the carrying value of goodwill by $1.5 million and $1.7 million, respectively. As of March 31, 2021 (unaudited) and December 31, 2020, Xometry’s goodwill of $0.8 million is part of Xometry’s U.S. operating segment.</w:t>
      </w:r>
    </w:p>
    <w:p>
      <w:pPr>
        <w:spacing w:after="0" w:line="95" w:lineRule="exact"/>
        <w:rPr>
          <w:sz w:val="20"/>
          <w:szCs w:val="20"/>
          <w:color w:val="auto"/>
        </w:rPr>
      </w:pPr>
    </w:p>
    <w:p>
      <w:pPr>
        <w:ind w:left="720" w:right="260"/>
        <w:spacing w:after="0" w:line="237" w:lineRule="auto"/>
        <w:rPr>
          <w:sz w:val="20"/>
          <w:szCs w:val="20"/>
          <w:color w:val="auto"/>
        </w:rPr>
      </w:pPr>
      <w:r>
        <w:rPr>
          <w:rFonts w:ascii="Arial" w:cs="Arial" w:eastAsia="Arial" w:hAnsi="Arial"/>
          <w:sz w:val="18"/>
          <w:szCs w:val="18"/>
          <w:color w:val="auto"/>
        </w:rPr>
        <w:t>Aggregate amortization expense for amortizing intangibles assets was $0.8 million and $0.3 million for the years ended December 31, 2020 and 2019, respectively. As of December 31, 2020, estimated amortization expense for the next five years is: $0.3 million in 2021, $0.3 million in 2022, $0.1 million in 2023, $0.1 million in 2024, and $0.1 million in 2025.</w:t>
      </w:r>
    </w:p>
    <w:p>
      <w:pPr>
        <w:spacing w:after="0" w:line="96" w:lineRule="exact"/>
        <w:rPr>
          <w:sz w:val="20"/>
          <w:szCs w:val="20"/>
          <w:color w:val="auto"/>
        </w:rPr>
      </w:pPr>
    </w:p>
    <w:p>
      <w:pPr>
        <w:ind w:left="720" w:right="140"/>
        <w:spacing w:after="0" w:line="239" w:lineRule="auto"/>
        <w:rPr>
          <w:sz w:val="20"/>
          <w:szCs w:val="20"/>
          <w:color w:val="auto"/>
        </w:rPr>
      </w:pPr>
      <w:r>
        <w:rPr>
          <w:rFonts w:ascii="Arial" w:cs="Arial" w:eastAsia="Arial" w:hAnsi="Arial"/>
          <w:sz w:val="18"/>
          <w:szCs w:val="18"/>
          <w:color w:val="auto"/>
        </w:rPr>
        <w:t>As of March 31, 2021 (unaudited), estimated amortization expense for the remainder of 2021 and next five years is: $0.2 million in 2021, $0.3 million in 2022, $0.1 million in 2023, $0.1 million in 2024, $0.1 million in 2025 and $0.1 million in 2026.</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year ended December 31, 2020 and 2019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9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line="154"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642</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rPr>
              <w:t>Operations and support</w:t>
            </w:r>
          </w:p>
        </w:tc>
        <w:tc>
          <w:tcPr>
            <w:tcW w:w="140" w:type="dxa"/>
            <w:vAlign w:val="bottom"/>
          </w:tcPr>
          <w:p>
            <w:pPr>
              <w:spacing w:after="0"/>
              <w:rPr>
                <w:sz w:val="17"/>
                <w:szCs w:val="17"/>
                <w:color w:val="auto"/>
              </w:rPr>
            </w:pP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833</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quarters ended March 31, 2021 and 2020 (unaudited) was as follows (in thousands):</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4"/>
        </w:trPr>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4"/>
              <w:spacing w:after="0" w:line="154"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3"/>
                <w:szCs w:val="13"/>
                <w:color w:val="auto"/>
              </w:rPr>
            </w:pPr>
          </w:p>
        </w:tc>
      </w:tr>
      <w:tr>
        <w:trPr>
          <w:trHeight w:val="154"/>
        </w:trPr>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right"/>
              <w:ind w:right="314"/>
              <w:spacing w:after="0" w:line="154"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1"/>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Sales and marketing</w:t>
            </w:r>
          </w:p>
        </w:tc>
        <w:tc>
          <w:tcPr>
            <w:tcW w:w="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168</w:t>
            </w:r>
          </w:p>
        </w:tc>
      </w:tr>
      <w:tr>
        <w:trPr>
          <w:trHeight w:val="201"/>
        </w:trPr>
        <w:tc>
          <w:tcPr>
            <w:tcW w:w="8400" w:type="dxa"/>
            <w:vAlign w:val="bottom"/>
          </w:tcPr>
          <w:p>
            <w:pPr>
              <w:spacing w:after="0" w:line="201"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69</w:t>
            </w:r>
          </w:p>
        </w:tc>
      </w:tr>
      <w:tr>
        <w:trPr>
          <w:trHeight w:val="214"/>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7"/>
        </w:trPr>
        <w:tc>
          <w:tcPr>
            <w:tcW w:w="84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0"/>
        </w:trPr>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2" w:lineRule="exact"/>
        <w:rPr>
          <w:sz w:val="20"/>
          <w:szCs w:val="20"/>
          <w:color w:val="auto"/>
        </w:rPr>
      </w:pPr>
    </w:p>
    <w:p>
      <w:pPr>
        <w:ind w:left="700" w:hanging="533"/>
        <w:spacing w:after="0"/>
        <w:tabs>
          <w:tab w:leader="none" w:pos="7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2" w:lineRule="exact"/>
        <w:rPr>
          <w:rFonts w:ascii="Arial" w:cs="Arial" w:eastAsia="Arial" w:hAnsi="Arial"/>
          <w:sz w:val="18"/>
          <w:szCs w:val="18"/>
          <w:b w:val="1"/>
          <w:bCs w:val="1"/>
          <w:color w:val="auto"/>
        </w:rPr>
      </w:pPr>
    </w:p>
    <w:p>
      <w:pPr>
        <w:ind w:left="7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April 13, 2021 which is the date that the consolidated financial statements as of and for the year ended December 31, 2020 were available to be issued and no events were identified for disclosure in the consolidated financial statements.</w:t>
      </w:r>
    </w:p>
    <w:p>
      <w:pPr>
        <w:spacing w:after="0" w:line="202" w:lineRule="exact"/>
        <w:rPr>
          <w:rFonts w:ascii="Arial" w:cs="Arial" w:eastAsia="Arial" w:hAnsi="Arial"/>
          <w:sz w:val="18"/>
          <w:szCs w:val="18"/>
          <w:b w:val="1"/>
          <w:bCs w:val="1"/>
          <w:color w:val="auto"/>
        </w:rPr>
      </w:pPr>
    </w:p>
    <w:p>
      <w:pPr>
        <w:ind w:left="720" w:right="4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2021, subsequent events were evaluated through May 18, 2021, the date on which the unaudited interim consolidated financial statements were available for issuance.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23" w:lineRule="exact"/>
        <w:rPr>
          <w:sz w:val="20"/>
          <w:szCs w:val="20"/>
          <w:color w:val="auto"/>
        </w:rPr>
      </w:pPr>
    </w:p>
    <w:p>
      <w:pPr>
        <w:ind w:left="720" w:right="280"/>
        <w:spacing w:after="0" w:line="239" w:lineRule="auto"/>
        <w:rPr>
          <w:sz w:val="20"/>
          <w:szCs w:val="20"/>
          <w:color w:val="auto"/>
        </w:rPr>
      </w:pPr>
      <w:r>
        <w:rPr>
          <w:rFonts w:ascii="Arial" w:cs="Arial" w:eastAsia="Arial" w:hAnsi="Arial"/>
          <w:sz w:val="18"/>
          <w:szCs w:val="18"/>
          <w:color w:val="auto"/>
        </w:rPr>
        <w:t>The table below details the activity of the allowance for doubtful accounts, for the years ended December 31, 2020 and 2019 (in thousands):</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Beginning of</w:t>
            </w:r>
          </w:p>
        </w:tc>
        <w:tc>
          <w:tcPr>
            <w:tcW w:w="32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Provision</w:t>
            </w:r>
          </w:p>
        </w:tc>
        <w:tc>
          <w:tcPr>
            <w:tcW w:w="38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Deduction or</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60"/>
        </w:trPr>
        <w:tc>
          <w:tcPr>
            <w:tcW w:w="4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3"/>
                <w:szCs w:val="13"/>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Accounts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Other</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0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378</w:t>
            </w:r>
          </w:p>
        </w:tc>
        <w:tc>
          <w:tcPr>
            <w:tcW w:w="420" w:type="dxa"/>
            <w:vAlign w:val="bottom"/>
          </w:tcPr>
          <w:p>
            <w:pPr>
              <w:spacing w:after="0"/>
              <w:rPr>
                <w:sz w:val="17"/>
                <w:szCs w:val="17"/>
                <w:color w:val="auto"/>
              </w:rPr>
            </w:pPr>
          </w:p>
        </w:tc>
        <w:tc>
          <w:tcPr>
            <w:tcW w:w="6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315</w:t>
            </w:r>
          </w:p>
        </w:tc>
        <w:tc>
          <w:tcPr>
            <w:tcW w:w="5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(124)</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694</w:t>
            </w:r>
          </w:p>
        </w:tc>
        <w:tc>
          <w:tcPr>
            <w:tcW w:w="54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Class A</w:t>
      </w: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1319530</wp:posOffset>
            </wp:positionV>
            <wp:extent cx="14605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2381250</wp:posOffset>
            </wp:positionV>
            <wp:extent cx="14605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1583055</wp:posOffset>
            </wp:positionV>
            <wp:extent cx="2157095" cy="5010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84"/>
        </w:trPr>
        <w:tc>
          <w:tcPr>
            <w:tcW w:w="4680" w:type="dxa"/>
            <w:vAlign w:val="bottom"/>
            <w:gridSpan w:val="2"/>
          </w:tcPr>
          <w:p>
            <w:pPr>
              <w:ind w:left="500"/>
              <w:spacing w:after="0"/>
              <w:rPr>
                <w:sz w:val="20"/>
                <w:szCs w:val="20"/>
                <w:color w:val="auto"/>
              </w:rPr>
            </w:pPr>
            <w:r>
              <w:rPr>
                <w:rFonts w:ascii="Arial" w:cs="Arial" w:eastAsia="Arial" w:hAnsi="Arial"/>
                <w:sz w:val="21"/>
                <w:szCs w:val="21"/>
                <w:b w:val="1"/>
                <w:bCs w:val="1"/>
                <w:color w:val="auto"/>
              </w:rPr>
              <w:t>Goldman Sachs &amp; Co. LLC</w:t>
            </w:r>
          </w:p>
        </w:tc>
        <w:tc>
          <w:tcPr>
            <w:tcW w:w="3040" w:type="dxa"/>
            <w:vAlign w:val="bottom"/>
          </w:tcPr>
          <w:p>
            <w:pPr>
              <w:ind w:left="300"/>
              <w:spacing w:after="0"/>
              <w:rPr>
                <w:sz w:val="20"/>
                <w:szCs w:val="20"/>
                <w:color w:val="auto"/>
              </w:rPr>
            </w:pPr>
            <w:r>
              <w:rPr>
                <w:rFonts w:ascii="Arial" w:cs="Arial" w:eastAsia="Arial" w:hAnsi="Arial"/>
                <w:sz w:val="21"/>
                <w:szCs w:val="21"/>
                <w:b w:val="1"/>
                <w:bCs w:val="1"/>
                <w:color w:val="auto"/>
              </w:rPr>
              <w:t>J.P. Morgan</w:t>
            </w:r>
          </w:p>
        </w:tc>
        <w:tc>
          <w:tcPr>
            <w:tcW w:w="3200" w:type="dxa"/>
            <w:vAlign w:val="bottom"/>
          </w:tcPr>
          <w:p>
            <w:pPr>
              <w:ind w:left="340"/>
              <w:spacing w:after="0"/>
              <w:rPr>
                <w:sz w:val="20"/>
                <w:szCs w:val="20"/>
                <w:color w:val="auto"/>
              </w:rPr>
            </w:pPr>
            <w:r>
              <w:rPr>
                <w:rFonts w:ascii="Arial" w:cs="Arial" w:eastAsia="Arial" w:hAnsi="Arial"/>
                <w:sz w:val="21"/>
                <w:szCs w:val="21"/>
                <w:b w:val="1"/>
                <w:bCs w:val="1"/>
                <w:color w:val="auto"/>
              </w:rPr>
              <w:t>UBS Investment Bank</w:t>
            </w:r>
          </w:p>
        </w:tc>
      </w:tr>
      <w:tr>
        <w:trPr>
          <w:trHeight w:val="481"/>
        </w:trPr>
        <w:tc>
          <w:tcPr>
            <w:tcW w:w="2280" w:type="dxa"/>
            <w:vAlign w:val="bottom"/>
          </w:tcPr>
          <w:p>
            <w:pPr>
              <w:ind w:left="840"/>
              <w:spacing w:after="0"/>
              <w:rPr>
                <w:sz w:val="20"/>
                <w:szCs w:val="20"/>
                <w:color w:val="auto"/>
              </w:rPr>
            </w:pPr>
            <w:r>
              <w:rPr>
                <w:rFonts w:ascii="Arial" w:cs="Arial" w:eastAsia="Arial" w:hAnsi="Arial"/>
                <w:sz w:val="21"/>
                <w:szCs w:val="21"/>
                <w:b w:val="1"/>
                <w:bCs w:val="1"/>
                <w:color w:val="auto"/>
              </w:rPr>
              <w:t>Citigroup</w:t>
            </w:r>
          </w:p>
        </w:tc>
        <w:tc>
          <w:tcPr>
            <w:tcW w:w="2400" w:type="dxa"/>
            <w:vAlign w:val="bottom"/>
          </w:tcPr>
          <w:p>
            <w:pPr>
              <w:ind w:left="480"/>
              <w:spacing w:after="0"/>
              <w:rPr>
                <w:sz w:val="20"/>
                <w:szCs w:val="20"/>
                <w:color w:val="auto"/>
              </w:rPr>
            </w:pPr>
            <w:r>
              <w:rPr>
                <w:rFonts w:ascii="Arial" w:cs="Arial" w:eastAsia="Arial" w:hAnsi="Arial"/>
                <w:sz w:val="21"/>
                <w:szCs w:val="21"/>
                <w:b w:val="1"/>
                <w:bCs w:val="1"/>
                <w:color w:val="auto"/>
              </w:rPr>
              <w:t>BofA Securities</w:t>
            </w:r>
          </w:p>
        </w:tc>
        <w:tc>
          <w:tcPr>
            <w:tcW w:w="3040" w:type="dxa"/>
            <w:vAlign w:val="bottom"/>
          </w:tcPr>
          <w:p>
            <w:pPr>
              <w:ind w:left="1400"/>
              <w:spacing w:after="0"/>
              <w:rPr>
                <w:sz w:val="20"/>
                <w:szCs w:val="20"/>
                <w:color w:val="auto"/>
              </w:rPr>
            </w:pPr>
            <w:r>
              <w:rPr>
                <w:rFonts w:ascii="Arial" w:cs="Arial" w:eastAsia="Arial" w:hAnsi="Arial"/>
                <w:sz w:val="21"/>
                <w:szCs w:val="21"/>
                <w:b w:val="1"/>
                <w:bCs w:val="1"/>
                <w:color w:val="auto"/>
              </w:rPr>
              <w:t>William Blair</w:t>
            </w:r>
          </w:p>
        </w:tc>
        <w:tc>
          <w:tcPr>
            <w:tcW w:w="3200" w:type="dxa"/>
            <w:vAlign w:val="bottom"/>
          </w:tcPr>
          <w:p>
            <w:pPr>
              <w:ind w:left="840"/>
              <w:spacing w:after="0"/>
              <w:rPr>
                <w:sz w:val="20"/>
                <w:szCs w:val="20"/>
                <w:color w:val="auto"/>
              </w:rPr>
            </w:pPr>
            <w:r>
              <w:rPr>
                <w:rFonts w:ascii="Arial" w:cs="Arial" w:eastAsia="Arial" w:hAnsi="Arial"/>
                <w:sz w:val="21"/>
                <w:szCs w:val="21"/>
                <w:b w:val="1"/>
                <w:bCs w:val="1"/>
                <w:color w:val="auto"/>
              </w:rPr>
              <w:t>RBC Capital Markets</w:t>
            </w:r>
          </w:p>
        </w:tc>
      </w:tr>
      <w:tr>
        <w:trPr>
          <w:trHeight w:val="1982"/>
        </w:trPr>
        <w:tc>
          <w:tcPr>
            <w:tcW w:w="2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94"/>
        </w:trPr>
        <w:tc>
          <w:tcPr>
            <w:tcW w:w="228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r>
    </w:tbl>
    <w:p>
      <w:pPr>
        <w:sectPr>
          <w:pgSz w:w="11900" w:h="16838" w:orient="portrait"/>
          <w:cols w:equalWidth="0" w:num="1">
            <w:col w:w="11080"/>
          </w:cols>
          <w:pgMar w:left="320" w:top="456" w:right="499" w:bottom="1440" w:gutter="0" w:footer="0" w:header="0"/>
          <w:type w:val="continuous"/>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0" w:lineRule="exact"/>
        <w:rPr>
          <w:sz w:val="20"/>
          <w:szCs w:val="20"/>
          <w:color w:val="auto"/>
        </w:rPr>
      </w:pPr>
    </w:p>
    <w:p>
      <w:pPr>
        <w:ind w:left="160" w:right="180" w:firstLine="546"/>
        <w:spacing w:after="0" w:line="239" w:lineRule="auto"/>
        <w:rPr>
          <w:sz w:val="20"/>
          <w:szCs w:val="20"/>
          <w:color w:val="auto"/>
        </w:rPr>
      </w:pPr>
      <w:r>
        <w:rPr>
          <w:rFonts w:ascii="Arial" w:cs="Arial" w:eastAsia="Arial" w:hAnsi="Arial"/>
          <w:sz w:val="18"/>
          <w:szCs w:val="18"/>
          <w:color w:val="auto"/>
        </w:rPr>
        <w:t>Unless otherwise indicated, all references to “Xometry,” the “company,” “we,” “our,” “us” or similar terms refer to Xometry, Inc. and its subsidiaries.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3" w:lineRule="exact"/>
        <w:rPr>
          <w:sz w:val="20"/>
          <w:szCs w:val="20"/>
          <w:color w:val="auto"/>
        </w:rPr>
      </w:pPr>
    </w:p>
    <w:p>
      <w:pPr>
        <w:ind w:left="160" w:right="60" w:firstLine="546"/>
        <w:spacing w:after="0" w:line="268" w:lineRule="auto"/>
        <w:rPr>
          <w:sz w:val="20"/>
          <w:szCs w:val="20"/>
          <w:color w:val="auto"/>
        </w:rPr>
      </w:pPr>
      <w:r>
        <w:rPr>
          <w:rFonts w:ascii="Arial" w:cs="Arial" w:eastAsia="Arial" w:hAnsi="Arial"/>
          <w:sz w:val="17"/>
          <w:szCs w:val="17"/>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060"/>
          </w:cols>
          <w:pgMar w:left="320" w:top="456" w:right="519" w:bottom="1440" w:gutter="0" w:footer="0" w:header="0"/>
        </w:sectPr>
      </w:pP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-126365</wp:posOffset>
            </wp:positionV>
            <wp:extent cx="6929755" cy="1276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line="232" w:lineRule="auto"/>
        <w:rPr>
          <w:sz w:val="20"/>
          <w:szCs w:val="20"/>
          <w:color w:val="auto"/>
        </w:rPr>
      </w:pPr>
      <w:r>
        <w:rPr>
          <w:rFonts w:ascii="Arial" w:cs="Arial" w:eastAsia="Arial" w:hAnsi="Arial"/>
          <w:sz w:val="18"/>
          <w:szCs w:val="18"/>
          <w:color w:val="auto"/>
        </w:rPr>
        <w:t>FINRA filing fee</w:t>
      </w:r>
    </w:p>
    <w:p>
      <w:pPr>
        <w:ind w:left="160"/>
        <w:spacing w:after="0" w:line="233" w:lineRule="auto"/>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-126365</wp:posOffset>
            </wp:positionV>
            <wp:extent cx="6929755" cy="1276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line="232" w:lineRule="auto"/>
        <w:rPr>
          <w:sz w:val="20"/>
          <w:szCs w:val="20"/>
          <w:color w:val="auto"/>
        </w:rPr>
      </w:pPr>
      <w:r>
        <w:rPr>
          <w:rFonts w:ascii="Arial" w:cs="Arial" w:eastAsia="Arial" w:hAnsi="Arial"/>
          <w:sz w:val="18"/>
          <w:szCs w:val="18"/>
          <w:color w:val="auto"/>
        </w:rPr>
        <w:t>Printing and engraving expenses</w:t>
      </w:r>
    </w:p>
    <w:p>
      <w:pPr>
        <w:ind w:left="160"/>
        <w:spacing w:after="0" w:line="233" w:lineRule="auto"/>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-125730</wp:posOffset>
            </wp:positionV>
            <wp:extent cx="6929755" cy="1276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line="233" w:lineRule="auto"/>
        <w:rPr>
          <w:sz w:val="20"/>
          <w:szCs w:val="20"/>
          <w:color w:val="auto"/>
        </w:rPr>
      </w:pPr>
      <w:r>
        <w:rPr>
          <w:rFonts w:ascii="Arial" w:cs="Arial" w:eastAsia="Arial" w:hAnsi="Arial"/>
          <w:sz w:val="18"/>
          <w:szCs w:val="18"/>
          <w:color w:val="auto"/>
        </w:rPr>
        <w:t>Accounting fees and expenses</w:t>
      </w:r>
    </w:p>
    <w:p>
      <w:pPr>
        <w:ind w:left="160"/>
        <w:spacing w:after="0"/>
        <w:rPr>
          <w:sz w:val="20"/>
          <w:szCs w:val="20"/>
          <w:color w:val="auto"/>
        </w:rPr>
      </w:pPr>
      <w:r>
        <w:rPr>
          <w:rFonts w:ascii="Arial" w:cs="Arial" w:eastAsia="Arial" w:hAnsi="Arial"/>
          <w:sz w:val="17"/>
          <w:szCs w:val="17"/>
          <w:color w:val="auto"/>
        </w:rPr>
        <w:t>Custodian 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29755" cy="1276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276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115570</wp:posOffset>
            </wp:positionV>
            <wp:extent cx="7645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14" w:lineRule="exact"/>
        <w:rPr>
          <w:sz w:val="20"/>
          <w:szCs w:val="20"/>
          <w:color w:val="auto"/>
        </w:rPr>
      </w:pPr>
    </w:p>
    <w:p>
      <w:pPr>
        <w:ind w:left="480" w:hanging="313"/>
        <w:spacing w:after="0"/>
        <w:tabs>
          <w:tab w:leader="none" w:pos="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40" w:hanging="135"/>
        <w:spacing w:after="0"/>
        <w:tabs>
          <w:tab w:leader="none" w:pos="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10,910</w:t>
      </w:r>
    </w:p>
    <w:p>
      <w:pPr>
        <w:ind w:left="140"/>
        <w:spacing w:after="0" w:line="232" w:lineRule="auto"/>
        <w:rPr>
          <w:rFonts w:ascii="Arial" w:cs="Arial" w:eastAsia="Arial" w:hAnsi="Arial"/>
          <w:sz w:val="18"/>
          <w:szCs w:val="18"/>
          <w:color w:val="auto"/>
        </w:rPr>
      </w:pPr>
      <w:r>
        <w:rPr>
          <w:rFonts w:ascii="Arial" w:cs="Arial" w:eastAsia="Arial" w:hAnsi="Arial"/>
          <w:sz w:val="18"/>
          <w:szCs w:val="18"/>
          <w:color w:val="auto"/>
        </w:rPr>
        <w:t>15,500</w:t>
      </w:r>
    </w:p>
    <w:p>
      <w:pPr>
        <w:jc w:val="right"/>
        <w:spacing w:after="0" w:line="233" w:lineRule="auto"/>
        <w:rPr>
          <w:sz w:val="20"/>
          <w:szCs w:val="20"/>
          <w:color w:val="auto"/>
        </w:rPr>
      </w:pPr>
      <w:r>
        <w:rPr>
          <w:rFonts w:ascii="Arial" w:cs="Arial" w:eastAsia="Arial" w:hAnsi="Arial"/>
          <w:sz w:val="18"/>
          <w:szCs w:val="18"/>
          <w:color w:val="auto"/>
        </w:rPr>
        <w:t>*</w:t>
      </w:r>
    </w:p>
    <w:p>
      <w:pPr>
        <w:jc w:val="right"/>
        <w:spacing w:after="0" w:line="232" w:lineRule="auto"/>
        <w:rPr>
          <w:sz w:val="20"/>
          <w:szCs w:val="20"/>
          <w:color w:val="auto"/>
        </w:rPr>
      </w:pPr>
      <w:r>
        <w:rPr>
          <w:rFonts w:ascii="Arial" w:cs="Arial" w:eastAsia="Arial" w:hAnsi="Arial"/>
          <w:sz w:val="18"/>
          <w:szCs w:val="18"/>
          <w:color w:val="auto"/>
        </w:rPr>
        <w:t>*</w:t>
      </w:r>
    </w:p>
    <w:p>
      <w:pPr>
        <w:jc w:val="right"/>
        <w:spacing w:after="0" w:line="233" w:lineRule="auto"/>
        <w:rPr>
          <w:sz w:val="20"/>
          <w:szCs w:val="20"/>
          <w:color w:val="auto"/>
        </w:rPr>
      </w:pPr>
      <w:r>
        <w:rPr>
          <w:rFonts w:ascii="Arial" w:cs="Arial" w:eastAsia="Arial" w:hAnsi="Arial"/>
          <w:sz w:val="18"/>
          <w:szCs w:val="18"/>
          <w:color w:val="auto"/>
        </w:rPr>
        <w:t>*</w:t>
      </w:r>
    </w:p>
    <w:p>
      <w:pPr>
        <w:jc w:val="right"/>
        <w:spacing w:after="0" w:line="233" w:lineRule="auto"/>
        <w:rPr>
          <w:sz w:val="20"/>
          <w:szCs w:val="20"/>
          <w:color w:val="auto"/>
        </w:rPr>
      </w:pPr>
      <w:r>
        <w:rPr>
          <w:rFonts w:ascii="Arial" w:cs="Arial" w:eastAsia="Arial" w:hAnsi="Arial"/>
          <w:sz w:val="18"/>
          <w:szCs w:val="18"/>
          <w:color w:val="auto"/>
        </w:rPr>
        <w:t>*</w:t>
      </w:r>
    </w:p>
    <w:p>
      <w:pPr>
        <w:jc w:val="right"/>
        <w:spacing w:after="0" w:line="232"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4330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ind w:left="680" w:hanging="675"/>
        <w:spacing w:after="0"/>
        <w:tabs>
          <w:tab w:leader="none" w:pos="6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4330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4330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641" w:lineRule="exact"/>
        <w:rPr>
          <w:sz w:val="20"/>
          <w:szCs w:val="20"/>
          <w:color w:val="auto"/>
        </w:rPr>
      </w:pPr>
    </w:p>
    <w:p>
      <w:pPr>
        <w:sectPr>
          <w:pgSz w:w="11900" w:h="16838" w:orient="portrait"/>
          <w:cols w:equalWidth="0" w:num="2">
            <w:col w:w="9580" w:space="720"/>
            <w:col w:w="760"/>
          </w:cols>
          <w:pgMar w:left="320" w:top="456" w:right="519" w:bottom="1440" w:gutter="0" w:footer="0" w:header="0"/>
          <w:type w:val="continuous"/>
        </w:sectPr>
      </w:pP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3" w:lineRule="exact"/>
        <w:rPr>
          <w:sz w:val="20"/>
          <w:szCs w:val="20"/>
          <w:color w:val="auto"/>
        </w:rPr>
      </w:pPr>
    </w:p>
    <w:p>
      <w:pPr>
        <w:ind w:left="160" w:right="140" w:firstLine="546"/>
        <w:spacing w:after="0" w:line="234"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206" w:lineRule="exact"/>
        <w:rPr>
          <w:sz w:val="20"/>
          <w:szCs w:val="20"/>
          <w:color w:val="auto"/>
        </w:rPr>
      </w:pPr>
    </w:p>
    <w:p>
      <w:pPr>
        <w:ind w:left="160" w:right="40" w:firstLine="546"/>
        <w:spacing w:after="0" w:line="234"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Xometry, Inc., provided that such director or officer acted in good faith and in a manner that the director or officer reasonably believed to be in, or not opposed to, the best interest of Xometry, Inc. At present, there is no pending litigation or proceeding involving a director or officer of Xometry, Inc. regarding which indemnification is sought, nor is the registrant aware of any threatened litigation that may result in claims for indemnification.</w:t>
      </w:r>
    </w:p>
    <w:p>
      <w:pPr>
        <w:spacing w:after="0" w:line="206" w:lineRule="exact"/>
        <w:rPr>
          <w:sz w:val="20"/>
          <w:szCs w:val="20"/>
          <w:color w:val="auto"/>
        </w:rPr>
      </w:pPr>
    </w:p>
    <w:p>
      <w:pPr>
        <w:ind w:left="160" w:right="240" w:firstLine="546"/>
        <w:spacing w:after="0" w:line="239"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60"/>
          </w:cols>
          <w:pgMar w:left="320" w:top="456" w:right="519" w:bottom="1440" w:gutter="0" w:footer="0" w:header="0"/>
          <w:type w:val="continuous"/>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right="80" w:firstLine="546"/>
        <w:spacing w:after="0" w:line="239" w:lineRule="auto"/>
        <w:rPr>
          <w:sz w:val="20"/>
          <w:szCs w:val="20"/>
          <w:color w:val="auto"/>
        </w:rPr>
      </w:pPr>
      <w:r>
        <w:rPr>
          <w:rFonts w:ascii="Arial" w:cs="Arial" w:eastAsia="Arial" w:hAnsi="Arial"/>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 through June 4, 2021:</w:t>
      </w:r>
    </w:p>
    <w:p>
      <w:pPr>
        <w:spacing w:after="0" w:line="114" w:lineRule="exact"/>
        <w:rPr>
          <w:sz w:val="20"/>
          <w:szCs w:val="20"/>
          <w:color w:val="auto"/>
        </w:rPr>
      </w:pPr>
    </w:p>
    <w:p>
      <w:pPr>
        <w:ind w:left="700" w:hanging="533"/>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Option issuances.</w:t>
      </w:r>
    </w:p>
    <w:p>
      <w:pPr>
        <w:spacing w:after="0" w:line="208" w:lineRule="exact"/>
        <w:rPr>
          <w:sz w:val="20"/>
          <w:szCs w:val="20"/>
          <w:color w:val="auto"/>
        </w:rPr>
      </w:pPr>
    </w:p>
    <w:p>
      <w:pPr>
        <w:ind w:left="160" w:right="20" w:firstLine="546"/>
        <w:spacing w:after="0" w:line="237" w:lineRule="auto"/>
        <w:rPr>
          <w:sz w:val="20"/>
          <w:szCs w:val="20"/>
          <w:color w:val="auto"/>
        </w:rPr>
      </w:pPr>
      <w:r>
        <w:rPr>
          <w:rFonts w:ascii="Arial" w:cs="Arial" w:eastAsia="Arial" w:hAnsi="Arial"/>
          <w:sz w:val="18"/>
          <w:szCs w:val="18"/>
          <w:color w:val="auto"/>
        </w:rPr>
        <w:t>We have granted under our 2016 Plan options to purchase an aggregate of 5,205,952 shares of our common stock to a total of 593 employees, consultants and directors, having exercise prices ranging from $1.65 to $12.32 per share. 1,582,342 of such options granted under the 2016 Plan have been exercised at a weighted-average exercise price of approximately $1.34 per share.</w:t>
      </w:r>
    </w:p>
    <w:p>
      <w:pPr>
        <w:spacing w:after="0" w:line="109" w:lineRule="exact"/>
        <w:rPr>
          <w:sz w:val="20"/>
          <w:szCs w:val="20"/>
          <w:color w:val="auto"/>
        </w:rPr>
      </w:pPr>
    </w:p>
    <w:p>
      <w:pPr>
        <w:ind w:left="700" w:hanging="533"/>
        <w:spacing w:after="0"/>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Preferred Stock Issuances.</w:t>
      </w:r>
    </w:p>
    <w:p>
      <w:pPr>
        <w:spacing w:after="0" w:line="208" w:lineRule="exact"/>
        <w:rPr>
          <w:sz w:val="20"/>
          <w:szCs w:val="20"/>
          <w:color w:val="auto"/>
        </w:rPr>
      </w:pPr>
    </w:p>
    <w:p>
      <w:pPr>
        <w:ind w:left="160" w:firstLine="546"/>
        <w:spacing w:after="0" w:line="235" w:lineRule="auto"/>
        <w:rPr>
          <w:sz w:val="20"/>
          <w:szCs w:val="20"/>
          <w:color w:val="auto"/>
        </w:rPr>
      </w:pPr>
      <w:r>
        <w:rPr>
          <w:rFonts w:ascii="Arial" w:cs="Arial" w:eastAsia="Arial" w:hAnsi="Arial"/>
          <w:sz w:val="18"/>
          <w:szCs w:val="18"/>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approximately $52,653,589.65.</w:t>
      </w:r>
    </w:p>
    <w:p>
      <w:pPr>
        <w:spacing w:after="0" w:line="202" w:lineRule="exact"/>
        <w:rPr>
          <w:sz w:val="20"/>
          <w:szCs w:val="20"/>
          <w:color w:val="auto"/>
        </w:rPr>
      </w:pPr>
    </w:p>
    <w:p>
      <w:pPr>
        <w:ind w:left="160" w:right="60" w:firstLine="546"/>
        <w:spacing w:after="0" w:line="239"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approximately $54,999,975.96.</w:t>
      </w:r>
    </w:p>
    <w:p>
      <w:pPr>
        <w:spacing w:after="0" w:line="203" w:lineRule="exact"/>
        <w:rPr>
          <w:sz w:val="20"/>
          <w:szCs w:val="20"/>
          <w:color w:val="auto"/>
        </w:rPr>
      </w:pPr>
    </w:p>
    <w:p>
      <w:pPr>
        <w:ind w:left="160" w:firstLine="546"/>
        <w:spacing w:after="0" w:line="232"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w:t>
      </w:r>
    </w:p>
    <w:p>
      <w:pPr>
        <w:spacing w:after="0" w:line="1"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Exhibits.</w:t>
      </w:r>
    </w:p>
    <w:p>
      <w:pPr>
        <w:spacing w:after="0" w:line="208" w:lineRule="exact"/>
        <w:rPr>
          <w:sz w:val="20"/>
          <w:szCs w:val="20"/>
          <w:color w:val="auto"/>
        </w:rPr>
      </w:pPr>
    </w:p>
    <w:p>
      <w:pPr>
        <w:ind w:left="160" w:right="360" w:firstLine="546"/>
        <w:spacing w:after="0" w:line="239" w:lineRule="auto"/>
        <w:rPr>
          <w:sz w:val="20"/>
          <w:szCs w:val="20"/>
          <w:color w:val="auto"/>
        </w:rPr>
      </w:pPr>
      <w:r>
        <w:rPr>
          <w:rFonts w:ascii="Arial" w:cs="Arial" w:eastAsia="Arial" w:hAnsi="Arial"/>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 Financial Statement Schedules.</w:t>
      </w:r>
    </w:p>
    <w:p>
      <w:pPr>
        <w:spacing w:after="0" w:line="208" w:lineRule="exact"/>
        <w:rPr>
          <w:sz w:val="20"/>
          <w:szCs w:val="20"/>
          <w:color w:val="auto"/>
        </w:rPr>
      </w:pPr>
    </w:p>
    <w:p>
      <w:pPr>
        <w:ind w:left="160" w:right="160" w:firstLine="546"/>
        <w:spacing w:after="0" w:line="239"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60"/>
          </w:cols>
          <w:pgMar w:left="320" w:top="456"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17. Undertakings.</w:t>
      </w:r>
    </w:p>
    <w:p>
      <w:pPr>
        <w:spacing w:after="0" w:line="123" w:lineRule="exact"/>
        <w:rPr>
          <w:sz w:val="20"/>
          <w:szCs w:val="20"/>
          <w:color w:val="auto"/>
        </w:rPr>
      </w:pPr>
    </w:p>
    <w:p>
      <w:pPr>
        <w:ind w:left="160" w:right="40" w:firstLine="546"/>
        <w:spacing w:after="0" w:line="23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3" w:lineRule="exact"/>
        <w:rPr>
          <w:sz w:val="20"/>
          <w:szCs w:val="20"/>
          <w:color w:val="auto"/>
        </w:rPr>
      </w:pPr>
    </w:p>
    <w:p>
      <w:pPr>
        <w:ind w:left="160" w:right="80" w:firstLine="546"/>
        <w:spacing w:after="0" w:line="23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undersigned registrant hereby undertakes that:</w:t>
      </w:r>
    </w:p>
    <w:p>
      <w:pPr>
        <w:spacing w:after="0" w:line="101" w:lineRule="exact"/>
        <w:rPr>
          <w:sz w:val="20"/>
          <w:szCs w:val="20"/>
          <w:color w:val="auto"/>
        </w:rPr>
      </w:pPr>
    </w:p>
    <w:p>
      <w:pPr>
        <w:ind w:left="160" w:right="40" w:firstLine="553"/>
        <w:spacing w:after="0" w:line="246" w:lineRule="auto"/>
        <w:tabs>
          <w:tab w:leader="none" w:pos="973" w:val="left"/>
        </w:tabs>
        <w:numPr>
          <w:ilvl w:val="1"/>
          <w:numId w:val="14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w:t>
      </w:r>
    </w:p>
    <w:p>
      <w:pPr>
        <w:ind w:left="440" w:hanging="273"/>
        <w:spacing w:after="0"/>
        <w:tabs>
          <w:tab w:leader="none" w:pos="4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or (4) or 497(h) under the Securities Act will be deemed to be part of this registration statement as of the time it was declared effective.</w:t>
      </w:r>
    </w:p>
    <w:p>
      <w:pPr>
        <w:spacing w:after="0" w:line="219" w:lineRule="exact"/>
        <w:rPr>
          <w:rFonts w:ascii="Arial" w:cs="Arial" w:eastAsia="Arial" w:hAnsi="Arial"/>
          <w:sz w:val="17"/>
          <w:szCs w:val="17"/>
          <w:color w:val="auto"/>
        </w:rPr>
      </w:pPr>
    </w:p>
    <w:p>
      <w:pPr>
        <w:jc w:val="both"/>
        <w:ind w:left="160" w:right="300" w:firstLine="553"/>
        <w:spacing w:after="0" w:line="237" w:lineRule="auto"/>
        <w:tabs>
          <w:tab w:leader="none" w:pos="97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20"/>
          </w:cols>
          <w:pgMar w:left="320" w:top="456" w:right="5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80" w:type="dxa"/>
            <w:vAlign w:val="bottom"/>
            <w:gridSpan w:val="9"/>
          </w:tcPr>
          <w:p>
            <w:pPr>
              <w:ind w:left="420"/>
              <w:spacing w:after="0"/>
              <w:rPr>
                <w:sz w:val="20"/>
                <w:szCs w:val="20"/>
                <w:color w:val="auto"/>
              </w:rPr>
            </w:pPr>
            <w:r>
              <w:rPr>
                <w:rFonts w:ascii="Arial" w:cs="Arial" w:eastAsia="Arial" w:hAnsi="Arial"/>
                <w:sz w:val="18"/>
                <w:szCs w:val="18"/>
                <w:b w:val="1"/>
                <w:bCs w:val="1"/>
                <w:color w:val="auto"/>
              </w:rPr>
              <w:t>EXHIBIT INDEX</w:t>
            </w:r>
          </w:p>
        </w:tc>
      </w:tr>
      <w:tr>
        <w:trPr>
          <w:trHeight w:val="376"/>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4"/>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4460" w:type="dxa"/>
            <w:vAlign w:val="bottom"/>
            <w:gridSpan w:val="6"/>
          </w:tcPr>
          <w:p>
            <w:pPr>
              <w:spacing w:after="0"/>
              <w:rPr>
                <w:sz w:val="15"/>
                <w:szCs w:val="15"/>
                <w:color w:val="auto"/>
              </w:rPr>
            </w:pPr>
          </w:p>
        </w:tc>
      </w:tr>
      <w:tr>
        <w:trPr>
          <w:trHeight w:val="313"/>
        </w:trPr>
        <w:tc>
          <w:tcPr>
            <w:tcW w:w="560" w:type="dxa"/>
            <w:vAlign w:val="bottom"/>
          </w:tcPr>
          <w:p>
            <w:pPr>
              <w:ind w:left="10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Form of Underwriting Agreement.</w:t>
            </w:r>
          </w:p>
        </w:tc>
      </w:tr>
      <w:tr>
        <w:trPr>
          <w:trHeight w:val="269"/>
        </w:trPr>
        <w:tc>
          <w:tcPr>
            <w:tcW w:w="560" w:type="dxa"/>
            <w:vAlign w:val="bottom"/>
          </w:tcPr>
          <w:p>
            <w:pPr>
              <w:ind w:left="10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3"/>
                <w:szCs w:val="23"/>
                <w:color w:val="auto"/>
              </w:rPr>
            </w:pPr>
          </w:p>
        </w:tc>
        <w:tc>
          <w:tcPr>
            <w:tcW w:w="9780" w:type="dxa"/>
            <w:vAlign w:val="bottom"/>
            <w:gridSpan w:val="11"/>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Amended and Restated Certificate of Incorporation of Xometry, Inc., as currently in effect.</w:t>
              </w:r>
            </w:hyperlink>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6"/>
        </w:trPr>
        <w:tc>
          <w:tcPr>
            <w:tcW w:w="560" w:type="dxa"/>
            <w:vAlign w:val="bottom"/>
          </w:tcPr>
          <w:p>
            <w:pPr>
              <w:ind w:left="100"/>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w w:val="98"/>
              </w:rPr>
              <w:t>Form of Amended and Restated Certificate of Incorporation of Xometry, Inc., to be in effect on the completion of the offering.</w:t>
            </w:r>
          </w:p>
        </w:tc>
      </w:tr>
      <w:tr>
        <w:trPr>
          <w:trHeight w:val="269"/>
        </w:trPr>
        <w:tc>
          <w:tcPr>
            <w:tcW w:w="560" w:type="dxa"/>
            <w:vAlign w:val="bottom"/>
          </w:tcPr>
          <w:p>
            <w:pPr>
              <w:ind w:left="10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3"/>
                <w:szCs w:val="23"/>
                <w:color w:val="auto"/>
              </w:rPr>
            </w:pPr>
          </w:p>
        </w:tc>
        <w:tc>
          <w:tcPr>
            <w:tcW w:w="552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248">
              <w:r>
                <w:rPr>
                  <w:rFonts w:ascii="Arial" w:cs="Arial" w:eastAsia="Arial" w:hAnsi="Arial"/>
                  <w:sz w:val="18"/>
                  <w:szCs w:val="18"/>
                  <w:color w:val="0000EE"/>
                  <w:w w:val="98"/>
                </w:rPr>
                <w:t>Amended and Restated Bylaws of Xometry, Inc., as currently in effect.</w:t>
              </w:r>
            </w:hyperlink>
          </w:p>
        </w:tc>
        <w:tc>
          <w:tcPr>
            <w:tcW w:w="4260" w:type="dxa"/>
            <w:vAlign w:val="bottom"/>
            <w:gridSpan w:val="5"/>
          </w:tcPr>
          <w:p>
            <w:pPr>
              <w:spacing w:after="0"/>
              <w:rPr>
                <w:sz w:val="23"/>
                <w:szCs w:val="23"/>
                <w:color w:val="auto"/>
              </w:rPr>
            </w:pPr>
          </w:p>
        </w:tc>
      </w:tr>
      <w:tr>
        <w:trPr>
          <w:trHeight w:val="326"/>
        </w:trPr>
        <w:tc>
          <w:tcPr>
            <w:tcW w:w="560" w:type="dxa"/>
            <w:vAlign w:val="bottom"/>
          </w:tcPr>
          <w:p>
            <w:pPr>
              <w:ind w:left="100"/>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Form of Amended and Restated Bylaws of Xometry, Inc., to be in effect on the completion of the offering.</w:t>
            </w:r>
          </w:p>
        </w:tc>
      </w:tr>
      <w:tr>
        <w:trPr>
          <w:trHeight w:val="308"/>
        </w:trPr>
        <w:tc>
          <w:tcPr>
            <w:tcW w:w="560" w:type="dxa"/>
            <w:vAlign w:val="bottom"/>
          </w:tcPr>
          <w:p>
            <w:pPr>
              <w:ind w:left="10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Form of Class A Common Stock Certificate.</w:t>
            </w:r>
          </w:p>
        </w:tc>
      </w:tr>
      <w:tr>
        <w:trPr>
          <w:trHeight w:val="308"/>
        </w:trPr>
        <w:tc>
          <w:tcPr>
            <w:tcW w:w="560" w:type="dxa"/>
            <w:vAlign w:val="bottom"/>
          </w:tcPr>
          <w:p>
            <w:pPr>
              <w:ind w:left="100"/>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Opinion of Cooley LLP.</w:t>
            </w:r>
          </w:p>
        </w:tc>
      </w:tr>
      <w:tr>
        <w:trPr>
          <w:trHeight w:val="269"/>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3"/>
                <w:szCs w:val="23"/>
                <w:color w:val="auto"/>
              </w:rPr>
            </w:pPr>
          </w:p>
        </w:tc>
        <w:tc>
          <w:tcPr>
            <w:tcW w:w="9780" w:type="dxa"/>
            <w:vAlign w:val="bottom"/>
            <w:gridSpan w:val="11"/>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Seventh Amended and Restated Investor Rights Agreement, dated July 17, 2020.</w:t>
              </w:r>
            </w:hyperlink>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33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317">
              <w:r>
                <w:rPr>
                  <w:rFonts w:ascii="Arial" w:cs="Arial" w:eastAsia="Arial" w:hAnsi="Arial"/>
                  <w:sz w:val="18"/>
                  <w:szCs w:val="18"/>
                  <w:color w:val="0000EE"/>
                  <w:w w:val="99"/>
                </w:rPr>
                <w:t>Xometry, Inc. 2016 Equity Incentive Plan.</w:t>
              </w:r>
            </w:hyperlink>
          </w:p>
        </w:tc>
        <w:tc>
          <w:tcPr>
            <w:tcW w:w="3140" w:type="dxa"/>
            <w:vAlign w:val="bottom"/>
            <w:tcBorders>
              <w:top w:val="single" w:sz="8" w:color="0000EE"/>
            </w:tcBorders>
            <w:gridSpan w:val="5"/>
          </w:tcPr>
          <w:p>
            <w:pPr>
              <w:spacing w:after="0"/>
              <w:rPr>
                <w:sz w:val="24"/>
                <w:szCs w:val="24"/>
                <w:color w:val="auto"/>
              </w:rPr>
            </w:pPr>
          </w:p>
        </w:tc>
        <w:tc>
          <w:tcPr>
            <w:tcW w:w="3340" w:type="dxa"/>
            <w:vAlign w:val="bottom"/>
            <w:gridSpan w:val="4"/>
          </w:tcPr>
          <w:p>
            <w:pPr>
              <w:spacing w:after="0"/>
              <w:rPr>
                <w:sz w:val="24"/>
                <w:szCs w:val="24"/>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rPr>
            </w:pPr>
            <w:hyperlink w:anchor="page339">
              <w:r>
                <w:rPr>
                  <w:rFonts w:ascii="Arial" w:cs="Arial" w:eastAsia="Arial" w:hAnsi="Arial"/>
                  <w:sz w:val="18"/>
                  <w:szCs w:val="18"/>
                  <w:color w:val="0000EE"/>
                </w:rPr>
                <w:t>Xometry, Inc. Amendment No. 1 to 2016 Equity Incentive Plan</w:t>
              </w:r>
            </w:hyperlink>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rPr>
            </w:pPr>
            <w:hyperlink w:anchor="page341">
              <w:r>
                <w:rPr>
                  <w:rFonts w:ascii="Arial" w:cs="Arial" w:eastAsia="Arial" w:hAnsi="Arial"/>
                  <w:sz w:val="18"/>
                  <w:szCs w:val="18"/>
                  <w:color w:val="0000EE"/>
                </w:rPr>
                <w:t>Xometry, Inc. Amendment No. 2 to 2016 Equity Incentive Plan</w:t>
              </w:r>
            </w:hyperlink>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rPr>
            </w:pPr>
            <w:hyperlink w:anchor="page343">
              <w:r>
                <w:rPr>
                  <w:rFonts w:ascii="Arial" w:cs="Arial" w:eastAsia="Arial" w:hAnsi="Arial"/>
                  <w:sz w:val="18"/>
                  <w:szCs w:val="18"/>
                  <w:color w:val="0000EE"/>
                </w:rPr>
                <w:t>Xometry, Inc. Amendment No. 3 to 2016 Equity Incentive Plan</w:t>
              </w:r>
            </w:hyperlink>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rPr>
            </w:pPr>
            <w:hyperlink w:anchor="page345">
              <w:r>
                <w:rPr>
                  <w:rFonts w:ascii="Arial" w:cs="Arial" w:eastAsia="Arial" w:hAnsi="Arial"/>
                  <w:sz w:val="18"/>
                  <w:szCs w:val="18"/>
                  <w:color w:val="0000EE"/>
                </w:rPr>
                <w:t>Xometry, Inc. Amendment No. 4 to 2016 Equity Incentive Plan</w:t>
              </w:r>
            </w:hyperlink>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rPr>
            </w:pPr>
            <w:hyperlink w:anchor="page347">
              <w:r>
                <w:rPr>
                  <w:rFonts w:ascii="Arial" w:cs="Arial" w:eastAsia="Arial" w:hAnsi="Arial"/>
                  <w:sz w:val="18"/>
                  <w:szCs w:val="18"/>
                  <w:color w:val="0000EE"/>
                </w:rPr>
                <w:t>Xometry, Inc. Amendment No. 5 to 2016 Equity Incentive Plan</w:t>
              </w:r>
            </w:hyperlink>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958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349">
              <w:r>
                <w:rPr>
                  <w:rFonts w:ascii="Arial" w:cs="Arial" w:eastAsia="Arial" w:hAnsi="Arial"/>
                  <w:sz w:val="18"/>
                  <w:szCs w:val="18"/>
                  <w:color w:val="0000EE"/>
                  <w:w w:val="98"/>
                </w:rPr>
                <w:t>Forms of grant notice, stock option agreement, and notice of exercise under the Xometry, Inc. 2016 Equity Incentive Plan.</w:t>
              </w:r>
            </w:hyperlink>
          </w:p>
        </w:tc>
        <w:tc>
          <w:tcPr>
            <w:tcW w:w="200" w:type="dxa"/>
            <w:vAlign w:val="bottom"/>
          </w:tcPr>
          <w:p>
            <w:pPr>
              <w:spacing w:after="0"/>
              <w:rPr>
                <w:sz w:val="24"/>
                <w:szCs w:val="24"/>
                <w:color w:val="auto"/>
              </w:rPr>
            </w:pPr>
          </w:p>
        </w:tc>
      </w:tr>
      <w:tr>
        <w:trPr>
          <w:trHeight w:val="326"/>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9780" w:type="dxa"/>
            <w:vAlign w:val="bottom"/>
            <w:gridSpan w:val="11"/>
          </w:tcPr>
          <w:p>
            <w:pPr>
              <w:spacing w:after="0"/>
              <w:rPr>
                <w:sz w:val="20"/>
                <w:szCs w:val="20"/>
                <w:color w:val="auto"/>
              </w:rPr>
            </w:pPr>
            <w:r>
              <w:rPr>
                <w:rFonts w:ascii="Arial" w:cs="Arial" w:eastAsia="Arial" w:hAnsi="Arial"/>
                <w:sz w:val="18"/>
                <w:szCs w:val="18"/>
                <w:color w:val="auto"/>
              </w:rPr>
              <w:t>Xometry, Inc. 2021 Equity Incentive Plan.</w:t>
            </w:r>
          </w:p>
        </w:tc>
      </w:tr>
      <w:tr>
        <w:trPr>
          <w:trHeight w:val="308"/>
        </w:trPr>
        <w:tc>
          <w:tcPr>
            <w:tcW w:w="1100" w:type="dxa"/>
            <w:vAlign w:val="bottom"/>
            <w:gridSpan w:val="2"/>
          </w:tcPr>
          <w:p>
            <w:pPr>
              <w:spacing w:after="0"/>
              <w:rPr>
                <w:sz w:val="20"/>
                <w:szCs w:val="20"/>
                <w:color w:val="auto"/>
              </w:rPr>
            </w:pPr>
            <w:r>
              <w:rPr>
                <w:rFonts w:ascii="Arial" w:cs="Arial" w:eastAsia="Arial" w:hAnsi="Arial"/>
                <w:sz w:val="18"/>
                <w:szCs w:val="18"/>
                <w:color w:val="auto"/>
              </w:rPr>
              <w:t>10.10+*</w:t>
            </w:r>
          </w:p>
        </w:tc>
        <w:tc>
          <w:tcPr>
            <w:tcW w:w="9780" w:type="dxa"/>
            <w:vAlign w:val="bottom"/>
            <w:gridSpan w:val="11"/>
          </w:tcPr>
          <w:p>
            <w:pPr>
              <w:spacing w:after="0"/>
              <w:rPr>
                <w:sz w:val="20"/>
                <w:szCs w:val="20"/>
                <w:color w:val="auto"/>
              </w:rPr>
            </w:pPr>
            <w:r>
              <w:rPr>
                <w:rFonts w:ascii="Arial" w:cs="Arial" w:eastAsia="Arial" w:hAnsi="Arial"/>
                <w:sz w:val="18"/>
                <w:szCs w:val="18"/>
                <w:color w:val="auto"/>
              </w:rPr>
              <w:t>Forms of grant notice, stock option agreement and notice of exercise under the Xometry, Inc. 2021 Equity Incentive Plan.</w:t>
            </w:r>
          </w:p>
        </w:tc>
      </w:tr>
      <w:tr>
        <w:trPr>
          <w:trHeight w:val="308"/>
        </w:trPr>
        <w:tc>
          <w:tcPr>
            <w:tcW w:w="1100" w:type="dxa"/>
            <w:vAlign w:val="bottom"/>
            <w:gridSpan w:val="2"/>
          </w:tcPr>
          <w:p>
            <w:pPr>
              <w:spacing w:after="0"/>
              <w:rPr>
                <w:sz w:val="20"/>
                <w:szCs w:val="20"/>
                <w:color w:val="auto"/>
              </w:rPr>
            </w:pPr>
            <w:r>
              <w:rPr>
                <w:rFonts w:ascii="Arial" w:cs="Arial" w:eastAsia="Arial" w:hAnsi="Arial"/>
                <w:sz w:val="18"/>
                <w:szCs w:val="18"/>
                <w:color w:val="auto"/>
              </w:rPr>
              <w:t>10.11+*</w:t>
            </w:r>
          </w:p>
        </w:tc>
        <w:tc>
          <w:tcPr>
            <w:tcW w:w="9780" w:type="dxa"/>
            <w:vAlign w:val="bottom"/>
            <w:gridSpan w:val="11"/>
          </w:tcPr>
          <w:p>
            <w:pPr>
              <w:spacing w:after="0"/>
              <w:rPr>
                <w:sz w:val="20"/>
                <w:szCs w:val="20"/>
                <w:color w:val="auto"/>
              </w:rPr>
            </w:pPr>
            <w:r>
              <w:rPr>
                <w:rFonts w:ascii="Arial" w:cs="Arial" w:eastAsia="Arial" w:hAnsi="Arial"/>
                <w:sz w:val="18"/>
                <w:szCs w:val="18"/>
                <w:color w:val="auto"/>
              </w:rPr>
              <w:t>Forms of restricted stock unit grant notice and award agreement under the Xometry, Inc. 2021 Equity Incentive Plan.</w:t>
            </w:r>
          </w:p>
        </w:tc>
      </w:tr>
      <w:tr>
        <w:trPr>
          <w:trHeight w:val="269"/>
        </w:trPr>
        <w:tc>
          <w:tcPr>
            <w:tcW w:w="1100" w:type="dxa"/>
            <w:vAlign w:val="bottom"/>
            <w:gridSpan w:val="2"/>
          </w:tcPr>
          <w:p>
            <w:pPr>
              <w:spacing w:after="0"/>
              <w:rPr>
                <w:sz w:val="20"/>
                <w:szCs w:val="20"/>
                <w:color w:val="auto"/>
              </w:rPr>
            </w:pPr>
            <w:r>
              <w:rPr>
                <w:rFonts w:ascii="Arial" w:cs="Arial" w:eastAsia="Arial" w:hAnsi="Arial"/>
                <w:sz w:val="18"/>
                <w:szCs w:val="18"/>
                <w:color w:val="auto"/>
              </w:rPr>
              <w:t>10.12+</w:t>
            </w:r>
          </w:p>
        </w:tc>
        <w:tc>
          <w:tcPr>
            <w:tcW w:w="78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363">
              <w:r>
                <w:rPr>
                  <w:rFonts w:ascii="Arial" w:cs="Arial" w:eastAsia="Arial" w:hAnsi="Arial"/>
                  <w:sz w:val="18"/>
                  <w:szCs w:val="18"/>
                  <w:color w:val="0000EE"/>
                  <w:w w:val="98"/>
                </w:rPr>
                <w:t>Employment agreement by and between Xometry, Inc. and James Rallo, dated as of April 13, 2020</w:t>
              </w:r>
            </w:hyperlink>
          </w:p>
        </w:tc>
        <w:tc>
          <w:tcPr>
            <w:tcW w:w="1980" w:type="dxa"/>
            <w:vAlign w:val="bottom"/>
            <w:gridSpan w:val="2"/>
          </w:tcPr>
          <w:p>
            <w:pPr>
              <w:spacing w:after="0"/>
              <w:rPr>
                <w:sz w:val="23"/>
                <w:szCs w:val="23"/>
                <w:color w:val="auto"/>
              </w:rPr>
            </w:pPr>
          </w:p>
        </w:tc>
      </w:tr>
      <w:tr>
        <w:trPr>
          <w:trHeight w:val="326"/>
        </w:trPr>
        <w:tc>
          <w:tcPr>
            <w:tcW w:w="1100" w:type="dxa"/>
            <w:vAlign w:val="bottom"/>
            <w:gridSpan w:val="2"/>
          </w:tcPr>
          <w:p>
            <w:pPr>
              <w:spacing w:after="0"/>
              <w:rPr>
                <w:sz w:val="20"/>
                <w:szCs w:val="20"/>
                <w:color w:val="auto"/>
              </w:rPr>
            </w:pPr>
            <w:r>
              <w:rPr>
                <w:rFonts w:ascii="Arial" w:cs="Arial" w:eastAsia="Arial" w:hAnsi="Arial"/>
                <w:sz w:val="18"/>
                <w:szCs w:val="18"/>
                <w:color w:val="auto"/>
              </w:rPr>
              <w:t>10.13+*</w:t>
            </w:r>
          </w:p>
        </w:tc>
        <w:tc>
          <w:tcPr>
            <w:tcW w:w="9780" w:type="dxa"/>
            <w:vAlign w:val="bottom"/>
            <w:gridSpan w:val="11"/>
          </w:tcPr>
          <w:p>
            <w:pPr>
              <w:spacing w:after="0"/>
              <w:rPr>
                <w:sz w:val="20"/>
                <w:szCs w:val="20"/>
                <w:color w:val="auto"/>
              </w:rPr>
            </w:pPr>
            <w:r>
              <w:rPr>
                <w:rFonts w:ascii="Arial" w:cs="Arial" w:eastAsia="Arial" w:hAnsi="Arial"/>
                <w:sz w:val="18"/>
                <w:szCs w:val="18"/>
                <w:color w:val="auto"/>
              </w:rPr>
              <w:t>Form of Indemnification Agreement entered into by and between Xometry, Inc. and each director and executive officer.</w:t>
            </w:r>
          </w:p>
        </w:tc>
      </w:tr>
      <w:tr>
        <w:trPr>
          <w:trHeight w:val="269"/>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3"/>
                <w:szCs w:val="23"/>
                <w:color w:val="auto"/>
              </w:rPr>
            </w:pPr>
          </w:p>
        </w:tc>
        <w:tc>
          <w:tcPr>
            <w:tcW w:w="9780" w:type="dxa"/>
            <w:vAlign w:val="bottom"/>
            <w:gridSpan w:val="11"/>
          </w:tcPr>
          <w:p>
            <w:pPr>
              <w:spacing w:after="0"/>
              <w:rPr>
                <w:rFonts w:ascii="Arial" w:cs="Arial" w:eastAsia="Arial" w:hAnsi="Arial"/>
                <w:sz w:val="18"/>
                <w:szCs w:val="18"/>
                <w:color w:val="0000EE"/>
              </w:rPr>
            </w:pPr>
            <w:hyperlink w:anchor="page376">
              <w:r>
                <w:rPr>
                  <w:rFonts w:ascii="Arial" w:cs="Arial" w:eastAsia="Arial" w:hAnsi="Arial"/>
                  <w:sz w:val="18"/>
                  <w:szCs w:val="18"/>
                  <w:color w:val="0000EE"/>
                </w:rPr>
                <w:t>List of Subsidiaries of Xometry, Inc.</w:t>
              </w:r>
            </w:hyperlink>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r>
      <w:tr>
        <w:trPr>
          <w:trHeight w:val="288"/>
        </w:trPr>
        <w:tc>
          <w:tcPr>
            <w:tcW w:w="5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780" w:type="dxa"/>
            <w:vAlign w:val="bottom"/>
            <w:gridSpan w:val="11"/>
          </w:tcPr>
          <w:p>
            <w:pPr>
              <w:spacing w:after="0"/>
              <w:rPr>
                <w:rFonts w:ascii="Arial" w:cs="Arial" w:eastAsia="Arial" w:hAnsi="Arial"/>
                <w:sz w:val="18"/>
                <w:szCs w:val="18"/>
                <w:color w:val="0000EE"/>
              </w:rPr>
            </w:pPr>
            <w:hyperlink w:anchor="page377">
              <w:r>
                <w:rPr>
                  <w:rFonts w:ascii="Arial" w:cs="Arial" w:eastAsia="Arial" w:hAnsi="Arial"/>
                  <w:sz w:val="18"/>
                  <w:szCs w:val="18"/>
                  <w:color w:val="0000EE"/>
                </w:rPr>
                <w:t>Consent of KPMG LLP, independent registered public accounting firm.</w:t>
              </w:r>
            </w:hyperlink>
          </w:p>
        </w:tc>
      </w:tr>
      <w:tr>
        <w:trPr>
          <w:trHeight w:val="326"/>
        </w:trPr>
        <w:tc>
          <w:tcPr>
            <w:tcW w:w="56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55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Consent of Cooley LLP (included in Exhibit 5.1).</w:t>
            </w:r>
          </w:p>
        </w:tc>
        <w:tc>
          <w:tcPr>
            <w:tcW w:w="4260" w:type="dxa"/>
            <w:vAlign w:val="bottom"/>
            <w:gridSpan w:val="5"/>
          </w:tcPr>
          <w:p>
            <w:pPr>
              <w:spacing w:after="0"/>
              <w:rPr>
                <w:sz w:val="24"/>
                <w:szCs w:val="24"/>
                <w:color w:val="auto"/>
              </w:rPr>
            </w:pPr>
          </w:p>
        </w:tc>
      </w:tr>
      <w:tr>
        <w:trPr>
          <w:trHeight w:val="269"/>
        </w:trPr>
        <w:tc>
          <w:tcPr>
            <w:tcW w:w="56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3"/>
                <w:szCs w:val="23"/>
                <w:color w:val="auto"/>
              </w:rPr>
            </w:pPr>
          </w:p>
        </w:tc>
        <w:tc>
          <w:tcPr>
            <w:tcW w:w="9780" w:type="dxa"/>
            <w:vAlign w:val="bottom"/>
            <w:gridSpan w:val="11"/>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Power of Attorney (included on page II-5).</w:t>
              </w:r>
            </w:hyperlink>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3" w:lineRule="exact"/>
        <w:rPr>
          <w:sz w:val="20"/>
          <w:szCs w:val="20"/>
          <w:color w:val="auto"/>
        </w:rPr>
      </w:pPr>
    </w:p>
    <w:p>
      <w:pPr>
        <w:ind w:left="480" w:hanging="313"/>
        <w:spacing w:after="0"/>
        <w:tabs>
          <w:tab w:leader="none" w:pos="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be submitted by amendment.</w:t>
      </w:r>
    </w:p>
    <w:p>
      <w:pPr>
        <w:ind w:left="480" w:hanging="313"/>
        <w:spacing w:after="0"/>
        <w:tabs>
          <w:tab w:leader="none" w:pos="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6" w:right="5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30" w:lineRule="exact"/>
        <w:rPr>
          <w:sz w:val="20"/>
          <w:szCs w:val="20"/>
          <w:color w:val="auto"/>
        </w:rPr>
      </w:pPr>
    </w:p>
    <w:p>
      <w:pPr>
        <w:ind w:left="160" w:right="200" w:firstLine="546"/>
        <w:spacing w:after="0" w:line="239"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Gaithersburg, State of Maryland, on June 4, 2021.</w:t>
      </w:r>
    </w:p>
    <w:p>
      <w:pPr>
        <w:spacing w:after="0" w:line="208"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XOMETRY, INC.</w:t>
      </w:r>
    </w:p>
    <w:p>
      <w:pPr>
        <w:spacing w:after="0" w:line="223" w:lineRule="exact"/>
        <w:rPr>
          <w:sz w:val="20"/>
          <w:szCs w:val="20"/>
          <w:color w:val="auto"/>
        </w:rPr>
      </w:pPr>
    </w:p>
    <w:tbl>
      <w:tblPr>
        <w:tblLayout w:type="fixed"/>
        <w:tblInd w:w="67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Randolph Altschuler</w:t>
            </w:r>
          </w:p>
        </w:tc>
      </w:tr>
      <w:tr>
        <w:trPr>
          <w:trHeight w:val="194"/>
        </w:trPr>
        <w:tc>
          <w:tcPr>
            <w:tcW w:w="60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3760" w:type="dxa"/>
            <w:vAlign w:val="bottom"/>
          </w:tcPr>
          <w:p>
            <w:pPr>
              <w:ind w:left="60"/>
              <w:spacing w:after="0" w:line="194" w:lineRule="exact"/>
              <w:rPr>
                <w:sz w:val="20"/>
                <w:szCs w:val="20"/>
                <w:color w:val="auto"/>
              </w:rPr>
            </w:pPr>
            <w:r>
              <w:rPr>
                <w:rFonts w:ascii="Arial" w:cs="Arial" w:eastAsia="Arial" w:hAnsi="Arial"/>
                <w:sz w:val="18"/>
                <w:szCs w:val="18"/>
                <w:color w:val="auto"/>
              </w:rPr>
              <w:t>Randolph Altschuler</w:t>
            </w:r>
          </w:p>
        </w:tc>
      </w:tr>
      <w:tr>
        <w:trPr>
          <w:trHeight w:val="201"/>
        </w:trPr>
        <w:tc>
          <w:tcPr>
            <w:tcW w:w="60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760" w:type="dxa"/>
            <w:vAlign w:val="bottom"/>
          </w:tcPr>
          <w:p>
            <w:pPr>
              <w:ind w:left="60"/>
              <w:spacing w:after="0" w:line="201" w:lineRule="exact"/>
              <w:rPr>
                <w:sz w:val="20"/>
                <w:szCs w:val="20"/>
                <w:color w:val="auto"/>
              </w:rPr>
            </w:pPr>
            <w:r>
              <w:rPr>
                <w:rFonts w:ascii="Arial" w:cs="Arial" w:eastAsia="Arial" w:hAnsi="Arial"/>
                <w:sz w:val="18"/>
                <w:szCs w:val="18"/>
                <w:color w:val="auto"/>
              </w:rPr>
              <w:t>Co-Founder, Chief Executive Officer and</w:t>
            </w:r>
          </w:p>
        </w:tc>
      </w:tr>
      <w:tr>
        <w:trPr>
          <w:trHeight w:val="213"/>
        </w:trPr>
        <w:tc>
          <w:tcPr>
            <w:tcW w:w="6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30" w:lineRule="exact"/>
        <w:rPr>
          <w:sz w:val="20"/>
          <w:szCs w:val="20"/>
          <w:color w:val="auto"/>
        </w:rPr>
      </w:pPr>
    </w:p>
    <w:p>
      <w:pPr>
        <w:ind w:left="160" w:firstLine="546"/>
        <w:spacing w:after="0" w:line="23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Randolph Altschuler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02" w:lineRule="exact"/>
        <w:rPr>
          <w:sz w:val="20"/>
          <w:szCs w:val="20"/>
          <w:color w:val="auto"/>
        </w:rPr>
      </w:pPr>
    </w:p>
    <w:p>
      <w:pPr>
        <w:ind w:left="160" w:right="140" w:firstLine="546"/>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3180" w:type="dxa"/>
            <w:vAlign w:val="bottom"/>
          </w:tcPr>
          <w:p>
            <w:pPr>
              <w:spacing w:after="0"/>
              <w:rPr>
                <w:sz w:val="15"/>
                <w:szCs w:val="15"/>
                <w:color w:val="auto"/>
              </w:rPr>
            </w:pPr>
          </w:p>
        </w:tc>
        <w:tc>
          <w:tcPr>
            <w:tcW w:w="4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Title</w:t>
            </w:r>
          </w:p>
        </w:tc>
        <w:tc>
          <w:tcPr>
            <w:tcW w:w="160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rPr>
              <w:t>Date</w:t>
            </w:r>
          </w:p>
        </w:tc>
      </w:tr>
      <w:tr>
        <w:trPr>
          <w:trHeight w:val="20"/>
        </w:trPr>
        <w:tc>
          <w:tcPr>
            <w:tcW w:w="6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07"/>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Randolph Altschuler</w:t>
            </w:r>
          </w:p>
        </w:tc>
        <w:tc>
          <w:tcPr>
            <w:tcW w:w="498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Chief Executive Officer, Co-Founder and Director</w:t>
            </w:r>
          </w:p>
        </w:tc>
        <w:tc>
          <w:tcPr>
            <w:tcW w:w="1600" w:type="dxa"/>
            <w:vAlign w:val="bottom"/>
            <w:gridSpan w:val="3"/>
          </w:tcPr>
          <w:p>
            <w:pPr>
              <w:jc w:val="center"/>
              <w:ind w:left="474"/>
              <w:spacing w:after="0"/>
              <w:rPr>
                <w:sz w:val="20"/>
                <w:szCs w:val="20"/>
                <w:color w:val="auto"/>
              </w:rPr>
            </w:pPr>
            <w:r>
              <w:rPr>
                <w:rFonts w:ascii="Arial" w:cs="Arial" w:eastAsia="Arial" w:hAnsi="Arial"/>
                <w:sz w:val="18"/>
                <w:szCs w:val="18"/>
                <w:color w:val="auto"/>
                <w:w w:val="99"/>
              </w:rPr>
              <w:t>June 4, 2021</w:t>
            </w:r>
          </w:p>
        </w:tc>
      </w:tr>
      <w:tr>
        <w:trPr>
          <w:trHeight w:val="208"/>
        </w:trPr>
        <w:tc>
          <w:tcPr>
            <w:tcW w:w="3860" w:type="dxa"/>
            <w:vAlign w:val="bottom"/>
            <w:gridSpan w:val="2"/>
          </w:tcPr>
          <w:p>
            <w:pPr>
              <w:spacing w:after="0"/>
              <w:rPr>
                <w:sz w:val="20"/>
                <w:szCs w:val="20"/>
                <w:color w:val="auto"/>
              </w:rPr>
            </w:pPr>
            <w:r>
              <w:rPr>
                <w:rFonts w:ascii="Arial" w:cs="Arial" w:eastAsia="Arial" w:hAnsi="Arial"/>
                <w:sz w:val="18"/>
                <w:szCs w:val="18"/>
                <w:color w:val="auto"/>
              </w:rPr>
              <w:t>Randolph Altschuler</w:t>
            </w:r>
          </w:p>
        </w:tc>
        <w:tc>
          <w:tcPr>
            <w:tcW w:w="4980" w:type="dxa"/>
            <w:vAlign w:val="bottom"/>
            <w:gridSpan w:val="3"/>
          </w:tcPr>
          <w:p>
            <w:pPr>
              <w:jc w:val="center"/>
              <w:ind w:right="20"/>
              <w:spacing w:after="0" w:line="194" w:lineRule="exact"/>
              <w:rPr>
                <w:sz w:val="20"/>
                <w:szCs w:val="20"/>
                <w:color w:val="auto"/>
              </w:rPr>
            </w:pPr>
            <w:r>
              <w:rPr>
                <w:rFonts w:ascii="Arial" w:cs="Arial" w:eastAsia="Arial" w:hAnsi="Arial"/>
                <w:sz w:val="18"/>
                <w:szCs w:val="18"/>
                <w:color w:val="auto"/>
                <w:w w:val="99"/>
              </w:rPr>
              <w:t>(Principal Executive Officer)</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14"/>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Rallo</w:t>
            </w:r>
          </w:p>
        </w:tc>
        <w:tc>
          <w:tcPr>
            <w:tcW w:w="49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Chief Financial Officer</w:t>
            </w:r>
          </w:p>
        </w:tc>
        <w:tc>
          <w:tcPr>
            <w:tcW w:w="1600" w:type="dxa"/>
            <w:vAlign w:val="bottom"/>
            <w:gridSpan w:val="3"/>
          </w:tcPr>
          <w:p>
            <w:pPr>
              <w:jc w:val="center"/>
              <w:ind w:left="474"/>
              <w:spacing w:after="0"/>
              <w:rPr>
                <w:sz w:val="20"/>
                <w:szCs w:val="20"/>
                <w:color w:val="auto"/>
              </w:rPr>
            </w:pPr>
            <w:r>
              <w:rPr>
                <w:rFonts w:ascii="Arial" w:cs="Arial" w:eastAsia="Arial" w:hAnsi="Arial"/>
                <w:sz w:val="18"/>
                <w:szCs w:val="18"/>
                <w:color w:val="auto"/>
                <w:w w:val="99"/>
              </w:rPr>
              <w:t>June 4, 2021</w:t>
            </w:r>
          </w:p>
        </w:tc>
      </w:tr>
      <w:tr>
        <w:trPr>
          <w:trHeight w:val="208"/>
        </w:trPr>
        <w:tc>
          <w:tcPr>
            <w:tcW w:w="3860" w:type="dxa"/>
            <w:vAlign w:val="bottom"/>
            <w:gridSpan w:val="2"/>
          </w:tcPr>
          <w:p>
            <w:pPr>
              <w:spacing w:after="0"/>
              <w:rPr>
                <w:sz w:val="20"/>
                <w:szCs w:val="20"/>
                <w:color w:val="auto"/>
              </w:rPr>
            </w:pPr>
            <w:r>
              <w:rPr>
                <w:rFonts w:ascii="Arial" w:cs="Arial" w:eastAsia="Arial" w:hAnsi="Arial"/>
                <w:sz w:val="18"/>
                <w:szCs w:val="18"/>
                <w:color w:val="auto"/>
              </w:rPr>
              <w:t>James Rallo</w:t>
            </w:r>
          </w:p>
        </w:tc>
        <w:tc>
          <w:tcPr>
            <w:tcW w:w="4980" w:type="dxa"/>
            <w:vAlign w:val="bottom"/>
            <w:gridSpan w:val="3"/>
          </w:tcPr>
          <w:p>
            <w:pPr>
              <w:jc w:val="center"/>
              <w:ind w:right="20"/>
              <w:spacing w:after="0" w:line="194" w:lineRule="exact"/>
              <w:rPr>
                <w:sz w:val="20"/>
                <w:szCs w:val="20"/>
                <w:color w:val="auto"/>
              </w:rPr>
            </w:pPr>
            <w:r>
              <w:rPr>
                <w:rFonts w:ascii="Arial" w:cs="Arial" w:eastAsia="Arial" w:hAnsi="Arial"/>
                <w:sz w:val="18"/>
                <w:szCs w:val="18"/>
                <w:color w:val="auto"/>
                <w:w w:val="99"/>
              </w:rPr>
              <w:t>(Principal Accounting Officer)</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15"/>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Laurence Zuriff</w:t>
            </w:r>
          </w:p>
        </w:tc>
        <w:tc>
          <w:tcPr>
            <w:tcW w:w="498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Chief Strategy Officer, Co-Founder and Director</w:t>
            </w:r>
          </w:p>
        </w:tc>
        <w:tc>
          <w:tcPr>
            <w:tcW w:w="1600" w:type="dxa"/>
            <w:vAlign w:val="bottom"/>
            <w:gridSpan w:val="3"/>
          </w:tcPr>
          <w:p>
            <w:pPr>
              <w:jc w:val="center"/>
              <w:ind w:left="474"/>
              <w:spacing w:after="0"/>
              <w:rPr>
                <w:sz w:val="20"/>
                <w:szCs w:val="20"/>
                <w:color w:val="auto"/>
              </w:rPr>
            </w:pPr>
            <w:r>
              <w:rPr>
                <w:rFonts w:ascii="Arial" w:cs="Arial" w:eastAsia="Arial" w:hAnsi="Arial"/>
                <w:sz w:val="18"/>
                <w:szCs w:val="18"/>
                <w:color w:val="auto"/>
                <w:w w:val="99"/>
              </w:rPr>
              <w:t>June 4, 2021</w:t>
            </w:r>
          </w:p>
        </w:tc>
      </w:tr>
      <w:tr>
        <w:trPr>
          <w:trHeight w:val="207"/>
        </w:trPr>
        <w:tc>
          <w:tcPr>
            <w:tcW w:w="3860" w:type="dxa"/>
            <w:vAlign w:val="bottom"/>
            <w:gridSpan w:val="2"/>
          </w:tcPr>
          <w:p>
            <w:pPr>
              <w:spacing w:after="0"/>
              <w:rPr>
                <w:sz w:val="20"/>
                <w:szCs w:val="20"/>
                <w:color w:val="auto"/>
              </w:rPr>
            </w:pPr>
            <w:r>
              <w:rPr>
                <w:rFonts w:ascii="Arial" w:cs="Arial" w:eastAsia="Arial" w:hAnsi="Arial"/>
                <w:sz w:val="18"/>
                <w:szCs w:val="18"/>
                <w:color w:val="auto"/>
              </w:rPr>
              <w:t>Laurence Zuriff</w:t>
            </w: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5"/>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Hornig</w:t>
            </w:r>
          </w:p>
        </w:tc>
        <w:tc>
          <w:tcPr>
            <w:tcW w:w="49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Chairman and Director</w:t>
            </w:r>
          </w:p>
        </w:tc>
        <w:tc>
          <w:tcPr>
            <w:tcW w:w="1600" w:type="dxa"/>
            <w:vAlign w:val="bottom"/>
            <w:gridSpan w:val="3"/>
          </w:tcPr>
          <w:p>
            <w:pPr>
              <w:jc w:val="center"/>
              <w:ind w:left="474"/>
              <w:spacing w:after="0"/>
              <w:rPr>
                <w:sz w:val="20"/>
                <w:szCs w:val="20"/>
                <w:color w:val="auto"/>
              </w:rPr>
            </w:pPr>
            <w:r>
              <w:rPr>
                <w:rFonts w:ascii="Arial" w:cs="Arial" w:eastAsia="Arial" w:hAnsi="Arial"/>
                <w:sz w:val="18"/>
                <w:szCs w:val="18"/>
                <w:color w:val="auto"/>
                <w:w w:val="99"/>
              </w:rPr>
              <w:t>June 4, 2021</w:t>
            </w:r>
          </w:p>
        </w:tc>
      </w:tr>
      <w:tr>
        <w:trPr>
          <w:trHeight w:val="207"/>
        </w:trPr>
        <w:tc>
          <w:tcPr>
            <w:tcW w:w="3860" w:type="dxa"/>
            <w:vAlign w:val="bottom"/>
            <w:gridSpan w:val="2"/>
          </w:tcPr>
          <w:p>
            <w:pPr>
              <w:spacing w:after="0"/>
              <w:rPr>
                <w:sz w:val="20"/>
                <w:szCs w:val="20"/>
                <w:color w:val="auto"/>
              </w:rPr>
            </w:pPr>
            <w:r>
              <w:rPr>
                <w:rFonts w:ascii="Arial" w:cs="Arial" w:eastAsia="Arial" w:hAnsi="Arial"/>
                <w:sz w:val="18"/>
                <w:szCs w:val="18"/>
                <w:color w:val="auto"/>
              </w:rPr>
              <w:t>George Hornig</w:t>
            </w: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5"/>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Emily Rollins</w:t>
            </w:r>
          </w:p>
        </w:tc>
        <w:tc>
          <w:tcPr>
            <w:tcW w:w="4980" w:type="dxa"/>
            <w:vAlign w:val="bottom"/>
            <w:gridSpan w:val="3"/>
          </w:tcPr>
          <w:p>
            <w:pPr>
              <w:jc w:val="center"/>
              <w:ind w:right="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474"/>
              <w:spacing w:after="0"/>
              <w:rPr>
                <w:sz w:val="20"/>
                <w:szCs w:val="20"/>
                <w:color w:val="auto"/>
              </w:rPr>
            </w:pPr>
            <w:r>
              <w:rPr>
                <w:rFonts w:ascii="Arial" w:cs="Arial" w:eastAsia="Arial" w:hAnsi="Arial"/>
                <w:sz w:val="18"/>
                <w:szCs w:val="18"/>
                <w:color w:val="auto"/>
                <w:w w:val="99"/>
              </w:rPr>
              <w:t>June 4, 2021</w:t>
            </w:r>
          </w:p>
        </w:tc>
      </w:tr>
      <w:tr>
        <w:trPr>
          <w:trHeight w:val="207"/>
        </w:trPr>
        <w:tc>
          <w:tcPr>
            <w:tcW w:w="3860" w:type="dxa"/>
            <w:vAlign w:val="bottom"/>
            <w:gridSpan w:val="2"/>
          </w:tcPr>
          <w:p>
            <w:pPr>
              <w:spacing w:after="0"/>
              <w:rPr>
                <w:sz w:val="20"/>
                <w:szCs w:val="20"/>
                <w:color w:val="auto"/>
              </w:rPr>
            </w:pPr>
            <w:r>
              <w:rPr>
                <w:rFonts w:ascii="Arial" w:cs="Arial" w:eastAsia="Arial" w:hAnsi="Arial"/>
                <w:sz w:val="18"/>
                <w:szCs w:val="18"/>
                <w:color w:val="auto"/>
              </w:rPr>
              <w:t>Emily Rollins</w:t>
            </w: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60"/>
        </w:trPr>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80" w:type="dxa"/>
            <w:vAlign w:val="bottom"/>
            <w:gridSpan w:val="3"/>
          </w:tcPr>
          <w:p>
            <w:pPr>
              <w:ind w:left="1480"/>
              <w:spacing w:after="0"/>
              <w:rPr>
                <w:sz w:val="20"/>
                <w:szCs w:val="20"/>
                <w:color w:val="auto"/>
              </w:rPr>
            </w:pPr>
            <w:r>
              <w:rPr>
                <w:rFonts w:ascii="Arial" w:cs="Arial" w:eastAsia="Arial" w:hAnsi="Arial"/>
                <w:sz w:val="18"/>
                <w:szCs w:val="18"/>
                <w:color w:val="auto"/>
              </w:rPr>
              <w:t>II-5</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3180" w:type="dxa"/>
            <w:vAlign w:val="bottom"/>
          </w:tcPr>
          <w:p>
            <w:pPr>
              <w:spacing w:after="0"/>
              <w:rPr>
                <w:sz w:val="15"/>
                <w:szCs w:val="15"/>
                <w:color w:val="auto"/>
              </w:rPr>
            </w:pPr>
          </w:p>
        </w:tc>
        <w:tc>
          <w:tcPr>
            <w:tcW w:w="418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7"/>
              </w:rPr>
              <w:t>Title</w:t>
            </w:r>
          </w:p>
        </w:tc>
        <w:tc>
          <w:tcPr>
            <w:tcW w:w="2400" w:type="dxa"/>
            <w:vAlign w:val="bottom"/>
            <w:gridSpan w:val="3"/>
          </w:tcPr>
          <w:p>
            <w:pPr>
              <w:jc w:val="center"/>
              <w:ind w:left="1274"/>
              <w:spacing w:after="0"/>
              <w:rPr>
                <w:sz w:val="20"/>
                <w:szCs w:val="20"/>
                <w:color w:val="auto"/>
              </w:rPr>
            </w:pPr>
            <w:r>
              <w:rPr>
                <w:rFonts w:ascii="Arial" w:cs="Arial" w:eastAsia="Arial" w:hAnsi="Arial"/>
                <w:sz w:val="14"/>
                <w:szCs w:val="14"/>
                <w:b w:val="1"/>
                <w:bCs w:val="1"/>
                <w:color w:val="auto"/>
              </w:rPr>
              <w:t>Date</w:t>
            </w:r>
          </w:p>
        </w:tc>
      </w:tr>
      <w:tr>
        <w:trPr>
          <w:trHeight w:val="20"/>
        </w:trPr>
        <w:tc>
          <w:tcPr>
            <w:tcW w:w="6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08"/>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Deborah Bial</w:t>
            </w:r>
          </w:p>
        </w:tc>
        <w:tc>
          <w:tcPr>
            <w:tcW w:w="4180" w:type="dxa"/>
            <w:vAlign w:val="bottom"/>
            <w:gridSpan w:val="3"/>
          </w:tcPr>
          <w:p>
            <w:pPr>
              <w:jc w:val="center"/>
              <w:ind w:left="694"/>
              <w:spacing w:after="0"/>
              <w:rPr>
                <w:sz w:val="20"/>
                <w:szCs w:val="20"/>
                <w:color w:val="auto"/>
              </w:rPr>
            </w:pPr>
            <w:r>
              <w:rPr>
                <w:rFonts w:ascii="Arial" w:cs="Arial" w:eastAsia="Arial" w:hAnsi="Arial"/>
                <w:sz w:val="18"/>
                <w:szCs w:val="18"/>
                <w:color w:val="auto"/>
              </w:rPr>
              <w:t>Director</w:t>
            </w:r>
          </w:p>
        </w:tc>
        <w:tc>
          <w:tcPr>
            <w:tcW w:w="2400" w:type="dxa"/>
            <w:vAlign w:val="bottom"/>
            <w:gridSpan w:val="3"/>
          </w:tcPr>
          <w:p>
            <w:pPr>
              <w:jc w:val="center"/>
              <w:ind w:left="1274"/>
              <w:spacing w:after="0"/>
              <w:rPr>
                <w:sz w:val="20"/>
                <w:szCs w:val="20"/>
                <w:color w:val="auto"/>
              </w:rPr>
            </w:pPr>
            <w:r>
              <w:rPr>
                <w:rFonts w:ascii="Arial" w:cs="Arial" w:eastAsia="Arial" w:hAnsi="Arial"/>
                <w:sz w:val="18"/>
                <w:szCs w:val="18"/>
                <w:color w:val="auto"/>
                <w:w w:val="99"/>
              </w:rPr>
              <w:t>June 4, 2021</w:t>
            </w:r>
          </w:p>
        </w:tc>
      </w:tr>
      <w:tr>
        <w:trPr>
          <w:trHeight w:val="207"/>
        </w:trPr>
        <w:tc>
          <w:tcPr>
            <w:tcW w:w="3860" w:type="dxa"/>
            <w:vAlign w:val="bottom"/>
            <w:gridSpan w:val="2"/>
          </w:tcPr>
          <w:p>
            <w:pPr>
              <w:spacing w:after="0"/>
              <w:rPr>
                <w:sz w:val="20"/>
                <w:szCs w:val="20"/>
                <w:color w:val="auto"/>
              </w:rPr>
            </w:pPr>
            <w:r>
              <w:rPr>
                <w:rFonts w:ascii="Arial" w:cs="Arial" w:eastAsia="Arial" w:hAnsi="Arial"/>
                <w:sz w:val="18"/>
                <w:szCs w:val="18"/>
                <w:color w:val="auto"/>
              </w:rPr>
              <w:t>Deborah Bial</w:t>
            </w: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5"/>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Driscoll</w:t>
            </w:r>
          </w:p>
        </w:tc>
        <w:tc>
          <w:tcPr>
            <w:tcW w:w="4180" w:type="dxa"/>
            <w:vAlign w:val="bottom"/>
            <w:gridSpan w:val="3"/>
          </w:tcPr>
          <w:p>
            <w:pPr>
              <w:jc w:val="center"/>
              <w:ind w:left="694"/>
              <w:spacing w:after="0"/>
              <w:rPr>
                <w:sz w:val="20"/>
                <w:szCs w:val="20"/>
                <w:color w:val="auto"/>
              </w:rPr>
            </w:pPr>
            <w:r>
              <w:rPr>
                <w:rFonts w:ascii="Arial" w:cs="Arial" w:eastAsia="Arial" w:hAnsi="Arial"/>
                <w:sz w:val="18"/>
                <w:szCs w:val="18"/>
                <w:color w:val="auto"/>
              </w:rPr>
              <w:t>Director</w:t>
            </w:r>
          </w:p>
        </w:tc>
        <w:tc>
          <w:tcPr>
            <w:tcW w:w="2400" w:type="dxa"/>
            <w:vAlign w:val="bottom"/>
            <w:gridSpan w:val="3"/>
          </w:tcPr>
          <w:p>
            <w:pPr>
              <w:jc w:val="center"/>
              <w:ind w:left="1274"/>
              <w:spacing w:after="0"/>
              <w:rPr>
                <w:sz w:val="20"/>
                <w:szCs w:val="20"/>
                <w:color w:val="auto"/>
              </w:rPr>
            </w:pPr>
            <w:r>
              <w:rPr>
                <w:rFonts w:ascii="Arial" w:cs="Arial" w:eastAsia="Arial" w:hAnsi="Arial"/>
                <w:sz w:val="18"/>
                <w:szCs w:val="18"/>
                <w:color w:val="auto"/>
                <w:w w:val="99"/>
              </w:rPr>
              <w:t>June 4, 2021</w:t>
            </w:r>
          </w:p>
        </w:tc>
      </w:tr>
      <w:tr>
        <w:trPr>
          <w:trHeight w:val="207"/>
        </w:trPr>
        <w:tc>
          <w:tcPr>
            <w:tcW w:w="3860" w:type="dxa"/>
            <w:vAlign w:val="bottom"/>
            <w:gridSpan w:val="2"/>
          </w:tcPr>
          <w:p>
            <w:pPr>
              <w:spacing w:after="0"/>
              <w:rPr>
                <w:sz w:val="20"/>
                <w:szCs w:val="20"/>
                <w:color w:val="auto"/>
              </w:rPr>
            </w:pPr>
            <w:r>
              <w:rPr>
                <w:rFonts w:ascii="Arial" w:cs="Arial" w:eastAsia="Arial" w:hAnsi="Arial"/>
                <w:sz w:val="18"/>
                <w:szCs w:val="18"/>
                <w:color w:val="auto"/>
              </w:rPr>
              <w:t>Craig Driscoll</w:t>
            </w: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5"/>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Fabio Rosati</w:t>
            </w:r>
          </w:p>
        </w:tc>
        <w:tc>
          <w:tcPr>
            <w:tcW w:w="4180" w:type="dxa"/>
            <w:vAlign w:val="bottom"/>
            <w:gridSpan w:val="3"/>
          </w:tcPr>
          <w:p>
            <w:pPr>
              <w:jc w:val="center"/>
              <w:ind w:left="694"/>
              <w:spacing w:after="0"/>
              <w:rPr>
                <w:sz w:val="20"/>
                <w:szCs w:val="20"/>
                <w:color w:val="auto"/>
              </w:rPr>
            </w:pPr>
            <w:r>
              <w:rPr>
                <w:rFonts w:ascii="Arial" w:cs="Arial" w:eastAsia="Arial" w:hAnsi="Arial"/>
                <w:sz w:val="18"/>
                <w:szCs w:val="18"/>
                <w:color w:val="auto"/>
              </w:rPr>
              <w:t>Director</w:t>
            </w:r>
          </w:p>
        </w:tc>
        <w:tc>
          <w:tcPr>
            <w:tcW w:w="2400" w:type="dxa"/>
            <w:vAlign w:val="bottom"/>
            <w:gridSpan w:val="3"/>
          </w:tcPr>
          <w:p>
            <w:pPr>
              <w:jc w:val="center"/>
              <w:ind w:left="1274"/>
              <w:spacing w:after="0"/>
              <w:rPr>
                <w:sz w:val="20"/>
                <w:szCs w:val="20"/>
                <w:color w:val="auto"/>
              </w:rPr>
            </w:pPr>
            <w:r>
              <w:rPr>
                <w:rFonts w:ascii="Arial" w:cs="Arial" w:eastAsia="Arial" w:hAnsi="Arial"/>
                <w:sz w:val="18"/>
                <w:szCs w:val="18"/>
                <w:color w:val="auto"/>
                <w:w w:val="99"/>
              </w:rPr>
              <w:t>June 4, 2021</w:t>
            </w:r>
          </w:p>
        </w:tc>
      </w:tr>
      <w:tr>
        <w:trPr>
          <w:trHeight w:val="207"/>
        </w:trPr>
        <w:tc>
          <w:tcPr>
            <w:tcW w:w="3860" w:type="dxa"/>
            <w:vAlign w:val="bottom"/>
            <w:gridSpan w:val="2"/>
          </w:tcPr>
          <w:p>
            <w:pPr>
              <w:spacing w:after="0"/>
              <w:rPr>
                <w:sz w:val="20"/>
                <w:szCs w:val="20"/>
                <w:color w:val="auto"/>
              </w:rPr>
            </w:pPr>
            <w:r>
              <w:rPr>
                <w:rFonts w:ascii="Arial" w:cs="Arial" w:eastAsia="Arial" w:hAnsi="Arial"/>
                <w:sz w:val="18"/>
                <w:szCs w:val="18"/>
                <w:color w:val="auto"/>
              </w:rPr>
              <w:t>Fabio Rosati</w:t>
            </w: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5"/>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Katharine Weymouth</w:t>
            </w:r>
          </w:p>
        </w:tc>
        <w:tc>
          <w:tcPr>
            <w:tcW w:w="4180" w:type="dxa"/>
            <w:vAlign w:val="bottom"/>
            <w:gridSpan w:val="3"/>
          </w:tcPr>
          <w:p>
            <w:pPr>
              <w:jc w:val="center"/>
              <w:ind w:left="694"/>
              <w:spacing w:after="0"/>
              <w:rPr>
                <w:sz w:val="20"/>
                <w:szCs w:val="20"/>
                <w:color w:val="auto"/>
              </w:rPr>
            </w:pPr>
            <w:r>
              <w:rPr>
                <w:rFonts w:ascii="Arial" w:cs="Arial" w:eastAsia="Arial" w:hAnsi="Arial"/>
                <w:sz w:val="18"/>
                <w:szCs w:val="18"/>
                <w:color w:val="auto"/>
              </w:rPr>
              <w:t>Director</w:t>
            </w:r>
          </w:p>
        </w:tc>
        <w:tc>
          <w:tcPr>
            <w:tcW w:w="2400" w:type="dxa"/>
            <w:vAlign w:val="bottom"/>
            <w:gridSpan w:val="3"/>
          </w:tcPr>
          <w:p>
            <w:pPr>
              <w:jc w:val="center"/>
              <w:ind w:left="1274"/>
              <w:spacing w:after="0"/>
              <w:rPr>
                <w:sz w:val="20"/>
                <w:szCs w:val="20"/>
                <w:color w:val="auto"/>
              </w:rPr>
            </w:pPr>
            <w:r>
              <w:rPr>
                <w:rFonts w:ascii="Arial" w:cs="Arial" w:eastAsia="Arial" w:hAnsi="Arial"/>
                <w:sz w:val="18"/>
                <w:szCs w:val="18"/>
                <w:color w:val="auto"/>
                <w:w w:val="99"/>
              </w:rPr>
              <w:t>June 4, 2021</w:t>
            </w:r>
          </w:p>
        </w:tc>
      </w:tr>
      <w:tr>
        <w:trPr>
          <w:trHeight w:val="207"/>
        </w:trPr>
        <w:tc>
          <w:tcPr>
            <w:tcW w:w="3860" w:type="dxa"/>
            <w:vAlign w:val="bottom"/>
            <w:gridSpan w:val="2"/>
          </w:tcPr>
          <w:p>
            <w:pPr>
              <w:spacing w:after="0"/>
              <w:rPr>
                <w:sz w:val="20"/>
                <w:szCs w:val="20"/>
                <w:color w:val="auto"/>
              </w:rPr>
            </w:pPr>
            <w:r>
              <w:rPr>
                <w:rFonts w:ascii="Arial" w:cs="Arial" w:eastAsia="Arial" w:hAnsi="Arial"/>
                <w:sz w:val="18"/>
                <w:szCs w:val="18"/>
                <w:color w:val="auto"/>
              </w:rPr>
              <w:t>Katharine Weymouth</w:t>
            </w: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60"/>
        </w:trPr>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180" w:type="dxa"/>
            <w:vAlign w:val="bottom"/>
            <w:gridSpan w:val="3"/>
          </w:tcPr>
          <w:p>
            <w:pPr>
              <w:ind w:left="1480"/>
              <w:spacing w:after="0"/>
              <w:rPr>
                <w:sz w:val="20"/>
                <w:szCs w:val="20"/>
                <w:color w:val="auto"/>
              </w:rPr>
            </w:pPr>
            <w:r>
              <w:rPr>
                <w:rFonts w:ascii="Arial" w:cs="Arial" w:eastAsia="Arial" w:hAnsi="Arial"/>
                <w:sz w:val="18"/>
                <w:szCs w:val="18"/>
                <w:color w:val="auto"/>
              </w:rPr>
              <w:t>II-6</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600"/>
          </w:cols>
          <w:pgMar w:left="320" w:top="456" w:right="97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8" w:lineRule="exact"/>
        <w:rPr>
          <w:sz w:val="20"/>
          <w:szCs w:val="20"/>
          <w:color w:val="auto"/>
        </w:rPr>
      </w:pPr>
    </w:p>
    <w:p>
      <w:pPr>
        <w:ind w:right="20" w:firstLine="436"/>
        <w:spacing w:after="0" w:line="271" w:lineRule="auto"/>
        <w:rPr>
          <w:sz w:val="20"/>
          <w:szCs w:val="20"/>
          <w:color w:val="auto"/>
        </w:rPr>
      </w:pPr>
      <w:r>
        <w:rPr>
          <w:rFonts w:ascii="Arial" w:cs="Arial" w:eastAsia="Arial" w:hAnsi="Arial"/>
          <w:sz w:val="18"/>
          <w:szCs w:val="18"/>
          <w:color w:val="auto"/>
        </w:rPr>
        <w:t>Xometry,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HEREBY CERTIFY:</w:t>
      </w:r>
    </w:p>
    <w:p>
      <w:pPr>
        <w:spacing w:after="0" w:line="225" w:lineRule="exact"/>
        <w:rPr>
          <w:sz w:val="20"/>
          <w:szCs w:val="20"/>
          <w:color w:val="auto"/>
        </w:rPr>
      </w:pPr>
    </w:p>
    <w:p>
      <w:pPr>
        <w:ind w:right="20" w:firstLine="444"/>
        <w:spacing w:after="0" w:line="271" w:lineRule="auto"/>
        <w:tabs>
          <w:tab w:leader="none" w:pos="79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name of the corporation is Xometry, Inc. The original Certificate of Incorporation of the corporation was filed with the Secretary of State of the State of Delaware under the name NextLine Manufacturing Corp. on May 29, 2013.</w:t>
      </w:r>
    </w:p>
    <w:p>
      <w:pPr>
        <w:spacing w:after="0" w:line="174" w:lineRule="exact"/>
        <w:rPr>
          <w:rFonts w:ascii="Arial" w:cs="Arial" w:eastAsia="Arial" w:hAnsi="Arial"/>
          <w:sz w:val="18"/>
          <w:szCs w:val="18"/>
          <w:color w:val="auto"/>
        </w:rPr>
      </w:pPr>
    </w:p>
    <w:p>
      <w:pPr>
        <w:ind w:right="300" w:firstLine="444"/>
        <w:spacing w:after="0" w:line="255" w:lineRule="auto"/>
        <w:tabs>
          <w:tab w:leader="none" w:pos="79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to read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Xometry,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ind w:right="460" w:firstLine="436"/>
        <w:spacing w:after="0" w:line="340"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Corporation Trust Center, 1209 Orange Street,</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Delaware 19801, County of New Castle. The name of its registered agent at such address is The Corporation Trust Company.</w:t>
      </w:r>
    </w:p>
    <w:p>
      <w:pPr>
        <w:spacing w:after="0" w:line="121" w:lineRule="exact"/>
        <w:rPr>
          <w:sz w:val="20"/>
          <w:szCs w:val="20"/>
          <w:color w:val="auto"/>
        </w:rPr>
      </w:pPr>
    </w:p>
    <w:p>
      <w:pPr>
        <w:ind w:right="20" w:firstLine="436"/>
        <w:spacing w:after="0" w:line="275"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8" w:lineRule="exact"/>
        <w:rPr>
          <w:sz w:val="20"/>
          <w:szCs w:val="20"/>
          <w:color w:val="auto"/>
        </w:rPr>
      </w:pPr>
    </w:p>
    <w:p>
      <w:pPr>
        <w:jc w:val="both"/>
        <w:ind w:right="520" w:firstLine="436"/>
        <w:spacing w:after="0" w:line="261"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42,000,000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$0.000001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27,970,966 shares of Preferred Stock, $0.000001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281" w:lineRule="exact"/>
        <w:rPr>
          <w:sz w:val="20"/>
          <w:szCs w:val="20"/>
          <w:color w:val="auto"/>
        </w:rPr>
      </w:pPr>
    </w:p>
    <w:p>
      <w:pPr>
        <w:ind w:left="840" w:hanging="396"/>
        <w:spacing w:after="0"/>
        <w:tabs>
          <w:tab w:leader="none" w:pos="8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COMMON STOCK</w:t>
      </w:r>
    </w:p>
    <w:p>
      <w:pPr>
        <w:spacing w:after="0" w:line="113" w:lineRule="exact"/>
        <w:rPr>
          <w:rFonts w:ascii="Arial" w:cs="Arial" w:eastAsia="Arial" w:hAnsi="Arial"/>
          <w:sz w:val="18"/>
          <w:szCs w:val="18"/>
          <w:color w:val="auto"/>
        </w:rPr>
      </w:pPr>
    </w:p>
    <w:p>
      <w:pPr>
        <w:ind w:right="220" w:firstLine="990"/>
        <w:spacing w:after="0" w:line="271" w:lineRule="auto"/>
        <w:tabs>
          <w:tab w:leader="none" w:pos="1339"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ectPr>
          <w:pgSz w:w="11900" w:h="16838" w:orient="portrait"/>
          <w:cols w:equalWidth="0" w:num="1">
            <w:col w:w="10920"/>
          </w:cols>
          <w:pgMar w:left="480" w:top="121" w:right="499" w:bottom="1440" w:gutter="0" w:footer="0" w:header="0"/>
        </w:sectPr>
      </w:pPr>
    </w:p>
    <w:bookmarkStart w:id="220" w:name="page221"/>
    <w:bookmarkEnd w:id="220"/>
    <w:p>
      <w:pPr>
        <w:ind w:firstLine="990"/>
        <w:spacing w:after="0" w:line="266" w:lineRule="auto"/>
        <w:tabs>
          <w:tab w:leader="none" w:pos="1339"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Voting</w:t>
      </w:r>
      <w:r>
        <w:rPr>
          <w:rFonts w:ascii="Arial" w:cs="Arial" w:eastAsia="Arial" w:hAnsi="Arial"/>
          <w:sz w:val="17"/>
          <w:szCs w:val="17"/>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otherwise required by law, holders of Common Stock, as such, shall not be entitled to vote on any amendment to this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or pursuant to the General Corporation Law. There shall be no cumulative voting. The number of authorized shares of Common Stock may be increased or decreased (but not below the number of shares thereof then outstanding or reserved for issuance)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increase shall also require any other vote required under this Amended and Restated Certificate of Incorporation.</w:t>
      </w:r>
    </w:p>
    <w:p>
      <w:pPr>
        <w:spacing w:after="0" w:line="291" w:lineRule="exact"/>
        <w:rPr>
          <w:rFonts w:ascii="Arial" w:cs="Arial" w:eastAsia="Arial" w:hAnsi="Arial"/>
          <w:sz w:val="17"/>
          <w:szCs w:val="17"/>
          <w:color w:val="auto"/>
        </w:rPr>
      </w:pPr>
    </w:p>
    <w:p>
      <w:pPr>
        <w:ind w:left="840" w:hanging="396"/>
        <w:spacing w:after="0"/>
        <w:tabs>
          <w:tab w:leader="none" w:pos="8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Preferred Stock consists of: (i) 4,200,000 shares of Series Seed-1 Convertible Preferred Stock (“</w:t>
      </w:r>
      <w:r>
        <w:rPr>
          <w:rFonts w:ascii="Arial" w:cs="Arial" w:eastAsia="Arial" w:hAnsi="Arial"/>
          <w:sz w:val="17"/>
          <w:szCs w:val="17"/>
          <w:b w:val="1"/>
          <w:bCs w:val="1"/>
          <w:color w:val="auto"/>
        </w:rPr>
        <w:t>Series Seed-1 Preferred Stock</w:t>
      </w:r>
      <w:r>
        <w:rPr>
          <w:rFonts w:ascii="Arial" w:cs="Arial" w:eastAsia="Arial" w:hAnsi="Arial"/>
          <w:sz w:val="17"/>
          <w:szCs w:val="17"/>
          <w:color w:val="auto"/>
        </w:rPr>
        <w:t>”),</w:t>
      </w:r>
    </w:p>
    <w:p>
      <w:pPr>
        <w:spacing w:after="0" w:line="35" w:lineRule="exact"/>
        <w:rPr>
          <w:sz w:val="20"/>
          <w:szCs w:val="20"/>
          <w:color w:val="auto"/>
        </w:rPr>
      </w:pPr>
    </w:p>
    <w:p>
      <w:pPr>
        <w:ind w:right="140" w:firstLine="7"/>
        <w:spacing w:after="0" w:line="279" w:lineRule="auto"/>
        <w:tabs>
          <w:tab w:leader="none" w:pos="26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2,188,322 shares of Series Seed-2 Convertible Preferred Stock (“</w:t>
      </w:r>
      <w:r>
        <w:rPr>
          <w:rFonts w:ascii="Arial" w:cs="Arial" w:eastAsia="Arial" w:hAnsi="Arial"/>
          <w:sz w:val="16"/>
          <w:szCs w:val="16"/>
          <w:b w:val="1"/>
          <w:bCs w:val="1"/>
          <w:color w:val="auto"/>
        </w:rPr>
        <w:t>Series Seed-2 Preferred Stock</w:t>
      </w:r>
      <w:r>
        <w:rPr>
          <w:rFonts w:ascii="Arial" w:cs="Arial" w:eastAsia="Arial" w:hAnsi="Arial"/>
          <w:sz w:val="16"/>
          <w:szCs w:val="16"/>
          <w:color w:val="auto"/>
        </w:rPr>
        <w:t>”), (iii) 4,211,094 shares of Series A-1 Convertible Preferred Stock (“</w:t>
      </w:r>
      <w:r>
        <w:rPr>
          <w:rFonts w:ascii="Arial" w:cs="Arial" w:eastAsia="Arial" w:hAnsi="Arial"/>
          <w:sz w:val="16"/>
          <w:szCs w:val="16"/>
          <w:b w:val="1"/>
          <w:bCs w:val="1"/>
          <w:color w:val="auto"/>
        </w:rPr>
        <w:t>Series A-1 Preferred Stock</w:t>
      </w:r>
      <w:r>
        <w:rPr>
          <w:rFonts w:ascii="Arial" w:cs="Arial" w:eastAsia="Arial" w:hAnsi="Arial"/>
          <w:sz w:val="16"/>
          <w:szCs w:val="16"/>
          <w:color w:val="auto"/>
        </w:rPr>
        <w:t>”), (iv) 1,591,230 shares of Series A-2 Convertible Preferred Stock (“</w:t>
      </w:r>
      <w:r>
        <w:rPr>
          <w:rFonts w:ascii="Arial" w:cs="Arial" w:eastAsia="Arial" w:hAnsi="Arial"/>
          <w:sz w:val="16"/>
          <w:szCs w:val="16"/>
          <w:b w:val="1"/>
          <w:bCs w:val="1"/>
          <w:color w:val="auto"/>
        </w:rPr>
        <w:t>Series A-2 Preferred Stock</w:t>
      </w:r>
      <w:r>
        <w:rPr>
          <w:rFonts w:ascii="Arial" w:cs="Arial" w:eastAsia="Arial" w:hAnsi="Arial"/>
          <w:sz w:val="16"/>
          <w:szCs w:val="16"/>
          <w:color w:val="auto"/>
        </w:rPr>
        <w:t>”),</w:t>
      </w:r>
    </w:p>
    <w:p>
      <w:pPr>
        <w:ind w:left="260" w:hanging="253"/>
        <w:spacing w:after="0"/>
        <w:tabs>
          <w:tab w:leader="none" w:pos="2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4,132,055 shares of Series B Convertible Preferred Stock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(vi) 3,754,201 shares of Series C Convertible Preferred</w:t>
      </w:r>
    </w:p>
    <w:p>
      <w:pPr>
        <w:spacing w:after="0" w:line="29" w:lineRule="exact"/>
        <w:rPr>
          <w:rFonts w:ascii="Arial" w:cs="Arial" w:eastAsia="Arial" w:hAnsi="Arial"/>
          <w:sz w:val="16"/>
          <w:szCs w:val="16"/>
          <w:color w:val="auto"/>
        </w:rPr>
      </w:pPr>
    </w:p>
    <w:p>
      <w:pPr>
        <w:ind w:right="120"/>
        <w:spacing w:after="0" w:line="250" w:lineRule="auto"/>
        <w:rPr>
          <w:rFonts w:ascii="Arial" w:cs="Arial" w:eastAsia="Arial" w:hAnsi="Arial"/>
          <w:sz w:val="16"/>
          <w:szCs w:val="16"/>
          <w:color w:val="auto"/>
        </w:rPr>
      </w:pPr>
      <w:r>
        <w:rPr>
          <w:rFonts w:ascii="Arial" w:cs="Arial" w:eastAsia="Arial" w:hAnsi="Arial"/>
          <w:sz w:val="18"/>
          <w:szCs w:val="18"/>
          <w:color w:val="auto"/>
        </w:rPr>
        <w:t>Stock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(vii) 5,494,064 shares of Series D Convertible Preferred Stock (“</w:t>
      </w:r>
      <w:r>
        <w:rPr>
          <w:rFonts w:ascii="Arial" w:cs="Arial" w:eastAsia="Arial" w:hAnsi="Arial"/>
          <w:sz w:val="18"/>
          <w:szCs w:val="18"/>
          <w:b w:val="1"/>
          <w:bCs w:val="1"/>
          <w:color w:val="auto"/>
        </w:rPr>
        <w:t>Series D Preferred Stock</w:t>
      </w:r>
      <w:r>
        <w:rPr>
          <w:rFonts w:ascii="Arial" w:cs="Arial" w:eastAsia="Arial" w:hAnsi="Arial"/>
          <w:sz w:val="18"/>
          <w:szCs w:val="18"/>
          <w:color w:val="auto"/>
        </w:rPr>
        <w:t>”), and (viii) 2,400,000 shares of Series E Convertible Preferred Stock (“</w:t>
      </w:r>
      <w:r>
        <w:rPr>
          <w:rFonts w:ascii="Arial" w:cs="Arial" w:eastAsia="Arial" w:hAnsi="Arial"/>
          <w:sz w:val="18"/>
          <w:szCs w:val="18"/>
          <w:b w:val="1"/>
          <w:bCs w:val="1"/>
          <w:color w:val="auto"/>
        </w:rPr>
        <w:t>Series E Preferred Stock</w:t>
      </w:r>
      <w:r>
        <w:rPr>
          <w:rFonts w:ascii="Arial" w:cs="Arial" w:eastAsia="Arial" w:hAnsi="Arial"/>
          <w:sz w:val="18"/>
          <w:szCs w:val="18"/>
          <w:color w:val="auto"/>
        </w:rPr>
        <w:t xml:space="preserve">”), with the following respective rights, preferences, powers, privileges and restrictions, qualifications, and limitations. Unless otherwise indicated, references to “Sections” or “Subsections” in this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 xml:space="preserve"> refer to sections and subsections of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w:t>
      </w:r>
    </w:p>
    <w:p>
      <w:pPr>
        <w:spacing w:after="0" w:line="194" w:lineRule="exact"/>
        <w:rPr>
          <w:rFonts w:ascii="Arial" w:cs="Arial" w:eastAsia="Arial" w:hAnsi="Arial"/>
          <w:sz w:val="16"/>
          <w:szCs w:val="16"/>
          <w:color w:val="auto"/>
        </w:rPr>
      </w:pPr>
    </w:p>
    <w:p>
      <w:pPr>
        <w:ind w:right="140" w:firstLine="990"/>
        <w:spacing w:after="0" w:line="288" w:lineRule="auto"/>
        <w:tabs>
          <w:tab w:leader="none" w:pos="1339"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first, the holders of the Preferred Stock then outstanding shall first receive (prior and in preference to any declaration or payment of any dividend on shares of any other class or series of capital stock of the Corporation), or simultaneously receive, a dividend on each outstanding share of Preferred Stock in an amount equal to eight percent (8%) of the Applicable Original Issue Price (as defined below) per year from and after the later of (i) the date on which the first share of Series E Preferred Stock was issued (the “</w:t>
      </w:r>
      <w:r>
        <w:rPr>
          <w:rFonts w:ascii="Arial" w:cs="Arial" w:eastAsia="Arial" w:hAnsi="Arial"/>
          <w:sz w:val="16"/>
          <w:szCs w:val="16"/>
          <w:b w:val="1"/>
          <w:bCs w:val="1"/>
          <w:color w:val="auto"/>
        </w:rPr>
        <w:t>Series E Original Issue Date</w:t>
      </w:r>
      <w:r>
        <w:rPr>
          <w:rFonts w:ascii="Arial" w:cs="Arial" w:eastAsia="Arial" w:hAnsi="Arial"/>
          <w:sz w:val="16"/>
          <w:szCs w:val="16"/>
          <w:color w:val="auto"/>
        </w:rPr>
        <w:t>”) or (ii) a date after the Series E Original Issue Date on which such share is issued (to the extent not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2" w:right="499" w:bottom="1440" w:gutter="0" w:footer="0" w:header="0"/>
        </w:sectPr>
      </w:pPr>
    </w:p>
    <w:bookmarkStart w:id="221" w:name="page222"/>
    <w:bookmarkEnd w:id="221"/>
    <w:p>
      <w:pPr>
        <w:ind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previously paid);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Corporation declares, pays or sets aside, on the same date, a dividend on shares of more than one class or series of capital stock of the Corporation, the dividend payable to the holders of each series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greater, the Preferred Stock shall be entitled to receive dividends in an amount equal to the amount it would have received as if such Preferred Stock (or series thereof) had been converted into Common Stock on the record date for determination of holders entitled to receive such dividend. The foregoing dividend shall not be cumulative. The “</w:t>
      </w:r>
      <w:r>
        <w:rPr>
          <w:rFonts w:ascii="Arial" w:cs="Arial" w:eastAsia="Arial" w:hAnsi="Arial"/>
          <w:sz w:val="16"/>
          <w:szCs w:val="16"/>
          <w:b w:val="1"/>
          <w:bCs w:val="1"/>
          <w:color w:val="auto"/>
        </w:rPr>
        <w:t>Series E Original Issue Price</w:t>
      </w:r>
      <w:r>
        <w:rPr>
          <w:rFonts w:ascii="Arial" w:cs="Arial" w:eastAsia="Arial" w:hAnsi="Arial"/>
          <w:sz w:val="16"/>
          <w:szCs w:val="16"/>
          <w:color w:val="auto"/>
        </w:rPr>
        <w:t>” shall mean $13.622 per share, subject to appropriate adjustment in the event of any stock dividend, stock split, combination or other similar recapitalization with respect to the Series E Preferred Stock. The “</w:t>
      </w:r>
      <w:r>
        <w:rPr>
          <w:rFonts w:ascii="Arial" w:cs="Arial" w:eastAsia="Arial" w:hAnsi="Arial"/>
          <w:sz w:val="16"/>
          <w:szCs w:val="16"/>
          <w:b w:val="1"/>
          <w:bCs w:val="1"/>
          <w:color w:val="auto"/>
        </w:rPr>
        <w:t>Series D Original Issue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shall mean $10.0108 per share, subject to appropriate adjustment in the event of any stock dividend, stock split, combination or other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with respect to the Series D Preferred Stock. The “</w:t>
      </w:r>
      <w:r>
        <w:rPr>
          <w:rFonts w:ascii="Arial" w:cs="Arial" w:eastAsia="Arial" w:hAnsi="Arial"/>
          <w:sz w:val="16"/>
          <w:szCs w:val="16"/>
          <w:b w:val="1"/>
          <w:bCs w:val="1"/>
          <w:color w:val="auto"/>
        </w:rPr>
        <w:t>Series C Original Issue Price</w:t>
      </w:r>
      <w:r>
        <w:rPr>
          <w:rFonts w:ascii="Arial" w:cs="Arial" w:eastAsia="Arial" w:hAnsi="Arial"/>
          <w:sz w:val="16"/>
          <w:szCs w:val="16"/>
          <w:color w:val="auto"/>
        </w:rPr>
        <w:t>” shall mean $6.6592 per share, subject to appropriate adjustment in the event of any stock dividend, stock split, combination or other similar recapitalization with respect to the Series C Preferred Stock.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 $5.1262 per share, subject to appropriate adjustment in the event of any stock dividend, stock split, combination or other similar recapitalization with respect to the Series B Preferred Stock. The “</w:t>
      </w:r>
      <w:r>
        <w:rPr>
          <w:rFonts w:ascii="Arial" w:cs="Arial" w:eastAsia="Arial" w:hAnsi="Arial"/>
          <w:sz w:val="16"/>
          <w:szCs w:val="16"/>
          <w:b w:val="1"/>
          <w:bCs w:val="1"/>
          <w:color w:val="auto"/>
        </w:rPr>
        <w:t>Series A-2 Original Issue Price</w:t>
      </w:r>
      <w:r>
        <w:rPr>
          <w:rFonts w:ascii="Arial" w:cs="Arial" w:eastAsia="Arial" w:hAnsi="Arial"/>
          <w:sz w:val="16"/>
          <w:szCs w:val="16"/>
          <w:color w:val="auto"/>
        </w:rPr>
        <w:t>” shall mean $4.399 per share, subject to appropriate adjustment in the event of any stock dividend, stock split, combination or other similar recapitalization with respect to the Series A-2 Preferred Stock. The “</w:t>
      </w:r>
      <w:r>
        <w:rPr>
          <w:rFonts w:ascii="Arial" w:cs="Arial" w:eastAsia="Arial" w:hAnsi="Arial"/>
          <w:sz w:val="16"/>
          <w:szCs w:val="16"/>
          <w:b w:val="1"/>
          <w:bCs w:val="1"/>
          <w:color w:val="auto"/>
        </w:rPr>
        <w:t>Series A-1 Original Issue Price</w:t>
      </w:r>
      <w:r>
        <w:rPr>
          <w:rFonts w:ascii="Arial" w:cs="Arial" w:eastAsia="Arial" w:hAnsi="Arial"/>
          <w:sz w:val="16"/>
          <w:szCs w:val="16"/>
          <w:color w:val="auto"/>
        </w:rPr>
        <w:t>” shall mean $2.0897 per share, subject to appropriate adjustment in the event of any stock dividend, stock split, combination or other similar recapitalization with respect to the Series A-1 Preferred Stock. The “</w:t>
      </w:r>
      <w:r>
        <w:rPr>
          <w:rFonts w:ascii="Arial" w:cs="Arial" w:eastAsia="Arial" w:hAnsi="Arial"/>
          <w:sz w:val="16"/>
          <w:szCs w:val="16"/>
          <w:b w:val="1"/>
          <w:bCs w:val="1"/>
          <w:color w:val="auto"/>
        </w:rPr>
        <w:t>Series Seed-2 Original</w:t>
      </w:r>
      <w:r>
        <w:rPr>
          <w:rFonts w:ascii="Arial" w:cs="Arial" w:eastAsia="Arial" w:hAnsi="Arial"/>
          <w:sz w:val="16"/>
          <w:szCs w:val="16"/>
          <w:color w:val="auto"/>
        </w:rPr>
        <w:t xml:space="preserve"> </w:t>
      </w:r>
      <w:r>
        <w:rPr>
          <w:rFonts w:ascii="Arial" w:cs="Arial" w:eastAsia="Arial" w:hAnsi="Arial"/>
          <w:sz w:val="16"/>
          <w:szCs w:val="16"/>
          <w:b w:val="1"/>
          <w:bCs w:val="1"/>
          <w:color w:val="auto"/>
        </w:rPr>
        <w:t>Issue Price</w:t>
      </w:r>
      <w:r>
        <w:rPr>
          <w:rFonts w:ascii="Arial" w:cs="Arial" w:eastAsia="Arial" w:hAnsi="Arial"/>
          <w:sz w:val="16"/>
          <w:szCs w:val="16"/>
          <w:color w:val="auto"/>
        </w:rPr>
        <w:t>” shall mean $1.37 per share, subject to appropriate adjustment in the event of any stock dividend, stock split, combination or other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with respect to the Series Seed-2 Preferred Stock. The “</w:t>
      </w:r>
      <w:r>
        <w:rPr>
          <w:rFonts w:ascii="Arial" w:cs="Arial" w:eastAsia="Arial" w:hAnsi="Arial"/>
          <w:sz w:val="16"/>
          <w:szCs w:val="16"/>
          <w:b w:val="1"/>
          <w:bCs w:val="1"/>
          <w:color w:val="auto"/>
        </w:rPr>
        <w:t>Series Seed-1 Original Issue Price</w:t>
      </w:r>
      <w:r>
        <w:rPr>
          <w:rFonts w:ascii="Arial" w:cs="Arial" w:eastAsia="Arial" w:hAnsi="Arial"/>
          <w:sz w:val="16"/>
          <w:szCs w:val="16"/>
          <w:color w:val="auto"/>
        </w:rPr>
        <w:t>” shall mean $1.00 per share, subject to appropriate adjustment in the event of any stock dividend, stock split, combination or other similar recapitalization with respect to the Series Seed-1 Preferred Stock. The “</w:t>
      </w:r>
      <w:r>
        <w:rPr>
          <w:rFonts w:ascii="Arial" w:cs="Arial" w:eastAsia="Arial" w:hAnsi="Arial"/>
          <w:sz w:val="16"/>
          <w:szCs w:val="16"/>
          <w:b w:val="1"/>
          <w:bCs w:val="1"/>
          <w:color w:val="auto"/>
        </w:rPr>
        <w:t>Applicable Original Issue Price</w:t>
      </w:r>
      <w:r>
        <w:rPr>
          <w:rFonts w:ascii="Arial" w:cs="Arial" w:eastAsia="Arial" w:hAnsi="Arial"/>
          <w:sz w:val="16"/>
          <w:szCs w:val="16"/>
          <w:color w:val="auto"/>
        </w:rPr>
        <w:t>” shall mean the Series E Original Issue Price, in the case of the Series E Preferred Stock, the Series D Original Issue Price, in the case of the Series D Preferred Stock, the Series C Original Issue Price, in the case of the Series C Preferred Stock, the Series B Original Issue Price, in the case of the Series B Preferred Stock, the Series A-2 Original Issue Price, in the case of the Series A-2 Preferred Stock, the Series A-1 Original Issue Price, in the case of the Series A-1 Preferred Stock, the Series Seed-2 Original Issue Price, in the case of the Series Seed-2 Preferred Stock and the Series Seed-1 Original Issue Price, in the case of the Series Seed-1 Preferred Stock.</w:t>
      </w:r>
    </w:p>
    <w:p>
      <w:pPr>
        <w:spacing w:after="0" w:line="288" w:lineRule="exact"/>
        <w:rPr>
          <w:sz w:val="20"/>
          <w:szCs w:val="20"/>
          <w:color w:val="auto"/>
        </w:rPr>
      </w:pPr>
    </w:p>
    <w:p>
      <w:pPr>
        <w:ind w:left="1340" w:hanging="350"/>
        <w:spacing w:after="0"/>
        <w:tabs>
          <w:tab w:leader="none" w:pos="13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114" w:lineRule="exact"/>
        <w:rPr>
          <w:sz w:val="20"/>
          <w:szCs w:val="20"/>
          <w:color w:val="auto"/>
        </w:rPr>
      </w:pPr>
    </w:p>
    <w:p>
      <w:pPr>
        <w:ind w:firstLine="1419"/>
        <w:spacing w:after="0" w:line="25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Preferential Payments to Holders of Preferred Stock</w:t>
      </w:r>
      <w:r>
        <w:rPr>
          <w:rFonts w:ascii="Arial" w:cs="Arial" w:eastAsia="Arial" w:hAnsi="Arial"/>
          <w:sz w:val="18"/>
          <w:szCs w:val="18"/>
          <w:color w:val="auto"/>
        </w:rPr>
        <w:t xml:space="preserve">. In the event of any voluntary or involuntary liquidation, dissolution or winding up of the Corporation or Deemed Liquidation Event, the holders of shares of Preferred Stock then outstanding shall be entitled to be paid out of the assets of the Corporation available for distribution to its stockholders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before any payment shall be made to the holders of Common Stock or any other class or series of capital stock by reason of their ownership thereof, an amount per share equal to the greater of (i) one times the Applicable Original Issue Price plus any dividends declared but unpaid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thereon, or (ii) such amount per share of the applicable series of Preferred Stock as would have been payable had all shares of such series of Preferred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or winding up of the Corporation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Deemed Liquidation Event (the amount payable pursuant to this sentence with respect to the Series E Preferred Stock is hereinafter referred to as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Liquidation Amount</w:t>
      </w:r>
      <w:r>
        <w:rPr>
          <w:rFonts w:ascii="Arial" w:cs="Arial" w:eastAsia="Arial" w:hAnsi="Arial"/>
          <w:sz w:val="16"/>
          <w:szCs w:val="16"/>
          <w:color w:val="auto"/>
        </w:rPr>
        <w:t>,” the amount payable pursuant to this sentence with respect to the Series D Preferred Stock is hereinafter referred to as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Series D Liquidation Amount</w:t>
      </w:r>
      <w:r>
        <w:rPr>
          <w:rFonts w:ascii="Arial" w:cs="Arial" w:eastAsia="Arial" w:hAnsi="Arial"/>
          <w:sz w:val="16"/>
          <w:szCs w:val="16"/>
          <w:color w:val="auto"/>
        </w:rPr>
        <w:t>,” the amount payable pursuant to this sentence with respect to the Series C Preferred Stock is hereinafter referred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 the “</w:t>
      </w:r>
      <w:r>
        <w:rPr>
          <w:rFonts w:ascii="Arial" w:cs="Arial" w:eastAsia="Arial" w:hAnsi="Arial"/>
          <w:sz w:val="16"/>
          <w:szCs w:val="16"/>
          <w:b w:val="1"/>
          <w:bCs w:val="1"/>
          <w:color w:val="auto"/>
        </w:rPr>
        <w:t>Series C Liquidation Amount</w:t>
      </w:r>
      <w:r>
        <w:rPr>
          <w:rFonts w:ascii="Arial" w:cs="Arial" w:eastAsia="Arial" w:hAnsi="Arial"/>
          <w:sz w:val="16"/>
          <w:szCs w:val="16"/>
          <w:color w:val="auto"/>
        </w:rPr>
        <w:t>,” the amount payable pursuant to this sentence with respect to the Series B Preferred Stock is hereinafter referred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as the “</w:t>
      </w:r>
      <w:r>
        <w:rPr>
          <w:rFonts w:ascii="Arial" w:cs="Arial" w:eastAsia="Arial" w:hAnsi="Arial"/>
          <w:sz w:val="16"/>
          <w:szCs w:val="16"/>
          <w:b w:val="1"/>
          <w:bCs w:val="1"/>
          <w:color w:val="auto"/>
        </w:rPr>
        <w:t>Series B Liquidation Amount</w:t>
      </w:r>
      <w:r>
        <w:rPr>
          <w:rFonts w:ascii="Arial" w:cs="Arial" w:eastAsia="Arial" w:hAnsi="Arial"/>
          <w:sz w:val="16"/>
          <w:szCs w:val="16"/>
          <w:color w:val="auto"/>
        </w:rPr>
        <w:t>,” the amount payable pursuant to this sentence with respect to the Series A-2 Preferred Stock is hereinafter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referred to as the “</w:t>
      </w:r>
      <w:r>
        <w:rPr>
          <w:rFonts w:ascii="Arial" w:cs="Arial" w:eastAsia="Arial" w:hAnsi="Arial"/>
          <w:sz w:val="16"/>
          <w:szCs w:val="16"/>
          <w:b w:val="1"/>
          <w:bCs w:val="1"/>
          <w:color w:val="auto"/>
        </w:rPr>
        <w:t>Series A-2 Liquidation Amount</w:t>
      </w:r>
      <w:r>
        <w:rPr>
          <w:rFonts w:ascii="Arial" w:cs="Arial" w:eastAsia="Arial" w:hAnsi="Arial"/>
          <w:sz w:val="16"/>
          <w:szCs w:val="16"/>
          <w:color w:val="auto"/>
        </w:rPr>
        <w:t>,” the amount payable pursuant to this sentence with respect to the Series A-1 Preferred Stock is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hereinafter referred to as the “</w:t>
      </w:r>
      <w:r>
        <w:rPr>
          <w:rFonts w:ascii="Arial" w:cs="Arial" w:eastAsia="Arial" w:hAnsi="Arial"/>
          <w:sz w:val="17"/>
          <w:szCs w:val="17"/>
          <w:b w:val="1"/>
          <w:bCs w:val="1"/>
          <w:color w:val="auto"/>
        </w:rPr>
        <w:t>Series A-1 Liquidation Amount</w:t>
      </w:r>
      <w:r>
        <w:rPr>
          <w:rFonts w:ascii="Arial" w:cs="Arial" w:eastAsia="Arial" w:hAnsi="Arial"/>
          <w:sz w:val="17"/>
          <w:szCs w:val="17"/>
          <w:color w:val="auto"/>
        </w:rPr>
        <w:t>,” the amount payable pursuant to this sentence with respect to the Series Seed-2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is hereinafter referred to as the “</w:t>
      </w:r>
      <w:r>
        <w:rPr>
          <w:rFonts w:ascii="Arial" w:cs="Arial" w:eastAsia="Arial" w:hAnsi="Arial"/>
          <w:sz w:val="16"/>
          <w:szCs w:val="16"/>
          <w:b w:val="1"/>
          <w:bCs w:val="1"/>
          <w:color w:val="auto"/>
        </w:rPr>
        <w:t>Series Seed-2 Liquidation Amount</w:t>
      </w:r>
      <w:r>
        <w:rPr>
          <w:rFonts w:ascii="Arial" w:cs="Arial" w:eastAsia="Arial" w:hAnsi="Arial"/>
          <w:sz w:val="16"/>
          <w:szCs w:val="16"/>
          <w:color w:val="auto"/>
        </w:rPr>
        <w:t>” and the amount payable pursuant to this sentence with respect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Series Seed-1 Preferred Stock is hereinafter referred to as the “</w:t>
      </w:r>
      <w:r>
        <w:rPr>
          <w:rFonts w:ascii="Arial" w:cs="Arial" w:eastAsia="Arial" w:hAnsi="Arial"/>
          <w:sz w:val="16"/>
          <w:szCs w:val="16"/>
          <w:b w:val="1"/>
          <w:bCs w:val="1"/>
          <w:color w:val="auto"/>
        </w:rPr>
        <w:t>Series Seed-1 Liquidation Amount</w:t>
      </w:r>
      <w:r>
        <w:rPr>
          <w:rFonts w:ascii="Arial" w:cs="Arial" w:eastAsia="Arial" w:hAnsi="Arial"/>
          <w:sz w:val="16"/>
          <w:szCs w:val="16"/>
          <w:color w:val="auto"/>
        </w:rPr>
        <w:t>”). The “</w:t>
      </w:r>
      <w:r>
        <w:rPr>
          <w:rFonts w:ascii="Arial" w:cs="Arial" w:eastAsia="Arial" w:hAnsi="Arial"/>
          <w:sz w:val="16"/>
          <w:szCs w:val="16"/>
          <w:b w:val="1"/>
          <w:bCs w:val="1"/>
          <w:color w:val="auto"/>
        </w:rPr>
        <w:t>Applicable Liquidation Amount</w:t>
      </w:r>
      <w:r>
        <w:rPr>
          <w:rFonts w:ascii="Arial" w:cs="Arial" w:eastAsia="Arial" w:hAnsi="Arial"/>
          <w:sz w:val="16"/>
          <w:szCs w:val="16"/>
          <w:color w:val="auto"/>
        </w:rPr>
        <w:t>” shall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mean (a) in the case of shares of Series E Preferred Stock, the Series E Liquidation Amount, (b) in the case of shares of Series D Preferred Stock,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Series D Liquidation Amount, (c) in the case of shares of Series C Preferred Stock, the Series C Liquidation Amount, (d) in the case of shares of Series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 Preferred Stock, the Series B Liquidation Amount, (e) in the case of shares of Series A-2 Preferred Stock, the Series A-2 Liquidation Amount, (f)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case of shares of Series A-1 Preferred Stock, the Series A-1 Liquidation Amount, (g) in the case of shares of Series Seed-2 Preferred Stock,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Series Seed-2 Liquidation Amount and (h) in the case of shares of Series Seed-1 Preferred Stock, the Series Seed-1 Liquidation Amount. If upon any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such liquidation, dissolution or winding up of the Corporation or Deemed Liquidation Event, the assets of the Corporation available for distribution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its stockholders shall be insufficient to pay the holders of shares of each series of Preferred Stock the full amount to which they shall be entitled under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each series of Preferred Stock shall share ratably in any distribution of the assets available for distribution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proportion to the respective amounts which would otherwise be payable pursuant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upon such distribution if all amounts payable on or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such shares were paid in full.</w:t>
      </w:r>
    </w:p>
    <w:p>
      <w:pPr>
        <w:spacing w:after="0" w:line="208" w:lineRule="exact"/>
        <w:rPr>
          <w:sz w:val="20"/>
          <w:szCs w:val="20"/>
          <w:color w:val="auto"/>
        </w:rPr>
      </w:pPr>
    </w:p>
    <w:p>
      <w:pPr>
        <w:jc w:val="both"/>
        <w:ind w:right="160" w:firstLine="1419"/>
        <w:spacing w:after="0" w:line="29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Payments to Holders of Common Stock</w:t>
      </w:r>
      <w:r>
        <w:rPr>
          <w:rFonts w:ascii="Arial" w:cs="Arial" w:eastAsia="Arial" w:hAnsi="Arial"/>
          <w:sz w:val="16"/>
          <w:szCs w:val="16"/>
          <w:color w:val="auto"/>
        </w:rPr>
        <w:t>. In the event of any voluntary or involuntary liquidation, dissolution, or winding up of the Corporation or Deemed Liquidation Event, after the payment of all preferential amounts required to be paid to the holders of shares of Preferred Stock (unless otherwise converted into shares of Common Stock), the remaining assets of the Corporation available for distribution to its stockholders shall be distributed among the holders of the shares of Common Stock, pro rata based on the number of shares held by each such holder.</w:t>
      </w:r>
    </w:p>
    <w:p>
      <w:pPr>
        <w:spacing w:after="0" w:line="266" w:lineRule="exact"/>
        <w:rPr>
          <w:sz w:val="20"/>
          <w:szCs w:val="20"/>
          <w:color w:val="auto"/>
        </w:rPr>
      </w:pPr>
    </w:p>
    <w:p>
      <w:pPr>
        <w:ind w:left="142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110" w:lineRule="exact"/>
        <w:rPr>
          <w:sz w:val="20"/>
          <w:szCs w:val="20"/>
          <w:color w:val="auto"/>
        </w:rPr>
      </w:pPr>
    </w:p>
    <w:p>
      <w:pPr>
        <w:ind w:left="440" w:right="40" w:firstLine="1362"/>
        <w:spacing w:after="0" w:line="261"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unless (x) the holders of a majority of the outstanding shares of Series Seed-1 Preferred Stock, Series Seed-2 Preferred Stock, Series A-1 Preferred Stock, Series A-2 Preferred Stock, Series B Preferred Stock, Series C Preferred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80" w:top="272" w:right="519" w:bottom="1440" w:gutter="0" w:footer="0" w:header="0"/>
        </w:sectPr>
      </w:pPr>
    </w:p>
    <w:bookmarkStart w:id="223" w:name="page224"/>
    <w:bookmarkEnd w:id="22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Stock, Series D Preferred Stock and Series E Preferred Stock voting together as a single class and not as separate series and on an as-converted basis (collectively, the “</w:t>
      </w:r>
      <w:r>
        <w:rPr>
          <w:rFonts w:ascii="Arial" w:cs="Arial" w:eastAsia="Arial" w:hAnsi="Arial"/>
          <w:sz w:val="18"/>
          <w:szCs w:val="18"/>
          <w:b w:val="1"/>
          <w:bCs w:val="1"/>
          <w:color w:val="auto"/>
        </w:rPr>
        <w:t>Requisite Preferred Holder</w:t>
      </w:r>
      <w:r>
        <w:rPr>
          <w:rFonts w:ascii="Arial" w:cs="Arial" w:eastAsia="Arial" w:hAnsi="Arial"/>
          <w:sz w:val="18"/>
          <w:szCs w:val="18"/>
          <w:color w:val="auto"/>
        </w:rPr>
        <w:t>s”), (y) the holders of a majority of the outstanding shares of Series D Preferred Stock, voting separately (the “</w:t>
      </w:r>
      <w:r>
        <w:rPr>
          <w:rFonts w:ascii="Arial" w:cs="Arial" w:eastAsia="Arial" w:hAnsi="Arial"/>
          <w:sz w:val="18"/>
          <w:szCs w:val="18"/>
          <w:b w:val="1"/>
          <w:bCs w:val="1"/>
          <w:color w:val="auto"/>
        </w:rPr>
        <w:t>Requisite Series D Holders</w:t>
      </w:r>
      <w:r>
        <w:rPr>
          <w:rFonts w:ascii="Arial" w:cs="Arial" w:eastAsia="Arial" w:hAnsi="Arial"/>
          <w:sz w:val="18"/>
          <w:szCs w:val="18"/>
          <w:color w:val="auto"/>
        </w:rPr>
        <w:t>”), and (z) the holders of a majority of the outstanding shares of Series E Preferred Stock, voting separately (the “</w:t>
      </w:r>
      <w:r>
        <w:rPr>
          <w:rFonts w:ascii="Arial" w:cs="Arial" w:eastAsia="Arial" w:hAnsi="Arial"/>
          <w:sz w:val="18"/>
          <w:szCs w:val="18"/>
          <w:b w:val="1"/>
          <w:bCs w:val="1"/>
          <w:color w:val="auto"/>
        </w:rPr>
        <w:t>Requisite Series E Holders</w:t>
      </w:r>
      <w:r>
        <w:rPr>
          <w:rFonts w:ascii="Arial" w:cs="Arial" w:eastAsia="Arial" w:hAnsi="Arial"/>
          <w:sz w:val="18"/>
          <w:szCs w:val="18"/>
          <w:color w:val="auto"/>
        </w:rPr>
        <w:t>”) elect otherwise by written notice sent to the Corporation at least three (3) days prior to the effective date of any such event:</w:t>
      </w:r>
    </w:p>
    <w:p>
      <w:pPr>
        <w:spacing w:after="0" w:line="86" w:lineRule="exact"/>
        <w:rPr>
          <w:sz w:val="20"/>
          <w:szCs w:val="20"/>
          <w:color w:val="auto"/>
        </w:rPr>
      </w:pPr>
    </w:p>
    <w:p>
      <w:pPr>
        <w:ind w:left="1780" w:hanging="414"/>
        <w:spacing w:after="0"/>
        <w:tabs>
          <w:tab w:leader="none" w:pos="17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13" w:lineRule="exact"/>
        <w:rPr>
          <w:rFonts w:ascii="Arial" w:cs="Arial" w:eastAsia="Arial" w:hAnsi="Arial"/>
          <w:sz w:val="18"/>
          <w:szCs w:val="18"/>
          <w:color w:val="auto"/>
        </w:rPr>
      </w:pPr>
    </w:p>
    <w:p>
      <w:pPr>
        <w:ind w:left="2240" w:hanging="399"/>
        <w:spacing w:after="0"/>
        <w:tabs>
          <w:tab w:leader="none" w:pos="22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13" w:lineRule="exact"/>
        <w:rPr>
          <w:rFonts w:ascii="Arial" w:cs="Arial" w:eastAsia="Arial" w:hAnsi="Arial"/>
          <w:sz w:val="18"/>
          <w:szCs w:val="18"/>
          <w:color w:val="auto"/>
        </w:rPr>
      </w:pPr>
    </w:p>
    <w:p>
      <w:pPr>
        <w:ind w:left="540" w:firstLine="1301"/>
        <w:spacing w:after="0" w:line="269" w:lineRule="auto"/>
        <w:tabs>
          <w:tab w:leader="none" w:pos="227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71" w:lineRule="exact"/>
        <w:rPr>
          <w:rFonts w:ascii="Arial" w:cs="Arial" w:eastAsia="Arial" w:hAnsi="Arial"/>
          <w:sz w:val="17"/>
          <w:szCs w:val="17"/>
          <w:color w:val="auto"/>
        </w:rPr>
      </w:pPr>
    </w:p>
    <w:p>
      <w:pPr>
        <w:ind w:right="80" w:firstLine="1366"/>
        <w:spacing w:after="0" w:line="293" w:lineRule="auto"/>
        <w:tabs>
          <w:tab w:leader="none" w:pos="179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sale, lease, transfer, exclusive license, or other disposition, in a single transaction or series of related transactions, by the Corporation or any subsidiary of the Corporation of all or substantially all the assets and/or the intellectual property of the Corporation and its subsidiaries taken as a whole, or the sale or disposition (whether by merger or otherwise) of one or more subsidiaries of the Corporation if substantially all of the assets and/or intellectual property of the Corporation and its subsidiaries taken as a whole are held by such subsidiary or subsidiaries, except where such sale, lease, transfer, exclusive license, or other disposition is to a wholly owned subsidiary of the Corporation.</w:t>
      </w:r>
    </w:p>
    <w:p>
      <w:pPr>
        <w:spacing w:after="0" w:line="26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114" w:lineRule="exact"/>
        <w:rPr>
          <w:sz w:val="20"/>
          <w:szCs w:val="20"/>
          <w:color w:val="auto"/>
        </w:rPr>
      </w:pPr>
    </w:p>
    <w:p>
      <w:pPr>
        <w:jc w:val="both"/>
        <w:ind w:right="340" w:firstLine="1366"/>
        <w:spacing w:after="0" w:line="307" w:lineRule="auto"/>
        <w:tabs>
          <w:tab w:leader="none" w:pos="178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Subsection 2.4.1(a)(i)</w:t>
      </w:r>
      <w:r>
        <w:rPr>
          <w:rFonts w:ascii="Arial" w:cs="Arial" w:eastAsia="Arial" w:hAnsi="Arial"/>
          <w:sz w:val="16"/>
          <w:szCs w:val="16"/>
          <w:color w:val="auto"/>
        </w:rPr>
        <w:t xml:space="preserve"> unless the agreement or plan of merger or consolidation for such transaction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w:t>
      </w:r>
    </w:p>
    <w:p>
      <w:pPr>
        <w:spacing w:after="0" w:line="42" w:lineRule="exact"/>
        <w:rPr>
          <w:rFonts w:ascii="Arial" w:cs="Arial" w:eastAsia="Arial" w:hAnsi="Arial"/>
          <w:sz w:val="16"/>
          <w:szCs w:val="16"/>
          <w:color w:val="auto"/>
        </w:rPr>
      </w:pPr>
    </w:p>
    <w:p>
      <w:pPr>
        <w:ind w:right="100" w:firstLine="1366"/>
        <w:spacing w:after="0" w:line="287" w:lineRule="auto"/>
        <w:tabs>
          <w:tab w:leader="none" w:pos="179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2.4.1(a)(ii)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w:t>
      </w:r>
    </w:p>
    <w:p>
      <w:pPr>
        <w:ind w:left="220" w:hanging="216"/>
        <w:spacing w:after="0"/>
        <w:tabs>
          <w:tab w:leader="none" w:pos="2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Corporation shall send a written notice to each holder of Preferred Stock no later than the ninetieth (90th) day after the Deemed</w:t>
      </w:r>
    </w:p>
    <w:p>
      <w:pPr>
        <w:spacing w:after="0" w:line="15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60"/>
          </w:cols>
          <w:pgMar w:left="920" w:top="272" w:right="519" w:bottom="1440" w:gutter="0" w:footer="0" w:header="0"/>
        </w:sectPr>
      </w:pPr>
    </w:p>
    <w:bookmarkStart w:id="224" w:name="page225"/>
    <w:bookmarkEnd w:id="224"/>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Liquidation Event advising such holders of their right (and the requirements to be met to secure such right) pursuant to the terms of the following clause to require the redemption of such shares of Preferred Stock; and (ii) if the Requisite Preferred Holders so request in a written instrument delivered to the Corporation not later than one hundred and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xml:space="preserve">”), to the extent legally available therefor, on the one hundred and fiftieth (150th) day after such Deemed Liquidation Event,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based on the respective amounts which would otherwise be payable in respect of the shares to be redeemed if the Available Proceeds were sufficient to redeem all shares,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2.4.2(b)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65" w:lineRule="exact"/>
        <w:rPr>
          <w:sz w:val="20"/>
          <w:szCs w:val="20"/>
          <w:color w:val="auto"/>
        </w:rPr>
      </w:pPr>
    </w:p>
    <w:p>
      <w:pPr>
        <w:ind w:firstLine="1362"/>
        <w:spacing w:after="0" w:line="255"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83" w:lineRule="exact"/>
        <w:rPr>
          <w:sz w:val="20"/>
          <w:szCs w:val="20"/>
          <w:color w:val="auto"/>
        </w:rPr>
      </w:pPr>
    </w:p>
    <w:p>
      <w:pPr>
        <w:ind w:right="20" w:firstLine="1362"/>
        <w:spacing w:after="0" w:line="250"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Allocation of Escrow or Contingent Payments</w:t>
      </w:r>
      <w:r>
        <w:rPr>
          <w:rFonts w:ascii="Arial" w:cs="Arial" w:eastAsia="Arial" w:hAnsi="Arial"/>
          <w:sz w:val="18"/>
          <w:szCs w:val="18"/>
          <w:color w:val="auto"/>
        </w:rPr>
        <w:t xml:space="preserve">. In the case of a Deemed Liquidation Event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2.4.1(a)(i)</w:t>
      </w:r>
      <w:r>
        <w:rPr>
          <w:rFonts w:ascii="Arial" w:cs="Arial" w:eastAsia="Arial" w:hAnsi="Arial"/>
          <w:sz w:val="18"/>
          <w:szCs w:val="18"/>
          <w:color w:val="auto"/>
        </w:rPr>
        <w:t xml:space="preserve"> above, if any portion of the consideration payable to the stockholders of the Corporation is placed into escrow and/or is payable to the stockholders of the Corporation subject to contingencies, the Merger Agreement shall provide that (a) the portion of such consideration that is not placed in escrow and not subject to any contingencies (the “</w:t>
      </w:r>
      <w:r>
        <w:rPr>
          <w:rFonts w:ascii="Arial" w:cs="Arial" w:eastAsia="Arial" w:hAnsi="Arial"/>
          <w:sz w:val="18"/>
          <w:szCs w:val="18"/>
          <w:b w:val="1"/>
          <w:bCs w:val="1"/>
          <w:color w:val="auto"/>
        </w:rPr>
        <w:t>Initial Consideration</w:t>
      </w:r>
      <w:r>
        <w:rPr>
          <w:rFonts w:ascii="Arial" w:cs="Arial" w:eastAsia="Arial" w:hAnsi="Arial"/>
          <w:sz w:val="18"/>
          <w:szCs w:val="18"/>
          <w:color w:val="auto"/>
        </w:rPr>
        <w:t xml:space="preserve">”)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above as if the Initial Consideration were the only consideration payable in connection with such Deemed Liquidation Event and (b) any additional consideration which becomes payable to the stockholders of the Corporation upon release from escrow or satisfaction of contingencies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above after taking into account the previous payment of the Initial Consideration as part of the same transaction.</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920" w:top="272" w:right="519" w:bottom="1440" w:gutter="0" w:footer="0" w:header="0"/>
        </w:sectPr>
      </w:pPr>
    </w:p>
    <w:bookmarkStart w:id="225" w:name="page226"/>
    <w:bookmarkEnd w:id="225"/>
    <w:p>
      <w:pPr>
        <w:ind w:left="1160" w:hanging="170"/>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Voting</w:t>
      </w:r>
      <w:r>
        <w:rPr>
          <w:rFonts w:ascii="Arial" w:cs="Arial" w:eastAsia="Arial" w:hAnsi="Arial"/>
          <w:sz w:val="18"/>
          <w:szCs w:val="18"/>
          <w:color w:val="auto"/>
        </w:rPr>
        <w:t>.</w:t>
      </w:r>
    </w:p>
    <w:p>
      <w:pPr>
        <w:spacing w:after="0" w:line="114" w:lineRule="exact"/>
        <w:rPr>
          <w:sz w:val="20"/>
          <w:szCs w:val="20"/>
          <w:color w:val="auto"/>
        </w:rPr>
      </w:pPr>
    </w:p>
    <w:p>
      <w:pPr>
        <w:ind w:right="20" w:firstLine="1419"/>
        <w:spacing w:after="0" w:line="285"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of outstanding shares of such Series E Preferred Stock, Series D Preferred Stock, Series C Preferred Stock, Series B Preferred Stock, Series A-2 Preferred Stock, Series A-1 Preferred Stock, Series Seed-2 Preferred Stock and Series Seed-1 Preferred Stock shall be entitled to cast the number of votes equal to the number of whole shares of Common Stock into which the shares of Series E Preferred Stock, Series D Preferred Stock, Series C Preferred Stock, Series B Preferred Stock, Series A-2 Preferred Stock, Series A-1 Preferred Stock, Series Seed-2 Preferred Stock and Series Seed-1 Preferred Stock, as applicable, held by such holder are convertible as of the record date for determining stockholders entitled to vote on such matter. Except as provided by law or by the other provisions of this Amended and Restated Certificate of Incorporation, holders of Series E Preferred Stock, Series D Preferred Stock, Series C Preferred Stock, Series B Preferred Stock, Series A-2 Preferred Stock, Series A-1 Preferred Stock, Series Seed-2 Preferred Stock and Series Seed-1 Preferred Stock shall vote together with the holders of Common Stock as a single class.</w:t>
      </w:r>
    </w:p>
    <w:p>
      <w:pPr>
        <w:spacing w:after="0" w:line="169" w:lineRule="exact"/>
        <w:rPr>
          <w:sz w:val="20"/>
          <w:szCs w:val="20"/>
          <w:color w:val="auto"/>
        </w:rPr>
      </w:pPr>
    </w:p>
    <w:p>
      <w:pPr>
        <w:ind w:right="160" w:firstLine="1419"/>
        <w:spacing w:after="0" w:line="28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D Preferred Stock, exclusively and as a separate class, shall be entitled to elect one (1) director of the Corporation (the “</w:t>
      </w:r>
      <w:r>
        <w:rPr>
          <w:rFonts w:ascii="Arial" w:cs="Arial" w:eastAsia="Arial" w:hAnsi="Arial"/>
          <w:sz w:val="16"/>
          <w:szCs w:val="16"/>
          <w:b w:val="1"/>
          <w:bCs w:val="1"/>
          <w:color w:val="auto"/>
        </w:rPr>
        <w:t>Series D Director</w:t>
      </w:r>
      <w:r>
        <w:rPr>
          <w:rFonts w:ascii="Arial" w:cs="Arial" w:eastAsia="Arial" w:hAnsi="Arial"/>
          <w:sz w:val="16"/>
          <w:szCs w:val="16"/>
          <w:color w:val="auto"/>
        </w:rPr>
        <w:t>”), the holders of record of the shares of Series C Preferred Stock, exclusively and as a separate class, shall be entitled to elect one (1) director of the Corporation (the “</w:t>
      </w:r>
      <w:r>
        <w:rPr>
          <w:rFonts w:ascii="Arial" w:cs="Arial" w:eastAsia="Arial" w:hAnsi="Arial"/>
          <w:sz w:val="16"/>
          <w:szCs w:val="16"/>
          <w:b w:val="1"/>
          <w:bCs w:val="1"/>
          <w:color w:val="auto"/>
        </w:rPr>
        <w:t>Series C Director</w:t>
      </w:r>
      <w:r>
        <w:rPr>
          <w:rFonts w:ascii="Arial" w:cs="Arial" w:eastAsia="Arial" w:hAnsi="Arial"/>
          <w:sz w:val="16"/>
          <w:szCs w:val="16"/>
          <w:color w:val="auto"/>
        </w:rPr>
        <w:t>”), the holders of record of the shares of Series B Preferred Stock, exclusively and as a separate class, shall be entitled to elect one (1) director of the Corporation (the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w:t>
      </w:r>
      <w:r>
        <w:rPr>
          <w:rFonts w:ascii="Arial" w:cs="Arial" w:eastAsia="Arial" w:hAnsi="Arial"/>
          <w:sz w:val="16"/>
          <w:szCs w:val="16"/>
          <w:color w:val="auto"/>
        </w:rPr>
        <w:t>”), the holders of record of the shares of Series A-1 Preferred Stock, exclusively and as a separate class, shall be entitled to elect one</w:t>
      </w:r>
    </w:p>
    <w:p>
      <w:pPr>
        <w:spacing w:after="0" w:line="2" w:lineRule="exact"/>
        <w:rPr>
          <w:sz w:val="20"/>
          <w:szCs w:val="20"/>
          <w:color w:val="auto"/>
        </w:rPr>
      </w:pPr>
    </w:p>
    <w:p>
      <w:pPr>
        <w:ind w:right="60" w:firstLine="7"/>
        <w:spacing w:after="0" w:line="279" w:lineRule="auto"/>
        <w:tabs>
          <w:tab w:leader="none" w:pos="2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director of the Corporation (the “</w:t>
      </w:r>
      <w:r>
        <w:rPr>
          <w:rFonts w:ascii="Arial" w:cs="Arial" w:eastAsia="Arial" w:hAnsi="Arial"/>
          <w:sz w:val="16"/>
          <w:szCs w:val="16"/>
          <w:b w:val="1"/>
          <w:bCs w:val="1"/>
          <w:color w:val="auto"/>
        </w:rPr>
        <w:t>Series A-1 Director</w:t>
      </w:r>
      <w:r>
        <w:rPr>
          <w:rFonts w:ascii="Arial" w:cs="Arial" w:eastAsia="Arial" w:hAnsi="Arial"/>
          <w:sz w:val="16"/>
          <w:szCs w:val="16"/>
          <w:color w:val="auto"/>
        </w:rPr>
        <w:t>,” and together with the Series B Director, the Series C Director and the Series D Director, the “</w:t>
      </w:r>
      <w:r>
        <w:rPr>
          <w:rFonts w:ascii="Arial" w:cs="Arial" w:eastAsia="Arial" w:hAnsi="Arial"/>
          <w:sz w:val="16"/>
          <w:szCs w:val="16"/>
          <w:b w:val="1"/>
          <w:bCs w:val="1"/>
          <w:color w:val="auto"/>
        </w:rPr>
        <w:t>Preferred Directors</w:t>
      </w:r>
      <w:r>
        <w:rPr>
          <w:rFonts w:ascii="Arial" w:cs="Arial" w:eastAsia="Arial" w:hAnsi="Arial"/>
          <w:sz w:val="16"/>
          <w:szCs w:val="16"/>
          <w:color w:val="auto"/>
        </w:rPr>
        <w:t>”) and the holders of record of the shares of Common Stock, exclusively and as a separate class, shall be entitled to elect one</w:t>
      </w:r>
    </w:p>
    <w:p>
      <w:pPr>
        <w:ind w:firstLine="7"/>
        <w:spacing w:after="0" w:line="282" w:lineRule="auto"/>
        <w:tabs>
          <w:tab w:leader="none" w:pos="25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director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such stockholders. If the holders of shares of Series D Preferred Stock, Series C Preferred Stock, Series B Preferred Stock, Series A-1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then any directorship not so filled shall remain vacant until such time as the holders of the Series D Preferred Stock, Series C Preferred Stock, Series B Preferred Stock, Series A-1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Seed-1 Preferred Stock, the Series Seed-2 Preferred Stock, the Series A-1 Preferred Stock, the Series A-2 Preferred Stock, the Series B Preferred Stock, the Series C Preferred Stock, the Series D Preferred Stock and the Series E Preferred Stock), exclusively and voting together as a single class, shall be entitled to elect the balance of the total number of directors of the Corporation. At any meeting held for the purpose of electing a director, the presence in person or by proxy of the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480" w:top="273" w:right="579" w:bottom="1440" w:gutter="0" w:footer="0" w:header="0"/>
        </w:sectPr>
      </w:pPr>
    </w:p>
    <w:bookmarkStart w:id="226" w:name="page227"/>
    <w:bookmarkEnd w:id="226"/>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 rights of the holders of the Series D Preferred Stock to elect, exclusively as a separate class, one (1) director of the Corporation under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Original Issue Date on which there are issued and outstanding less than 749,191 shares of Series D Preferred Stock (subject to appropriate adjustment in the event of any stock dividend, stock split, combination, or other similar recapitalization with respect to the Series D Preferred Stock). The rights of the holders of the Series C Preferred Stock to elect, exclusively as a separate class, one (1) director of the Corporation under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Original Issue Date on which there are issued and outstanding less than 563,131 shares of Series C Preferred Stock (subject to appropriate adjustment in the event of any stock dividend, stock split, combination, or other similar recapitalization with respect to the Series C Preferred Stock). The rights of the holders of the Series B Preferred Stock to elect, exclusively as a separate class, one (1) director of the Corporation under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Original Issue Date on which there are issued and outstanding less than 438,922 shares of Series B Preferred Stock (subject to appropriate adjustment in the event of any stock dividend, stock split, combination, or other similar recapitalization with respect to the Series B Preferred Stock). The rights of the holders of the Series A-1 Preferred Stock to elect, exclusively as a separate class, one (1) director of the Corporation under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Original Issue Date on which there are issued and outstanding less than 725,000 shares of Series A-1 Preferred Stock (subject to appropriate adjustment in the event of any stock dividend, stock split, combination, or other similar recapitalization with respect to the Series A-1 Preferred Stock).</w:t>
      </w:r>
    </w:p>
    <w:p>
      <w:pPr>
        <w:spacing w:after="0" w:line="177" w:lineRule="exact"/>
        <w:rPr>
          <w:sz w:val="20"/>
          <w:szCs w:val="20"/>
          <w:color w:val="auto"/>
        </w:rPr>
      </w:pPr>
    </w:p>
    <w:p>
      <w:pPr>
        <w:ind w:right="100" w:firstLine="1419"/>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At any time when any shares of Series A-1 Preferred Stock, Series A-2 Preferred Stock, Series B Preferred Stock, Series C Preferred Stock, Series D Preferred Stock or Series E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at least the Requisite Preferred Holders, and any transaction entered into without such approval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9" w:lineRule="exact"/>
        <w:rPr>
          <w:sz w:val="20"/>
          <w:szCs w:val="20"/>
          <w:color w:val="auto"/>
        </w:rPr>
      </w:pPr>
    </w:p>
    <w:p>
      <w:pPr>
        <w:ind w:left="1800"/>
        <w:spacing w:after="0"/>
        <w:tabs>
          <w:tab w:leader="none" w:pos="240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amend, alter, or repeal any provision of this Amended and Restated Certificate of Incorporation or Bylaws of the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Corporation;</w:t>
      </w:r>
    </w:p>
    <w:p>
      <w:pPr>
        <w:spacing w:after="0" w:line="101" w:lineRule="exact"/>
        <w:rPr>
          <w:sz w:val="20"/>
          <w:szCs w:val="20"/>
          <w:color w:val="auto"/>
        </w:rPr>
      </w:pPr>
    </w:p>
    <w:p>
      <w:pPr>
        <w:jc w:val="both"/>
        <w:ind w:left="440" w:right="220" w:firstLine="1362"/>
        <w:spacing w:after="0" w:line="259" w:lineRule="auto"/>
        <w:rPr>
          <w:sz w:val="20"/>
          <w:szCs w:val="20"/>
          <w:color w:val="auto"/>
        </w:rPr>
      </w:pPr>
      <w:r>
        <w:rPr>
          <w:rFonts w:ascii="Arial" w:cs="Arial" w:eastAsia="Arial" w:hAnsi="Arial"/>
          <w:sz w:val="18"/>
          <w:szCs w:val="18"/>
          <w:color w:val="auto"/>
        </w:rPr>
        <w:t>3.3.2. create, or authorize the creation of, any additional class or series of capital stock unless the same ranks junior to the Series A-1 Preferred Stock, Series A-2 Preferred Stock and Series B Preferred Stock with respect to the distribution of assets on the liquidation, dissolution or winding up of the Corporation, the payment of dividends and rights of redemption;</w:t>
      </w:r>
    </w:p>
    <w:p>
      <w:pPr>
        <w:spacing w:after="0" w:line="79" w:lineRule="exact"/>
        <w:rPr>
          <w:sz w:val="20"/>
          <w:szCs w:val="20"/>
          <w:color w:val="auto"/>
        </w:rPr>
      </w:pPr>
    </w:p>
    <w:p>
      <w:pPr>
        <w:jc w:val="center"/>
        <w:ind w:right="180"/>
        <w:spacing w:after="0"/>
        <w:tabs>
          <w:tab w:leader="none" w:pos="20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4"/>
          <w:szCs w:val="14"/>
          <w:color w:val="auto"/>
        </w:rPr>
        <w:t>increase or decrease the authorized number of shares of Common Stock or Preferred Stock;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227" w:name="page228"/>
    <w:bookmarkEnd w:id="227"/>
    <w:p>
      <w:pPr>
        <w:ind w:right="260" w:firstLine="1362"/>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3.3.4. effect the sale, liquidation, dissolution, winding up, merger or Deemed Liquidation Event of the Corporation or any other transaction in which control of the Corporation is transferred, or consent to any of the foregoing;</w:t>
      </w:r>
    </w:p>
    <w:p>
      <w:pPr>
        <w:spacing w:after="0" w:line="68" w:lineRule="exact"/>
        <w:rPr>
          <w:sz w:val="20"/>
          <w:szCs w:val="20"/>
          <w:color w:val="auto"/>
        </w:rPr>
      </w:pPr>
    </w:p>
    <w:p>
      <w:pPr>
        <w:ind w:right="220" w:firstLine="1362"/>
        <w:spacing w:after="0" w:line="252" w:lineRule="auto"/>
        <w:rPr>
          <w:sz w:val="20"/>
          <w:szCs w:val="20"/>
          <w:color w:val="auto"/>
        </w:rPr>
      </w:pPr>
      <w:r>
        <w:rPr>
          <w:rFonts w:ascii="Arial" w:cs="Arial" w:eastAsia="Arial" w:hAnsi="Arial"/>
          <w:sz w:val="18"/>
          <w:szCs w:val="18"/>
          <w:color w:val="auto"/>
        </w:rPr>
        <w:t xml:space="preserve">3.3.5. repurchase or redeem any capital stock of the Corporation other than (i) redemptions of Preferred Stock pursuant to </w:t>
      </w:r>
      <w:r>
        <w:rPr>
          <w:rFonts w:ascii="Arial" w:cs="Arial" w:eastAsia="Arial" w:hAnsi="Arial"/>
          <w:sz w:val="18"/>
          <w:szCs w:val="18"/>
          <w:u w:val="single" w:color="auto"/>
          <w:color w:val="auto"/>
        </w:rPr>
        <w:t>Subsection 2.4.2(b)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 (ii)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or (iii) as approved by the Board of Directors, including at least two of the Preferred Directors, unless the purchase price of such repurchase or redemption (or any series of repurchases or redemptions) would exceed $5,000,000;</w:t>
      </w:r>
    </w:p>
    <w:p>
      <w:pPr>
        <w:spacing w:after="0" w:line="87" w:lineRule="exact"/>
        <w:rPr>
          <w:sz w:val="20"/>
          <w:szCs w:val="20"/>
          <w:color w:val="auto"/>
        </w:rPr>
      </w:pPr>
    </w:p>
    <w:p>
      <w:pPr>
        <w:ind w:right="100" w:firstLine="1362"/>
        <w:spacing w:after="0" w:line="259" w:lineRule="auto"/>
        <w:rPr>
          <w:sz w:val="20"/>
          <w:szCs w:val="20"/>
          <w:color w:val="auto"/>
        </w:rPr>
      </w:pPr>
      <w:r>
        <w:rPr>
          <w:rFonts w:ascii="Arial" w:cs="Arial" w:eastAsia="Arial" w:hAnsi="Arial"/>
          <w:sz w:val="18"/>
          <w:szCs w:val="18"/>
          <w:color w:val="auto"/>
        </w:rPr>
        <w:t xml:space="preserve">3.3.6. declare or pay any dividend other than (i) dividends or distributions on the Preferred Stock in accordance with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 xml:space="preserve">, or (ii) dividends or other distributions payable on the Common Stock solely in the form of additional shares of Common Stock in accordance with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w:t>
      </w:r>
    </w:p>
    <w:p>
      <w:pPr>
        <w:spacing w:after="0" w:line="79" w:lineRule="exact"/>
        <w:rPr>
          <w:sz w:val="20"/>
          <w:szCs w:val="20"/>
          <w:color w:val="auto"/>
        </w:rPr>
      </w:pPr>
    </w:p>
    <w:p>
      <w:pPr>
        <w:ind w:left="1360"/>
        <w:spacing w:after="0"/>
        <w:tabs>
          <w:tab w:leader="none" w:pos="19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change the size of the Board of Directors;</w:t>
      </w:r>
    </w:p>
    <w:p>
      <w:pPr>
        <w:spacing w:after="0" w:line="114" w:lineRule="exact"/>
        <w:rPr>
          <w:sz w:val="20"/>
          <w:szCs w:val="20"/>
          <w:color w:val="auto"/>
        </w:rPr>
      </w:pPr>
    </w:p>
    <w:p>
      <w:pPr>
        <w:ind w:right="200" w:firstLine="1362"/>
        <w:spacing w:after="0" w:line="271" w:lineRule="auto"/>
        <w:rPr>
          <w:sz w:val="20"/>
          <w:szCs w:val="20"/>
          <w:color w:val="auto"/>
        </w:rPr>
      </w:pPr>
      <w:r>
        <w:rPr>
          <w:rFonts w:ascii="Arial" w:cs="Arial" w:eastAsia="Arial" w:hAnsi="Arial"/>
          <w:sz w:val="18"/>
          <w:szCs w:val="18"/>
          <w:color w:val="auto"/>
        </w:rPr>
        <w:t>3.3.8. increase the number of shares reserved for issuance to employees, directors or contractors (including pursuant to the Corporation’s 2016 Equity Incentive Plan or otherwise);</w:t>
      </w:r>
    </w:p>
    <w:p>
      <w:pPr>
        <w:spacing w:after="0" w:line="68" w:lineRule="exact"/>
        <w:rPr>
          <w:sz w:val="20"/>
          <w:szCs w:val="20"/>
          <w:color w:val="auto"/>
        </w:rPr>
      </w:pPr>
    </w:p>
    <w:p>
      <w:pPr>
        <w:ind w:right="180" w:firstLine="1362"/>
        <w:spacing w:after="0" w:line="271" w:lineRule="auto"/>
        <w:rPr>
          <w:sz w:val="20"/>
          <w:szCs w:val="20"/>
          <w:color w:val="auto"/>
        </w:rPr>
      </w:pPr>
      <w:r>
        <w:rPr>
          <w:rFonts w:ascii="Arial" w:cs="Arial" w:eastAsia="Arial" w:hAnsi="Arial"/>
          <w:sz w:val="18"/>
          <w:szCs w:val="18"/>
          <w:color w:val="auto"/>
        </w:rPr>
        <w:t>3.3.9. change the principal business of the Corporation, including without limitation entering into a new line of business or exiting the current line of business;</w:t>
      </w:r>
    </w:p>
    <w:p>
      <w:pPr>
        <w:spacing w:after="0" w:line="68" w:lineRule="exact"/>
        <w:rPr>
          <w:sz w:val="20"/>
          <w:szCs w:val="20"/>
          <w:color w:val="auto"/>
        </w:rPr>
      </w:pPr>
    </w:p>
    <w:p>
      <w:pPr>
        <w:ind w:right="460" w:firstLine="1362"/>
        <w:spacing w:after="0" w:line="271" w:lineRule="auto"/>
        <w:rPr>
          <w:sz w:val="20"/>
          <w:szCs w:val="20"/>
          <w:color w:val="auto"/>
        </w:rPr>
      </w:pPr>
      <w:r>
        <w:rPr>
          <w:rFonts w:ascii="Arial" w:cs="Arial" w:eastAsia="Arial" w:hAnsi="Arial"/>
          <w:sz w:val="18"/>
          <w:szCs w:val="18"/>
          <w:color w:val="auto"/>
        </w:rPr>
        <w:t>3.3.10. exclusively license, lease, sell, assign, distribute, or otherwise dispose of the Corporation’s intellectual property outside the ordinary course of business;</w:t>
      </w:r>
    </w:p>
    <w:p>
      <w:pPr>
        <w:spacing w:after="0" w:line="68" w:lineRule="exact"/>
        <w:rPr>
          <w:sz w:val="20"/>
          <w:szCs w:val="20"/>
          <w:color w:val="auto"/>
        </w:rPr>
      </w:pPr>
    </w:p>
    <w:p>
      <w:pPr>
        <w:ind w:firstLine="1362"/>
        <w:spacing w:after="0" w:line="269" w:lineRule="auto"/>
        <w:rPr>
          <w:sz w:val="20"/>
          <w:szCs w:val="20"/>
          <w:color w:val="auto"/>
        </w:rPr>
      </w:pPr>
      <w:r>
        <w:rPr>
          <w:rFonts w:ascii="Arial" w:cs="Arial" w:eastAsia="Arial" w:hAnsi="Arial"/>
          <w:sz w:val="17"/>
          <w:szCs w:val="17"/>
          <w:color w:val="auto"/>
        </w:rPr>
        <w:t>3.3.11.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(excluding accrued interest) following such action would exceed $10,000,000 (excluding ordinary course vendor and supplier financing and non-debt obligations under customer contracts and strategic partnerships);</w:t>
      </w:r>
    </w:p>
    <w:p>
      <w:pPr>
        <w:spacing w:after="0" w:line="71" w:lineRule="exact"/>
        <w:rPr>
          <w:sz w:val="20"/>
          <w:szCs w:val="20"/>
          <w:color w:val="auto"/>
        </w:rPr>
      </w:pPr>
    </w:p>
    <w:p>
      <w:pPr>
        <w:ind w:right="120" w:firstLine="1362"/>
        <w:spacing w:after="0" w:line="271" w:lineRule="auto"/>
        <w:rPr>
          <w:sz w:val="20"/>
          <w:szCs w:val="20"/>
          <w:color w:val="auto"/>
        </w:rPr>
      </w:pPr>
      <w:r>
        <w:rPr>
          <w:rFonts w:ascii="Arial" w:cs="Arial" w:eastAsia="Arial" w:hAnsi="Arial"/>
          <w:sz w:val="18"/>
          <w:szCs w:val="18"/>
          <w:color w:val="auto"/>
        </w:rPr>
        <w:t>3.3.12. create, or hold capital stock in, any subsidiary that is not wholly owned (either directly or through one or more other subsidiaries) by the</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80"/>
          </w:cols>
          <w:pgMar w:left="920" w:top="272" w:right="499" w:bottom="1440" w:gutter="0" w:footer="0" w:header="0"/>
        </w:sectPr>
      </w:pPr>
    </w:p>
    <w:bookmarkStart w:id="228" w:name="page229"/>
    <w:bookmarkEnd w:id="228"/>
    <w:p>
      <w:pPr>
        <w:jc w:val="both"/>
        <w:ind w:left="44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83" w:lineRule="exact"/>
        <w:rPr>
          <w:sz w:val="20"/>
          <w:szCs w:val="20"/>
          <w:color w:val="auto"/>
        </w:rPr>
      </w:pPr>
    </w:p>
    <w:p>
      <w:pPr>
        <w:ind w:left="440" w:right="140" w:firstLine="1362"/>
        <w:spacing w:after="0" w:line="281" w:lineRule="auto"/>
        <w:rPr>
          <w:sz w:val="20"/>
          <w:szCs w:val="20"/>
          <w:color w:val="auto"/>
        </w:rPr>
      </w:pPr>
      <w:r>
        <w:rPr>
          <w:rFonts w:ascii="Arial" w:cs="Arial" w:eastAsia="Arial" w:hAnsi="Arial"/>
          <w:sz w:val="17"/>
          <w:szCs w:val="17"/>
          <w:color w:val="auto"/>
        </w:rPr>
        <w:t>3.3.13. cause the Corporation or permit any of its subsidiaries to, sell, issue, sponsor, create or distribute any digital tokens, cryptocurrency or other blockchain-based assets (collectively, “</w:t>
      </w:r>
      <w:r>
        <w:rPr>
          <w:rFonts w:ascii="Arial" w:cs="Arial" w:eastAsia="Arial" w:hAnsi="Arial"/>
          <w:sz w:val="17"/>
          <w:szCs w:val="17"/>
          <w:b w:val="1"/>
          <w:bCs w:val="1"/>
          <w:color w:val="auto"/>
        </w:rPr>
        <w:t>Tokens</w:t>
      </w:r>
      <w:r>
        <w:rPr>
          <w:rFonts w:ascii="Arial" w:cs="Arial" w:eastAsia="Arial" w:hAnsi="Arial"/>
          <w:sz w:val="17"/>
          <w:szCs w:val="17"/>
          <w:color w:val="auto"/>
        </w:rPr>
        <w:t>”), including through a pre-sale, initial coin offering, token distribution event or crowdfunding, or through the issuance of any instrument convertible into or exchangeable for Tokens; or</w:t>
      </w:r>
    </w:p>
    <w:p>
      <w:pPr>
        <w:spacing w:after="0" w:line="62" w:lineRule="exact"/>
        <w:rPr>
          <w:sz w:val="20"/>
          <w:szCs w:val="20"/>
          <w:color w:val="auto"/>
        </w:rPr>
      </w:pPr>
    </w:p>
    <w:p>
      <w:pPr>
        <w:ind w:left="440" w:firstLine="1362"/>
        <w:spacing w:after="0" w:line="253" w:lineRule="auto"/>
        <w:rPr>
          <w:sz w:val="20"/>
          <w:szCs w:val="20"/>
          <w:color w:val="auto"/>
        </w:rPr>
      </w:pPr>
      <w:r>
        <w:rPr>
          <w:rFonts w:ascii="Arial" w:cs="Arial" w:eastAsia="Arial" w:hAnsi="Arial"/>
          <w:sz w:val="18"/>
          <w:szCs w:val="18"/>
          <w:color w:val="auto"/>
        </w:rPr>
        <w:t>3.3.14. enter into any transaction between or among this Corporation, on the one hand, and any director, officer, employee or member of the family of any such persons, on the other hand, except for (i) transactions with employees related to such persons’ employment in the ordinary course of business or (ii)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93" w:lineRule="exact"/>
        <w:rPr>
          <w:sz w:val="20"/>
          <w:szCs w:val="20"/>
          <w:color w:val="auto"/>
        </w:rPr>
      </w:pPr>
    </w:p>
    <w:p>
      <w:pPr>
        <w:ind w:right="60" w:firstLine="1419"/>
        <w:spacing w:after="0" w:line="25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xml:space="preserve">. At any time when any shares of Series B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holders of at least sixty percent (60%) of the outstanding shares of Series B Preferred Stock, voting separately, and any transaction entered into without such consent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86" w:lineRule="exact"/>
        <w:rPr>
          <w:sz w:val="20"/>
          <w:szCs w:val="20"/>
          <w:color w:val="auto"/>
        </w:rPr>
      </w:pPr>
    </w:p>
    <w:p>
      <w:pPr>
        <w:ind w:left="440" w:firstLine="1362"/>
        <w:spacing w:after="0" w:line="287" w:lineRule="auto"/>
        <w:rPr>
          <w:sz w:val="20"/>
          <w:szCs w:val="20"/>
          <w:color w:val="auto"/>
        </w:rPr>
      </w:pPr>
      <w:r>
        <w:rPr>
          <w:rFonts w:ascii="Arial" w:cs="Arial" w:eastAsia="Arial" w:hAnsi="Arial"/>
          <w:sz w:val="16"/>
          <w:szCs w:val="16"/>
          <w:color w:val="auto"/>
        </w:rPr>
        <w:t xml:space="preserve">3.4.1. alter or change the powers, preferences, or special rights of the shares of the Series B Preferred Stock so as to affect them adversely; provided however, that the authorization and issuance of any equity securities (including any security convertible into or exercisable for any equity security) having rights, preferences or privileges with respect to the payment of dividends or distribution of assets upon a Deemed Liquidation Event which are senior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Series B Preferred Stock, shall not be deemed to be an alteration or change of the powers, preferences, or special rights of the shares of the Series B Preferred Stock; provided further, that a transaction that constitutes a Deemed Liquidation Event in which the shares of Series B Preferred Stock are converted into the right to receive consideration in connection with such Deemed Liquidation Event shall not by itself constitute an alteration or change of powers, preferences or special rights of the shares of Series B Preferred Stock pursuant to this </w:t>
      </w:r>
      <w:r>
        <w:rPr>
          <w:rFonts w:ascii="Arial" w:cs="Arial" w:eastAsia="Arial" w:hAnsi="Arial"/>
          <w:sz w:val="16"/>
          <w:szCs w:val="16"/>
          <w:u w:val="single" w:color="auto"/>
          <w:color w:val="auto"/>
        </w:rPr>
        <w:t>Section 3.4.1</w:t>
      </w:r>
      <w:r>
        <w:rPr>
          <w:rFonts w:ascii="Arial" w:cs="Arial" w:eastAsia="Arial" w:hAnsi="Arial"/>
          <w:sz w:val="16"/>
          <w:szCs w:val="16"/>
          <w:color w:val="auto"/>
        </w:rPr>
        <w:t xml:space="preserve">, so long as such consideration is distributed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or</w:t>
      </w:r>
    </w:p>
    <w:p>
      <w:pPr>
        <w:spacing w:after="0" w:line="59" w:lineRule="exact"/>
        <w:rPr>
          <w:sz w:val="20"/>
          <w:szCs w:val="20"/>
          <w:color w:val="auto"/>
        </w:rPr>
      </w:pPr>
    </w:p>
    <w:p>
      <w:pPr>
        <w:ind w:left="1800"/>
        <w:spacing w:after="0"/>
        <w:tabs>
          <w:tab w:leader="none" w:pos="240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4"/>
          <w:szCs w:val="14"/>
          <w:color w:val="auto"/>
        </w:rPr>
        <w:t>increase or decrease the authorized number of shares of Series B Preferred Stock.</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72" w:right="519" w:bottom="1440" w:gutter="0" w:footer="0" w:header="0"/>
        </w:sectPr>
      </w:pPr>
    </w:p>
    <w:bookmarkStart w:id="229" w:name="page230"/>
    <w:bookmarkEnd w:id="229"/>
    <w:p>
      <w:pPr>
        <w:ind w:right="60" w:firstLine="1419"/>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3.5. </w:t>
      </w:r>
      <w:r>
        <w:rPr>
          <w:rFonts w:ascii="Arial" w:cs="Arial" w:eastAsia="Arial" w:hAnsi="Arial"/>
          <w:sz w:val="18"/>
          <w:szCs w:val="18"/>
          <w:u w:val="single" w:color="auto"/>
          <w:color w:val="auto"/>
        </w:rPr>
        <w:t>Series C Preferred Stock Protective Provisions</w:t>
      </w:r>
      <w:r>
        <w:rPr>
          <w:rFonts w:ascii="Arial" w:cs="Arial" w:eastAsia="Arial" w:hAnsi="Arial"/>
          <w:sz w:val="18"/>
          <w:szCs w:val="18"/>
          <w:color w:val="auto"/>
        </w:rPr>
        <w:t xml:space="preserve">. At any time when any shares of Series C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holders of a majority of the outstanding shares of Series C Preferred Stock, voting separately, and any transaction entered into without such consent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86" w:lineRule="exact"/>
        <w:rPr>
          <w:sz w:val="20"/>
          <w:szCs w:val="20"/>
          <w:color w:val="auto"/>
        </w:rPr>
      </w:pPr>
    </w:p>
    <w:p>
      <w:pPr>
        <w:ind w:left="440" w:firstLine="1362"/>
        <w:spacing w:after="0" w:line="287" w:lineRule="auto"/>
        <w:rPr>
          <w:sz w:val="20"/>
          <w:szCs w:val="20"/>
          <w:color w:val="auto"/>
        </w:rPr>
      </w:pPr>
      <w:r>
        <w:rPr>
          <w:rFonts w:ascii="Arial" w:cs="Arial" w:eastAsia="Arial" w:hAnsi="Arial"/>
          <w:sz w:val="16"/>
          <w:szCs w:val="16"/>
          <w:color w:val="auto"/>
        </w:rPr>
        <w:t xml:space="preserve">3.5.1. alter or change the powers, preferences, or special rights of the shares of the Series C Preferred Stock so as to affect them adversely; provided however, that the authorization and issuance of any equity securities (including any security convertible into or exercisable for any equity security) having rights, preferences or privileges with respect to the payment of dividends or distribution of assets upon a Deemed Liquidation Event which are senior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Series C Preferred Stock, shall not be deemed to be an alteration or change of the powers, preferences, or special rights of the shares of the Series C Preferred Stock; provided further, that a transaction that constitutes a Deemed Liquidation Event in which the shares of Series C Preferred Stock are converted into the right to receive consideration in connection with such Deemed Liquidation Event shall not by itself constitute an alteration or change of powers, preferences or special rights of the shares of Series C Preferred Stock pursuant to this </w:t>
      </w:r>
      <w:r>
        <w:rPr>
          <w:rFonts w:ascii="Arial" w:cs="Arial" w:eastAsia="Arial" w:hAnsi="Arial"/>
          <w:sz w:val="16"/>
          <w:szCs w:val="16"/>
          <w:u w:val="single" w:color="auto"/>
          <w:color w:val="auto"/>
        </w:rPr>
        <w:t>Section 3.5.1</w:t>
      </w:r>
      <w:r>
        <w:rPr>
          <w:rFonts w:ascii="Arial" w:cs="Arial" w:eastAsia="Arial" w:hAnsi="Arial"/>
          <w:sz w:val="16"/>
          <w:szCs w:val="16"/>
          <w:color w:val="auto"/>
        </w:rPr>
        <w:t xml:space="preserve">, so long as such consideration is distributed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or</w:t>
      </w:r>
    </w:p>
    <w:p>
      <w:pPr>
        <w:spacing w:after="0" w:line="59" w:lineRule="exact"/>
        <w:rPr>
          <w:sz w:val="20"/>
          <w:szCs w:val="20"/>
          <w:color w:val="auto"/>
        </w:rPr>
      </w:pPr>
    </w:p>
    <w:p>
      <w:pPr>
        <w:ind w:left="1800"/>
        <w:spacing w:after="0"/>
        <w:tabs>
          <w:tab w:leader="none" w:pos="240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4"/>
          <w:szCs w:val="14"/>
          <w:color w:val="auto"/>
        </w:rPr>
        <w:t>increase or decrease the authorized number of shares of Series C Preferred Stock.</w:t>
      </w:r>
    </w:p>
    <w:p>
      <w:pPr>
        <w:spacing w:after="0" w:line="221" w:lineRule="exact"/>
        <w:rPr>
          <w:sz w:val="20"/>
          <w:szCs w:val="20"/>
          <w:color w:val="auto"/>
        </w:rPr>
      </w:pPr>
    </w:p>
    <w:p>
      <w:pPr>
        <w:ind w:right="40" w:firstLine="1419"/>
        <w:spacing w:after="0" w:line="275"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Series D Preferred Stock Protective Provisions</w:t>
      </w:r>
      <w:r>
        <w:rPr>
          <w:rFonts w:ascii="Arial" w:cs="Arial" w:eastAsia="Arial" w:hAnsi="Arial"/>
          <w:sz w:val="17"/>
          <w:szCs w:val="17"/>
          <w:color w:val="auto"/>
        </w:rPr>
        <w:t xml:space="preserve">. At any time when any shares of Series D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the Requisite Series D Holders and any transaction entered into without such consent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7" w:lineRule="exact"/>
        <w:rPr>
          <w:sz w:val="20"/>
          <w:szCs w:val="20"/>
          <w:color w:val="auto"/>
        </w:rPr>
      </w:pPr>
    </w:p>
    <w:p>
      <w:pPr>
        <w:ind w:left="440" w:firstLine="1362"/>
        <w:spacing w:after="0" w:line="287" w:lineRule="auto"/>
        <w:rPr>
          <w:sz w:val="20"/>
          <w:szCs w:val="20"/>
          <w:color w:val="auto"/>
        </w:rPr>
      </w:pPr>
      <w:r>
        <w:rPr>
          <w:rFonts w:ascii="Arial" w:cs="Arial" w:eastAsia="Arial" w:hAnsi="Arial"/>
          <w:sz w:val="16"/>
          <w:szCs w:val="16"/>
          <w:color w:val="auto"/>
        </w:rPr>
        <w:t xml:space="preserve">3.6.1. alter or change the powers, preferences, or special rights of the shares of the Series D Preferred Stock so as to affect them adversely; provided however, that the authorization and issuance of any equity securities (including any security convertible into or exercisable for any equity security) having rights, preferences or privileges with respect to the payment of dividends or distribution of assets upon a Deemed Liquidation Event which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D Preferred Stock, shall not be deemed to be an alteration or change of the powers, preferences, or special rights of the shares of the Series D Preferred Stock; provided further, that a transaction that constitutes a Deemed Liquidation Event in which the shares of Series D Preferred Stock are converted into the right to receive consideration in connection with such Deemed Liquidation Event shall not by itself constitute an alteration or change of powers, preferences or special rights of the shares of Series D Preferred Stock pursuant to this </w:t>
      </w:r>
      <w:r>
        <w:rPr>
          <w:rFonts w:ascii="Arial" w:cs="Arial" w:eastAsia="Arial" w:hAnsi="Arial"/>
          <w:sz w:val="16"/>
          <w:szCs w:val="16"/>
          <w:u w:val="single" w:color="auto"/>
          <w:color w:val="auto"/>
        </w:rPr>
        <w:t>Section 3.6.1</w:t>
      </w:r>
      <w:r>
        <w:rPr>
          <w:rFonts w:ascii="Arial" w:cs="Arial" w:eastAsia="Arial" w:hAnsi="Arial"/>
          <w:sz w:val="16"/>
          <w:szCs w:val="16"/>
          <w:color w:val="auto"/>
        </w:rPr>
        <w:t xml:space="preserve">, so long as such consideration is distributed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80" w:top="272" w:right="519" w:bottom="1440" w:gutter="0" w:footer="0" w:header="0"/>
        </w:sectPr>
      </w:pPr>
    </w:p>
    <w:bookmarkStart w:id="230" w:name="page231"/>
    <w:bookmarkEnd w:id="230"/>
    <w:p>
      <w:pPr>
        <w:ind w:left="1800"/>
        <w:spacing w:after="0"/>
        <w:tabs>
          <w:tab w:leader="none" w:pos="2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3.6.2.</w:t>
      </w:r>
      <w:r>
        <w:rPr>
          <w:sz w:val="20"/>
          <w:szCs w:val="20"/>
          <w:color w:val="auto"/>
        </w:rPr>
        <w:tab/>
      </w:r>
      <w:r>
        <w:rPr>
          <w:rFonts w:ascii="Arial" w:cs="Arial" w:eastAsia="Arial" w:hAnsi="Arial"/>
          <w:sz w:val="14"/>
          <w:szCs w:val="14"/>
          <w:color w:val="auto"/>
        </w:rPr>
        <w:t>increase or decrease the authorized number of shares of Series D Preferred Stock; or</w:t>
      </w:r>
    </w:p>
    <w:p>
      <w:pPr>
        <w:spacing w:after="0" w:line="114" w:lineRule="exact"/>
        <w:rPr>
          <w:sz w:val="20"/>
          <w:szCs w:val="20"/>
          <w:color w:val="auto"/>
        </w:rPr>
      </w:pPr>
    </w:p>
    <w:p>
      <w:pPr>
        <w:ind w:left="440" w:right="20" w:firstLine="1362"/>
        <w:spacing w:after="0" w:line="269" w:lineRule="auto"/>
        <w:rPr>
          <w:sz w:val="20"/>
          <w:szCs w:val="20"/>
          <w:color w:val="auto"/>
        </w:rPr>
      </w:pPr>
      <w:r>
        <w:rPr>
          <w:rFonts w:ascii="Arial" w:cs="Arial" w:eastAsia="Arial" w:hAnsi="Arial"/>
          <w:sz w:val="17"/>
          <w:szCs w:val="17"/>
          <w:color w:val="auto"/>
        </w:rPr>
        <w:t xml:space="preserve">3.6.3. (i) reclassify, alter or amend any existing security of the Corporation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D Preferred Stock in respect of the distribution of assets on the liquidation, dissolution or winding up of the Corporation, the payment of dividends or rights of redemption, if such reclassification, alteration or amendment would render such other security senior to the Series D Preferred Stock in respect of any such right, preference, or privilege or (ii) reclassify, alter or amend any existing security of the Corporation that is junior to the Series D Preferred Stock in respect 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D Preferred Stock in respect of any such right, preference or privilege.</w:t>
      </w:r>
    </w:p>
    <w:p>
      <w:pPr>
        <w:spacing w:after="0" w:line="178" w:lineRule="exact"/>
        <w:rPr>
          <w:sz w:val="20"/>
          <w:szCs w:val="20"/>
          <w:color w:val="auto"/>
        </w:rPr>
      </w:pPr>
    </w:p>
    <w:p>
      <w:pPr>
        <w:ind w:right="80" w:firstLine="1419"/>
        <w:spacing w:after="0" w:line="275"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Series E Preferred Stock Protective Provisions</w:t>
      </w:r>
      <w:r>
        <w:rPr>
          <w:rFonts w:ascii="Arial" w:cs="Arial" w:eastAsia="Arial" w:hAnsi="Arial"/>
          <w:sz w:val="17"/>
          <w:szCs w:val="17"/>
          <w:color w:val="auto"/>
        </w:rPr>
        <w:t xml:space="preserve">. At any time when any shares of Series E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the Requisite Series E Holders and any transaction entered into without such consent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7" w:lineRule="exact"/>
        <w:rPr>
          <w:sz w:val="20"/>
          <w:szCs w:val="20"/>
          <w:color w:val="auto"/>
        </w:rPr>
      </w:pPr>
    </w:p>
    <w:p>
      <w:pPr>
        <w:ind w:left="440" w:firstLine="1362"/>
        <w:spacing w:after="0" w:line="287" w:lineRule="auto"/>
        <w:rPr>
          <w:sz w:val="20"/>
          <w:szCs w:val="20"/>
          <w:color w:val="auto"/>
        </w:rPr>
      </w:pPr>
      <w:r>
        <w:rPr>
          <w:rFonts w:ascii="Arial" w:cs="Arial" w:eastAsia="Arial" w:hAnsi="Arial"/>
          <w:sz w:val="16"/>
          <w:szCs w:val="16"/>
          <w:color w:val="auto"/>
        </w:rPr>
        <w:t xml:space="preserve">3.7.1. alter or change the powers, privileges, preferences, or special rights of the shares of the Series E Preferred Stock so as to affect them adversely; provided however, that the authorization and issuance of any equity securities (including any security convertible into or exercisable for any equity security) having rights, preferences or privileges with respect to the payment of dividends or distribution of assets upon a Deemed Liquidation Event which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E Preferred Stock, shall not be deemed to be an alteration or change of the powers, preferences, or special rights of the shares of the Series E Preferred Stock; provided further, that a transaction that constitutes a Deemed Liquidation Event in which the shares of Series E Preferred Stock are converted into the right to receive consideration in connection with such Deemed Liquidation Event shall not by itself constitute an alteration or change of powers, preferences or special rights of the shares of Series E Preferred Stock pursuant to this </w:t>
      </w:r>
      <w:r>
        <w:rPr>
          <w:rFonts w:ascii="Arial" w:cs="Arial" w:eastAsia="Arial" w:hAnsi="Arial"/>
          <w:sz w:val="16"/>
          <w:szCs w:val="16"/>
          <w:u w:val="single" w:color="auto"/>
          <w:color w:val="auto"/>
        </w:rPr>
        <w:t>Section 3.7.1</w:t>
      </w:r>
      <w:r>
        <w:rPr>
          <w:rFonts w:ascii="Arial" w:cs="Arial" w:eastAsia="Arial" w:hAnsi="Arial"/>
          <w:sz w:val="16"/>
          <w:szCs w:val="16"/>
          <w:color w:val="auto"/>
        </w:rPr>
        <w:t xml:space="preserve">, so long as such consideration is distributed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w:t>
      </w:r>
    </w:p>
    <w:p>
      <w:pPr>
        <w:spacing w:after="0" w:line="59" w:lineRule="exact"/>
        <w:rPr>
          <w:sz w:val="20"/>
          <w:szCs w:val="20"/>
          <w:color w:val="auto"/>
        </w:rPr>
      </w:pPr>
    </w:p>
    <w:p>
      <w:pPr>
        <w:ind w:left="1800"/>
        <w:spacing w:after="0"/>
        <w:tabs>
          <w:tab w:leader="none" w:pos="240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4"/>
          <w:szCs w:val="14"/>
          <w:color w:val="auto"/>
        </w:rPr>
        <w:t>increase or decrease the authorized number of shares of Series E Preferred Stock;</w:t>
      </w:r>
    </w:p>
    <w:p>
      <w:pPr>
        <w:spacing w:after="0" w:line="114" w:lineRule="exact"/>
        <w:rPr>
          <w:sz w:val="20"/>
          <w:szCs w:val="20"/>
          <w:color w:val="auto"/>
        </w:rPr>
      </w:pPr>
    </w:p>
    <w:p>
      <w:pPr>
        <w:ind w:left="440" w:right="20" w:firstLine="1362"/>
        <w:spacing w:after="0" w:line="253" w:lineRule="auto"/>
        <w:rPr>
          <w:sz w:val="20"/>
          <w:szCs w:val="20"/>
          <w:color w:val="auto"/>
        </w:rPr>
      </w:pPr>
      <w:r>
        <w:rPr>
          <w:rFonts w:ascii="Arial" w:cs="Arial" w:eastAsia="Arial" w:hAnsi="Arial"/>
          <w:sz w:val="18"/>
          <w:szCs w:val="18"/>
          <w:color w:val="auto"/>
        </w:rPr>
        <w:t xml:space="preserve">3.7.3. (i) reclassify, alter or amend any existing security of the Corporation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E Preferred Stock in respect of the distribution of assets on the liquidation, dissolution or winding up of the Corporation, the payment of dividends or rights of redemption, if such reclassification, alteration or amendment would render such other security senior to the Series E Preferred Stock in respect of any such right, preference, or privilege or (ii) reclassify, alter or amend any existing security of the Corporation that is junior to the Series E Preferred Stock in respect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80" w:top="272" w:right="519" w:bottom="1440" w:gutter="0" w:footer="0" w:header="0"/>
        </w:sectPr>
      </w:pPr>
    </w:p>
    <w:bookmarkStart w:id="231" w:name="page232"/>
    <w:bookmarkEnd w:id="231"/>
    <w:p>
      <w:pPr>
        <w:ind w:left="44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E Preferred Stock in respect of any such right, preference or privilege; or</w:t>
      </w:r>
    </w:p>
    <w:p>
      <w:pPr>
        <w:spacing w:after="0" w:line="79" w:lineRule="exact"/>
        <w:rPr>
          <w:sz w:val="20"/>
          <w:szCs w:val="20"/>
          <w:color w:val="auto"/>
        </w:rPr>
      </w:pPr>
    </w:p>
    <w:p>
      <w:pPr>
        <w:ind w:left="440" w:right="200" w:firstLine="1362"/>
        <w:spacing w:after="0" w:line="271" w:lineRule="auto"/>
        <w:rPr>
          <w:sz w:val="20"/>
          <w:szCs w:val="20"/>
          <w:color w:val="auto"/>
        </w:rPr>
      </w:pPr>
      <w:r>
        <w:rPr>
          <w:rFonts w:ascii="Arial" w:cs="Arial" w:eastAsia="Arial" w:hAnsi="Arial"/>
          <w:sz w:val="18"/>
          <w:szCs w:val="18"/>
          <w:color w:val="auto"/>
        </w:rPr>
        <w:t>3.7.4. amend the definition of Qualified IPO herein to reduce the amount of required gross proceeds below $50,000,000 or the minimum price per share below $20.43 (as adjusted for stock splits, dividends and the like).</w:t>
      </w:r>
    </w:p>
    <w:p>
      <w:pPr>
        <w:spacing w:after="0" w:line="175" w:lineRule="exact"/>
        <w:rPr>
          <w:sz w:val="20"/>
          <w:szCs w:val="20"/>
          <w:color w:val="auto"/>
        </w:rPr>
      </w:pPr>
    </w:p>
    <w:p>
      <w:pPr>
        <w:ind w:right="20" w:firstLine="1419"/>
        <w:spacing w:after="0" w:line="270"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Series E, Series D and Series C Preferred Stock Protective Provisions</w:t>
      </w:r>
      <w:r>
        <w:rPr>
          <w:rFonts w:ascii="Arial" w:cs="Arial" w:eastAsia="Arial" w:hAnsi="Arial"/>
          <w:sz w:val="17"/>
          <w:szCs w:val="17"/>
          <w:color w:val="auto"/>
        </w:rPr>
        <w:t xml:space="preserve">. At any time when any shares of Series E, Series D Preferred Stock or Series C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the holders of a majority of the outstanding shares of Series E Preferred Stock, Series D Preferred Stock and Series C Preferred Stock, voting together as a single class and not as separate series and on an as-converted basis, and any transaction entered into without such consent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71" w:lineRule="exact"/>
        <w:rPr>
          <w:sz w:val="20"/>
          <w:szCs w:val="20"/>
          <w:color w:val="auto"/>
        </w:rPr>
      </w:pPr>
    </w:p>
    <w:p>
      <w:pPr>
        <w:ind w:left="440" w:firstLine="1362"/>
        <w:spacing w:after="0" w:line="255" w:lineRule="auto"/>
        <w:rPr>
          <w:sz w:val="20"/>
          <w:szCs w:val="20"/>
          <w:color w:val="auto"/>
        </w:rPr>
      </w:pPr>
      <w:r>
        <w:rPr>
          <w:rFonts w:ascii="Arial" w:cs="Arial" w:eastAsia="Arial" w:hAnsi="Arial"/>
          <w:sz w:val="18"/>
          <w:szCs w:val="18"/>
          <w:color w:val="auto"/>
        </w:rPr>
        <w:t>3.8.1. effect the sale, liquidation, dissolution, winding up, merger or Deemed Liquidation Event of the Corporation or any other transaction in which control of the Corporation is transferred, or consent to any of the foregoing unless the holders of Series C Preferred Stock, Series D Preferred Stock and Series E Preferred Stock receive proceeds in excess of $20.43 per share (as adjusted for stock splits, dividends and the like);</w:t>
      </w:r>
    </w:p>
    <w:p>
      <w:pPr>
        <w:spacing w:after="0" w:line="83" w:lineRule="exact"/>
        <w:rPr>
          <w:sz w:val="20"/>
          <w:szCs w:val="20"/>
          <w:color w:val="auto"/>
        </w:rPr>
      </w:pPr>
    </w:p>
    <w:p>
      <w:pPr>
        <w:ind w:left="440" w:right="420" w:firstLine="1362"/>
        <w:spacing w:after="0" w:line="271" w:lineRule="auto"/>
        <w:rPr>
          <w:sz w:val="20"/>
          <w:szCs w:val="20"/>
          <w:color w:val="auto"/>
        </w:rPr>
      </w:pPr>
      <w:r>
        <w:rPr>
          <w:rFonts w:ascii="Arial" w:cs="Arial" w:eastAsia="Arial" w:hAnsi="Arial"/>
          <w:sz w:val="18"/>
          <w:szCs w:val="18"/>
          <w:color w:val="auto"/>
        </w:rPr>
        <w:t>3.8.2. amend the definition of Qualified IPO to reduce the amount of required gross proceeds below $50,000,000 or the minimum price per share below $20.43 (as adjusted for stock splits, dividends and the like);</w:t>
      </w:r>
    </w:p>
    <w:p>
      <w:pPr>
        <w:spacing w:after="0" w:line="68" w:lineRule="exact"/>
        <w:rPr>
          <w:sz w:val="20"/>
          <w:szCs w:val="20"/>
          <w:color w:val="auto"/>
        </w:rPr>
      </w:pPr>
    </w:p>
    <w:p>
      <w:pPr>
        <w:ind w:left="1800"/>
        <w:spacing w:after="0"/>
        <w:tabs>
          <w:tab w:leader="none" w:pos="240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 xml:space="preserve">amend </w:t>
      </w:r>
      <w:r>
        <w:rPr>
          <w:rFonts w:ascii="Arial" w:cs="Arial" w:eastAsia="Arial" w:hAnsi="Arial"/>
          <w:sz w:val="16"/>
          <w:szCs w:val="16"/>
          <w:u w:val="single" w:color="auto"/>
          <w:color w:val="auto"/>
        </w:rPr>
        <w:t>Subsections 2.3.1(a)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xml:space="preserve"> of this Amended and Restated Certificate of Incorporation; or</w:t>
      </w:r>
    </w:p>
    <w:p>
      <w:pPr>
        <w:spacing w:after="0" w:line="114" w:lineRule="exact"/>
        <w:rPr>
          <w:sz w:val="20"/>
          <w:szCs w:val="20"/>
          <w:color w:val="auto"/>
        </w:rPr>
      </w:pPr>
    </w:p>
    <w:p>
      <w:pPr>
        <w:ind w:left="440" w:right="220" w:firstLine="1362"/>
        <w:spacing w:after="0" w:line="259" w:lineRule="auto"/>
        <w:rPr>
          <w:sz w:val="20"/>
          <w:szCs w:val="20"/>
          <w:color w:val="auto"/>
        </w:rPr>
      </w:pPr>
      <w:r>
        <w:rPr>
          <w:rFonts w:ascii="Arial" w:cs="Arial" w:eastAsia="Arial" w:hAnsi="Arial"/>
          <w:sz w:val="18"/>
          <w:szCs w:val="18"/>
          <w:color w:val="auto"/>
        </w:rPr>
        <w:t xml:space="preserve">3.8.4. declare or pay any dividend other than (i) dividends or distributions on the Preferred Stock in accordance with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 xml:space="preserve"> or (ii) dividends or other distributions payable on the Common Stock in accordance with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w:t>
      </w:r>
    </w:p>
    <w:p>
      <w:pPr>
        <w:spacing w:after="0" w:line="182" w:lineRule="exact"/>
        <w:rPr>
          <w:sz w:val="20"/>
          <w:szCs w:val="20"/>
          <w:color w:val="auto"/>
        </w:rPr>
      </w:pPr>
    </w:p>
    <w:p>
      <w:pPr>
        <w:ind w:left="1340" w:hanging="350"/>
        <w:spacing w:after="0"/>
        <w:tabs>
          <w:tab w:leader="none" w:pos="134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The holders of the Preferred Stock shall have conversion rights as follows (the “</w:t>
      </w:r>
      <w:r>
        <w:rPr>
          <w:rFonts w:ascii="Arial" w:cs="Arial" w:eastAsia="Arial" w:hAnsi="Arial"/>
          <w:sz w:val="17"/>
          <w:szCs w:val="17"/>
          <w:b w:val="1"/>
          <w:bCs w:val="1"/>
          <w:color w:val="auto"/>
        </w:rPr>
        <w:t>Conversion Rights</w:t>
      </w:r>
      <w:r>
        <w:rPr>
          <w:rFonts w:ascii="Arial" w:cs="Arial" w:eastAsia="Arial" w:hAnsi="Arial"/>
          <w:sz w:val="17"/>
          <w:szCs w:val="17"/>
          <w:color w:val="auto"/>
        </w:rPr>
        <w:t>”):</w:t>
      </w:r>
    </w:p>
    <w:p>
      <w:pPr>
        <w:spacing w:after="0" w:line="343" w:lineRule="exact"/>
        <w:rPr>
          <w:sz w:val="20"/>
          <w:szCs w:val="20"/>
          <w:color w:val="auto"/>
        </w:rPr>
      </w:pPr>
    </w:p>
    <w:p>
      <w:pPr>
        <w:ind w:left="1420"/>
        <w:spacing w:after="0"/>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114" w:lineRule="exact"/>
        <w:rPr>
          <w:sz w:val="20"/>
          <w:szCs w:val="20"/>
          <w:color w:val="auto"/>
        </w:rPr>
      </w:pPr>
    </w:p>
    <w:p>
      <w:pPr>
        <w:ind w:left="440" w:right="180" w:firstLine="1362"/>
        <w:spacing w:after="0" w:line="27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As of the Original Issue Date, the “</w:t>
      </w:r>
      <w:r>
        <w:rPr>
          <w:rFonts w:ascii="Arial" w:cs="Arial" w:eastAsia="Arial" w:hAnsi="Arial"/>
          <w:sz w:val="17"/>
          <w:szCs w:val="17"/>
          <w:b w:val="1"/>
          <w:bCs w:val="1"/>
          <w:color w:val="auto"/>
        </w:rPr>
        <w:t>Series E Conversion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2" w:right="499" w:bottom="1440" w:gutter="0" w:footer="0" w:header="0"/>
        </w:sectPr>
      </w:pPr>
    </w:p>
    <w:bookmarkStart w:id="232" w:name="page233"/>
    <w:bookmarkEnd w:id="232"/>
    <w:p>
      <w:pPr>
        <w:ind w:left="440" w:right="20"/>
        <w:spacing w:after="0" w:line="26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Price</w:t>
      </w:r>
      <w:r>
        <w:rPr>
          <w:rFonts w:ascii="Arial" w:cs="Arial" w:eastAsia="Arial" w:hAnsi="Arial"/>
          <w:sz w:val="17"/>
          <w:szCs w:val="17"/>
          <w:color w:val="auto"/>
        </w:rPr>
        <w:t>” shall be equal to the Series E Original Issue Price, the “</w:t>
      </w:r>
      <w:r>
        <w:rPr>
          <w:rFonts w:ascii="Arial" w:cs="Arial" w:eastAsia="Arial" w:hAnsi="Arial"/>
          <w:sz w:val="17"/>
          <w:szCs w:val="17"/>
          <w:b w:val="1"/>
          <w:bCs w:val="1"/>
          <w:color w:val="auto"/>
        </w:rPr>
        <w:t>Series D Conversion Price</w:t>
      </w:r>
      <w:r>
        <w:rPr>
          <w:rFonts w:ascii="Arial" w:cs="Arial" w:eastAsia="Arial" w:hAnsi="Arial"/>
          <w:sz w:val="17"/>
          <w:szCs w:val="17"/>
          <w:color w:val="auto"/>
        </w:rPr>
        <w:t>” shall be equal to the Series D Original Issue Price,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Series C Conversion Price</w:t>
      </w:r>
      <w:r>
        <w:rPr>
          <w:rFonts w:ascii="Arial" w:cs="Arial" w:eastAsia="Arial" w:hAnsi="Arial"/>
          <w:sz w:val="17"/>
          <w:szCs w:val="17"/>
          <w:color w:val="auto"/>
        </w:rPr>
        <w:t>” shall be equal to the Series C Original Issue Price, the “</w:t>
      </w:r>
      <w:r>
        <w:rPr>
          <w:rFonts w:ascii="Arial" w:cs="Arial" w:eastAsia="Arial" w:hAnsi="Arial"/>
          <w:sz w:val="17"/>
          <w:szCs w:val="17"/>
          <w:b w:val="1"/>
          <w:bCs w:val="1"/>
          <w:color w:val="auto"/>
        </w:rPr>
        <w:t>Series B Conversion Price</w:t>
      </w:r>
      <w:r>
        <w:rPr>
          <w:rFonts w:ascii="Arial" w:cs="Arial" w:eastAsia="Arial" w:hAnsi="Arial"/>
          <w:sz w:val="17"/>
          <w:szCs w:val="17"/>
          <w:color w:val="auto"/>
        </w:rPr>
        <w:t>” shall be equal to the Series B Original Issue Price, the “</w:t>
      </w:r>
      <w:r>
        <w:rPr>
          <w:rFonts w:ascii="Arial" w:cs="Arial" w:eastAsia="Arial" w:hAnsi="Arial"/>
          <w:sz w:val="17"/>
          <w:szCs w:val="17"/>
          <w:b w:val="1"/>
          <w:bCs w:val="1"/>
          <w:color w:val="auto"/>
        </w:rPr>
        <w:t>Series A-2 Conversion Price</w:t>
      </w:r>
      <w:r>
        <w:rPr>
          <w:rFonts w:ascii="Arial" w:cs="Arial" w:eastAsia="Arial" w:hAnsi="Arial"/>
          <w:sz w:val="17"/>
          <w:szCs w:val="17"/>
          <w:color w:val="auto"/>
        </w:rPr>
        <w:t>” shall be equal to the Series A-2 Original Issue Price, the “</w:t>
      </w:r>
      <w:r>
        <w:rPr>
          <w:rFonts w:ascii="Arial" w:cs="Arial" w:eastAsia="Arial" w:hAnsi="Arial"/>
          <w:sz w:val="17"/>
          <w:szCs w:val="17"/>
          <w:b w:val="1"/>
          <w:bCs w:val="1"/>
          <w:color w:val="auto"/>
        </w:rPr>
        <w:t>Series A-1 Conversion Price</w:t>
      </w:r>
      <w:r>
        <w:rPr>
          <w:rFonts w:ascii="Arial" w:cs="Arial" w:eastAsia="Arial" w:hAnsi="Arial"/>
          <w:sz w:val="17"/>
          <w:szCs w:val="17"/>
          <w:color w:val="auto"/>
        </w:rPr>
        <w:t>” shall be equal to the Series A-1 Original Issue Price, the “</w:t>
      </w:r>
      <w:r>
        <w:rPr>
          <w:rFonts w:ascii="Arial" w:cs="Arial" w:eastAsia="Arial" w:hAnsi="Arial"/>
          <w:sz w:val="17"/>
          <w:szCs w:val="17"/>
          <w:b w:val="1"/>
          <w:bCs w:val="1"/>
          <w:color w:val="auto"/>
        </w:rPr>
        <w:t>Series Seed-2 Conversion Price</w:t>
      </w:r>
      <w:r>
        <w:rPr>
          <w:rFonts w:ascii="Arial" w:cs="Arial" w:eastAsia="Arial" w:hAnsi="Arial"/>
          <w:sz w:val="17"/>
          <w:szCs w:val="17"/>
          <w:color w:val="auto"/>
        </w:rPr>
        <w:t>” shall be equal to the Series Seed-2 Original Issue Price and the “</w:t>
      </w:r>
      <w:r>
        <w:rPr>
          <w:rFonts w:ascii="Arial" w:cs="Arial" w:eastAsia="Arial" w:hAnsi="Arial"/>
          <w:sz w:val="17"/>
          <w:szCs w:val="17"/>
          <w:b w:val="1"/>
          <w:bCs w:val="1"/>
          <w:color w:val="auto"/>
        </w:rPr>
        <w:t>Series Seed-1 Conversion Price</w:t>
      </w:r>
      <w:r>
        <w:rPr>
          <w:rFonts w:ascii="Arial" w:cs="Arial" w:eastAsia="Arial" w:hAnsi="Arial"/>
          <w:sz w:val="17"/>
          <w:szCs w:val="17"/>
          <w:color w:val="auto"/>
        </w:rPr>
        <w:t>” shall be equal to the Series Seed-1 Original Issue Price. Such Series E Conversion Price, Series D Conversion Price, Series C Conversion Price, Series B Conversion Price, Series A-2 Conversion Price, Series A-1 Conversion Price, Series Seed-2 Conversion Price and Series Seed-1 Conversion Price, and the rate at which shares of Series E Preferred Stock, Series D Preferred Stock, Series C Preferred Stock, Series B Preferred Stock, Series A-2 Preferred Stock, Series A-1 Preferred Stock, Series Seed-2 Preferred Stock and Series Seed-1 Preferred Stock may be converted into shares of Common Stock, shall be subject to adjustment as provided below. The applicable Series E Conversion Price, Series D Conversion Price, Series C Conversion Price, Series B Conversion Price, Series A-2 Conversion Price, Series A-1 Conversion Price, Series Seed-2 Conversion Price and Series Seed-1 Conversion Price are each referred to herein as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Conversion Price</w:t>
      </w:r>
      <w:r>
        <w:rPr>
          <w:rFonts w:ascii="Arial" w:cs="Arial" w:eastAsia="Arial" w:hAnsi="Arial"/>
          <w:sz w:val="17"/>
          <w:szCs w:val="17"/>
          <w:color w:val="auto"/>
        </w:rPr>
        <w:t>.”</w:t>
      </w:r>
    </w:p>
    <w:p>
      <w:pPr>
        <w:spacing w:after="0" w:line="79" w:lineRule="exact"/>
        <w:rPr>
          <w:sz w:val="20"/>
          <w:szCs w:val="20"/>
          <w:color w:val="auto"/>
        </w:rPr>
      </w:pPr>
    </w:p>
    <w:p>
      <w:pPr>
        <w:jc w:val="both"/>
        <w:ind w:left="440" w:right="380" w:firstLine="1362"/>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6" w:lineRule="exact"/>
        <w:rPr>
          <w:sz w:val="20"/>
          <w:szCs w:val="20"/>
          <w:color w:val="auto"/>
        </w:rPr>
      </w:pPr>
    </w:p>
    <w:p>
      <w:pPr>
        <w:ind w:right="40" w:firstLine="1419"/>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283" w:lineRule="exact"/>
        <w:rPr>
          <w:sz w:val="20"/>
          <w:szCs w:val="20"/>
          <w:color w:val="auto"/>
        </w:rPr>
      </w:pPr>
    </w:p>
    <w:p>
      <w:pPr>
        <w:ind w:left="1420"/>
        <w:spacing w:after="0"/>
        <w:tabs>
          <w:tab w:leader="none" w:pos="1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114" w:lineRule="exact"/>
        <w:rPr>
          <w:sz w:val="20"/>
          <w:szCs w:val="20"/>
          <w:color w:val="auto"/>
        </w:rPr>
      </w:pPr>
    </w:p>
    <w:p>
      <w:pPr>
        <w:ind w:left="440" w:firstLine="1362"/>
        <w:spacing w:after="0" w:line="251"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68" w:right="519" w:bottom="1440" w:gutter="0" w:footer="0" w:header="0"/>
        </w:sectPr>
      </w:pPr>
    </w:p>
    <w:bookmarkStart w:id="233" w:name="page234"/>
    <w:bookmarkEnd w:id="233"/>
    <w:p>
      <w:pPr>
        <w:ind w:right="10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7"/>
          <w:szCs w:val="17"/>
          <w:b w:val="1"/>
          <w:bCs w:val="1"/>
          <w:color w:val="auto"/>
        </w:rPr>
        <w:t>Conversion Time</w:t>
      </w:r>
      <w:r>
        <w:rPr>
          <w:rFonts w:ascii="Arial" w:cs="Arial" w:eastAsia="Arial" w:hAnsi="Arial"/>
          <w:sz w:val="17"/>
          <w:szCs w:val="17"/>
          <w:color w:val="auto"/>
        </w:rPr>
        <w:t xml:space="preserve">”), and the shares of Common Stock issuable upon conversion of the shares represented by such certificate (or lost certificate affidavit and agreement)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otherwise issuable upon such conversion and (iii) pay all declared but unpaid dividends on the shares of Preferred Stock converted.</w:t>
      </w:r>
    </w:p>
    <w:p>
      <w:pPr>
        <w:spacing w:after="0" w:line="83" w:lineRule="exact"/>
        <w:rPr>
          <w:sz w:val="20"/>
          <w:szCs w:val="20"/>
          <w:color w:val="auto"/>
        </w:rPr>
      </w:pPr>
    </w:p>
    <w:p>
      <w:pPr>
        <w:ind w:right="160" w:firstLine="1362"/>
        <w:spacing w:after="0" w:line="266"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78" w:lineRule="exact"/>
        <w:rPr>
          <w:sz w:val="20"/>
          <w:szCs w:val="20"/>
          <w:color w:val="auto"/>
        </w:rPr>
      </w:pPr>
    </w:p>
    <w:p>
      <w:pPr>
        <w:ind w:firstLine="1362"/>
        <w:spacing w:after="0" w:line="29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w:t>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80"/>
          </w:cols>
          <w:pgMar w:left="920" w:top="272" w:right="499" w:bottom="1440" w:gutter="0" w:footer="0" w:header="0"/>
        </w:sectPr>
      </w:pPr>
    </w:p>
    <w:bookmarkStart w:id="234" w:name="page235"/>
    <w:bookmarkEnd w:id="234"/>
    <w:p>
      <w:pPr>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series, and the Corporation may thereafter take such appropriate action (without the need for stockholder action) as may be necessary to reduce the authorized number of shares of Preferred Stock (and the applicable series thereof) accordingly.</w:t>
      </w:r>
    </w:p>
    <w:p>
      <w:pPr>
        <w:spacing w:after="0" w:line="68" w:lineRule="exact"/>
        <w:rPr>
          <w:sz w:val="20"/>
          <w:szCs w:val="20"/>
          <w:color w:val="auto"/>
        </w:rPr>
      </w:pPr>
    </w:p>
    <w:p>
      <w:pPr>
        <w:ind w:right="180" w:firstLine="1362"/>
        <w:spacing w:after="0" w:line="335"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21" w:lineRule="exact"/>
        <w:rPr>
          <w:sz w:val="20"/>
          <w:szCs w:val="20"/>
          <w:color w:val="auto"/>
        </w:rPr>
      </w:pPr>
    </w:p>
    <w:p>
      <w:pPr>
        <w:ind w:right="240" w:firstLine="1362"/>
        <w:spacing w:after="0" w:line="270" w:lineRule="auto"/>
        <w:rPr>
          <w:sz w:val="20"/>
          <w:szCs w:val="20"/>
          <w:color w:val="auto"/>
        </w:rPr>
      </w:pPr>
      <w:r>
        <w:rPr>
          <w:rFonts w:ascii="Arial" w:cs="Arial" w:eastAsia="Arial" w:hAnsi="Arial"/>
          <w:sz w:val="17"/>
          <w:szCs w:val="17"/>
          <w:color w:val="auto"/>
        </w:rPr>
        <w:t xml:space="preserve">4.3.5.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78"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the Applicable Conversion Price for Diluting Issues</w:t>
      </w:r>
      <w:r>
        <w:rPr>
          <w:rFonts w:ascii="Arial" w:cs="Arial" w:eastAsia="Arial" w:hAnsi="Arial"/>
          <w:sz w:val="16"/>
          <w:szCs w:val="16"/>
          <w:color w:val="auto"/>
        </w:rPr>
        <w:t>.</w:t>
      </w:r>
    </w:p>
    <w:p>
      <w:pPr>
        <w:spacing w:after="0" w:line="114" w:lineRule="exact"/>
        <w:rPr>
          <w:sz w:val="20"/>
          <w:szCs w:val="20"/>
          <w:color w:val="auto"/>
        </w:rPr>
      </w:pPr>
    </w:p>
    <w:p>
      <w:pPr>
        <w:ind w:left="1360"/>
        <w:spacing w:after="0"/>
        <w:tabs>
          <w:tab w:leader="none" w:pos="196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w:t>
      </w:r>
      <w:r>
        <w:rPr>
          <w:rFonts w:ascii="Arial" w:cs="Arial" w:eastAsia="Arial" w:hAnsi="Arial"/>
          <w:sz w:val="16"/>
          <w:szCs w:val="16"/>
          <w:u w:val="single" w:color="auto"/>
          <w:color w:val="auto"/>
        </w:rPr>
        <w:t xml:space="preserve"> Article Fourth</w:t>
      </w:r>
      <w:r>
        <w:rPr>
          <w:rFonts w:ascii="Arial" w:cs="Arial" w:eastAsia="Arial" w:hAnsi="Arial"/>
          <w:sz w:val="16"/>
          <w:szCs w:val="16"/>
          <w:color w:val="auto"/>
        </w:rPr>
        <w:t>, the following definitions shall apply:</w:t>
      </w:r>
    </w:p>
    <w:p>
      <w:pPr>
        <w:spacing w:after="0" w:line="110" w:lineRule="exact"/>
        <w:rPr>
          <w:sz w:val="20"/>
          <w:szCs w:val="20"/>
          <w:color w:val="auto"/>
        </w:rPr>
      </w:pPr>
    </w:p>
    <w:p>
      <w:pPr>
        <w:ind w:left="2320" w:hanging="430"/>
        <w:spacing w:after="0"/>
        <w:tabs>
          <w:tab w:leader="none" w:pos="23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or Convertible Securities.</w:t>
      </w:r>
    </w:p>
    <w:p>
      <w:pPr>
        <w:spacing w:after="0" w:line="97" w:lineRule="exact"/>
        <w:rPr>
          <w:sz w:val="20"/>
          <w:szCs w:val="20"/>
          <w:color w:val="auto"/>
        </w:rPr>
      </w:pPr>
    </w:p>
    <w:p>
      <w:pPr>
        <w:ind w:left="2320" w:hanging="430"/>
        <w:spacing w:after="0"/>
        <w:tabs>
          <w:tab w:leader="none" w:pos="232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shall mean the date on which the first share of Series E Preferred Stock was issued.</w:t>
      </w:r>
    </w:p>
    <w:p>
      <w:pPr>
        <w:spacing w:after="0" w:line="125" w:lineRule="exact"/>
        <w:rPr>
          <w:rFonts w:ascii="Arial" w:cs="Arial" w:eastAsia="Arial" w:hAnsi="Arial"/>
          <w:sz w:val="17"/>
          <w:szCs w:val="17"/>
          <w:color w:val="auto"/>
        </w:rPr>
      </w:pPr>
    </w:p>
    <w:p>
      <w:pPr>
        <w:ind w:right="620" w:firstLine="1890"/>
        <w:spacing w:after="0" w:line="275" w:lineRule="auto"/>
        <w:tabs>
          <w:tab w:leader="none" w:pos="230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60" w:lineRule="exact"/>
        <w:rPr>
          <w:rFonts w:ascii="Arial" w:cs="Arial" w:eastAsia="Arial" w:hAnsi="Arial"/>
          <w:sz w:val="18"/>
          <w:szCs w:val="18"/>
          <w:color w:val="auto"/>
        </w:rPr>
      </w:pPr>
    </w:p>
    <w:p>
      <w:pPr>
        <w:ind w:right="340" w:firstLine="1890"/>
        <w:spacing w:after="0" w:line="257" w:lineRule="auto"/>
        <w:tabs>
          <w:tab w:leader="none" w:pos="231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xml:space="preserve">” shall mean all shares of Common Stock issued (or, pursuant to </w:t>
      </w:r>
      <w:r>
        <w:rPr>
          <w:rFonts w:ascii="Arial" w:cs="Arial" w:eastAsia="Arial" w:hAnsi="Arial"/>
          <w:sz w:val="18"/>
          <w:szCs w:val="18"/>
          <w:u w:val="single" w:color="auto"/>
          <w:color w:val="auto"/>
        </w:rPr>
        <w:t>Subsection 4.4.2</w:t>
      </w:r>
      <w:r>
        <w:rPr>
          <w:rFonts w:ascii="Arial" w:cs="Arial" w:eastAsia="Arial" w:hAnsi="Arial"/>
          <w:sz w:val="18"/>
          <w:szCs w:val="18"/>
          <w:color w:val="auto"/>
        </w:rPr>
        <w:t xml:space="preserve"> below, deemed to be issued) by the Corporation after the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2720" w:hanging="383"/>
        <w:spacing w:after="0"/>
        <w:tabs>
          <w:tab w:leader="none" w:pos="272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as a dividend or distribution on</w:t>
      </w:r>
    </w:p>
    <w:p>
      <w:pPr>
        <w:spacing w:after="0" w:line="3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Preferred Stock;</w:t>
      </w:r>
    </w:p>
    <w:p>
      <w:pPr>
        <w:spacing w:after="0" w:line="101" w:lineRule="exact"/>
        <w:rPr>
          <w:rFonts w:ascii="Arial" w:cs="Arial" w:eastAsia="Arial" w:hAnsi="Arial"/>
          <w:sz w:val="17"/>
          <w:szCs w:val="17"/>
          <w:color w:val="auto"/>
        </w:rPr>
      </w:pPr>
    </w:p>
    <w:p>
      <w:pPr>
        <w:ind w:left="540" w:right="320" w:firstLine="1797"/>
        <w:spacing w:after="0" w:line="271" w:lineRule="auto"/>
        <w:tabs>
          <w:tab w:leader="none" w:pos="276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80"/>
          </w:cols>
          <w:pgMar w:left="920" w:top="272" w:right="499" w:bottom="1440" w:gutter="0" w:footer="0" w:header="0"/>
        </w:sectPr>
      </w:pPr>
    </w:p>
    <w:bookmarkStart w:id="235" w:name="page236"/>
    <w:bookmarkEnd w:id="235"/>
    <w:p>
      <w:pPr>
        <w:ind w:left="540" w:right="40" w:firstLine="1797"/>
        <w:spacing w:after="0" w:line="259" w:lineRule="auto"/>
        <w:tabs>
          <w:tab w:leader="none" w:pos="28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shares of Common Stock or Options issued to employees or directors of, or consultants or advisors to, the Corporation or any of its subsidiaries pursuant to a plan, agreement or arrangement approved by the Board (including at least two of the Preferred Directors);</w:t>
      </w:r>
    </w:p>
    <w:p>
      <w:pPr>
        <w:spacing w:after="0" w:line="78" w:lineRule="exact"/>
        <w:rPr>
          <w:rFonts w:ascii="Arial" w:cs="Arial" w:eastAsia="Arial" w:hAnsi="Arial"/>
          <w:sz w:val="18"/>
          <w:szCs w:val="18"/>
          <w:color w:val="auto"/>
        </w:rPr>
      </w:pPr>
    </w:p>
    <w:p>
      <w:pPr>
        <w:ind w:left="540" w:right="80" w:firstLine="1797"/>
        <w:spacing w:after="0" w:line="259" w:lineRule="auto"/>
        <w:tabs>
          <w:tab w:leader="none" w:pos="280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78" w:lineRule="exact"/>
        <w:rPr>
          <w:rFonts w:ascii="Arial" w:cs="Arial" w:eastAsia="Arial" w:hAnsi="Arial"/>
          <w:sz w:val="18"/>
          <w:szCs w:val="18"/>
          <w:color w:val="auto"/>
        </w:rPr>
      </w:pPr>
    </w:p>
    <w:p>
      <w:pPr>
        <w:ind w:left="2760" w:hanging="423"/>
        <w:spacing w:after="0"/>
        <w:tabs>
          <w:tab w:leader="none" w:pos="27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shares of Common Stock actually issued upon the conversion or exchange of Preferred Stock;</w:t>
      </w:r>
    </w:p>
    <w:p>
      <w:pPr>
        <w:spacing w:after="0" w:line="113" w:lineRule="exact"/>
        <w:rPr>
          <w:rFonts w:ascii="Arial" w:cs="Arial" w:eastAsia="Arial" w:hAnsi="Arial"/>
          <w:sz w:val="18"/>
          <w:szCs w:val="18"/>
          <w:color w:val="auto"/>
        </w:rPr>
      </w:pPr>
    </w:p>
    <w:p>
      <w:pPr>
        <w:ind w:left="540" w:right="160" w:firstLine="1797"/>
        <w:spacing w:after="0" w:line="253" w:lineRule="auto"/>
        <w:tabs>
          <w:tab w:leader="none" w:pos="280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to banks, equipment lessors or other financial institutions, or to real property lessors, pursuant to a debt financing, equipment leasing or real property leasing transaction approved by the Board, if the exclusion of such shares from the definition of “Additional Shares of Common Stock” under this subparagraph of </w:t>
      </w:r>
      <w:r>
        <w:rPr>
          <w:rFonts w:ascii="Arial" w:cs="Arial" w:eastAsia="Arial" w:hAnsi="Arial"/>
          <w:sz w:val="18"/>
          <w:szCs w:val="18"/>
          <w:u w:val="single" w:color="auto"/>
          <w:color w:val="auto"/>
        </w:rPr>
        <w:t>Subsection 4.4.1(d)</w:t>
      </w:r>
      <w:r>
        <w:rPr>
          <w:rFonts w:ascii="Arial" w:cs="Arial" w:eastAsia="Arial" w:hAnsi="Arial"/>
          <w:sz w:val="18"/>
          <w:szCs w:val="18"/>
          <w:color w:val="auto"/>
        </w:rPr>
        <w:t>, in each case, is separately and expressly approved by the Board (including at least two of the Preferred Directors);</w:t>
      </w:r>
    </w:p>
    <w:p>
      <w:pPr>
        <w:spacing w:after="0" w:line="85" w:lineRule="exact"/>
        <w:rPr>
          <w:rFonts w:ascii="Arial" w:cs="Arial" w:eastAsia="Arial" w:hAnsi="Arial"/>
          <w:sz w:val="18"/>
          <w:szCs w:val="18"/>
          <w:color w:val="auto"/>
        </w:rPr>
      </w:pPr>
    </w:p>
    <w:p>
      <w:pPr>
        <w:ind w:left="540" w:firstLine="1797"/>
        <w:spacing w:after="0" w:line="253" w:lineRule="auto"/>
        <w:tabs>
          <w:tab w:leader="none" w:pos="285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pursuant to a bona fide business acquisition by the Corporation by merger, purchase of substantially all of the assets or other reorganization or to a joint venture agreement or licensing arrangement,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issuances are approved by the Board, if the exclusion of such shares from the definition of “Additional Shares of Common Stock” under this subparagraph of </w:t>
      </w:r>
      <w:r>
        <w:rPr>
          <w:rFonts w:ascii="Arial" w:cs="Arial" w:eastAsia="Arial" w:hAnsi="Arial"/>
          <w:sz w:val="18"/>
          <w:szCs w:val="18"/>
          <w:u w:val="single" w:color="auto"/>
          <w:color w:val="auto"/>
        </w:rPr>
        <w:t>Subsection 4.4.1(d)</w:t>
      </w:r>
      <w:r>
        <w:rPr>
          <w:rFonts w:ascii="Arial" w:cs="Arial" w:eastAsia="Arial" w:hAnsi="Arial"/>
          <w:sz w:val="18"/>
          <w:szCs w:val="18"/>
          <w:color w:val="auto"/>
        </w:rPr>
        <w:t>, in each case, is separately and expressly approved by the Board (including at least two of the Preferred Directors);</w:t>
      </w:r>
    </w:p>
    <w:p>
      <w:pPr>
        <w:spacing w:after="0" w:line="85" w:lineRule="exact"/>
        <w:rPr>
          <w:rFonts w:ascii="Arial" w:cs="Arial" w:eastAsia="Arial" w:hAnsi="Arial"/>
          <w:sz w:val="18"/>
          <w:szCs w:val="18"/>
          <w:color w:val="auto"/>
        </w:rPr>
      </w:pPr>
    </w:p>
    <w:p>
      <w:pPr>
        <w:ind w:left="540" w:firstLine="1797"/>
        <w:spacing w:after="0" w:line="297" w:lineRule="auto"/>
        <w:tabs>
          <w:tab w:leader="none" w:pos="290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pursuant to strategic transactions entered into by the Corporation for primarily non-equity financing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issuances are approved by the Board, if the exclusion of such shares from the definition of “Additional Shares of Common Stock” under this subparagraph of </w:t>
      </w:r>
      <w:r>
        <w:rPr>
          <w:rFonts w:ascii="Arial" w:cs="Arial" w:eastAsia="Arial" w:hAnsi="Arial"/>
          <w:sz w:val="16"/>
          <w:szCs w:val="16"/>
          <w:u w:val="single" w:color="auto"/>
          <w:color w:val="auto"/>
        </w:rPr>
        <w:t>Subsection 4.4.1(d)</w:t>
      </w:r>
      <w:r>
        <w:rPr>
          <w:rFonts w:ascii="Arial" w:cs="Arial" w:eastAsia="Arial" w:hAnsi="Arial"/>
          <w:sz w:val="16"/>
          <w:szCs w:val="16"/>
          <w:color w:val="auto"/>
        </w:rPr>
        <w:t>, in each case, is separately and expressly approved by the Board (including at least two of the Preferred Directors); or</w:t>
      </w:r>
    </w:p>
    <w:p>
      <w:pPr>
        <w:spacing w:after="0" w:line="52" w:lineRule="exact"/>
        <w:rPr>
          <w:rFonts w:ascii="Arial" w:cs="Arial" w:eastAsia="Arial" w:hAnsi="Arial"/>
          <w:sz w:val="16"/>
          <w:szCs w:val="16"/>
          <w:color w:val="auto"/>
        </w:rPr>
      </w:pPr>
    </w:p>
    <w:p>
      <w:pPr>
        <w:ind w:left="540" w:firstLine="1797"/>
        <w:spacing w:after="0" w:line="301" w:lineRule="auto"/>
        <w:tabs>
          <w:tab w:leader="none" w:pos="280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shares of Common Stock or Convertible Securities issued pursuant to that certain Series E Preferred Stock Purchase Agreement, dated as of even date herewith, by and between the Corporation and the investors party thereto.</w:t>
      </w:r>
    </w:p>
    <w:p>
      <w:pPr>
        <w:spacing w:after="0" w:line="45" w:lineRule="exact"/>
        <w:rPr>
          <w:sz w:val="20"/>
          <w:szCs w:val="20"/>
          <w:color w:val="auto"/>
        </w:rPr>
      </w:pPr>
    </w:p>
    <w:p>
      <w:pPr>
        <w:ind w:right="40" w:firstLine="1362"/>
        <w:spacing w:after="0" w:line="301"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Conversion Price</w:t>
      </w:r>
      <w:r>
        <w:rPr>
          <w:rFonts w:ascii="Arial" w:cs="Arial" w:eastAsia="Arial" w:hAnsi="Arial"/>
          <w:sz w:val="17"/>
          <w:szCs w:val="17"/>
          <w:color w:val="auto"/>
        </w:rPr>
        <w:t>. No adjustment in the Applicable Conversion Price shall be made as the result of the issuance or deemed issuance of Additional Shares of Common Stock if the Corporation receives written notice from the</w:t>
      </w:r>
    </w:p>
    <w:p>
      <w:pPr>
        <w:spacing w:after="0" w:line="8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00"/>
          </w:cols>
          <w:pgMar w:left="920" w:top="272" w:right="579" w:bottom="1440" w:gutter="0" w:footer="0" w:header="0"/>
        </w:sectPr>
      </w:pPr>
    </w:p>
    <w:bookmarkStart w:id="236" w:name="page237"/>
    <w:bookmarkEnd w:id="236"/>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Requisite Preferred Holders agreeing that no such adjustment shall be made as the result of the issuance or deemed issuance of such Additional Shares of Common Stock; provided, however, that (i) no such waiver or agreement shall be effective with respect to the Series D Preferred Stock unless approved in advance by the Requisite Series D Holders and (ii) no such waiver or agreement shall be effective with respect to the Series E Preferred Stock unless approved in advance by the Requisite Series E Holders.</w:t>
      </w:r>
    </w:p>
    <w:p>
      <w:pPr>
        <w:spacing w:after="0" w:line="281" w:lineRule="exact"/>
        <w:rPr>
          <w:sz w:val="20"/>
          <w:szCs w:val="20"/>
          <w:color w:val="auto"/>
        </w:rPr>
      </w:pPr>
    </w:p>
    <w:p>
      <w:pPr>
        <w:ind w:left="1360"/>
        <w:spacing w:after="0"/>
        <w:tabs>
          <w:tab w:leader="none" w:pos="196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114" w:lineRule="exact"/>
        <w:rPr>
          <w:sz w:val="20"/>
          <w:szCs w:val="20"/>
          <w:color w:val="auto"/>
        </w:rPr>
      </w:pPr>
    </w:p>
    <w:p>
      <w:pPr>
        <w:ind w:firstLine="1890"/>
        <w:spacing w:after="0" w:line="268" w:lineRule="auto"/>
        <w:tabs>
          <w:tab w:leader="none" w:pos="2306" w:val="left"/>
        </w:tabs>
        <w:numPr>
          <w:ilvl w:val="1"/>
          <w:numId w:val="166"/>
        </w:numPr>
        <w:rPr>
          <w:rFonts w:ascii="Arial" w:cs="Arial" w:eastAsia="Arial" w:hAnsi="Arial"/>
          <w:sz w:val="17"/>
          <w:szCs w:val="17"/>
          <w:color w:val="auto"/>
        </w:rPr>
      </w:pPr>
      <w:r>
        <w:rPr>
          <w:rFonts w:ascii="Arial" w:cs="Arial" w:eastAsia="Arial" w:hAnsi="Arial"/>
          <w:sz w:val="17"/>
          <w:szCs w:val="17"/>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72" w:lineRule="exact"/>
        <w:rPr>
          <w:rFonts w:ascii="Arial" w:cs="Arial" w:eastAsia="Arial" w:hAnsi="Arial"/>
          <w:sz w:val="17"/>
          <w:szCs w:val="17"/>
          <w:color w:val="auto"/>
        </w:rPr>
      </w:pPr>
    </w:p>
    <w:p>
      <w:pPr>
        <w:ind w:right="20" w:firstLine="1890"/>
        <w:spacing w:after="0" w:line="282" w:lineRule="auto"/>
        <w:tabs>
          <w:tab w:leader="none" w:pos="2316"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Applicable Conversion Price of a series of Preferred Stock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w:t>
      </w:r>
    </w:p>
    <w:p>
      <w:pPr>
        <w:spacing w:after="0" w:line="1" w:lineRule="exact"/>
        <w:rPr>
          <w:rFonts w:ascii="Arial" w:cs="Arial" w:eastAsia="Arial" w:hAnsi="Arial"/>
          <w:sz w:val="16"/>
          <w:szCs w:val="16"/>
          <w:color w:val="auto"/>
        </w:rPr>
      </w:pPr>
    </w:p>
    <w:p>
      <w:pPr>
        <w:ind w:right="80" w:firstLine="4"/>
        <w:spacing w:after="0" w:line="284" w:lineRule="auto"/>
        <w:tabs>
          <w:tab w:leader="none" w:pos="25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the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60" w:lineRule="exact"/>
        <w:rPr>
          <w:rFonts w:ascii="Arial" w:cs="Arial" w:eastAsia="Arial" w:hAnsi="Arial"/>
          <w:sz w:val="16"/>
          <w:szCs w:val="16"/>
          <w:color w:val="auto"/>
        </w:rPr>
      </w:pPr>
    </w:p>
    <w:p>
      <w:pPr>
        <w:ind w:right="600" w:firstLine="1890"/>
        <w:spacing w:after="0" w:line="271" w:lineRule="auto"/>
        <w:tabs>
          <w:tab w:leader="none" w:pos="230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the terms of any Option or Convertible Security (excluding Options or Convertible Securities which are themselves Exempted Securities),</w:t>
      </w:r>
    </w:p>
    <w:p>
      <w:pPr>
        <w:spacing w:after="0" w:line="1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60"/>
          </w:cols>
          <w:pgMar w:left="920" w:top="273" w:right="519" w:bottom="1440" w:gutter="0" w:footer="0" w:header="0"/>
        </w:sectPr>
      </w:pPr>
    </w:p>
    <w:bookmarkStart w:id="237" w:name="page238"/>
    <w:bookmarkEnd w:id="237"/>
    <w:p>
      <w:pPr>
        <w:ind w:right="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issuance of which did not result in an adjustment to the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Subsection 4.4.3(a)</w:t>
      </w:r>
      <w:r>
        <w:rPr>
          <w:rFonts w:ascii="Arial" w:cs="Arial" w:eastAsia="Arial" w:hAnsi="Arial"/>
          <w:sz w:val="17"/>
          <w:szCs w:val="17"/>
          <w:color w:val="auto"/>
        </w:rPr>
        <w:t xml:space="preserve"> shall be deemed to have been issued effective upon such increase or decrease becoming effective.</w:t>
      </w:r>
    </w:p>
    <w:p>
      <w:pPr>
        <w:spacing w:after="0" w:line="72" w:lineRule="exact"/>
        <w:rPr>
          <w:sz w:val="20"/>
          <w:szCs w:val="20"/>
          <w:color w:val="auto"/>
        </w:rPr>
      </w:pPr>
    </w:p>
    <w:p>
      <w:pPr>
        <w:ind w:right="200" w:firstLine="1890"/>
        <w:spacing w:after="0" w:line="275" w:lineRule="auto"/>
        <w:tabs>
          <w:tab w:leader="none" w:pos="231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the Applicable Conversion Price, shall be readjusted to such Applicable Conversion Price as would have obtained had such Option or Convertible Security (or portion thereof) never been issued.</w:t>
      </w:r>
    </w:p>
    <w:p>
      <w:pPr>
        <w:spacing w:after="0" w:line="66" w:lineRule="exact"/>
        <w:rPr>
          <w:rFonts w:ascii="Arial" w:cs="Arial" w:eastAsia="Arial" w:hAnsi="Arial"/>
          <w:sz w:val="17"/>
          <w:szCs w:val="17"/>
          <w:color w:val="auto"/>
        </w:rPr>
      </w:pPr>
    </w:p>
    <w:p>
      <w:pPr>
        <w:ind w:firstLine="1890"/>
        <w:spacing w:after="0" w:line="266" w:lineRule="auto"/>
        <w:tabs>
          <w:tab w:leader="none" w:pos="230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75" w:lineRule="exact"/>
        <w:rPr>
          <w:sz w:val="20"/>
          <w:szCs w:val="20"/>
          <w:color w:val="auto"/>
        </w:rPr>
      </w:pPr>
    </w:p>
    <w:p>
      <w:pPr>
        <w:ind w:right="200" w:firstLine="1362"/>
        <w:spacing w:after="0" w:line="271" w:lineRule="auto"/>
        <w:rPr>
          <w:sz w:val="20"/>
          <w:szCs w:val="20"/>
          <w:color w:val="auto"/>
        </w:rPr>
      </w:pPr>
      <w:r>
        <w:rPr>
          <w:rFonts w:ascii="Arial" w:cs="Arial" w:eastAsia="Arial" w:hAnsi="Arial"/>
          <w:sz w:val="18"/>
          <w:szCs w:val="18"/>
          <w:color w:val="auto"/>
        </w:rPr>
        <w:t xml:space="preserve">4.4.4. </w:t>
      </w:r>
      <w:r>
        <w:rPr>
          <w:rFonts w:ascii="Arial" w:cs="Arial" w:eastAsia="Arial" w:hAnsi="Arial"/>
          <w:sz w:val="18"/>
          <w:szCs w:val="18"/>
          <w:u w:val="single" w:color="auto"/>
          <w:color w:val="auto"/>
        </w:rPr>
        <w:t>Adjustment of Applicable Conversion Price Upon Issuance of Additional Shares of Common Stock</w:t>
      </w:r>
      <w:r>
        <w:rPr>
          <w:rFonts w:ascii="Arial" w:cs="Arial" w:eastAsia="Arial" w:hAnsi="Arial"/>
          <w:sz w:val="18"/>
          <w:szCs w:val="18"/>
          <w:color w:val="auto"/>
        </w:rPr>
        <w:t>. In the event the Corporation shall at any time after the Original Issue Date issue Additional Shares of Common Stock (including</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0"/>
          </w:cols>
          <w:pgMar w:left="920" w:top="272" w:right="499" w:bottom="1440" w:gutter="0" w:footer="0" w:header="0"/>
        </w:sectPr>
      </w:pPr>
    </w:p>
    <w:bookmarkStart w:id="238" w:name="page239"/>
    <w:bookmarkEnd w:id="238"/>
    <w:p>
      <w:pPr>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Additional Shares of Common Stock deemed to be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without consideration or for a consideration per share less than the Applicable Conversion Price in effect immediately prior to such issue, then the Applicable Conversion Price shall be reduced, concurrently with such issue, to a price (calculated to the nearest one-hundredth of a cent) determined in accordance with the following formula:</w:t>
      </w:r>
    </w:p>
    <w:p>
      <w:pPr>
        <w:spacing w:after="0" w:line="36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0" w:lineRule="exact"/>
        <w:rPr>
          <w:sz w:val="20"/>
          <w:szCs w:val="20"/>
          <w:color w:val="auto"/>
        </w:rPr>
      </w:pPr>
    </w:p>
    <w:p>
      <w:pPr>
        <w:ind w:left="2320" w:hanging="430"/>
        <w:spacing w:after="0"/>
        <w:tabs>
          <w:tab w:leader="none" w:pos="23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CP</w:t>
      </w:r>
      <w:r>
        <w:rPr>
          <w:rFonts w:ascii="Arial" w:cs="Arial" w:eastAsia="Arial" w:hAnsi="Arial"/>
          <w:sz w:val="13"/>
          <w:szCs w:val="13"/>
          <w:b w:val="1"/>
          <w:bCs w:val="1"/>
          <w:color w:val="auto"/>
        </w:rPr>
        <w:t>2</w:t>
      </w:r>
      <w:r>
        <w:rPr>
          <w:rFonts w:ascii="Arial" w:cs="Arial" w:eastAsia="Arial" w:hAnsi="Arial"/>
          <w:sz w:val="16"/>
          <w:szCs w:val="16"/>
          <w:color w:val="auto"/>
        </w:rPr>
        <w:t>” shall mean the Applicable Conversion Price in effect immediately after such issue of Additional Shares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4" w:lineRule="exact"/>
        <w:rPr>
          <w:sz w:val="20"/>
          <w:szCs w:val="20"/>
          <w:color w:val="auto"/>
        </w:rPr>
      </w:pPr>
    </w:p>
    <w:p>
      <w:pPr>
        <w:ind w:left="2320" w:hanging="430"/>
        <w:spacing w:after="0"/>
        <w:tabs>
          <w:tab w:leader="none" w:pos="23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CP</w:t>
      </w:r>
      <w:r>
        <w:rPr>
          <w:rFonts w:ascii="Arial" w:cs="Arial" w:eastAsia="Arial" w:hAnsi="Arial"/>
          <w:sz w:val="13"/>
          <w:szCs w:val="13"/>
          <w:b w:val="1"/>
          <w:bCs w:val="1"/>
          <w:color w:val="auto"/>
        </w:rPr>
        <w:t>1</w:t>
      </w:r>
      <w:r>
        <w:rPr>
          <w:rFonts w:ascii="Arial" w:cs="Arial" w:eastAsia="Arial" w:hAnsi="Arial"/>
          <w:sz w:val="16"/>
          <w:szCs w:val="16"/>
          <w:color w:val="auto"/>
        </w:rPr>
        <w:t>” shall mean the Applicable Conversion Price in effect immediately prior to such issue of Additional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w:t>
      </w:r>
    </w:p>
    <w:p>
      <w:pPr>
        <w:spacing w:after="0" w:line="94" w:lineRule="exact"/>
        <w:rPr>
          <w:sz w:val="20"/>
          <w:szCs w:val="20"/>
          <w:color w:val="auto"/>
        </w:rPr>
      </w:pPr>
    </w:p>
    <w:p>
      <w:pPr>
        <w:ind w:firstLine="1890"/>
        <w:spacing w:after="0" w:line="257" w:lineRule="auto"/>
        <w:tabs>
          <w:tab w:leader="none" w:pos="230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76" w:lineRule="exact"/>
        <w:rPr>
          <w:rFonts w:ascii="Arial" w:cs="Arial" w:eastAsia="Arial" w:hAnsi="Arial"/>
          <w:sz w:val="18"/>
          <w:szCs w:val="18"/>
          <w:color w:val="auto"/>
        </w:rPr>
      </w:pPr>
    </w:p>
    <w:p>
      <w:pPr>
        <w:jc w:val="both"/>
        <w:ind w:right="20" w:firstLine="1890"/>
        <w:spacing w:after="0" w:line="272" w:lineRule="auto"/>
        <w:tabs>
          <w:tab w:leader="none" w:pos="231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45" w:lineRule="exact"/>
        <w:rPr>
          <w:rFonts w:ascii="Arial" w:cs="Arial" w:eastAsia="Arial" w:hAnsi="Arial"/>
          <w:sz w:val="18"/>
          <w:szCs w:val="18"/>
          <w:color w:val="auto"/>
        </w:rPr>
      </w:pPr>
    </w:p>
    <w:p>
      <w:pPr>
        <w:ind w:left="2320" w:hanging="430"/>
        <w:spacing w:after="0"/>
        <w:tabs>
          <w:tab w:leader="none" w:pos="2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shall mean the number of such Additional Shares of Common Stock issued in such transaction.</w:t>
      </w:r>
    </w:p>
    <w:p>
      <w:pPr>
        <w:spacing w:after="0" w:line="118" w:lineRule="exact"/>
        <w:rPr>
          <w:sz w:val="20"/>
          <w:szCs w:val="20"/>
          <w:color w:val="auto"/>
        </w:rPr>
      </w:pPr>
    </w:p>
    <w:p>
      <w:pPr>
        <w:ind w:right="120" w:firstLine="1362"/>
        <w:spacing w:after="0" w:line="271"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4.4.5</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68" w:lineRule="exact"/>
        <w:rPr>
          <w:sz w:val="20"/>
          <w:szCs w:val="20"/>
          <w:color w:val="auto"/>
        </w:rPr>
      </w:pPr>
    </w:p>
    <w:p>
      <w:pPr>
        <w:ind w:left="2320" w:hanging="430"/>
        <w:spacing w:after="0"/>
        <w:tabs>
          <w:tab w:leader="none" w:pos="232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13" w:lineRule="exact"/>
        <w:rPr>
          <w:rFonts w:ascii="Arial" w:cs="Arial" w:eastAsia="Arial" w:hAnsi="Arial"/>
          <w:sz w:val="18"/>
          <w:szCs w:val="18"/>
          <w:color w:val="auto"/>
        </w:rPr>
      </w:pPr>
    </w:p>
    <w:p>
      <w:pPr>
        <w:ind w:left="540" w:right="340" w:firstLine="1797"/>
        <w:spacing w:after="0" w:line="271" w:lineRule="auto"/>
        <w:tabs>
          <w:tab w:leader="none" w:pos="271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67" w:lineRule="exact"/>
        <w:rPr>
          <w:rFonts w:ascii="Arial" w:cs="Arial" w:eastAsia="Arial" w:hAnsi="Arial"/>
          <w:sz w:val="18"/>
          <w:szCs w:val="18"/>
          <w:color w:val="auto"/>
        </w:rPr>
      </w:pPr>
    </w:p>
    <w:p>
      <w:pPr>
        <w:ind w:left="540" w:right="40" w:firstLine="1797"/>
        <w:spacing w:after="0" w:line="271" w:lineRule="auto"/>
        <w:tabs>
          <w:tab w:leader="none" w:pos="276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and</w:t>
      </w:r>
    </w:p>
    <w:p>
      <w:pPr>
        <w:spacing w:after="0" w:line="67" w:lineRule="exact"/>
        <w:rPr>
          <w:rFonts w:ascii="Arial" w:cs="Arial" w:eastAsia="Arial" w:hAnsi="Arial"/>
          <w:sz w:val="18"/>
          <w:szCs w:val="18"/>
          <w:color w:val="auto"/>
        </w:rPr>
      </w:pPr>
    </w:p>
    <w:p>
      <w:pPr>
        <w:jc w:val="both"/>
        <w:ind w:left="540" w:right="380" w:firstLine="1797"/>
        <w:spacing w:after="0" w:line="259" w:lineRule="auto"/>
        <w:tabs>
          <w:tab w:leader="none" w:pos="281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as determined in good faith by the Board.</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60"/>
          </w:cols>
          <w:pgMar w:left="920" w:top="272" w:right="519" w:bottom="1440" w:gutter="0" w:footer="0" w:header="0"/>
        </w:sectPr>
      </w:pPr>
    </w:p>
    <w:bookmarkStart w:id="239" w:name="page240"/>
    <w:bookmarkEnd w:id="239"/>
    <w:p>
      <w:pPr>
        <w:jc w:val="both"/>
        <w:ind w:left="440" w:right="460" w:firstLine="1890"/>
        <w:spacing w:after="0" w:line="259" w:lineRule="auto"/>
        <w:tabs>
          <w:tab w:leader="none" w:pos="275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78" w:lineRule="exact"/>
        <w:rPr>
          <w:rFonts w:ascii="Arial" w:cs="Arial" w:eastAsia="Arial" w:hAnsi="Arial"/>
          <w:sz w:val="18"/>
          <w:szCs w:val="18"/>
          <w:color w:val="auto"/>
        </w:rPr>
      </w:pPr>
    </w:p>
    <w:p>
      <w:pPr>
        <w:ind w:left="980" w:right="40" w:firstLine="1797"/>
        <w:spacing w:after="0" w:line="293" w:lineRule="auto"/>
        <w:tabs>
          <w:tab w:leader="none" w:pos="3159"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53" w:lineRule="exact"/>
        <w:rPr>
          <w:rFonts w:ascii="Arial" w:cs="Arial" w:eastAsia="Arial" w:hAnsi="Arial"/>
          <w:sz w:val="16"/>
          <w:szCs w:val="16"/>
          <w:color w:val="auto"/>
        </w:rPr>
      </w:pPr>
    </w:p>
    <w:p>
      <w:pPr>
        <w:ind w:left="980" w:right="80" w:firstLine="1797"/>
        <w:spacing w:after="0" w:line="275" w:lineRule="auto"/>
        <w:tabs>
          <w:tab w:leader="none" w:pos="3208"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74" w:lineRule="exact"/>
        <w:rPr>
          <w:sz w:val="20"/>
          <w:szCs w:val="20"/>
          <w:color w:val="auto"/>
        </w:rPr>
      </w:pPr>
    </w:p>
    <w:p>
      <w:pPr>
        <w:ind w:right="40" w:firstLine="1964"/>
        <w:spacing w:after="0" w:line="272" w:lineRule="auto"/>
        <w:rPr>
          <w:sz w:val="20"/>
          <w:szCs w:val="20"/>
          <w:color w:val="auto"/>
        </w:rPr>
      </w:pPr>
      <w:r>
        <w:rPr>
          <w:rFonts w:ascii="Arial" w:cs="Arial" w:eastAsia="Arial" w:hAnsi="Arial"/>
          <w:sz w:val="17"/>
          <w:szCs w:val="17"/>
          <w:color w:val="auto"/>
        </w:rPr>
        <w:t xml:space="preserve">4.4.6. </w:t>
      </w:r>
      <w:r>
        <w:rPr>
          <w:rFonts w:ascii="Arial" w:cs="Arial" w:eastAsia="Arial" w:hAnsi="Arial"/>
          <w:sz w:val="17"/>
          <w:szCs w:val="17"/>
          <w:u w:val="single" w:color="auto"/>
          <w:color w:val="auto"/>
        </w:rPr>
        <w:t>Multiple Closing Dates</w:t>
      </w:r>
      <w:r>
        <w:rPr>
          <w:rFonts w:ascii="Arial" w:cs="Arial" w:eastAsia="Arial" w:hAnsi="Arial"/>
          <w:sz w:val="17"/>
          <w:szCs w:val="17"/>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of a series of Preferred Stock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above,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76" w:lineRule="exact"/>
        <w:rPr>
          <w:sz w:val="20"/>
          <w:szCs w:val="20"/>
          <w:color w:val="auto"/>
        </w:rPr>
      </w:pPr>
    </w:p>
    <w:p>
      <w:pPr>
        <w:ind w:firstLine="1419"/>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Original Issue Date effect a subdivision of the outstanding Common Stock without the comparable subdivision of the Preferred Stock or combine the outstanding shares of Preferred Stock without a comparable combination of the Common Stock, the Applicable Conversion Price in effect immediately before that subdivision shall be proportionately decreased so that the number of shares of Common Stock issuable on conversion of each share of such series of Preferred Stock shall be increased in proportion to such increase in the aggregate number of shares of Common Stock outstanding. If the Corporation shall at any time or from time to time after the Original Issue Date combine the outstanding shares of Common Stock without the comparable combination of the Preferred Stock or effect a subdivision of the Preferred Stock without a comparable subdivision of the Common Stock, the Applicable Conversion Price in effect immediately before the combination shall be proportionately increased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480" w:top="272" w:right="539" w:bottom="1440" w:gutter="0" w:footer="0" w:header="0"/>
        </w:sectPr>
      </w:pPr>
    </w:p>
    <w:bookmarkStart w:id="240" w:name="page241"/>
    <w:bookmarkEnd w:id="240"/>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so that the number of shares of Common Stock issuable on conversion of each share of such series of Preferred Stock shall be decreased in proportion to such decrease in the aggregate number of shares of Common Stock outstanding. Any adjustment under this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shall become effective at the close of business on the date the subdivision or combination becomes effective.</w:t>
      </w:r>
    </w:p>
    <w:p>
      <w:pPr>
        <w:spacing w:after="0" w:line="186" w:lineRule="exact"/>
        <w:rPr>
          <w:sz w:val="20"/>
          <w:szCs w:val="20"/>
          <w:color w:val="auto"/>
        </w:rPr>
      </w:pPr>
    </w:p>
    <w:p>
      <w:pPr>
        <w:ind w:right="60" w:firstLine="1419"/>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of each series of Preferred Stock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61" w:lineRule="exact"/>
        <w:rPr>
          <w:sz w:val="20"/>
          <w:szCs w:val="20"/>
          <w:color w:val="auto"/>
        </w:rPr>
      </w:pPr>
    </w:p>
    <w:p>
      <w:pPr>
        <w:ind w:right="40" w:firstLine="1972"/>
        <w:spacing w:after="0" w:line="271" w:lineRule="auto"/>
        <w:tabs>
          <w:tab w:leader="none" w:pos="23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4" w:lineRule="exact"/>
        <w:rPr>
          <w:rFonts w:ascii="Arial" w:cs="Arial" w:eastAsia="Arial" w:hAnsi="Arial"/>
          <w:sz w:val="18"/>
          <w:szCs w:val="18"/>
          <w:color w:val="auto"/>
        </w:rPr>
      </w:pPr>
    </w:p>
    <w:p>
      <w:pPr>
        <w:ind w:right="140" w:firstLine="1972"/>
        <w:spacing w:after="0" w:line="259" w:lineRule="auto"/>
        <w:tabs>
          <w:tab w:leader="none" w:pos="240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Notwithstanding the foregoing, (a) if such record date shall have been fixed and such dividend is not fully paid or if such distribution is not fully made on the date fixed therefor, such Applicable Conversion Price shall be recomputed accordingly as of the close of business on such record date and thereafter such Applicable Conversion Price shall be adjusted pursuant to this </w:t>
      </w:r>
      <w:r>
        <w:rPr>
          <w:rFonts w:ascii="Arial" w:cs="Arial" w:eastAsia="Arial" w:hAnsi="Arial"/>
          <w:sz w:val="18"/>
          <w:szCs w:val="18"/>
          <w:u w:val="single" w:color="auto"/>
          <w:color w:val="auto"/>
        </w:rPr>
        <w:t>Subsection 4.6</w:t>
      </w:r>
      <w:r>
        <w:rPr>
          <w:rFonts w:ascii="Arial" w:cs="Arial" w:eastAsia="Arial" w:hAnsi="Arial"/>
          <w:sz w:val="18"/>
          <w:szCs w:val="18"/>
          <w:color w:val="auto"/>
        </w:rPr>
        <w:t xml:space="preserve"> as of the time of actual payment of such dividends or distributions; and (b) that no such adjustment shall be made to the Applicable Conversion Price of a series of Preferred Stock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97" w:lineRule="exact"/>
        <w:rPr>
          <w:sz w:val="20"/>
          <w:szCs w:val="20"/>
          <w:color w:val="auto"/>
        </w:rPr>
      </w:pPr>
    </w:p>
    <w:p>
      <w:pPr>
        <w:ind w:firstLine="1419"/>
        <w:spacing w:after="0" w:line="26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each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80" w:top="272" w:right="519" w:bottom="1440" w:gutter="0" w:footer="0" w:header="0"/>
        </w:sectPr>
      </w:pPr>
    </w:p>
    <w:bookmarkStart w:id="241" w:name="page242"/>
    <w:bookmarkEnd w:id="241"/>
    <w:p>
      <w:pPr>
        <w:ind w:firstLine="1419"/>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Subsections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the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Applicable Conversion Price of each series of Preferred Stock)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be deemed conclusive evidence of the fair value of the shares of Preferred Stock in any such appraisal proceeding.</w:t>
      </w:r>
    </w:p>
    <w:p>
      <w:pPr>
        <w:spacing w:after="0" w:line="186" w:lineRule="exact"/>
        <w:rPr>
          <w:sz w:val="20"/>
          <w:szCs w:val="20"/>
          <w:color w:val="auto"/>
        </w:rPr>
      </w:pPr>
    </w:p>
    <w:p>
      <w:pPr>
        <w:ind w:firstLine="1419"/>
        <w:spacing w:after="0" w:line="267"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xml:space="preserve">. Upon the occurrence of each adjustment or readjustment of the Applicable Conversion Price of a series of Preferred Stock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each series of Preferred Stock.</w:t>
      </w:r>
    </w:p>
    <w:p>
      <w:pPr>
        <w:spacing w:after="0" w:line="290" w:lineRule="exact"/>
        <w:rPr>
          <w:sz w:val="20"/>
          <w:szCs w:val="20"/>
          <w:color w:val="auto"/>
        </w:rPr>
      </w:pPr>
    </w:p>
    <w:p>
      <w:pPr>
        <w:ind w:left="1420"/>
        <w:spacing w:after="0"/>
        <w:tabs>
          <w:tab w:leader="none" w:pos="19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 xml:space="preserve">Notice of Record Date. </w:t>
      </w:r>
      <w:r>
        <w:rPr>
          <w:rFonts w:ascii="Arial" w:cs="Arial" w:eastAsia="Arial" w:hAnsi="Arial"/>
          <w:sz w:val="16"/>
          <w:szCs w:val="16"/>
          <w:color w:val="auto"/>
        </w:rPr>
        <w:t>In the event:</w:t>
      </w:r>
    </w:p>
    <w:p>
      <w:pPr>
        <w:spacing w:after="0" w:line="114" w:lineRule="exact"/>
        <w:rPr>
          <w:sz w:val="20"/>
          <w:szCs w:val="20"/>
          <w:color w:val="auto"/>
        </w:rPr>
      </w:pPr>
    </w:p>
    <w:p>
      <w:pPr>
        <w:ind w:right="20" w:firstLine="2408"/>
        <w:spacing w:after="0" w:line="307" w:lineRule="auto"/>
        <w:tabs>
          <w:tab w:leader="none" w:pos="282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480" w:top="272" w:right="559" w:bottom="1440" w:gutter="0" w:footer="0" w:header="0"/>
        </w:sectPr>
      </w:pPr>
    </w:p>
    <w:bookmarkStart w:id="242" w:name="page243"/>
    <w:bookmarkEnd w:id="242"/>
    <w:p>
      <w:pPr>
        <w:ind w:left="2840" w:hanging="432"/>
        <w:spacing w:after="0"/>
        <w:tabs>
          <w:tab w:leader="none" w:pos="28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any capital reorganization of the Corporation, any reclassification of the Common Stock of the Corporation,</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any Deemed Liquidation Event; or</w:t>
      </w:r>
    </w:p>
    <w:p>
      <w:pPr>
        <w:spacing w:after="0" w:line="208" w:lineRule="exact"/>
        <w:rPr>
          <w:rFonts w:ascii="Arial" w:cs="Arial" w:eastAsia="Arial" w:hAnsi="Arial"/>
          <w:sz w:val="16"/>
          <w:szCs w:val="16"/>
          <w:color w:val="auto"/>
        </w:rPr>
      </w:pPr>
    </w:p>
    <w:p>
      <w:pPr>
        <w:ind w:left="2820" w:hanging="412"/>
        <w:spacing w:after="0"/>
        <w:tabs>
          <w:tab w:leader="none" w:pos="28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3" w:lineRule="exact"/>
        <w:rPr>
          <w:sz w:val="20"/>
          <w:szCs w:val="20"/>
          <w:color w:val="auto"/>
        </w:rPr>
      </w:pPr>
    </w:p>
    <w:p>
      <w:pPr>
        <w:ind w:right="40" w:firstLine="7"/>
        <w:spacing w:after="0" w:line="279" w:lineRule="auto"/>
        <w:tabs>
          <w:tab w:leader="none" w:pos="21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rPr>
          <w:rFonts w:ascii="Arial" w:cs="Arial" w:eastAsia="Arial" w:hAnsi="Arial"/>
          <w:sz w:val="16"/>
          <w:szCs w:val="16"/>
          <w:color w:val="auto"/>
        </w:rPr>
      </w:pPr>
      <w:r>
        <w:rPr>
          <w:rFonts w:ascii="Arial" w:cs="Arial" w:eastAsia="Arial" w:hAnsi="Arial"/>
          <w:sz w:val="18"/>
          <w:szCs w:val="18"/>
          <w:color w:val="auto"/>
        </w:rPr>
        <w:t>(10) days prior to the record date or effective date for the event specified in such notice.</w:t>
      </w:r>
    </w:p>
    <w:p>
      <w:pPr>
        <w:spacing w:after="0" w:line="315" w:lineRule="exact"/>
        <w:rPr>
          <w:sz w:val="20"/>
          <w:szCs w:val="20"/>
          <w:color w:val="auto"/>
        </w:rPr>
      </w:pPr>
    </w:p>
    <w:p>
      <w:pPr>
        <w:ind w:left="1340" w:hanging="350"/>
        <w:spacing w:after="0"/>
        <w:tabs>
          <w:tab w:leader="none" w:pos="13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4" w:lineRule="exact"/>
        <w:rPr>
          <w:sz w:val="20"/>
          <w:szCs w:val="20"/>
          <w:color w:val="auto"/>
        </w:rPr>
      </w:pPr>
    </w:p>
    <w:p>
      <w:pPr>
        <w:ind w:firstLine="1419"/>
        <w:spacing w:after="0" w:line="267"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Trigger Events</w:t>
      </w:r>
      <w:r>
        <w:rPr>
          <w:rFonts w:ascii="Arial" w:cs="Arial" w:eastAsia="Arial" w:hAnsi="Arial"/>
          <w:sz w:val="17"/>
          <w:szCs w:val="17"/>
          <w:color w:val="auto"/>
        </w:rPr>
        <w:t>. Upon (a) the closing of the sale of shares of Common Stock to the public, in a firm-commitment underwritten public offering pursuant to an effective registration statement under the Securities Act of 1933, as amended, resulting in at least $50,000,000 of gross proceeds to the Corporation and the purchase price of such shares of Common Stock is at least $20.43 per share (subject to appropriate adjustment in the event of any stock dividend, stock split, combination, or other similar recapitalization) (a “</w:t>
      </w:r>
      <w:r>
        <w:rPr>
          <w:rFonts w:ascii="Arial" w:cs="Arial" w:eastAsia="Arial" w:hAnsi="Arial"/>
          <w:sz w:val="17"/>
          <w:szCs w:val="17"/>
          <w:b w:val="1"/>
          <w:bCs w:val="1"/>
          <w:color w:val="auto"/>
        </w:rPr>
        <w:t>Qualified IPO</w:t>
      </w:r>
      <w:r>
        <w:rPr>
          <w:rFonts w:ascii="Arial" w:cs="Arial" w:eastAsia="Arial" w:hAnsi="Arial"/>
          <w:sz w:val="17"/>
          <w:szCs w:val="17"/>
          <w:color w:val="auto"/>
        </w:rPr>
        <w:t xml:space="preserve">”); or (b) the date and time, or the occurrence of an event, specified by vote or written consent of the Requisite Preferred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upon a Qualified IPO, the conversion of Series D Preferred Stock shall require the vote or written consent of the Requisite Series D Holders and the conversion of the Series E Preferred Stock shall require the vote or written consent of the Requisite Series E Holders (the time of such closing or the date and time specified or the time of the event specified in any such vote or written consent is referred to herein as the “</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(i) all outstanding shares of each series of Preferred Stock shall automatically be converted into shares of Common Stock, at the then effective conversion rate; and (ii) such shares may not be reissued by the Corporation.</w:t>
      </w:r>
    </w:p>
    <w:p>
      <w:pPr>
        <w:spacing w:after="0" w:line="179" w:lineRule="exact"/>
        <w:rPr>
          <w:sz w:val="20"/>
          <w:szCs w:val="20"/>
          <w:color w:val="auto"/>
        </w:rPr>
      </w:pPr>
    </w:p>
    <w:p>
      <w:pPr>
        <w:ind w:firstLine="1419"/>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Procedural Requirements</w:t>
      </w:r>
      <w:r>
        <w:rPr>
          <w:rFonts w:ascii="Arial" w:cs="Arial" w:eastAsia="Arial" w:hAnsi="Arial"/>
          <w:sz w:val="17"/>
          <w:szCs w:val="17"/>
          <w:color w:val="auto"/>
        </w:rPr>
        <w:t xml:space="preserve">. All holders of record of shares of such series of Preferred Stock shall be sent written notice of the Mandatory Conversion Time and the place designated for mandatory conversion of all such shares of Preferred Stock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Such notice need not be sent in advance of the occurrence of the Mandatory Conversion Time. Upon receipt of such notice, each holder of shares of such series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480" w:top="272" w:right="519" w:bottom="1440" w:gutter="0" w:footer="0" w:header="0"/>
        </w:sectPr>
      </w:pPr>
    </w:p>
    <w:bookmarkStart w:id="243" w:name="page244"/>
    <w:bookmarkEnd w:id="243"/>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7"/>
          <w:szCs w:val="17"/>
          <w:u w:val="single" w:color="auto"/>
          <w:color w:val="auto"/>
        </w:rPr>
        <w:t>Subsection 5.1</w:t>
      </w:r>
      <w:r>
        <w:rPr>
          <w:rFonts w:ascii="Arial" w:cs="Arial" w:eastAsia="Arial" w:hAnsi="Arial"/>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Arial" w:cs="Arial" w:eastAsia="Arial" w:hAnsi="Arial"/>
          <w:sz w:val="17"/>
          <w:szCs w:val="17"/>
          <w:u w:val="single" w:color="auto"/>
          <w:color w:val="auto"/>
        </w:rPr>
        <w:t>Subsection 5.2</w:t>
      </w:r>
      <w:r>
        <w:rPr>
          <w:rFonts w:ascii="Arial" w:cs="Arial" w:eastAsia="Arial" w:hAnsi="Arial"/>
          <w:sz w:val="17"/>
          <w:szCs w:val="17"/>
          <w:color w:val="auto"/>
        </w:rPr>
        <w:t xml:space="preserve">.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90" w:lineRule="exact"/>
        <w:rPr>
          <w:sz w:val="20"/>
          <w:szCs w:val="20"/>
          <w:color w:val="auto"/>
        </w:rPr>
      </w:pPr>
    </w:p>
    <w:p>
      <w:pPr>
        <w:ind w:right="60" w:firstLine="990"/>
        <w:spacing w:after="0" w:line="252" w:lineRule="auto"/>
        <w:tabs>
          <w:tab w:leader="none" w:pos="133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Any of the rights, powers, preferences and other terms of the Preferred Stock set forth herein may be waived on behalf of all holders of Preferred Stock by the affirmative written consent or vote of the Requisite Preferred Holders (and (i) with respect to the Series D Preferred Stock, the Requisite Series D Holders, and (ii) with respect to the Series E Preferred Stock, the Requisite Series 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such rights, powers, preferences and other terms are expressly for the benefit of a specific series or group of series of Preferred Stock, then such waiver shall also require the separate affirmative consent of the holders of at least a majority of the applicable series or group of series of Preferred Stock.</w:t>
      </w:r>
    </w:p>
    <w:p>
      <w:pPr>
        <w:spacing w:after="0" w:line="193" w:lineRule="exact"/>
        <w:rPr>
          <w:rFonts w:ascii="Arial" w:cs="Arial" w:eastAsia="Arial" w:hAnsi="Arial"/>
          <w:sz w:val="18"/>
          <w:szCs w:val="18"/>
          <w:color w:val="auto"/>
        </w:rPr>
      </w:pPr>
    </w:p>
    <w:p>
      <w:pPr>
        <w:ind w:right="40" w:firstLine="990"/>
        <w:spacing w:after="0" w:line="307" w:lineRule="auto"/>
        <w:tabs>
          <w:tab w:leader="none" w:pos="1339"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required or permitted by the provisions of this </w:t>
      </w:r>
      <w:r>
        <w:rPr>
          <w:rFonts w:ascii="Arial" w:cs="Arial" w:eastAsia="Arial" w:hAnsi="Arial"/>
          <w:sz w:val="16"/>
          <w:szCs w:val="16"/>
          <w:u w:val="single" w:color="auto"/>
          <w:color w:val="auto"/>
        </w:rPr>
        <w:t>Article Fourth</w:t>
      </w:r>
      <w:r>
        <w:rPr>
          <w:rFonts w:ascii="Arial" w:cs="Arial" w:eastAsia="Arial" w:hAnsi="Arial"/>
          <w:sz w:val="16"/>
          <w:szCs w:val="16"/>
          <w:color w:val="auto"/>
        </w:rPr>
        <w:t xml:space="preserve">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6" w:lineRule="exact"/>
        <w:rPr>
          <w:sz w:val="20"/>
          <w:szCs w:val="20"/>
          <w:color w:val="auto"/>
        </w:rPr>
      </w:pPr>
    </w:p>
    <w:p>
      <w:pPr>
        <w:ind w:right="320" w:firstLine="436"/>
        <w:spacing w:after="0" w:line="261"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Amended and Restated Certificate of Incorporation or Bylaws of the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and not in limitation of the powers conferred by statute, the Board of Directors is expressly authorized to make, repeal, alter, amend and rescind any or all of the Bylaws of the Corporation.</w:t>
      </w:r>
    </w:p>
    <w:p>
      <w:pPr>
        <w:spacing w:after="0" w:line="181" w:lineRule="exact"/>
        <w:rPr>
          <w:sz w:val="20"/>
          <w:szCs w:val="20"/>
          <w:color w:val="auto"/>
        </w:rPr>
      </w:pPr>
    </w:p>
    <w:p>
      <w:pPr>
        <w:ind w:right="580" w:firstLine="436"/>
        <w:spacing w:after="0" w:line="275"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Amended and Restated Certificate of Incorporation, the number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be determined in the manner set forth in the Bylaws of the Corporation.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480" w:top="272" w:right="539" w:bottom="1440" w:gutter="0" w:footer="0" w:header="0"/>
        </w:sectPr>
      </w:pPr>
    </w:p>
    <w:bookmarkStart w:id="244" w:name="page245"/>
    <w:bookmarkEnd w:id="244"/>
    <w:p>
      <w:pPr>
        <w:ind w:right="180" w:firstLine="43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or in the Bylaws of the Corporation.</w:t>
      </w:r>
    </w:p>
    <w:p>
      <w:pPr>
        <w:spacing w:after="0" w:line="181" w:lineRule="exact"/>
        <w:rPr>
          <w:sz w:val="20"/>
          <w:szCs w:val="20"/>
          <w:color w:val="auto"/>
        </w:rPr>
      </w:pPr>
    </w:p>
    <w:p>
      <w:pPr>
        <w:ind w:right="160" w:firstLine="436"/>
        <w:spacing w:after="0" w:line="255"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monetary damages for breach of fiduciary duty as a director. If the General Corporation Law or any other law of the State of Delaware is amended after approval by the stockholders of this </w:t>
      </w:r>
      <w:r>
        <w:rPr>
          <w:rFonts w:ascii="Arial" w:cs="Arial" w:eastAsia="Arial" w:hAnsi="Arial"/>
          <w:sz w:val="18"/>
          <w:szCs w:val="18"/>
          <w:u w:val="single" w:color="auto"/>
          <w:color w:val="auto"/>
        </w:rPr>
        <w:t>Article Ninth</w:t>
      </w:r>
      <w:r>
        <w:rPr>
          <w:rFonts w:ascii="Arial" w:cs="Arial" w:eastAsia="Arial" w:hAnsi="Arial"/>
          <w:sz w:val="18"/>
          <w:szCs w:val="18"/>
          <w:color w:val="auto"/>
        </w:rPr>
        <w:t xml:space="preserve">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8" w:lineRule="exact"/>
        <w:rPr>
          <w:sz w:val="20"/>
          <w:szCs w:val="20"/>
          <w:color w:val="auto"/>
        </w:rPr>
      </w:pPr>
    </w:p>
    <w:p>
      <w:pPr>
        <w:jc w:val="both"/>
        <w:ind w:right="120" w:firstLine="436"/>
        <w:spacing w:after="0" w:line="259" w:lineRule="auto"/>
        <w:rPr>
          <w:sz w:val="20"/>
          <w:szCs w:val="20"/>
          <w:color w:val="auto"/>
        </w:rPr>
      </w:pPr>
      <w:r>
        <w:rPr>
          <w:rFonts w:ascii="Arial" w:cs="Arial" w:eastAsia="Arial" w:hAnsi="Arial"/>
          <w:sz w:val="18"/>
          <w:szCs w:val="18"/>
          <w:color w:val="auto"/>
        </w:rPr>
        <w:t xml:space="preserve">Any repeal or modification of the foregoing provisions of this </w:t>
      </w:r>
      <w:r>
        <w:rPr>
          <w:rFonts w:ascii="Arial" w:cs="Arial" w:eastAsia="Arial" w:hAnsi="Arial"/>
          <w:sz w:val="18"/>
          <w:szCs w:val="18"/>
          <w:u w:val="single" w:color="auto"/>
          <w:color w:val="auto"/>
        </w:rPr>
        <w:t>Article Ninth</w:t>
      </w:r>
      <w:r>
        <w:rPr>
          <w:rFonts w:ascii="Arial" w:cs="Arial" w:eastAsia="Arial" w:hAnsi="Arial"/>
          <w:sz w:val="18"/>
          <w:szCs w:val="18"/>
          <w:color w:val="auto"/>
        </w:rPr>
        <w:t xml:space="preserve">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2" w:lineRule="exact"/>
        <w:rPr>
          <w:sz w:val="20"/>
          <w:szCs w:val="20"/>
          <w:color w:val="auto"/>
        </w:rPr>
      </w:pPr>
    </w:p>
    <w:p>
      <w:pPr>
        <w:jc w:val="both"/>
        <w:ind w:right="340" w:firstLine="436"/>
        <w:spacing w:after="0" w:line="299"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7"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 xml:space="preserve">Any amendment, repeal, or modification of the foregoing provisions of this </w:t>
      </w:r>
      <w:r>
        <w:rPr>
          <w:rFonts w:ascii="Arial" w:cs="Arial" w:eastAsia="Arial" w:hAnsi="Arial"/>
          <w:sz w:val="18"/>
          <w:szCs w:val="18"/>
          <w:u w:val="single" w:color="auto"/>
          <w:color w:val="auto"/>
        </w:rPr>
        <w:t>Article Tenth</w:t>
      </w:r>
      <w:r>
        <w:rPr>
          <w:rFonts w:ascii="Arial" w:cs="Arial" w:eastAsia="Arial" w:hAnsi="Arial"/>
          <w:sz w:val="18"/>
          <w:szCs w:val="18"/>
          <w:color w:val="auto"/>
        </w:rPr>
        <w:t xml:space="preserve">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86"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b w:val="1"/>
          <w:bCs w:val="1"/>
          <w:color w:val="auto"/>
        </w:rPr>
        <w:t xml:space="preserve">ELEVENTH: </w:t>
      </w:r>
      <w:r>
        <w:rPr>
          <w:rFonts w:ascii="Arial" w:cs="Arial" w:eastAsia="Arial" w:hAnsi="Arial"/>
          <w:sz w:val="17"/>
          <w:szCs w:val="17"/>
          <w:color w:val="auto"/>
        </w:rPr>
        <w:t>The Corporation renounces, to the fullest extent permitted by law, any interest or expectancy of the Corporation in, or in being</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an opportunity to participate in, any Excluded Opportunity.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480" w:top="268" w:right="539" w:bottom="1440" w:gutter="0" w:footer="0" w:header="0"/>
        </w:sectPr>
      </w:pPr>
    </w:p>
    <w:bookmarkStart w:id="245" w:name="page246"/>
    <w:bookmarkEnd w:id="245"/>
    <w:p>
      <w:pPr>
        <w:ind w:left="-80" w:firstLine="444"/>
        <w:spacing w:after="0" w:line="271" w:lineRule="auto"/>
        <w:tabs>
          <w:tab w:leader="none" w:pos="5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That the foregoing amendment and restatement was approved by the holders of the requisite number of shares of this corporation in accordance with Section 228 of the General Corporation Law.</w:t>
      </w:r>
    </w:p>
    <w:p>
      <w:pPr>
        <w:spacing w:after="0" w:line="174" w:lineRule="exact"/>
        <w:rPr>
          <w:rFonts w:ascii="Arial" w:cs="Arial" w:eastAsia="Arial" w:hAnsi="Arial"/>
          <w:sz w:val="18"/>
          <w:szCs w:val="18"/>
          <w:color w:val="auto"/>
        </w:rPr>
      </w:pPr>
    </w:p>
    <w:p>
      <w:pPr>
        <w:ind w:left="-80" w:right="800" w:firstLine="444"/>
        <w:spacing w:after="0" w:line="335" w:lineRule="auto"/>
        <w:tabs>
          <w:tab w:leader="none" w:pos="53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80"/>
          </w:cols>
          <w:pgMar w:left="560" w:top="272" w:right="559" w:bottom="1440" w:gutter="0" w:footer="0" w:header="0"/>
        </w:sectPr>
      </w:pPr>
    </w:p>
    <w:bookmarkStart w:id="246" w:name="page247"/>
    <w:bookmarkEnd w:id="246"/>
    <w:p>
      <w:pPr>
        <w:ind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20th day of July, 2020.</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Randy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13335</wp:posOffset>
            </wp:positionV>
            <wp:extent cx="25476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Randy Altschuler</w:t>
      </w:r>
    </w:p>
    <w:p>
      <w:pPr>
        <w:spacing w:after="0" w:line="20" w:lineRule="exact"/>
        <w:rPr>
          <w:sz w:val="20"/>
          <w:szCs w:val="20"/>
          <w:color w:val="auto"/>
        </w:rPr>
      </w:pPr>
    </w:p>
    <w:p>
      <w:pPr>
        <w:ind w:left="6900"/>
        <w:spacing w:after="0"/>
        <w:tabs>
          <w:tab w:leader="none" w:pos="74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380"/>
          </w:cols>
          <w:pgMar w:left="480" w:top="268" w:right="10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3.3</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AMENDED AND RESTATED BYLAWS</w:t>
      </w:r>
    </w:p>
    <w:p>
      <w:pPr>
        <w:spacing w:after="0" w:line="232"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XOMETRY, INC.</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9960"/>
          </w:cols>
          <w:pgMar w:left="1440" w:top="121" w:right="499" w:bottom="1440" w:gutter="0" w:footer="0" w:header="0"/>
        </w:sectPr>
      </w:pPr>
    </w:p>
    <w:bookmarkStart w:id="248" w:name="page249"/>
    <w:bookmarkEnd w:id="2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221"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shall be 1209 Orange Street,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19801 or in such other location as the Board of Directors may from time to time determine or the business of the corporation may require.</w:t>
      </w:r>
    </w:p>
    <w:p>
      <w:pPr>
        <w:spacing w:after="0" w:line="181" w:lineRule="exact"/>
        <w:rPr>
          <w:sz w:val="20"/>
          <w:szCs w:val="20"/>
          <w:color w:val="auto"/>
        </w:rPr>
      </w:pPr>
    </w:p>
    <w:p>
      <w:pPr>
        <w:ind w:right="40" w:firstLine="436"/>
        <w:spacing w:after="0" w:line="261"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SEAL</w:t>
      </w:r>
    </w:p>
    <w:p>
      <w:pPr>
        <w:spacing w:after="0" w:line="221" w:lineRule="exact"/>
        <w:rPr>
          <w:sz w:val="20"/>
          <w:szCs w:val="20"/>
          <w:color w:val="auto"/>
        </w:rPr>
      </w:pPr>
    </w:p>
    <w:p>
      <w:pPr>
        <w:ind w:right="100" w:firstLine="436"/>
        <w:spacing w:after="0" w:line="275"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Said seal may be used by causing it or a facsimile thereof to be</w:t>
      </w:r>
      <w:r>
        <w:rPr>
          <w:rFonts w:ascii="Arial" w:cs="Arial" w:eastAsia="Arial" w:hAnsi="Arial"/>
          <w:sz w:val="18"/>
          <w:szCs w:val="18"/>
          <w:b w:val="1"/>
          <w:bCs w:val="1"/>
          <w:color w:val="auto"/>
        </w:rPr>
        <w:t xml:space="preserve"> </w:t>
      </w:r>
      <w:r>
        <w:rPr>
          <w:rFonts w:ascii="Arial" w:cs="Arial" w:eastAsia="Arial" w:hAnsi="Arial"/>
          <w:sz w:val="18"/>
          <w:szCs w:val="18"/>
          <w:color w:val="auto"/>
        </w:rPr>
        <w:t>impressed or affixed or reproduced or otherwise.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MEETINGS</w:t>
      </w:r>
    </w:p>
    <w:p>
      <w:pPr>
        <w:spacing w:after="0" w:line="221" w:lineRule="exact"/>
        <w:rPr>
          <w:sz w:val="20"/>
          <w:szCs w:val="20"/>
          <w:color w:val="auto"/>
        </w:rPr>
      </w:pPr>
    </w:p>
    <w:p>
      <w:pPr>
        <w:ind w:right="200" w:firstLine="436"/>
        <w:spacing w:after="0" w:line="257"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290"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w:t>
      </w:r>
      <w:r>
        <w:rPr>
          <w:rFonts w:ascii="Arial" w:cs="Arial" w:eastAsia="Arial" w:hAnsi="Arial"/>
          <w:sz w:val="16"/>
          <w:szCs w:val="16"/>
          <w:color w:val="auto"/>
        </w:rPr>
        <w:t>.</w:t>
      </w:r>
    </w:p>
    <w:p>
      <w:pPr>
        <w:spacing w:after="0" w:line="118" w:lineRule="exact"/>
        <w:rPr>
          <w:sz w:val="20"/>
          <w:szCs w:val="20"/>
          <w:color w:val="auto"/>
        </w:rPr>
      </w:pPr>
    </w:p>
    <w:p>
      <w:pPr>
        <w:ind w:firstLine="990"/>
        <w:spacing w:after="0" w:line="290" w:lineRule="auto"/>
        <w:tabs>
          <w:tab w:leader="none" w:pos="1365" w:val="left"/>
        </w:tabs>
        <w:numPr>
          <w:ilvl w:val="0"/>
          <w:numId w:val="181"/>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spacing w:after="0" w:line="163" w:lineRule="exact"/>
        <w:rPr>
          <w:rFonts w:ascii="Arial" w:cs="Arial" w:eastAsia="Arial" w:hAnsi="Arial"/>
          <w:sz w:val="16"/>
          <w:szCs w:val="16"/>
          <w:b w:val="1"/>
          <w:bCs w:val="1"/>
          <w:color w:val="auto"/>
        </w:rPr>
      </w:pPr>
    </w:p>
    <w:p>
      <w:pPr>
        <w:ind w:right="40" w:firstLine="990"/>
        <w:spacing w:after="0" w:line="270" w:lineRule="auto"/>
        <w:tabs>
          <w:tab w:leader="none" w:pos="1368" w:val="left"/>
        </w:tabs>
        <w:numPr>
          <w:ilvl w:val="0"/>
          <w:numId w:val="181"/>
        </w:numPr>
        <w:rPr>
          <w:rFonts w:ascii="Arial" w:cs="Arial" w:eastAsia="Arial" w:hAnsi="Arial"/>
          <w:sz w:val="17"/>
          <w:szCs w:val="17"/>
          <w:b w:val="1"/>
          <w:bCs w:val="1"/>
          <w:color w:val="auto"/>
        </w:rPr>
      </w:pPr>
      <w:r>
        <w:rPr>
          <w:rFonts w:ascii="Arial" w:cs="Arial" w:eastAsia="Arial" w:hAnsi="Arial"/>
          <w:sz w:val="17"/>
          <w:szCs w:val="17"/>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paragraph (a) of this Section, (i) the stockholder must have given timely notice thereof in writing to the Secretary of the corporation, (ii) such other business must be a proper matter for stockholder action under the DGCL and applicable law, (iii) if the stockholder, or the beneficial owner on whose behalf any such proposal or nomination is made, has provided the corporation with a Solicitation Notice (as defined in this paragraph), such stockholder or beneficial owner must, in the case of a proposal, have delivered a proxy statement and form of proxy to</w:t>
      </w:r>
    </w:p>
    <w:p>
      <w:pPr>
        <w:sectPr>
          <w:pgSz w:w="11900" w:h="16838" w:orient="portrait"/>
          <w:cols w:equalWidth="0" w:num="1">
            <w:col w:w="10880"/>
          </w:cols>
          <w:pgMar w:left="480" w:top="268" w:right="539" w:bottom="1440" w:gutter="0" w:footer="0" w:header="0"/>
        </w:sectPr>
      </w:pPr>
    </w:p>
    <w:bookmarkStart w:id="249" w:name="page250"/>
    <w:bookmarkEnd w:id="249"/>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at the principal executive offices of the corporation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30 days prior to or delayed by more than 30 days after the anniversary of the preceding year’s annual meeting, notice by the stockholder to be timely must be so delivered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Arial" w:cs="Arial" w:eastAsia="Arial" w:hAnsi="Arial"/>
          <w:sz w:val="16"/>
          <w:szCs w:val="16"/>
          <w:b w:val="1"/>
          <w:bCs w:val="1"/>
          <w:i w:val="1"/>
          <w:iCs w:val="1"/>
          <w:color w:val="auto"/>
        </w:rPr>
        <w:t>Solicitation Notice</w:t>
      </w:r>
      <w:r>
        <w:rPr>
          <w:rFonts w:ascii="Arial" w:cs="Arial" w:eastAsia="Arial" w:hAnsi="Arial"/>
          <w:sz w:val="16"/>
          <w:szCs w:val="16"/>
          <w:color w:val="auto"/>
        </w:rPr>
        <w:t>”).</w:t>
      </w:r>
    </w:p>
    <w:p>
      <w:pPr>
        <w:spacing w:after="0" w:line="178" w:lineRule="exact"/>
        <w:rPr>
          <w:sz w:val="20"/>
          <w:szCs w:val="20"/>
          <w:color w:val="auto"/>
        </w:rPr>
      </w:pPr>
    </w:p>
    <w:p>
      <w:pPr>
        <w:ind w:right="60" w:firstLine="990"/>
        <w:spacing w:after="0" w:line="290" w:lineRule="auto"/>
        <w:tabs>
          <w:tab w:leader="none" w:pos="1358" w:val="left"/>
        </w:tabs>
        <w:numPr>
          <w:ilvl w:val="0"/>
          <w:numId w:val="182"/>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Section shall also be considered timely, but only with respect to nominees for any new positions created by such increase, if it shall be delivered to the Secretary at the principal executive offices of the corporation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such public announcement is first made by the corporation.</w:t>
      </w:r>
    </w:p>
    <w:p>
      <w:pPr>
        <w:spacing w:after="0" w:line="163" w:lineRule="exact"/>
        <w:rPr>
          <w:rFonts w:ascii="Arial" w:cs="Arial" w:eastAsia="Arial" w:hAnsi="Arial"/>
          <w:sz w:val="16"/>
          <w:szCs w:val="16"/>
          <w:b w:val="1"/>
          <w:bCs w:val="1"/>
          <w:color w:val="auto"/>
        </w:rPr>
      </w:pPr>
    </w:p>
    <w:p>
      <w:pPr>
        <w:ind w:firstLine="990"/>
        <w:spacing w:after="0" w:line="255" w:lineRule="auto"/>
        <w:tabs>
          <w:tab w:leader="none" w:pos="1378"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Only such persons who are nominated in accordance with the procedures set forth in this Section (or elected or appointed pursuant to Article IV of these Bylaws) shall be eligible to serve as directors and only such business shall be conducted at a meeting of stockholders as shall have been brought before the meeting in accordance with the procedures set forth in this Section. Except as otherwise provided by law, the Chairman of the meeting shall have the power and duty to determine whether a nomination or</w:t>
      </w:r>
    </w:p>
    <w:p>
      <w:pPr>
        <w:sectPr>
          <w:pgSz w:w="11900" w:h="16838" w:orient="portrait"/>
          <w:cols w:equalWidth="0" w:num="1">
            <w:col w:w="10880"/>
          </w:cols>
          <w:pgMar w:left="480" w:top="272" w:right="539" w:bottom="1440" w:gutter="0" w:footer="0" w:header="0"/>
        </w:sectPr>
      </w:pPr>
    </w:p>
    <w:bookmarkStart w:id="250" w:name="page251"/>
    <w:bookmarkEnd w:id="250"/>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86" w:lineRule="exact"/>
        <w:rPr>
          <w:sz w:val="20"/>
          <w:szCs w:val="20"/>
          <w:color w:val="auto"/>
        </w:rPr>
      </w:pPr>
    </w:p>
    <w:p>
      <w:pPr>
        <w:ind w:firstLine="990"/>
        <w:spacing w:after="0" w:line="255" w:lineRule="auto"/>
        <w:tabs>
          <w:tab w:leader="none" w:pos="1358"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90" w:lineRule="exact"/>
        <w:rPr>
          <w:rFonts w:ascii="Arial" w:cs="Arial" w:eastAsia="Arial" w:hAnsi="Arial"/>
          <w:sz w:val="18"/>
          <w:szCs w:val="18"/>
          <w:b w:val="1"/>
          <w:bCs w:val="1"/>
          <w:color w:val="auto"/>
        </w:rPr>
      </w:pPr>
    </w:p>
    <w:p>
      <w:pPr>
        <w:ind w:right="400" w:firstLine="990"/>
        <w:spacing w:after="0" w:line="259" w:lineRule="auto"/>
        <w:tabs>
          <w:tab w:leader="none" w:pos="1339"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For purposes of this Section, “public announcement” shall mean disclosure in a press release reported by the Dow Jones News Service, Associated Press or comparable national news service or in a document publicly filed by the corporation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Section 13, 14 or 15(d) of the 1934 Act.</w:t>
      </w:r>
    </w:p>
    <w:p>
      <w:pPr>
        <w:spacing w:after="0" w:line="289"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4"/>
          <w:szCs w:val="14"/>
          <w:b w:val="1"/>
          <w:bCs w:val="1"/>
          <w:color w:val="auto"/>
        </w:rPr>
        <w:t>Special Meetings</w:t>
      </w:r>
      <w:r>
        <w:rPr>
          <w:rFonts w:ascii="Arial" w:cs="Arial" w:eastAsia="Arial" w:hAnsi="Arial"/>
          <w:sz w:val="14"/>
          <w:szCs w:val="14"/>
          <w:color w:val="auto"/>
        </w:rPr>
        <w:t>.</w:t>
      </w:r>
    </w:p>
    <w:p>
      <w:pPr>
        <w:spacing w:after="0" w:line="118" w:lineRule="exact"/>
        <w:rPr>
          <w:sz w:val="20"/>
          <w:szCs w:val="20"/>
          <w:color w:val="auto"/>
        </w:rPr>
      </w:pPr>
    </w:p>
    <w:p>
      <w:pPr>
        <w:ind w:right="60" w:firstLine="990"/>
        <w:spacing w:after="0" w:line="255" w:lineRule="auto"/>
        <w:tabs>
          <w:tab w:leader="none" w:pos="1368"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 Officer, (iii) the Board of Directors pursuant to a resolution adopted by directors representing a quorum of the Board of Directors or (iv) by the holders of shares entitled to cast not less than 20% of the votes at the meeting, and shall be held at such place, on such date, and at such time as the Board of Directors shall fix.</w:t>
      </w:r>
    </w:p>
    <w:p>
      <w:pPr>
        <w:spacing w:after="0" w:line="190" w:lineRule="exact"/>
        <w:rPr>
          <w:rFonts w:ascii="Arial" w:cs="Arial" w:eastAsia="Arial" w:hAnsi="Arial"/>
          <w:sz w:val="18"/>
          <w:szCs w:val="18"/>
          <w:b w:val="1"/>
          <w:bCs w:val="1"/>
          <w:color w:val="auto"/>
        </w:rPr>
      </w:pPr>
    </w:p>
    <w:p>
      <w:pPr>
        <w:ind w:right="100" w:firstLine="990"/>
        <w:spacing w:after="0" w:line="287" w:lineRule="auto"/>
        <w:tabs>
          <w:tab w:leader="none" w:pos="1378" w:val="left"/>
        </w:tabs>
        <w:numPr>
          <w:ilvl w:val="0"/>
          <w:numId w:val="184"/>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35 nor more than 120 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62"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ectPr>
          <w:pgSz w:w="11900" w:h="16838" w:orient="portrait"/>
          <w:cols w:equalWidth="0" w:num="1">
            <w:col w:w="10900"/>
          </w:cols>
          <w:pgMar w:left="480" w:top="272" w:right="519" w:bottom="1440" w:gutter="0" w:footer="0" w:header="0"/>
        </w:sectPr>
      </w:pPr>
    </w:p>
    <w:bookmarkStart w:id="251" w:name="page252"/>
    <w:bookmarkEnd w:id="251"/>
    <w:p>
      <w:pPr>
        <w:ind w:firstLine="436"/>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8. Quorum</w:t>
      </w:r>
      <w:r>
        <w:rPr>
          <w:rFonts w:ascii="Arial" w:cs="Arial" w:eastAsia="Arial" w:hAnsi="Arial"/>
          <w:sz w:val="16"/>
          <w:szCs w:val="16"/>
          <w:color w:val="auto"/>
        </w:rPr>
        <w:t>. At all meetings of stockholders, except as otherwise provided by statute, the Certificate of Incorporation or these Bylaws,</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as otherwise provided by statute,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66"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b w:val="1"/>
          <w:bCs w:val="1"/>
          <w:color w:val="auto"/>
        </w:rPr>
        <w:t>Section 9. Adjournment and Notice of Adjourned Meetings</w:t>
      </w:r>
      <w:r>
        <w:rPr>
          <w:rFonts w:ascii="Arial" w:cs="Arial" w:eastAsia="Arial" w:hAnsi="Arial"/>
          <w:sz w:val="17"/>
          <w:szCs w:val="17"/>
          <w:color w:val="auto"/>
        </w:rPr>
        <w:t>. Any meeting of stockholders, whether annual or special, may be adjourned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pursuant to the Certificate of Incorporation, these Bylaws or applicable law. If the adjournment is for more than 30 days or if after the adjournment a new record date is fixed for the adjourned meeting, a notice of the adjourned meeting shall be given to each stockholder of record entitled to vote at the meeting.</w:t>
      </w:r>
    </w:p>
    <w:p>
      <w:pPr>
        <w:spacing w:after="0" w:line="178" w:lineRule="exact"/>
        <w:rPr>
          <w:sz w:val="20"/>
          <w:szCs w:val="20"/>
          <w:color w:val="auto"/>
        </w:rPr>
      </w:pPr>
    </w:p>
    <w:p>
      <w:pPr>
        <w:ind w:right="340" w:firstLine="436"/>
        <w:spacing w:after="0" w:line="271" w:lineRule="auto"/>
        <w:rPr>
          <w:sz w:val="20"/>
          <w:szCs w:val="20"/>
          <w:color w:val="auto"/>
        </w:rPr>
      </w:pPr>
      <w:r>
        <w:rPr>
          <w:rFonts w:ascii="Arial" w:cs="Arial" w:eastAsia="Arial" w:hAnsi="Arial"/>
          <w:sz w:val="17"/>
          <w:szCs w:val="17"/>
          <w:b w:val="1"/>
          <w:bCs w:val="1"/>
          <w:color w:val="auto"/>
        </w:rPr>
        <w:t>Section 10. Voting Rights</w:t>
      </w:r>
      <w:r>
        <w:rPr>
          <w:rFonts w:ascii="Arial" w:cs="Arial" w:eastAsia="Arial" w:hAnsi="Arial"/>
          <w:sz w:val="17"/>
          <w:szCs w:val="17"/>
          <w:color w:val="auto"/>
        </w:rPr>
        <w:t>. For the purpose of determining those stockholders entitled to vote at any meeting of the stockholders,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w:t>
      </w:r>
    </w:p>
    <w:p>
      <w:pPr>
        <w:spacing w:after="0" w:line="174" w:lineRule="exact"/>
        <w:rPr>
          <w:sz w:val="20"/>
          <w:szCs w:val="20"/>
          <w:color w:val="auto"/>
        </w:rPr>
      </w:pPr>
    </w:p>
    <w:p>
      <w:pPr>
        <w:ind w:right="20" w:firstLine="436"/>
        <w:spacing w:after="0" w:line="284" w:lineRule="auto"/>
        <w:rPr>
          <w:sz w:val="20"/>
          <w:szCs w:val="20"/>
          <w:color w:val="auto"/>
        </w:rPr>
      </w:pPr>
      <w:r>
        <w:rPr>
          <w:rFonts w:ascii="Arial" w:cs="Arial" w:eastAsia="Arial" w:hAnsi="Arial"/>
          <w:sz w:val="17"/>
          <w:szCs w:val="17"/>
          <w:b w:val="1"/>
          <w:bCs w:val="1"/>
          <w:color w:val="auto"/>
        </w:rPr>
        <w:t>Section 11. Joint Owners of Stock</w:t>
      </w:r>
      <w:r>
        <w:rPr>
          <w:rFonts w:ascii="Arial" w:cs="Arial" w:eastAsia="Arial" w:hAnsi="Arial"/>
          <w:sz w:val="17"/>
          <w:szCs w:val="17"/>
          <w:color w:val="auto"/>
        </w:rPr>
        <w:t>. If shares or other securities having voting power stand of record in the names of two or more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w:t>
      </w:r>
    </w:p>
    <w:p>
      <w:pPr>
        <w:sectPr>
          <w:pgSz w:w="11900" w:h="16838" w:orient="portrait"/>
          <w:cols w:equalWidth="0" w:num="1">
            <w:col w:w="10880"/>
          </w:cols>
          <w:pgMar w:left="480" w:top="268" w:right="539" w:bottom="1440" w:gutter="0" w:footer="0" w:header="0"/>
        </w:sectPr>
      </w:pPr>
    </w:p>
    <w:bookmarkStart w:id="252" w:name="page253"/>
    <w:bookmarkEnd w:id="252"/>
    <w:p>
      <w:pPr>
        <w:ind w:right="1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furnished with a copy of the instrument or order appointing them or creating the relationship wherein it is so provided, their acts with respect to voting (including giving consent pursuant to Section 13) shall have the following effect: (a) 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90" w:lineRule="exact"/>
        <w:rPr>
          <w:sz w:val="20"/>
          <w:szCs w:val="20"/>
          <w:color w:val="auto"/>
        </w:rPr>
      </w:pPr>
    </w:p>
    <w:p>
      <w:pPr>
        <w:ind w:right="40" w:firstLine="436"/>
        <w:spacing w:after="0" w:line="289"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shall prepare and make, at least 10 days before every meeting of stockholders, a complete list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268"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Action Without Meeting</w:t>
      </w:r>
      <w:r>
        <w:rPr>
          <w:rFonts w:ascii="Arial" w:cs="Arial" w:eastAsia="Arial" w:hAnsi="Arial"/>
          <w:sz w:val="16"/>
          <w:szCs w:val="16"/>
          <w:color w:val="auto"/>
        </w:rPr>
        <w:t>.</w:t>
      </w:r>
    </w:p>
    <w:p>
      <w:pPr>
        <w:spacing w:after="0" w:line="118" w:lineRule="exact"/>
        <w:rPr>
          <w:sz w:val="20"/>
          <w:szCs w:val="20"/>
          <w:color w:val="auto"/>
        </w:rPr>
      </w:pPr>
    </w:p>
    <w:p>
      <w:pPr>
        <w:ind w:right="100" w:firstLine="990"/>
        <w:spacing w:after="0" w:line="253" w:lineRule="auto"/>
        <w:tabs>
          <w:tab w:leader="none" w:pos="1368"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that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92" w:lineRule="exact"/>
        <w:rPr>
          <w:rFonts w:ascii="Arial" w:cs="Arial" w:eastAsia="Arial" w:hAnsi="Arial"/>
          <w:sz w:val="18"/>
          <w:szCs w:val="18"/>
          <w:b w:val="1"/>
          <w:bCs w:val="1"/>
          <w:color w:val="auto"/>
        </w:rPr>
      </w:pPr>
    </w:p>
    <w:p>
      <w:pPr>
        <w:ind w:right="100" w:firstLine="990"/>
        <w:spacing w:after="0" w:line="290" w:lineRule="auto"/>
        <w:tabs>
          <w:tab w:leader="none" w:pos="1378" w:val="left"/>
        </w:tabs>
        <w:numPr>
          <w:ilvl w:val="0"/>
          <w:numId w:val="185"/>
        </w:numPr>
        <w:rPr>
          <w:rFonts w:ascii="Arial" w:cs="Arial" w:eastAsia="Arial" w:hAnsi="Arial"/>
          <w:sz w:val="16"/>
          <w:szCs w:val="16"/>
          <w:b w:val="1"/>
          <w:bCs w:val="1"/>
          <w:color w:val="auto"/>
        </w:rPr>
      </w:pPr>
      <w:r>
        <w:rPr>
          <w:rFonts w:ascii="Arial" w:cs="Arial" w:eastAsia="Arial" w:hAnsi="Arial"/>
          <w:sz w:val="16"/>
          <w:szCs w:val="16"/>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63" w:lineRule="exact"/>
        <w:rPr>
          <w:rFonts w:ascii="Arial" w:cs="Arial" w:eastAsia="Arial" w:hAnsi="Arial"/>
          <w:sz w:val="16"/>
          <w:szCs w:val="16"/>
          <w:b w:val="1"/>
          <w:bCs w:val="1"/>
          <w:color w:val="auto"/>
        </w:rPr>
      </w:pPr>
    </w:p>
    <w:p>
      <w:pPr>
        <w:ind w:firstLine="990"/>
        <w:spacing w:after="0" w:line="269" w:lineRule="auto"/>
        <w:tabs>
          <w:tab w:leader="none" w:pos="1358" w:val="left"/>
        </w:tabs>
        <w:numPr>
          <w:ilvl w:val="0"/>
          <w:numId w:val="185"/>
        </w:numPr>
        <w:rPr>
          <w:rFonts w:ascii="Arial" w:cs="Arial" w:eastAsia="Arial" w:hAnsi="Arial"/>
          <w:sz w:val="17"/>
          <w:szCs w:val="17"/>
          <w:b w:val="1"/>
          <w:bCs w:val="1"/>
          <w:color w:val="auto"/>
        </w:rPr>
      </w:pPr>
      <w:r>
        <w:rPr>
          <w:rFonts w:ascii="Arial" w:cs="Arial" w:eastAsia="Arial" w:hAnsi="Arial"/>
          <w:sz w:val="17"/>
          <w:szCs w:val="17"/>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to which the stockholders consent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ectPr>
          <w:pgSz w:w="11900" w:h="16838" w:orient="portrait"/>
          <w:cols w:equalWidth="0" w:num="1">
            <w:col w:w="10900"/>
          </w:cols>
          <w:pgMar w:left="480" w:top="272" w:right="519" w:bottom="1440" w:gutter="0" w:footer="0" w:header="0"/>
        </w:sectPr>
      </w:pPr>
    </w:p>
    <w:bookmarkStart w:id="253" w:name="page254"/>
    <w:bookmarkEnd w:id="253"/>
    <w:p>
      <w:pPr>
        <w:jc w:val="both"/>
        <w:ind w:left="-7" w:right="100" w:firstLine="990"/>
        <w:spacing w:after="0" w:line="283" w:lineRule="auto"/>
        <w:tabs>
          <w:tab w:leader="none" w:pos="1361" w:val="left"/>
        </w:tabs>
        <w:numPr>
          <w:ilvl w:val="1"/>
          <w:numId w:val="18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 electronic mail, facsimile or other electronic transmission consenting to an action to be taken and transmitted by a stockholder or proxyholder, shall be deemed to be written, signed and dated for the purposes of this Section, provided that any such electronic mail, facsimile or other electronic transmission sets forth or is delivered with information from which the corporation can determine (i) that the electronic mail, facsimile or other electronic transmission was transmitted by the stockholder or proxyholder or by a person or persons authorized to act for the stockholder and</w:t>
      </w:r>
    </w:p>
    <w:p>
      <w:pPr>
        <w:ind w:left="-7" w:right="100" w:firstLine="7"/>
        <w:spacing w:after="0" w:line="264" w:lineRule="auto"/>
        <w:tabs>
          <w:tab w:leader="none" w:pos="25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date on which such stockholder or proxyholder or authorized person or persons transmitted such electronic mail, facsimile or electronic transmission. The date on which such electronic mail, facsimile or electronic transmission is transmitted shall be deemed to be the date on which such consent was signed. No consent given by electronic mail, facsimile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electronic mail, facsimile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292" w:lineRule="exact"/>
        <w:rPr>
          <w:sz w:val="20"/>
          <w:szCs w:val="20"/>
          <w:color w:val="auto"/>
        </w:rPr>
      </w:pPr>
    </w:p>
    <w:p>
      <w:pPr>
        <w:ind w:left="433"/>
        <w:spacing w:after="0"/>
        <w:tabs>
          <w:tab w:leader="none" w:pos="1412"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r>
        <w:rPr>
          <w:rFonts w:ascii="Arial" w:cs="Arial" w:eastAsia="Arial" w:hAnsi="Arial"/>
          <w:sz w:val="16"/>
          <w:szCs w:val="16"/>
          <w:color w:val="auto"/>
        </w:rPr>
        <w:t>.</w:t>
      </w:r>
    </w:p>
    <w:p>
      <w:pPr>
        <w:spacing w:after="0" w:line="118" w:lineRule="exact"/>
        <w:rPr>
          <w:sz w:val="20"/>
          <w:szCs w:val="20"/>
          <w:color w:val="auto"/>
        </w:rPr>
      </w:pPr>
    </w:p>
    <w:p>
      <w:pPr>
        <w:ind w:left="-7" w:right="120" w:firstLine="990"/>
        <w:spacing w:after="0" w:line="255" w:lineRule="auto"/>
        <w:tabs>
          <w:tab w:leader="none" w:pos="1351"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Chief Executive Officer, or, if the Chief Executive Officer is absent, a chairman of the meeting chosen by a majority in interest of the stockholders entitled to vote, present in person or by proxy, shall act as chairman. The Secretary, or, in his or her absence, an Assistant Secretary directed to do so by the Chief Executive Officer, shall act as secretary of the meeting.</w:t>
      </w:r>
    </w:p>
    <w:p>
      <w:pPr>
        <w:spacing w:after="0" w:line="190" w:lineRule="exact"/>
        <w:rPr>
          <w:rFonts w:ascii="Arial" w:cs="Arial" w:eastAsia="Arial" w:hAnsi="Arial"/>
          <w:sz w:val="18"/>
          <w:szCs w:val="18"/>
          <w:b w:val="1"/>
          <w:bCs w:val="1"/>
          <w:color w:val="auto"/>
        </w:rPr>
      </w:pPr>
    </w:p>
    <w:p>
      <w:pPr>
        <w:ind w:left="-7" w:firstLine="990"/>
        <w:spacing w:after="0" w:line="266" w:lineRule="auto"/>
        <w:tabs>
          <w:tab w:leader="none" w:pos="1368" w:val="left"/>
        </w:tabs>
        <w:numPr>
          <w:ilvl w:val="0"/>
          <w:numId w:val="188"/>
        </w:numPr>
        <w:rPr>
          <w:rFonts w:ascii="Arial" w:cs="Arial" w:eastAsia="Arial" w:hAnsi="Arial"/>
          <w:sz w:val="17"/>
          <w:szCs w:val="17"/>
          <w:b w:val="1"/>
          <w:bCs w:val="1"/>
          <w:color w:val="auto"/>
        </w:rPr>
      </w:pPr>
      <w:r>
        <w:rPr>
          <w:rFonts w:ascii="Arial" w:cs="Arial" w:eastAsia="Arial" w:hAnsi="Arial"/>
          <w:sz w:val="17"/>
          <w:szCs w:val="17"/>
          <w:color w:val="auto"/>
        </w:rPr>
        <w:t>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ectPr>
          <w:pgSz w:w="11900" w:h="16838" w:orient="portrait"/>
          <w:cols w:equalWidth="0" w:num="1">
            <w:col w:w="10913"/>
          </w:cols>
          <w:pgMar w:left="487" w:top="272" w:right="49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1" w:lineRule="exact"/>
        <w:rPr>
          <w:sz w:val="20"/>
          <w:szCs w:val="20"/>
          <w:color w:val="auto"/>
        </w:rPr>
      </w:pPr>
    </w:p>
    <w:p>
      <w:pPr>
        <w:jc w:val="both"/>
        <w:ind w:right="80" w:firstLine="436"/>
        <w:spacing w:after="0" w:line="261"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shall be fixed by the Board of Directors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Directors need not be stockholders unless so required by the Certificate of Incorporation. If for any cause, the directors shall not have been elected at an annual meeting, they may be elected as soon thereafter as convenient.</w:t>
      </w:r>
    </w:p>
    <w:p>
      <w:pPr>
        <w:spacing w:after="0" w:line="181" w:lineRule="exact"/>
        <w:rPr>
          <w:sz w:val="20"/>
          <w:szCs w:val="20"/>
          <w:color w:val="auto"/>
        </w:rPr>
      </w:pPr>
    </w:p>
    <w:p>
      <w:pPr>
        <w:ind w:right="120" w:firstLine="436"/>
        <w:spacing w:after="0" w:line="275"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statute or by the Certificate of Incorporation.</w:t>
      </w:r>
    </w:p>
    <w:p>
      <w:pPr>
        <w:spacing w:after="0" w:line="168" w:lineRule="exact"/>
        <w:rPr>
          <w:sz w:val="20"/>
          <w:szCs w:val="20"/>
          <w:color w:val="auto"/>
        </w:rPr>
      </w:pPr>
    </w:p>
    <w:p>
      <w:pPr>
        <w:ind w:right="80" w:firstLine="436"/>
        <w:spacing w:after="0" w:line="257" w:lineRule="auto"/>
        <w:rPr>
          <w:sz w:val="20"/>
          <w:szCs w:val="20"/>
          <w:color w:val="auto"/>
        </w:rPr>
      </w:pPr>
      <w:r>
        <w:rPr>
          <w:rFonts w:ascii="Arial" w:cs="Arial" w:eastAsia="Arial" w:hAnsi="Arial"/>
          <w:sz w:val="18"/>
          <w:szCs w:val="18"/>
          <w:b w:val="1"/>
          <w:bCs w:val="1"/>
          <w:color w:val="auto"/>
        </w:rPr>
        <w:t>Section 17. Term of Directors</w:t>
      </w:r>
      <w:r>
        <w:rPr>
          <w:rFonts w:ascii="Arial" w:cs="Arial" w:eastAsia="Arial" w:hAnsi="Arial"/>
          <w:sz w:val="18"/>
          <w:szCs w:val="18"/>
          <w:color w:val="auto"/>
        </w:rPr>
        <w:t>. Subject to the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directors shall be elected at each annual meeting of stockholders to serve until the next annual meeting of stockholders and his or her successor is duly elected and qualified or until his or her death, resignation or removal. No decrease in the number of directors constituting the Board of Directors shall shorten the term of any incumbent director.</w:t>
      </w:r>
    </w:p>
    <w:p>
      <w:pPr>
        <w:spacing w:after="0" w:line="183"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b w:val="1"/>
          <w:bCs w:val="1"/>
          <w:color w:val="auto"/>
        </w:rPr>
        <w:t>Section 18. Vacancies</w:t>
      </w:r>
      <w:r>
        <w:rPr>
          <w:rFonts w:ascii="Arial" w:cs="Arial" w:eastAsia="Arial" w:hAnsi="Arial"/>
          <w:sz w:val="16"/>
          <w:szCs w:val="16"/>
          <w:color w:val="auto"/>
        </w:rPr>
        <w:t>. Unless otherwise provided in the Certificate of Incorporation, and subject to the rights of the holders of any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64" w:lineRule="exact"/>
        <w:rPr>
          <w:sz w:val="20"/>
          <w:szCs w:val="20"/>
          <w:color w:val="auto"/>
        </w:rPr>
      </w:pPr>
    </w:p>
    <w:p>
      <w:pPr>
        <w:ind w:right="120" w:firstLine="436"/>
        <w:spacing w:after="0" w:line="252" w:lineRule="auto"/>
        <w:rPr>
          <w:sz w:val="20"/>
          <w:szCs w:val="20"/>
          <w:color w:val="auto"/>
        </w:rPr>
      </w:pPr>
      <w:r>
        <w:rPr>
          <w:rFonts w:ascii="Arial" w:cs="Arial" w:eastAsia="Arial" w:hAnsi="Arial"/>
          <w:sz w:val="18"/>
          <w:szCs w:val="18"/>
          <w:b w:val="1"/>
          <w:bCs w:val="1"/>
          <w:color w:val="auto"/>
        </w:rPr>
        <w:t>Section 19. Resignation</w:t>
      </w:r>
      <w:r>
        <w:rPr>
          <w:rFonts w:ascii="Arial" w:cs="Arial" w:eastAsia="Arial" w:hAnsi="Arial"/>
          <w:sz w:val="18"/>
          <w:szCs w:val="18"/>
          <w:color w:val="auto"/>
        </w:rPr>
        <w:t>. 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91" w:lineRule="exact"/>
        <w:rPr>
          <w:sz w:val="20"/>
          <w:szCs w:val="20"/>
          <w:color w:val="auto"/>
        </w:rPr>
      </w:pPr>
    </w:p>
    <w:p>
      <w:pPr>
        <w:ind w:right="80" w:firstLine="436"/>
        <w:spacing w:after="0" w:line="277" w:lineRule="auto"/>
        <w:rPr>
          <w:sz w:val="20"/>
          <w:szCs w:val="20"/>
          <w:color w:val="auto"/>
        </w:rPr>
      </w:pPr>
      <w:r>
        <w:rPr>
          <w:rFonts w:ascii="Arial" w:cs="Arial" w:eastAsia="Arial" w:hAnsi="Arial"/>
          <w:sz w:val="17"/>
          <w:szCs w:val="17"/>
          <w:b w:val="1"/>
          <w:bCs w:val="1"/>
          <w:color w:val="auto"/>
        </w:rPr>
        <w:t>Section 20. Removal</w:t>
      </w:r>
      <w:r>
        <w:rPr>
          <w:rFonts w:ascii="Arial" w:cs="Arial" w:eastAsia="Arial" w:hAnsi="Arial"/>
          <w:sz w:val="17"/>
          <w:szCs w:val="17"/>
          <w:color w:val="auto"/>
        </w:rPr>
        <w:t>. Subject to any limitations imposed by applicable law, the Board of Directors or any director may be removed from office</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elect such director.</w:t>
      </w:r>
    </w:p>
    <w:p>
      <w:pPr>
        <w:sectPr>
          <w:pgSz w:w="11900" w:h="16838" w:orient="portrait"/>
          <w:cols w:equalWidth="0" w:num="1">
            <w:col w:w="10920"/>
          </w:cols>
          <w:pgMar w:left="480" w:top="268" w:right="499" w:bottom="1440" w:gutter="0" w:footer="0" w:header="0"/>
        </w:sectPr>
      </w:pPr>
    </w:p>
    <w:bookmarkStart w:id="255" w:name="page256"/>
    <w:bookmarkEnd w:id="255"/>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21.</w:t>
      </w:r>
      <w:r>
        <w:rPr>
          <w:sz w:val="20"/>
          <w:szCs w:val="20"/>
          <w:color w:val="auto"/>
        </w:rPr>
        <w:tab/>
      </w:r>
      <w:r>
        <w:rPr>
          <w:rFonts w:ascii="Arial" w:cs="Arial" w:eastAsia="Arial" w:hAnsi="Arial"/>
          <w:sz w:val="16"/>
          <w:szCs w:val="16"/>
          <w:b w:val="1"/>
          <w:bCs w:val="1"/>
          <w:color w:val="auto"/>
        </w:rPr>
        <w:t>Meetings</w:t>
      </w:r>
    </w:p>
    <w:p>
      <w:pPr>
        <w:spacing w:after="0" w:line="114" w:lineRule="exact"/>
        <w:rPr>
          <w:sz w:val="20"/>
          <w:szCs w:val="20"/>
          <w:color w:val="auto"/>
        </w:rPr>
      </w:pPr>
    </w:p>
    <w:p>
      <w:pPr>
        <w:ind w:left="-440" w:firstLine="990"/>
        <w:spacing w:after="0" w:line="299" w:lineRule="auto"/>
        <w:tabs>
          <w:tab w:leader="none" w:pos="928"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Regular Meetings</w:t>
      </w:r>
      <w:r>
        <w:rPr>
          <w:rFonts w:ascii="Arial" w:cs="Arial" w:eastAsia="Arial" w:hAnsi="Arial"/>
          <w:sz w:val="16"/>
          <w:szCs w:val="16"/>
          <w:color w:val="auto"/>
        </w:rPr>
        <w:t>. Unless otherwise restricted by the Certificate of Incorporation, regular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or date and at any place within or without the State of Delaware that has been designated by the Board of Directors and publicized among all directors, either orally or in writing, including a voice-messaging system or other system designated to record and communicate messages, facsimile, or by electronic mail or other electronic means. No further notice shall be required for a regular meeting of the Board of Directors.</w:t>
      </w:r>
    </w:p>
    <w:p>
      <w:pPr>
        <w:spacing w:after="0" w:line="153" w:lineRule="exact"/>
        <w:rPr>
          <w:rFonts w:ascii="Arial" w:cs="Arial" w:eastAsia="Arial" w:hAnsi="Arial"/>
          <w:sz w:val="16"/>
          <w:szCs w:val="16"/>
          <w:b w:val="1"/>
          <w:bCs w:val="1"/>
          <w:color w:val="auto"/>
        </w:rPr>
      </w:pPr>
    </w:p>
    <w:p>
      <w:pPr>
        <w:ind w:left="-440" w:right="80" w:firstLine="990"/>
        <w:spacing w:after="0" w:line="261" w:lineRule="auto"/>
        <w:tabs>
          <w:tab w:leader="none" w:pos="938"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Chief Executive Officer (if a director), the President (if a director) or any director.</w:t>
      </w:r>
    </w:p>
    <w:p>
      <w:pPr>
        <w:spacing w:after="0" w:line="180" w:lineRule="exact"/>
        <w:rPr>
          <w:rFonts w:ascii="Arial" w:cs="Arial" w:eastAsia="Arial" w:hAnsi="Arial"/>
          <w:sz w:val="18"/>
          <w:szCs w:val="18"/>
          <w:b w:val="1"/>
          <w:bCs w:val="1"/>
          <w:color w:val="auto"/>
        </w:rPr>
      </w:pPr>
    </w:p>
    <w:p>
      <w:pPr>
        <w:ind w:left="-440" w:right="240" w:firstLine="990"/>
        <w:spacing w:after="0" w:line="309" w:lineRule="auto"/>
        <w:tabs>
          <w:tab w:leader="none" w:pos="918"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5" w:lineRule="exact"/>
        <w:rPr>
          <w:rFonts w:ascii="Arial" w:cs="Arial" w:eastAsia="Arial" w:hAnsi="Arial"/>
          <w:sz w:val="16"/>
          <w:szCs w:val="16"/>
          <w:b w:val="1"/>
          <w:bCs w:val="1"/>
          <w:color w:val="auto"/>
        </w:rPr>
      </w:pPr>
    </w:p>
    <w:p>
      <w:pPr>
        <w:ind w:left="-440" w:right="40" w:firstLine="990"/>
        <w:spacing w:after="0" w:line="269" w:lineRule="auto"/>
        <w:tabs>
          <w:tab w:leader="none" w:pos="938"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time and place of all special meetings of the Board of Directors shall be orally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shall be sent by first class mail, postage prepaid at least three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78" w:lineRule="exact"/>
        <w:rPr>
          <w:rFonts w:ascii="Arial" w:cs="Arial" w:eastAsia="Arial" w:hAnsi="Arial"/>
          <w:sz w:val="17"/>
          <w:szCs w:val="17"/>
          <w:b w:val="1"/>
          <w:bCs w:val="1"/>
          <w:color w:val="auto"/>
        </w:rPr>
      </w:pPr>
    </w:p>
    <w:p>
      <w:pPr>
        <w:ind w:left="-440" w:right="40" w:firstLine="990"/>
        <w:spacing w:after="0" w:line="277" w:lineRule="auto"/>
        <w:tabs>
          <w:tab w:leader="none" w:pos="918"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Notice</w:t>
      </w:r>
      <w:r>
        <w:rPr>
          <w:rFonts w:ascii="Arial" w:cs="Arial" w:eastAsia="Arial" w:hAnsi="Arial"/>
          <w:sz w:val="17"/>
          <w:szCs w:val="17"/>
          <w:color w:val="auto"/>
        </w:rPr>
        <w:t>. The transaction of all business at any meeting of the Board of Directors, or any committee thereof, however called</w:t>
      </w:r>
      <w:r>
        <w:rPr>
          <w:rFonts w:ascii="Arial" w:cs="Arial" w:eastAsia="Arial" w:hAnsi="Arial"/>
          <w:sz w:val="17"/>
          <w:szCs w:val="17"/>
          <w:b w:val="1"/>
          <w:bCs w:val="1"/>
          <w:color w:val="auto"/>
        </w:rPr>
        <w:t xml:space="preserve"> </w:t>
      </w:r>
      <w:r>
        <w:rPr>
          <w:rFonts w:ascii="Arial" w:cs="Arial" w:eastAsia="Arial" w:hAnsi="Arial"/>
          <w:sz w:val="17"/>
          <w:szCs w:val="17"/>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Quorum and Voting.</w:t>
      </w:r>
    </w:p>
    <w:p>
      <w:pPr>
        <w:spacing w:after="0" w:line="118" w:lineRule="exact"/>
        <w:rPr>
          <w:sz w:val="20"/>
          <w:szCs w:val="20"/>
          <w:color w:val="auto"/>
        </w:rPr>
      </w:pPr>
    </w:p>
    <w:p>
      <w:pPr>
        <w:ind w:left="-440" w:right="20" w:firstLine="990"/>
        <w:spacing w:after="0" w:line="251" w:lineRule="auto"/>
        <w:tabs>
          <w:tab w:leader="none" w:pos="928"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shall consist of a majority of the total number of directors then serving;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number shall never be less than 1/3 of the total number of directors except that when one director is authorized, then one director shall constitute a quorum. At any meeting, whether a quorum be present or otherwise, a majority of the directors present may adjourn from time to time until the time fixed for the next regular meeting of the Board of Directors, without notice other than by announcement at the meeting. If the Certificate of Incorporation provides that one or more directors shall have more or less than one vote per director on any matter, every reference in this Section to a majority or other proportion of the directors shall refer to a majority or other proportion of the votes of the directors.</w:t>
      </w:r>
    </w:p>
    <w:p>
      <w:pPr>
        <w:sectPr>
          <w:pgSz w:w="11900" w:h="16838" w:orient="portrait"/>
          <w:cols w:equalWidth="0" w:num="1">
            <w:col w:w="10480"/>
          </w:cols>
          <w:pgMar w:left="920" w:top="268" w:right="499" w:bottom="1440" w:gutter="0" w:footer="0" w:header="0"/>
        </w:sectPr>
      </w:pPr>
    </w:p>
    <w:bookmarkStart w:id="256" w:name="page257"/>
    <w:bookmarkEnd w:id="256"/>
    <w:p>
      <w:pPr>
        <w:jc w:val="both"/>
        <w:ind w:right="500" w:firstLine="990"/>
        <w:spacing w:after="0" w:line="335" w:lineRule="auto"/>
        <w:tabs>
          <w:tab w:leader="none" w:pos="1368" w:val="left"/>
        </w:tabs>
        <w:numPr>
          <w:ilvl w:val="0"/>
          <w:numId w:val="19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4" w:lineRule="exact"/>
        <w:rPr>
          <w:sz w:val="20"/>
          <w:szCs w:val="20"/>
          <w:color w:val="auto"/>
        </w:rPr>
      </w:pPr>
    </w:p>
    <w:p>
      <w:pPr>
        <w:ind w:firstLine="436"/>
        <w:spacing w:after="0" w:line="273" w:lineRule="auto"/>
        <w:rPr>
          <w:sz w:val="20"/>
          <w:szCs w:val="20"/>
          <w:color w:val="auto"/>
        </w:rPr>
      </w:pPr>
      <w:r>
        <w:rPr>
          <w:rFonts w:ascii="Arial" w:cs="Arial" w:eastAsia="Arial" w:hAnsi="Arial"/>
          <w:sz w:val="17"/>
          <w:szCs w:val="17"/>
          <w:b w:val="1"/>
          <w:bCs w:val="1"/>
          <w:color w:val="auto"/>
        </w:rPr>
        <w:t>Section 23. Action Without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2" w:lineRule="exact"/>
        <w:rPr>
          <w:sz w:val="20"/>
          <w:szCs w:val="20"/>
          <w:color w:val="auto"/>
        </w:rPr>
      </w:pPr>
    </w:p>
    <w:p>
      <w:pPr>
        <w:ind w:right="220" w:firstLine="436"/>
        <w:spacing w:after="0" w:line="255"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29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4"/>
          <w:szCs w:val="14"/>
          <w:b w:val="1"/>
          <w:bCs w:val="1"/>
          <w:color w:val="auto"/>
        </w:rPr>
        <w:t>Committees</w:t>
      </w:r>
      <w:r>
        <w:rPr>
          <w:rFonts w:ascii="Arial" w:cs="Arial" w:eastAsia="Arial" w:hAnsi="Arial"/>
          <w:sz w:val="14"/>
          <w:szCs w:val="14"/>
          <w:color w:val="auto"/>
        </w:rPr>
        <w:t>.</w:t>
      </w:r>
    </w:p>
    <w:p>
      <w:pPr>
        <w:spacing w:after="0" w:line="114" w:lineRule="exact"/>
        <w:rPr>
          <w:sz w:val="20"/>
          <w:szCs w:val="20"/>
          <w:color w:val="auto"/>
        </w:rPr>
      </w:pPr>
    </w:p>
    <w:p>
      <w:pPr>
        <w:ind w:right="20" w:firstLine="990"/>
        <w:spacing w:after="0" w:line="284" w:lineRule="auto"/>
        <w:tabs>
          <w:tab w:leader="none" w:pos="1368"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1" w:lineRule="exact"/>
        <w:rPr>
          <w:rFonts w:ascii="Arial" w:cs="Arial" w:eastAsia="Arial" w:hAnsi="Arial"/>
          <w:sz w:val="16"/>
          <w:szCs w:val="16"/>
          <w:b w:val="1"/>
          <w:bCs w:val="1"/>
          <w:color w:val="auto"/>
        </w:rPr>
      </w:pPr>
    </w:p>
    <w:p>
      <w:pPr>
        <w:ind w:right="160" w:firstLine="7"/>
        <w:spacing w:after="0" w:line="256" w:lineRule="auto"/>
        <w:tabs>
          <w:tab w:leader="none" w:pos="21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83" w:lineRule="exact"/>
        <w:rPr>
          <w:rFonts w:ascii="Arial" w:cs="Arial" w:eastAsia="Arial" w:hAnsi="Arial"/>
          <w:sz w:val="18"/>
          <w:szCs w:val="18"/>
          <w:color w:val="auto"/>
        </w:rPr>
      </w:pPr>
    </w:p>
    <w:p>
      <w:pPr>
        <w:ind w:right="60" w:firstLine="990"/>
        <w:spacing w:after="0" w:line="257" w:lineRule="auto"/>
        <w:tabs>
          <w:tab w:leader="none" w:pos="1378" w:val="left"/>
        </w:tabs>
        <w:numPr>
          <w:ilvl w:val="1"/>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83" w:lineRule="exact"/>
        <w:rPr>
          <w:rFonts w:ascii="Arial" w:cs="Arial" w:eastAsia="Arial" w:hAnsi="Arial"/>
          <w:sz w:val="18"/>
          <w:szCs w:val="18"/>
          <w:b w:val="1"/>
          <w:bCs w:val="1"/>
          <w:color w:val="auto"/>
        </w:rPr>
      </w:pPr>
    </w:p>
    <w:p>
      <w:pPr>
        <w:ind w:firstLine="990"/>
        <w:spacing w:after="0" w:line="268" w:lineRule="auto"/>
        <w:tabs>
          <w:tab w:leader="none" w:pos="1358" w:val="left"/>
        </w:tabs>
        <w:numPr>
          <w:ilvl w:val="1"/>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paragraphs (a) or (b) of this Section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ectPr>
          <w:pgSz w:w="11900" w:h="16838" w:orient="portrait"/>
          <w:cols w:equalWidth="0" w:num="1">
            <w:col w:w="10860"/>
          </w:cols>
          <w:pgMar w:left="480" w:top="272" w:right="559" w:bottom="1440" w:gutter="0" w:footer="0" w:header="0"/>
        </w:sectPr>
      </w:pPr>
    </w:p>
    <w:bookmarkStart w:id="257" w:name="page258"/>
    <w:bookmarkEnd w:id="257"/>
    <w:p>
      <w:pPr>
        <w:ind w:right="40" w:firstLine="990"/>
        <w:spacing w:after="0" w:line="266" w:lineRule="auto"/>
        <w:tabs>
          <w:tab w:leader="none" w:pos="1378"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Meetings</w:t>
      </w:r>
      <w:r>
        <w:rPr>
          <w:rFonts w:ascii="Arial" w:cs="Arial" w:eastAsia="Arial" w:hAnsi="Arial"/>
          <w:sz w:val="17"/>
          <w:szCs w:val="17"/>
          <w:color w:val="auto"/>
        </w:rPr>
        <w:t>. Unless the Board of Directors shall otherwise provide, regular meetings of the Executive Committee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appointed pursuant to this Section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that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2" w:lineRule="exact"/>
        <w:rPr>
          <w:sz w:val="20"/>
          <w:szCs w:val="20"/>
          <w:color w:val="auto"/>
        </w:rPr>
      </w:pPr>
    </w:p>
    <w:p>
      <w:pPr>
        <w:ind w:right="100" w:firstLine="436"/>
        <w:spacing w:after="0" w:line="273" w:lineRule="auto"/>
        <w:rPr>
          <w:sz w:val="20"/>
          <w:szCs w:val="20"/>
          <w:color w:val="auto"/>
        </w:rPr>
      </w:pPr>
      <w:r>
        <w:rPr>
          <w:rFonts w:ascii="Arial" w:cs="Arial" w:eastAsia="Arial" w:hAnsi="Arial"/>
          <w:sz w:val="17"/>
          <w:szCs w:val="17"/>
          <w:b w:val="1"/>
          <w:bCs w:val="1"/>
          <w:color w:val="auto"/>
        </w:rPr>
        <w:t>Section 26. Organization</w:t>
      </w:r>
      <w:r>
        <w:rPr>
          <w:rFonts w:ascii="Arial" w:cs="Arial" w:eastAsia="Arial" w:hAnsi="Arial"/>
          <w:sz w:val="17"/>
          <w:szCs w:val="17"/>
          <w:color w:val="auto"/>
        </w:rPr>
        <w:t>. At every meeting of the directors, the Chairman of the Board of Directors, or, if a Chairman has not been appointed</w:t>
      </w:r>
      <w:r>
        <w:rPr>
          <w:rFonts w:ascii="Arial" w:cs="Arial" w:eastAsia="Arial" w:hAnsi="Arial"/>
          <w:sz w:val="17"/>
          <w:szCs w:val="17"/>
          <w:b w:val="1"/>
          <w:bCs w:val="1"/>
          <w:color w:val="auto"/>
        </w:rPr>
        <w:t xml:space="preserve"> </w:t>
      </w:r>
      <w:r>
        <w:rPr>
          <w:rFonts w:ascii="Arial" w:cs="Arial" w:eastAsia="Arial" w:hAnsi="Arial"/>
          <w:sz w:val="17"/>
          <w:szCs w:val="17"/>
          <w:color w:val="auto"/>
        </w:rPr>
        <w:t>or is absent, the Chief Executive Officer (if a director), or if the Chief Executive Officer is not a director or is absent, the President (if a director), or if the President is not a director or is absent, the most senior Vice President (if a director) or, in the absence of any such person, a chairman of the meeting chosen by a majority of the directors present, shall preside over the meeting. The Secretary, or in his or her absence, any Assistant Secretary directed to do so by the Chief Executive Officer or President, shall act as secretary of the meeting.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1" w:lineRule="exact"/>
        <w:rPr>
          <w:sz w:val="20"/>
          <w:szCs w:val="20"/>
          <w:color w:val="auto"/>
        </w:rPr>
      </w:pPr>
    </w:p>
    <w:p>
      <w:pPr>
        <w:ind w:right="60" w:firstLine="436"/>
        <w:spacing w:after="0" w:line="269" w:lineRule="auto"/>
        <w:rPr>
          <w:sz w:val="20"/>
          <w:szCs w:val="20"/>
          <w:color w:val="auto"/>
        </w:rPr>
      </w:pPr>
      <w:r>
        <w:rPr>
          <w:rFonts w:ascii="Arial" w:cs="Arial" w:eastAsia="Arial" w:hAnsi="Arial"/>
          <w:sz w:val="17"/>
          <w:szCs w:val="17"/>
          <w:b w:val="1"/>
          <w:bCs w:val="1"/>
          <w:color w:val="auto"/>
        </w:rPr>
        <w:t>Section 27. Officers Designated</w:t>
      </w:r>
      <w:r>
        <w:rPr>
          <w:rFonts w:ascii="Arial" w:cs="Arial" w:eastAsia="Arial" w:hAnsi="Arial"/>
          <w:sz w:val="17"/>
          <w:szCs w:val="17"/>
          <w:color w:val="auto"/>
        </w:rPr>
        <w:t>. The officers of the corporation shall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8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Tenure and Duties of Officers</w:t>
      </w:r>
      <w:r>
        <w:rPr>
          <w:rFonts w:ascii="Arial" w:cs="Arial" w:eastAsia="Arial" w:hAnsi="Arial"/>
          <w:sz w:val="16"/>
          <w:szCs w:val="16"/>
          <w:color w:val="auto"/>
        </w:rPr>
        <w:t>.</w:t>
      </w:r>
    </w:p>
    <w:p>
      <w:pPr>
        <w:spacing w:after="0" w:line="114" w:lineRule="exact"/>
        <w:rPr>
          <w:sz w:val="20"/>
          <w:szCs w:val="20"/>
          <w:color w:val="auto"/>
        </w:rPr>
      </w:pPr>
    </w:p>
    <w:p>
      <w:pPr>
        <w:jc w:val="both"/>
        <w:ind w:firstLine="990"/>
        <w:spacing w:after="0" w:line="257" w:lineRule="auto"/>
        <w:tabs>
          <w:tab w:leader="none" w:pos="1368"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 or by the Chief Executive Officer or other officer if so authorized by the Board of Directors.</w:t>
      </w:r>
    </w:p>
    <w:p>
      <w:pPr>
        <w:sectPr>
          <w:pgSz w:w="11900" w:h="16838" w:orient="portrait"/>
          <w:cols w:equalWidth="0" w:num="1">
            <w:col w:w="10920"/>
          </w:cols>
          <w:pgMar w:left="480" w:top="268" w:right="499" w:bottom="1440" w:gutter="0" w:footer="0" w:header="0"/>
        </w:sectPr>
      </w:pPr>
    </w:p>
    <w:bookmarkStart w:id="258" w:name="page259"/>
    <w:bookmarkEnd w:id="258"/>
    <w:p>
      <w:pPr>
        <w:ind w:left="-960" w:right="40" w:firstLine="990"/>
        <w:spacing w:after="0" w:line="273" w:lineRule="auto"/>
        <w:tabs>
          <w:tab w:leader="none" w:pos="418"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Duties of Chairman of the Board of Directors</w:t>
      </w:r>
      <w:r>
        <w:rPr>
          <w:rFonts w:ascii="Arial" w:cs="Arial" w:eastAsia="Arial" w:hAnsi="Arial"/>
          <w:sz w:val="17"/>
          <w:szCs w:val="17"/>
          <w:color w:val="auto"/>
        </w:rPr>
        <w:t>. The Chairman of the Board of Directors, when present, shall preside at all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Chief Executive Officer and no President, then the Chairman of the Board of Directors shall also serve as the Chief Executive Officer of the corporation and shall have the powers and duties prescribed in paragraph (c) of this Section.</w:t>
      </w:r>
    </w:p>
    <w:p>
      <w:pPr>
        <w:spacing w:after="0" w:line="172" w:lineRule="exact"/>
        <w:rPr>
          <w:rFonts w:ascii="Arial" w:cs="Arial" w:eastAsia="Arial" w:hAnsi="Arial"/>
          <w:sz w:val="17"/>
          <w:szCs w:val="17"/>
          <w:b w:val="1"/>
          <w:bCs w:val="1"/>
          <w:color w:val="auto"/>
        </w:rPr>
      </w:pPr>
    </w:p>
    <w:p>
      <w:pPr>
        <w:ind w:left="-960" w:right="20" w:firstLine="990"/>
        <w:spacing w:after="0" w:line="294" w:lineRule="auto"/>
        <w:tabs>
          <w:tab w:leader="none" w:pos="398"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Chief Executive Officer</w:t>
      </w:r>
      <w:r>
        <w:rPr>
          <w:rFonts w:ascii="Arial" w:cs="Arial" w:eastAsia="Arial" w:hAnsi="Arial"/>
          <w:sz w:val="16"/>
          <w:szCs w:val="16"/>
          <w:color w:val="auto"/>
        </w:rPr>
        <w:t>. The Chief Executive Officer shall preside at all meetings of the stockholders and (if a director) at</w:t>
      </w:r>
      <w:r>
        <w:rPr>
          <w:rFonts w:ascii="Arial" w:cs="Arial" w:eastAsia="Arial" w:hAnsi="Arial"/>
          <w:sz w:val="16"/>
          <w:szCs w:val="16"/>
          <w:b w:val="1"/>
          <w:bCs w:val="1"/>
          <w:color w:val="auto"/>
        </w:rPr>
        <w:t xml:space="preserve"> </w:t>
      </w:r>
      <w:r>
        <w:rPr>
          <w:rFonts w:ascii="Arial" w:cs="Arial" w:eastAsia="Arial" w:hAnsi="Arial"/>
          <w:sz w:val="16"/>
          <w:szCs w:val="16"/>
          <w:color w:val="auto"/>
        </w:rPr>
        <w:t>all meetings of the Board of Directors, unless the Chairman of the Board of Directors has been appointed and is present. The Chief Executive Officer shall be the chief executive officer of the corporation and shall, subject to the control of the Board of Directors, have general supervision, direction and control of the business and officers of the corporation. The Chief Executive Officer shall perform other duties commonly incident to the office and shall also perform such other duties and have such other powers as the Board of Directors shall designate from time to time.</w:t>
      </w:r>
    </w:p>
    <w:p>
      <w:pPr>
        <w:spacing w:after="0" w:line="156" w:lineRule="exact"/>
        <w:rPr>
          <w:rFonts w:ascii="Arial" w:cs="Arial" w:eastAsia="Arial" w:hAnsi="Arial"/>
          <w:sz w:val="16"/>
          <w:szCs w:val="16"/>
          <w:b w:val="1"/>
          <w:bCs w:val="1"/>
          <w:color w:val="auto"/>
        </w:rPr>
      </w:pPr>
    </w:p>
    <w:p>
      <w:pPr>
        <w:ind w:left="-960" w:firstLine="990"/>
        <w:spacing w:after="0" w:line="271" w:lineRule="auto"/>
        <w:tabs>
          <w:tab w:leader="none" w:pos="418"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President</w:t>
      </w:r>
      <w:r>
        <w:rPr>
          <w:rFonts w:ascii="Arial" w:cs="Arial" w:eastAsia="Arial" w:hAnsi="Arial"/>
          <w:sz w:val="17"/>
          <w:szCs w:val="17"/>
          <w:color w:val="auto"/>
        </w:rPr>
        <w:t>. In the absence or disability of the Chief Executive Officer or if the office of Chief Executive Officer is vacant,</w:t>
      </w:r>
      <w:r>
        <w:rPr>
          <w:rFonts w:ascii="Arial" w:cs="Arial" w:eastAsia="Arial" w:hAnsi="Arial"/>
          <w:sz w:val="17"/>
          <w:szCs w:val="17"/>
          <w:b w:val="1"/>
          <w:bCs w:val="1"/>
          <w:color w:val="auto"/>
        </w:rPr>
        <w:t xml:space="preserve"> </w:t>
      </w:r>
      <w:r>
        <w:rPr>
          <w:rFonts w:ascii="Arial" w:cs="Arial" w:eastAsia="Arial" w:hAnsi="Arial"/>
          <w:sz w:val="17"/>
          <w:szCs w:val="17"/>
          <w:color w:val="auto"/>
        </w:rPr>
        <w:t>the President shall preside at all meetings of the stockholders and (if a director) at all meetings of the Board of Directors, unless the Chairman of the Board of Directors has been appointed and is present. If the office of Chief Executive Officer is vacant,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73" w:lineRule="exact"/>
        <w:rPr>
          <w:rFonts w:ascii="Arial" w:cs="Arial" w:eastAsia="Arial" w:hAnsi="Arial"/>
          <w:sz w:val="17"/>
          <w:szCs w:val="17"/>
          <w:b w:val="1"/>
          <w:bCs w:val="1"/>
          <w:color w:val="auto"/>
        </w:rPr>
      </w:pPr>
    </w:p>
    <w:p>
      <w:pPr>
        <w:ind w:left="-960" w:firstLine="990"/>
        <w:spacing w:after="0" w:line="309" w:lineRule="auto"/>
        <w:tabs>
          <w:tab w:leader="none" w:pos="398"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Vice Presidents</w:t>
      </w:r>
      <w:r>
        <w:rPr>
          <w:rFonts w:ascii="Arial" w:cs="Arial" w:eastAsia="Arial" w:hAnsi="Arial"/>
          <w:sz w:val="16"/>
          <w:szCs w:val="16"/>
          <w:color w:val="auto"/>
        </w:rPr>
        <w:t>. 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5" w:lineRule="exact"/>
        <w:rPr>
          <w:rFonts w:ascii="Arial" w:cs="Arial" w:eastAsia="Arial" w:hAnsi="Arial"/>
          <w:sz w:val="16"/>
          <w:szCs w:val="16"/>
          <w:b w:val="1"/>
          <w:bCs w:val="1"/>
          <w:color w:val="auto"/>
        </w:rPr>
      </w:pPr>
    </w:p>
    <w:p>
      <w:pPr>
        <w:ind w:left="-960" w:firstLine="990"/>
        <w:spacing w:after="0" w:line="252" w:lineRule="auto"/>
        <w:tabs>
          <w:tab w:leader="none" w:pos="379"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Secretary</w:t>
      </w:r>
      <w:r>
        <w:rPr>
          <w:rFonts w:ascii="Arial" w:cs="Arial" w:eastAsia="Arial" w:hAnsi="Arial"/>
          <w:sz w:val="18"/>
          <w:szCs w:val="18"/>
          <w:color w:val="auto"/>
        </w:rPr>
        <w:t>. The Secretary shall attend all meetings of the stockholders and of the Board of Directors and shall record all acts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shall designate from time to time.</w:t>
      </w:r>
    </w:p>
    <w:p>
      <w:pPr>
        <w:spacing w:after="0" w:line="187" w:lineRule="exact"/>
        <w:rPr>
          <w:rFonts w:ascii="Arial" w:cs="Arial" w:eastAsia="Arial" w:hAnsi="Arial"/>
          <w:sz w:val="18"/>
          <w:szCs w:val="18"/>
          <w:b w:val="1"/>
          <w:bCs w:val="1"/>
          <w:color w:val="auto"/>
        </w:rPr>
      </w:pPr>
    </w:p>
    <w:p>
      <w:pPr>
        <w:ind w:left="-960" w:firstLine="990"/>
        <w:spacing w:after="0" w:line="271" w:lineRule="auto"/>
        <w:tabs>
          <w:tab w:leader="none" w:pos="408"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Financial Officer</w:t>
      </w:r>
      <w:r>
        <w:rPr>
          <w:rFonts w:ascii="Arial" w:cs="Arial" w:eastAsia="Arial" w:hAnsi="Arial"/>
          <w:sz w:val="17"/>
          <w:szCs w:val="17"/>
          <w:color w:val="auto"/>
        </w:rPr>
        <w:t>. The Chief Financial Officer shall keep or cause to be kept the books of account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 thorough and proper manner and shall render statements of the financial affairs of the corporation in such form and as often as required by the Board of Directors or the Chief Executive Officer. The Chief Financial Officer, subject to the order of the Board of Directors, shall have the custody of all funds and securities of the corporation. The Chief Financial Officer shall perform other duties commonly incident to his or her office and shall also perform such other duties and have such other powers as the Board of Directors or the Chief Executive Officer shall designate from time to time. The Chief Executive Officer may direct the Treasurer or any Assistant Treasurer, or the</w:t>
      </w:r>
    </w:p>
    <w:p>
      <w:pPr>
        <w:sectPr>
          <w:pgSz w:w="11900" w:h="16838" w:orient="portrait"/>
          <w:cols w:equalWidth="0" w:num="1">
            <w:col w:w="9960"/>
          </w:cols>
          <w:pgMar w:left="1440" w:top="268" w:right="499" w:bottom="1440" w:gutter="0" w:footer="0" w:header="0"/>
        </w:sectPr>
      </w:pPr>
    </w:p>
    <w:bookmarkStart w:id="259" w:name="page260"/>
    <w:bookmarkEnd w:id="25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shall designate from time to time.</w:t>
      </w:r>
    </w:p>
    <w:p>
      <w:pPr>
        <w:spacing w:after="0" w:line="186" w:lineRule="exact"/>
        <w:rPr>
          <w:sz w:val="20"/>
          <w:szCs w:val="20"/>
          <w:color w:val="auto"/>
        </w:rPr>
      </w:pPr>
    </w:p>
    <w:p>
      <w:pPr>
        <w:ind w:right="220" w:firstLine="436"/>
        <w:spacing w:after="0" w:line="275" w:lineRule="auto"/>
        <w:rPr>
          <w:sz w:val="20"/>
          <w:szCs w:val="20"/>
          <w:color w:val="auto"/>
        </w:rPr>
      </w:pPr>
      <w:r>
        <w:rPr>
          <w:rFonts w:ascii="Arial" w:cs="Arial" w:eastAsia="Arial" w:hAnsi="Arial"/>
          <w:sz w:val="18"/>
          <w:szCs w:val="18"/>
          <w:b w:val="1"/>
          <w:bCs w:val="1"/>
          <w:color w:val="auto"/>
        </w:rPr>
        <w:t>Section 29.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8" w:lineRule="exact"/>
        <w:rPr>
          <w:sz w:val="20"/>
          <w:szCs w:val="20"/>
          <w:color w:val="auto"/>
        </w:rPr>
      </w:pPr>
    </w:p>
    <w:p>
      <w:pPr>
        <w:ind w:firstLine="436"/>
        <w:spacing w:after="0" w:line="273" w:lineRule="auto"/>
        <w:rPr>
          <w:sz w:val="20"/>
          <w:szCs w:val="20"/>
          <w:color w:val="auto"/>
        </w:rPr>
      </w:pPr>
      <w:r>
        <w:rPr>
          <w:rFonts w:ascii="Arial" w:cs="Arial" w:eastAsia="Arial" w:hAnsi="Arial"/>
          <w:sz w:val="17"/>
          <w:szCs w:val="17"/>
          <w:b w:val="1"/>
          <w:bCs w:val="1"/>
          <w:color w:val="auto"/>
        </w:rPr>
        <w:t>Section 30. Resignations</w:t>
      </w:r>
      <w:r>
        <w:rPr>
          <w:rFonts w:ascii="Arial" w:cs="Arial" w:eastAsia="Arial" w:hAnsi="Arial"/>
          <w:sz w:val="17"/>
          <w:szCs w:val="17"/>
          <w:color w:val="auto"/>
        </w:rPr>
        <w:t>. Any officer may resign at any time by giving notice in writing or by electronic transmission notice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to the Chief Executive Officer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2"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8"/>
          <w:szCs w:val="18"/>
          <w:b w:val="1"/>
          <w:bCs w:val="1"/>
          <w:color w:val="auto"/>
        </w:rPr>
        <w:t>Section 31. Removal</w:t>
      </w:r>
      <w:r>
        <w:rPr>
          <w:rFonts w:ascii="Arial" w:cs="Arial" w:eastAsia="Arial" w:hAnsi="Arial"/>
          <w:sz w:val="18"/>
          <w:szCs w:val="18"/>
          <w:color w:val="auto"/>
        </w:rPr>
        <w:t>. 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or electronic consent of the directors in office at the time, or by any committee or superior officers upon whom such power of removal may have been conferred by the Board of Directors.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4" w:lineRule="exact"/>
        <w:rPr>
          <w:sz w:val="20"/>
          <w:szCs w:val="20"/>
          <w:color w:val="auto"/>
        </w:rPr>
      </w:pPr>
    </w:p>
    <w:p>
      <w:pPr>
        <w:ind w:right="40" w:firstLine="436"/>
        <w:spacing w:after="0" w:line="289" w:lineRule="auto"/>
        <w:rPr>
          <w:sz w:val="20"/>
          <w:szCs w:val="20"/>
          <w:color w:val="auto"/>
        </w:rPr>
      </w:pPr>
      <w:r>
        <w:rPr>
          <w:rFonts w:ascii="Arial" w:cs="Arial" w:eastAsia="Arial" w:hAnsi="Arial"/>
          <w:sz w:val="16"/>
          <w:szCs w:val="16"/>
          <w:b w:val="1"/>
          <w:bCs w:val="1"/>
          <w:color w:val="auto"/>
        </w:rPr>
        <w:t>Section 32. Execution of Corporate Instruments</w:t>
      </w:r>
      <w:r>
        <w:rPr>
          <w:rFonts w:ascii="Arial" w:cs="Arial" w:eastAsia="Arial" w:hAnsi="Arial"/>
          <w:sz w:val="16"/>
          <w:szCs w:val="16"/>
          <w:color w:val="auto"/>
        </w:rPr>
        <w:t>. The Board of Directors may, in its discretion, determine the method and designate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signatory officer or officers, or other person or persons, to execute on behalf of the corporation any corporate instrument or document, or to sign on behalf of the corporation the corporate name, or to enter into contracts on behalf of the corporation, except as otherwise provided by law or these Bylaws, and such execution or signature shall be binding upon the corporation. All checks and drafts drawn on banks or other depositaries of funds to the credit of the corporation or on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61" w:lineRule="exact"/>
        <w:rPr>
          <w:sz w:val="20"/>
          <w:szCs w:val="20"/>
          <w:color w:val="auto"/>
        </w:rPr>
      </w:pPr>
    </w:p>
    <w:p>
      <w:pPr>
        <w:ind w:right="20" w:firstLine="436"/>
        <w:spacing w:after="0" w:line="257"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114" w:lineRule="exact"/>
        <w:rPr>
          <w:sz w:val="20"/>
          <w:szCs w:val="20"/>
          <w:color w:val="auto"/>
        </w:rPr>
      </w:pPr>
    </w:p>
    <w:p>
      <w:pPr>
        <w:jc w:val="both"/>
        <w:ind w:right="180" w:firstLine="436"/>
        <w:spacing w:after="0" w:line="261" w:lineRule="auto"/>
        <w:rPr>
          <w:sz w:val="20"/>
          <w:szCs w:val="20"/>
          <w:color w:val="auto"/>
        </w:rPr>
      </w:pPr>
      <w:r>
        <w:rPr>
          <w:rFonts w:ascii="Arial" w:cs="Arial" w:eastAsia="Arial" w:hAnsi="Arial"/>
          <w:sz w:val="18"/>
          <w:szCs w:val="18"/>
          <w:b w:val="1"/>
          <w:bCs w:val="1"/>
          <w:color w:val="auto"/>
        </w:rPr>
        <w:t>Section 34. Form and Execution of Certificates</w:t>
      </w:r>
      <w:r>
        <w:rPr>
          <w:rFonts w:ascii="Arial" w:cs="Arial" w:eastAsia="Arial" w:hAnsi="Arial"/>
          <w:sz w:val="18"/>
          <w:szCs w:val="18"/>
          <w:color w:val="auto"/>
        </w:rPr>
        <w:t>. The shares of the corporation shall be represented by certificates, or shall be uncertificated.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for the shares of stock, if any, of the corporation shall be in such form as is consistent with the Certificate of Incorporation and applicable law.</w:t>
      </w:r>
    </w:p>
    <w:p>
      <w:pPr>
        <w:sectPr>
          <w:pgSz w:w="11900" w:h="16838" w:orient="portrait"/>
          <w:cols w:equalWidth="0" w:num="1">
            <w:col w:w="10900"/>
          </w:cols>
          <w:pgMar w:left="480" w:top="272" w:right="519" w:bottom="1440" w:gutter="0" w:footer="0" w:header="0"/>
        </w:sectPr>
      </w:pPr>
    </w:p>
    <w:bookmarkStart w:id="260" w:name="page261"/>
    <w:bookmarkEnd w:id="260"/>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Every holder of shares of stock in the corporation represented by certificate shall be entitled to have a certificate signed by or in the name of the corporation by any two authorized officers, including but not limited to the Chief Executive Officer, the President, the Chief Financial Officer, any Vice President, the Treasurer or Assistant Treasurer or the Secretary or Assistant Secretary, certifying the number of shares owned by him or her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or she were such officer, transfer agent, or registrar at the date of issue.</w:t>
      </w:r>
    </w:p>
    <w:p>
      <w:pPr>
        <w:spacing w:after="0" w:line="174" w:lineRule="exact"/>
        <w:rPr>
          <w:sz w:val="20"/>
          <w:szCs w:val="20"/>
          <w:color w:val="auto"/>
        </w:rPr>
      </w:pPr>
    </w:p>
    <w:p>
      <w:pPr>
        <w:ind w:right="100" w:firstLine="436"/>
        <w:spacing w:after="0" w:line="271" w:lineRule="auto"/>
        <w:rPr>
          <w:sz w:val="20"/>
          <w:szCs w:val="20"/>
          <w:color w:val="auto"/>
        </w:rPr>
      </w:pPr>
      <w:r>
        <w:rPr>
          <w:rFonts w:ascii="Arial" w:cs="Arial" w:eastAsia="Arial" w:hAnsi="Arial"/>
          <w:sz w:val="17"/>
          <w:szCs w:val="17"/>
          <w:b w:val="1"/>
          <w:bCs w:val="1"/>
          <w:color w:val="auto"/>
        </w:rPr>
        <w:t>Section 35. Lost Certificates</w:t>
      </w:r>
      <w:r>
        <w:rPr>
          <w:rFonts w:ascii="Arial" w:cs="Arial" w:eastAsia="Arial" w:hAnsi="Arial"/>
          <w:sz w:val="17"/>
          <w:szCs w:val="17"/>
          <w:color w:val="auto"/>
        </w:rPr>
        <w:t>. 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28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Restrictions on Transfer</w:t>
      </w:r>
      <w:r>
        <w:rPr>
          <w:rFonts w:ascii="Arial" w:cs="Arial" w:eastAsia="Arial" w:hAnsi="Arial"/>
          <w:sz w:val="16"/>
          <w:szCs w:val="16"/>
          <w:color w:val="auto"/>
        </w:rPr>
        <w:t>.</w:t>
      </w:r>
    </w:p>
    <w:p>
      <w:pPr>
        <w:spacing w:after="0" w:line="118" w:lineRule="exact"/>
        <w:rPr>
          <w:sz w:val="20"/>
          <w:szCs w:val="20"/>
          <w:color w:val="auto"/>
        </w:rPr>
      </w:pPr>
    </w:p>
    <w:p>
      <w:pPr>
        <w:ind w:right="20" w:firstLine="990"/>
        <w:spacing w:after="0" w:line="283" w:lineRule="auto"/>
        <w:tabs>
          <w:tab w:leader="none" w:pos="1413" w:val="left"/>
        </w:tabs>
        <w:numPr>
          <w:ilvl w:val="0"/>
          <w:numId w:val="197"/>
        </w:numPr>
        <w:rPr>
          <w:rFonts w:ascii="Arial" w:cs="Arial" w:eastAsia="Arial" w:hAnsi="Arial"/>
          <w:sz w:val="16"/>
          <w:szCs w:val="16"/>
          <w:b w:val="1"/>
          <w:bCs w:val="1"/>
          <w:color w:val="auto"/>
        </w:rPr>
      </w:pPr>
      <w:r>
        <w:rPr>
          <w:rFonts w:ascii="Arial" w:cs="Arial" w:eastAsia="Arial" w:hAnsi="Arial"/>
          <w:sz w:val="16"/>
          <w:szCs w:val="16"/>
          <w:color w:val="auto"/>
        </w:rPr>
        <w:t>No holder of any of the shares of stock of the corporation may sell, transfer, assign, pledge, or otherwise dispose of or encumber any of the shares of stock of the corporation or any right or interest therein, whether voluntarily or by operation of law, or by gift or otherwise (each,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without the prior written consent of the corporation, upon duly authorized action of its Board of Directors. The corporation may withhold consent for any legitimate corporate purpose, as determined by the Board of Directors. Examples of the basis for the corporation to withhold its consent include, without limitation, (i) if such Transfer to individuals, companies or any other form of entity identified by the corporation as a potential competitor or considered by the corporation to be unfriendly; or (ii) if such Transfer increases the risk of the corporation having a class of security held of record by 2,000 or more persons, or 500 or more persons who are not accredited investors (as such term is defined by the SEC), as described in Section 12(g) of the 1934 Act and any related regulations, or otherwise requiring the corporation to register any class of securities under the 1934 Act; or (iii) if such Transfer would result in the loss of any federal or state securities law exemption relied upon by the corporation in connection with the initial issuance of such shares or the issuance of any other securities; or (iv) 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represents a Transfer of less than all of the shares then held by the stockholder and its affiliates or is to be made to more than a single transferee.</w:t>
      </w:r>
    </w:p>
    <w:p>
      <w:pPr>
        <w:spacing w:after="0" w:line="175" w:lineRule="exact"/>
        <w:rPr>
          <w:rFonts w:ascii="Arial" w:cs="Arial" w:eastAsia="Arial" w:hAnsi="Arial"/>
          <w:sz w:val="16"/>
          <w:szCs w:val="16"/>
          <w:b w:val="1"/>
          <w:bCs w:val="1"/>
          <w:color w:val="auto"/>
        </w:rPr>
      </w:pPr>
    </w:p>
    <w:p>
      <w:pPr>
        <w:ind w:firstLine="990"/>
        <w:spacing w:after="0" w:line="259" w:lineRule="auto"/>
        <w:tabs>
          <w:tab w:leader="none" w:pos="1378"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If a stockholder desires to Transfer any shares,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5" w:lineRule="exact"/>
        <w:rPr>
          <w:rFonts w:ascii="Arial" w:cs="Arial" w:eastAsia="Arial" w:hAnsi="Arial"/>
          <w:sz w:val="18"/>
          <w:szCs w:val="18"/>
          <w:b w:val="1"/>
          <w:bCs w:val="1"/>
          <w:color w:val="auto"/>
        </w:rPr>
      </w:pPr>
    </w:p>
    <w:p>
      <w:pPr>
        <w:ind w:right="240" w:firstLine="990"/>
        <w:spacing w:after="0" w:line="271" w:lineRule="auto"/>
        <w:tabs>
          <w:tab w:leader="none" w:pos="1348"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At the option of the corporation, the stockholder shall be obligated to pay to the corporation a reasonable transfer fee related to the costs and time of the corporation and its legal and other advisors related to any proposed Transfer.</w:t>
      </w:r>
    </w:p>
    <w:p>
      <w:pPr>
        <w:sectPr>
          <w:pgSz w:w="11900" w:h="16838" w:orient="portrait"/>
          <w:cols w:equalWidth="0" w:num="1">
            <w:col w:w="10900"/>
          </w:cols>
          <w:pgMar w:left="480" w:top="272" w:right="519" w:bottom="1440" w:gutter="0" w:footer="0" w:header="0"/>
        </w:sectPr>
      </w:pPr>
    </w:p>
    <w:bookmarkStart w:id="261" w:name="page262"/>
    <w:bookmarkEnd w:id="261"/>
    <w:p>
      <w:pPr>
        <w:ind w:left="-440" w:right="380" w:firstLine="990"/>
        <w:spacing w:after="0" w:line="271" w:lineRule="auto"/>
        <w:tabs>
          <w:tab w:leader="none" w:pos="928"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Transfer, or purported Transfer, of shares not made in strict compliance with this Section shall be null and void, shall not be recorded on the books of the corporation and shall not be recognized by the corporation.</w:t>
      </w:r>
    </w:p>
    <w:p>
      <w:pPr>
        <w:spacing w:after="0" w:line="174" w:lineRule="exact"/>
        <w:rPr>
          <w:rFonts w:ascii="Arial" w:cs="Arial" w:eastAsia="Arial" w:hAnsi="Arial"/>
          <w:sz w:val="18"/>
          <w:szCs w:val="18"/>
          <w:b w:val="1"/>
          <w:bCs w:val="1"/>
          <w:color w:val="auto"/>
        </w:rPr>
      </w:pPr>
    </w:p>
    <w:p>
      <w:pPr>
        <w:ind w:left="-440" w:right="240" w:firstLine="990"/>
        <w:spacing w:after="0" w:line="271" w:lineRule="auto"/>
        <w:tabs>
          <w:tab w:leader="none" w:pos="915"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The foregoing restriction on Transfer shall not apply to the Transfer of shares of Preferred Stock or to the Transfer of any shares of Common Stock issued upon the conversion of any shares of Preferred Stock.</w:t>
      </w:r>
    </w:p>
    <w:p>
      <w:pPr>
        <w:spacing w:after="0" w:line="174" w:lineRule="exact"/>
        <w:rPr>
          <w:rFonts w:ascii="Arial" w:cs="Arial" w:eastAsia="Arial" w:hAnsi="Arial"/>
          <w:sz w:val="18"/>
          <w:szCs w:val="18"/>
          <w:b w:val="1"/>
          <w:bCs w:val="1"/>
          <w:color w:val="auto"/>
        </w:rPr>
      </w:pPr>
    </w:p>
    <w:p>
      <w:pPr>
        <w:ind w:left="-440" w:right="40" w:firstLine="990"/>
        <w:spacing w:after="0" w:line="335" w:lineRule="auto"/>
        <w:tabs>
          <w:tab w:leader="none" w:pos="895" w:val="left"/>
        </w:tabs>
        <w:numPr>
          <w:ilvl w:val="0"/>
          <w:numId w:val="198"/>
        </w:numPr>
        <w:rPr>
          <w:rFonts w:ascii="Arial" w:cs="Arial" w:eastAsia="Arial" w:hAnsi="Arial"/>
          <w:sz w:val="16"/>
          <w:szCs w:val="16"/>
          <w:b w:val="1"/>
          <w:bCs w:val="1"/>
          <w:color w:val="auto"/>
        </w:rPr>
      </w:pPr>
      <w:r>
        <w:rPr>
          <w:rFonts w:ascii="Arial" w:cs="Arial" w:eastAsia="Arial" w:hAnsi="Arial"/>
          <w:sz w:val="16"/>
          <w:szCs w:val="16"/>
          <w:color w:val="auto"/>
        </w:rPr>
        <w:t>The foregoing restriction on Transfer shall terminate upon the date securities of the corporation are first offered to the public pursuant to a registration statement filed with, and declared effective by, the SEC under the Securities Act of 1933, as amended (the “</w:t>
      </w:r>
      <w:r>
        <w:rPr>
          <w:rFonts w:ascii="Arial" w:cs="Arial" w:eastAsia="Arial" w:hAnsi="Arial"/>
          <w:sz w:val="16"/>
          <w:szCs w:val="16"/>
          <w:b w:val="1"/>
          <w:bCs w:val="1"/>
          <w:i w:val="1"/>
          <w:iCs w:val="1"/>
          <w:color w:val="auto"/>
        </w:rPr>
        <w:t>1933 Act</w:t>
      </w:r>
      <w:r>
        <w:rPr>
          <w:rFonts w:ascii="Arial" w:cs="Arial" w:eastAsia="Arial" w:hAnsi="Arial"/>
          <w:sz w:val="16"/>
          <w:szCs w:val="16"/>
          <w:color w:val="auto"/>
        </w:rPr>
        <w:t>”).</w:t>
      </w:r>
    </w:p>
    <w:p>
      <w:pPr>
        <w:spacing w:after="0" w:line="128" w:lineRule="exact"/>
        <w:rPr>
          <w:rFonts w:ascii="Arial" w:cs="Arial" w:eastAsia="Arial" w:hAnsi="Arial"/>
          <w:sz w:val="16"/>
          <w:szCs w:val="16"/>
          <w:b w:val="1"/>
          <w:bCs w:val="1"/>
          <w:color w:val="auto"/>
        </w:rPr>
      </w:pPr>
    </w:p>
    <w:p>
      <w:pPr>
        <w:ind w:left="-440" w:right="140" w:firstLine="990"/>
        <w:spacing w:after="0" w:line="271" w:lineRule="auto"/>
        <w:tabs>
          <w:tab w:leader="none" w:pos="925"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Common Stock of the corporation shall bear on their face the following legend so long as the foregoing Transfer restrictions are in effect:</w:t>
      </w:r>
    </w:p>
    <w:p>
      <w:pPr>
        <w:spacing w:after="0" w:line="68" w:lineRule="exact"/>
        <w:rPr>
          <w:sz w:val="20"/>
          <w:szCs w:val="20"/>
          <w:color w:val="auto"/>
        </w:rPr>
      </w:pPr>
    </w:p>
    <w:p>
      <w:pPr>
        <w:ind w:left="540" w:right="300"/>
        <w:spacing w:after="0" w:line="271" w:lineRule="auto"/>
        <w:rPr>
          <w:sz w:val="20"/>
          <w:szCs w:val="20"/>
          <w:color w:val="auto"/>
        </w:rPr>
      </w:pPr>
      <w:r>
        <w:rPr>
          <w:rFonts w:ascii="Arial" w:cs="Arial" w:eastAsia="Arial" w:hAnsi="Arial"/>
          <w:sz w:val="18"/>
          <w:szCs w:val="18"/>
          <w:color w:val="auto"/>
        </w:rPr>
        <w:t>“THE SHARES REPRESENTED BY THIS CERTIFICATE ARE SUBJECT TO A TRANSFER RESTRICTION, AS PROVIDED IN THE BYLAWS OF THE CORPORATION.”</w:t>
      </w:r>
    </w:p>
    <w:p>
      <w:pPr>
        <w:spacing w:after="0" w:line="2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118" w:lineRule="exact"/>
        <w:rPr>
          <w:sz w:val="20"/>
          <w:szCs w:val="20"/>
          <w:color w:val="auto"/>
        </w:rPr>
      </w:pPr>
    </w:p>
    <w:p>
      <w:pPr>
        <w:ind w:left="-440" w:firstLine="990"/>
        <w:spacing w:after="0" w:line="268" w:lineRule="auto"/>
        <w:tabs>
          <w:tab w:leader="none" w:pos="928" w:val="left"/>
        </w:tabs>
        <w:numPr>
          <w:ilvl w:val="0"/>
          <w:numId w:val="199"/>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79" w:lineRule="exact"/>
        <w:rPr>
          <w:rFonts w:ascii="Arial" w:cs="Arial" w:eastAsia="Arial" w:hAnsi="Arial"/>
          <w:sz w:val="17"/>
          <w:szCs w:val="17"/>
          <w:b w:val="1"/>
          <w:bCs w:val="1"/>
          <w:color w:val="auto"/>
        </w:rPr>
      </w:pPr>
    </w:p>
    <w:p>
      <w:pPr>
        <w:ind w:left="-440" w:right="40" w:firstLine="990"/>
        <w:spacing w:after="0" w:line="265" w:lineRule="auto"/>
        <w:tabs>
          <w:tab w:leader="none" w:pos="938" w:val="left"/>
        </w:tabs>
        <w:numPr>
          <w:ilvl w:val="0"/>
          <w:numId w:val="199"/>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10 days after the date on which such a request is received, adopt a resolution fixing the record date. If no record date has been fixed by the Board of Directors within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ectPr>
          <w:pgSz w:w="11900" w:h="16838" w:orient="portrait"/>
          <w:cols w:equalWidth="0" w:num="1">
            <w:col w:w="10480"/>
          </w:cols>
          <w:pgMar w:left="920" w:top="272" w:right="499" w:bottom="1440" w:gutter="0" w:footer="0" w:header="0"/>
        </w:sectPr>
      </w:pPr>
    </w:p>
    <w:bookmarkStart w:id="262" w:name="page263"/>
    <w:bookmarkEnd w:id="262"/>
    <w:p>
      <w:pPr>
        <w:ind w:right="20" w:firstLine="990"/>
        <w:spacing w:after="0" w:line="252" w:lineRule="auto"/>
        <w:tabs>
          <w:tab w:leader="none" w:pos="1358"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90" w:lineRule="exact"/>
        <w:rPr>
          <w:sz w:val="20"/>
          <w:szCs w:val="20"/>
          <w:color w:val="auto"/>
        </w:rPr>
      </w:pPr>
    </w:p>
    <w:p>
      <w:pPr>
        <w:ind w:firstLine="436"/>
        <w:spacing w:after="0" w:line="257" w:lineRule="auto"/>
        <w:rPr>
          <w:sz w:val="20"/>
          <w:szCs w:val="20"/>
          <w:color w:val="auto"/>
        </w:rPr>
      </w:pPr>
      <w:r>
        <w:rPr>
          <w:rFonts w:ascii="Arial" w:cs="Arial" w:eastAsia="Arial" w:hAnsi="Arial"/>
          <w:sz w:val="18"/>
          <w:szCs w:val="18"/>
          <w:b w:val="1"/>
          <w:bCs w:val="1"/>
          <w:color w:val="auto"/>
        </w:rPr>
        <w:t>Section 38. Registered Stockholders</w:t>
      </w:r>
      <w:r>
        <w:rPr>
          <w:rFonts w:ascii="Arial" w:cs="Arial" w:eastAsia="Arial" w:hAnsi="Arial"/>
          <w:sz w:val="18"/>
          <w:szCs w:val="18"/>
          <w:color w:val="auto"/>
        </w:rPr>
        <w:t>. 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1" w:lineRule="exact"/>
        <w:rPr>
          <w:sz w:val="20"/>
          <w:szCs w:val="20"/>
          <w:color w:val="auto"/>
        </w:rPr>
      </w:pPr>
    </w:p>
    <w:p>
      <w:pPr>
        <w:ind w:right="20" w:firstLine="436"/>
        <w:spacing w:after="0" w:line="283" w:lineRule="auto"/>
        <w:rPr>
          <w:sz w:val="20"/>
          <w:szCs w:val="20"/>
          <w:color w:val="auto"/>
        </w:rPr>
      </w:pPr>
      <w:r>
        <w:rPr>
          <w:rFonts w:ascii="Arial" w:cs="Arial" w:eastAsia="Arial" w:hAnsi="Arial"/>
          <w:sz w:val="16"/>
          <w:szCs w:val="16"/>
          <w:b w:val="1"/>
          <w:bCs w:val="1"/>
          <w:color w:val="auto"/>
        </w:rPr>
        <w:t>Section 39. Execution of Other Securities</w:t>
      </w:r>
      <w:r>
        <w:rPr>
          <w:rFonts w:ascii="Arial" w:cs="Arial" w:eastAsia="Arial" w:hAnsi="Arial"/>
          <w:sz w:val="16"/>
          <w:szCs w:val="16"/>
          <w:color w:val="auto"/>
        </w:rPr>
        <w:t>. 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34 of these Bylaws), may be signed by the Chairman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1" w:lineRule="exact"/>
        <w:rPr>
          <w:sz w:val="20"/>
          <w:szCs w:val="20"/>
          <w:color w:val="auto"/>
        </w:rPr>
      </w:pPr>
    </w:p>
    <w:p>
      <w:pPr>
        <w:ind w:right="60" w:firstLine="436"/>
        <w:spacing w:after="0" w:line="284" w:lineRule="auto"/>
        <w:rPr>
          <w:sz w:val="20"/>
          <w:szCs w:val="20"/>
          <w:color w:val="auto"/>
        </w:rPr>
      </w:pPr>
      <w:r>
        <w:rPr>
          <w:rFonts w:ascii="Arial" w:cs="Arial" w:eastAsia="Arial" w:hAnsi="Arial"/>
          <w:sz w:val="17"/>
          <w:szCs w:val="17"/>
          <w:b w:val="1"/>
          <w:bCs w:val="1"/>
          <w:color w:val="auto"/>
        </w:rPr>
        <w:t>Section 40. Declaration of Dividends</w:t>
      </w:r>
      <w:r>
        <w:rPr>
          <w:rFonts w:ascii="Arial" w:cs="Arial" w:eastAsia="Arial" w:hAnsi="Arial"/>
          <w:sz w:val="17"/>
          <w:szCs w:val="17"/>
          <w:color w:val="auto"/>
        </w:rPr>
        <w:t>. 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ectPr>
          <w:pgSz w:w="11900" w:h="16838" w:orient="portrait"/>
          <w:cols w:equalWidth="0" w:num="1">
            <w:col w:w="10920"/>
          </w:cols>
          <w:pgMar w:left="480" w:top="272" w:right="499" w:bottom="1440" w:gutter="0" w:footer="0" w:header="0"/>
        </w:sectPr>
      </w:pPr>
    </w:p>
    <w:bookmarkStart w:id="263" w:name="page264"/>
    <w:bookmarkEnd w:id="263"/>
    <w:p>
      <w:pPr>
        <w:ind w:right="160" w:firstLine="43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41. Dividend Reserve</w:t>
      </w:r>
      <w:r>
        <w:rPr>
          <w:rFonts w:ascii="Arial" w:cs="Arial" w:eastAsia="Arial" w:hAnsi="Arial"/>
          <w:sz w:val="18"/>
          <w:szCs w:val="18"/>
          <w:color w:val="auto"/>
        </w:rPr>
        <w:t>. 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w:t>
      </w:r>
    </w:p>
    <w:p>
      <w:pPr>
        <w:spacing w:after="0" w:line="22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2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Indemnification of Directors, Executive Officers, Other Officers, Employees and Other Agents</w:t>
      </w:r>
      <w:r>
        <w:rPr>
          <w:rFonts w:ascii="Arial" w:cs="Arial" w:eastAsia="Arial" w:hAnsi="Arial"/>
          <w:sz w:val="16"/>
          <w:szCs w:val="16"/>
          <w:color w:val="auto"/>
        </w:rPr>
        <w:t>.</w:t>
      </w:r>
    </w:p>
    <w:p>
      <w:pPr>
        <w:spacing w:after="0" w:line="114" w:lineRule="exact"/>
        <w:rPr>
          <w:sz w:val="20"/>
          <w:szCs w:val="20"/>
          <w:color w:val="auto"/>
        </w:rPr>
      </w:pPr>
    </w:p>
    <w:p>
      <w:pPr>
        <w:ind w:firstLine="990"/>
        <w:spacing w:after="0" w:line="268" w:lineRule="auto"/>
        <w:tabs>
          <w:tab w:leader="none" w:pos="1368"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and Executive Officers</w:t>
      </w:r>
      <w:r>
        <w:rPr>
          <w:rFonts w:ascii="Arial" w:cs="Arial" w:eastAsia="Arial" w:hAnsi="Arial"/>
          <w:sz w:val="17"/>
          <w:szCs w:val="17"/>
          <w:color w:val="auto"/>
        </w:rPr>
        <w:t>. The corporation shall indemnify its directors and executive officers (for the purposes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Article, “executive officers” shall have the meaning defined in Rule 3b-7 promulgated under the 1934 Act) to the fullest extent not prohibited by the DGCL or any other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corporation may modify the extent of such indemnification by individual contracts with its directors and executive officers;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paragraph (d) of this Section.</w:t>
      </w:r>
    </w:p>
    <w:p>
      <w:pPr>
        <w:spacing w:after="0" w:line="179" w:lineRule="exact"/>
        <w:rPr>
          <w:rFonts w:ascii="Arial" w:cs="Arial" w:eastAsia="Arial" w:hAnsi="Arial"/>
          <w:sz w:val="17"/>
          <w:szCs w:val="17"/>
          <w:b w:val="1"/>
          <w:bCs w:val="1"/>
          <w:color w:val="auto"/>
        </w:rPr>
      </w:pPr>
    </w:p>
    <w:p>
      <w:pPr>
        <w:ind w:right="60" w:firstLine="990"/>
        <w:spacing w:after="0" w:line="309" w:lineRule="auto"/>
        <w:tabs>
          <w:tab w:leader="none" w:pos="1378"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Other Officers, Employees and Other Agents</w:t>
      </w:r>
      <w:r>
        <w:rPr>
          <w:rFonts w:ascii="Arial" w:cs="Arial" w:eastAsia="Arial" w:hAnsi="Arial"/>
          <w:sz w:val="16"/>
          <w:szCs w:val="16"/>
          <w:color w:val="auto"/>
        </w:rPr>
        <w:t>. The corporation shall have power to indemnify its other officers, employees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45" w:lineRule="exact"/>
        <w:rPr>
          <w:rFonts w:ascii="Arial" w:cs="Arial" w:eastAsia="Arial" w:hAnsi="Arial"/>
          <w:sz w:val="16"/>
          <w:szCs w:val="16"/>
          <w:b w:val="1"/>
          <w:bCs w:val="1"/>
          <w:color w:val="auto"/>
        </w:rPr>
      </w:pPr>
    </w:p>
    <w:p>
      <w:pPr>
        <w:ind w:right="100" w:firstLine="990"/>
        <w:spacing w:after="0" w:line="252" w:lineRule="auto"/>
        <w:tabs>
          <w:tab w:leader="none" w:pos="1358"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corporation shall advance to any person who was or is a party or is threatened to be made a party to any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pending or completed action, suit or proceeding, whether civil, criminal, administrative or investigative, by reason of the fact that such person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DGCL requires, an advancement of expenses incurred by a director or officer in his or her capacity as a director or officer (and not in any other capacity in which service was or is rendered by such indemnitee, including,</w:t>
      </w:r>
    </w:p>
    <w:p>
      <w:pPr>
        <w:sectPr>
          <w:pgSz w:w="11900" w:h="16838" w:orient="portrait"/>
          <w:cols w:equalWidth="0" w:num="1">
            <w:col w:w="10900"/>
          </w:cols>
          <w:pgMar w:left="480" w:top="268" w:right="519" w:bottom="1440" w:gutter="0" w:footer="0" w:header="0"/>
        </w:sectPr>
      </w:pPr>
    </w:p>
    <w:bookmarkStart w:id="264" w:name="page265"/>
    <w:bookmarkEnd w:id="264"/>
    <w:p>
      <w:pPr>
        <w:ind w:right="8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6" w:lineRule="exact"/>
        <w:rPr>
          <w:sz w:val="20"/>
          <w:szCs w:val="20"/>
          <w:color w:val="auto"/>
        </w:rPr>
      </w:pPr>
    </w:p>
    <w:p>
      <w:pPr>
        <w:ind w:firstLine="990"/>
        <w:spacing w:after="0" w:line="282" w:lineRule="auto"/>
        <w:tabs>
          <w:tab w:leader="none" w:pos="1378"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Enforcement</w:t>
      </w:r>
      <w:r>
        <w:rPr>
          <w:rFonts w:ascii="Arial" w:cs="Arial" w:eastAsia="Arial" w:hAnsi="Arial"/>
          <w:sz w:val="16"/>
          <w:szCs w:val="16"/>
          <w:color w:val="auto"/>
        </w:rPr>
        <w:t>. 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Section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76" w:lineRule="exact"/>
        <w:rPr>
          <w:rFonts w:ascii="Arial" w:cs="Arial" w:eastAsia="Arial" w:hAnsi="Arial"/>
          <w:sz w:val="16"/>
          <w:szCs w:val="16"/>
          <w:b w:val="1"/>
          <w:bCs w:val="1"/>
          <w:color w:val="auto"/>
        </w:rPr>
      </w:pPr>
    </w:p>
    <w:p>
      <w:pPr>
        <w:ind w:right="20" w:firstLine="990"/>
        <w:spacing w:after="0" w:line="273" w:lineRule="auto"/>
        <w:tabs>
          <w:tab w:leader="none" w:pos="1358"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Section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ectPr>
          <w:pgSz w:w="11900" w:h="16838" w:orient="portrait"/>
          <w:cols w:equalWidth="0" w:num="1">
            <w:col w:w="10920"/>
          </w:cols>
          <w:pgMar w:left="480" w:top="272" w:right="499" w:bottom="1440" w:gutter="0" w:footer="0" w:header="0"/>
        </w:sectPr>
      </w:pPr>
    </w:p>
    <w:bookmarkStart w:id="265" w:name="page266"/>
    <w:bookmarkEnd w:id="265"/>
    <w:p>
      <w:pPr>
        <w:ind w:left="-960" w:right="140" w:firstLine="990"/>
        <w:spacing w:after="0" w:line="275" w:lineRule="auto"/>
        <w:tabs>
          <w:tab w:leader="none" w:pos="379"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Survival of Rights</w:t>
      </w:r>
      <w:r>
        <w:rPr>
          <w:rFonts w:ascii="Arial" w:cs="Arial" w:eastAsia="Arial" w:hAnsi="Arial"/>
          <w:sz w:val="18"/>
          <w:szCs w:val="18"/>
          <w:color w:val="auto"/>
        </w:rPr>
        <w:t>. The rights conferred on any person by this Section shall continue as to a person who has ceased to be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or executive officer and shall inure to the benefit of the heirs, executors and administrators of such a person.</w:t>
      </w:r>
    </w:p>
    <w:p>
      <w:pPr>
        <w:spacing w:after="0" w:line="167" w:lineRule="exact"/>
        <w:rPr>
          <w:rFonts w:ascii="Arial" w:cs="Arial" w:eastAsia="Arial" w:hAnsi="Arial"/>
          <w:sz w:val="18"/>
          <w:szCs w:val="18"/>
          <w:b w:val="1"/>
          <w:bCs w:val="1"/>
          <w:color w:val="auto"/>
        </w:rPr>
      </w:pPr>
    </w:p>
    <w:p>
      <w:pPr>
        <w:ind w:left="-960" w:right="20" w:firstLine="990"/>
        <w:spacing w:after="0" w:line="306" w:lineRule="auto"/>
        <w:tabs>
          <w:tab w:leader="none" w:pos="408"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w:t>
      </w:r>
    </w:p>
    <w:p>
      <w:pPr>
        <w:spacing w:after="0" w:line="143" w:lineRule="exact"/>
        <w:rPr>
          <w:rFonts w:ascii="Arial" w:cs="Arial" w:eastAsia="Arial" w:hAnsi="Arial"/>
          <w:sz w:val="17"/>
          <w:szCs w:val="17"/>
          <w:b w:val="1"/>
          <w:bCs w:val="1"/>
          <w:color w:val="auto"/>
        </w:rPr>
      </w:pPr>
    </w:p>
    <w:p>
      <w:pPr>
        <w:ind w:left="-960" w:firstLine="990"/>
        <w:spacing w:after="0" w:line="340" w:lineRule="auto"/>
        <w:tabs>
          <w:tab w:leader="none" w:pos="418"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Section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20" w:lineRule="exact"/>
        <w:rPr>
          <w:rFonts w:ascii="Arial" w:cs="Arial" w:eastAsia="Arial" w:hAnsi="Arial"/>
          <w:sz w:val="16"/>
          <w:szCs w:val="16"/>
          <w:b w:val="1"/>
          <w:bCs w:val="1"/>
          <w:color w:val="auto"/>
        </w:rPr>
      </w:pPr>
    </w:p>
    <w:p>
      <w:pPr>
        <w:ind w:left="-960" w:right="60" w:firstLine="990"/>
        <w:spacing w:after="0" w:line="299" w:lineRule="auto"/>
        <w:tabs>
          <w:tab w:leader="none" w:pos="369"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Saving Clause</w:t>
      </w:r>
      <w:r>
        <w:rPr>
          <w:rFonts w:ascii="Arial" w:cs="Arial" w:eastAsia="Arial" w:hAnsi="Arial"/>
          <w:sz w:val="16"/>
          <w:szCs w:val="16"/>
          <w:color w:val="auto"/>
        </w:rPr>
        <w:t>. If this Section or any portion hereof shall be invalidated on any ground by any court of competent jurisdiction, then</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nevertheless indemnify each director and executive officer to the full extent not prohibited by any applicable portion of this Bylaw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applicable law.</w:t>
      </w:r>
    </w:p>
    <w:p>
      <w:pPr>
        <w:spacing w:after="0" w:line="153" w:lineRule="exact"/>
        <w:rPr>
          <w:rFonts w:ascii="Arial" w:cs="Arial" w:eastAsia="Arial" w:hAnsi="Arial"/>
          <w:sz w:val="16"/>
          <w:szCs w:val="16"/>
          <w:b w:val="1"/>
          <w:bCs w:val="1"/>
          <w:color w:val="auto"/>
        </w:rPr>
      </w:pPr>
    </w:p>
    <w:p>
      <w:pPr>
        <w:ind w:left="380" w:hanging="350"/>
        <w:spacing w:after="0"/>
        <w:tabs>
          <w:tab w:leader="none" w:pos="3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For the purposes of this Section, the following definitions shall apply:</w:t>
      </w:r>
    </w:p>
    <w:p>
      <w:pPr>
        <w:spacing w:after="0" w:line="224" w:lineRule="exact"/>
        <w:rPr>
          <w:rFonts w:ascii="Arial" w:cs="Arial" w:eastAsia="Arial" w:hAnsi="Arial"/>
          <w:sz w:val="18"/>
          <w:szCs w:val="18"/>
          <w:b w:val="1"/>
          <w:bCs w:val="1"/>
          <w:color w:val="auto"/>
        </w:rPr>
      </w:pPr>
    </w:p>
    <w:p>
      <w:pPr>
        <w:jc w:val="both"/>
        <w:ind w:left="-960" w:right="660" w:firstLine="1426"/>
        <w:spacing w:after="0" w:line="259" w:lineRule="auto"/>
        <w:tabs>
          <w:tab w:leader="none" w:pos="841" w:val="left"/>
        </w:tabs>
        <w:numPr>
          <w:ilvl w:val="1"/>
          <w:numId w:val="203"/>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5" w:lineRule="exact"/>
        <w:rPr>
          <w:rFonts w:ascii="Arial" w:cs="Arial" w:eastAsia="Arial" w:hAnsi="Arial"/>
          <w:sz w:val="18"/>
          <w:szCs w:val="18"/>
          <w:b w:val="1"/>
          <w:bCs w:val="1"/>
          <w:color w:val="auto"/>
        </w:rPr>
      </w:pPr>
    </w:p>
    <w:p>
      <w:pPr>
        <w:ind w:left="-960" w:right="40" w:firstLine="1426"/>
        <w:spacing w:after="0" w:line="335" w:lineRule="auto"/>
        <w:tabs>
          <w:tab w:leader="none" w:pos="841" w:val="left"/>
        </w:tabs>
        <w:numPr>
          <w:ilvl w:val="1"/>
          <w:numId w:val="203"/>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8" w:lineRule="exact"/>
        <w:rPr>
          <w:rFonts w:ascii="Arial" w:cs="Arial" w:eastAsia="Arial" w:hAnsi="Arial"/>
          <w:sz w:val="16"/>
          <w:szCs w:val="16"/>
          <w:b w:val="1"/>
          <w:bCs w:val="1"/>
          <w:color w:val="auto"/>
        </w:rPr>
      </w:pPr>
    </w:p>
    <w:p>
      <w:pPr>
        <w:ind w:left="-960" w:right="160" w:firstLine="1426"/>
        <w:spacing w:after="0" w:line="290" w:lineRule="auto"/>
        <w:tabs>
          <w:tab w:leader="none" w:pos="841" w:val="left"/>
        </w:tabs>
        <w:numPr>
          <w:ilvl w:val="1"/>
          <w:numId w:val="203"/>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3" w:lineRule="exact"/>
        <w:rPr>
          <w:rFonts w:ascii="Arial" w:cs="Arial" w:eastAsia="Arial" w:hAnsi="Arial"/>
          <w:sz w:val="16"/>
          <w:szCs w:val="16"/>
          <w:b w:val="1"/>
          <w:bCs w:val="1"/>
          <w:color w:val="auto"/>
        </w:rPr>
      </w:pPr>
    </w:p>
    <w:p>
      <w:pPr>
        <w:jc w:val="both"/>
        <w:ind w:left="-960" w:right="400" w:firstLine="1426"/>
        <w:spacing w:after="0" w:line="259" w:lineRule="auto"/>
        <w:tabs>
          <w:tab w:leader="none" w:pos="845" w:val="left"/>
        </w:tabs>
        <w:numPr>
          <w:ilvl w:val="1"/>
          <w:numId w:val="203"/>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5" w:lineRule="exact"/>
        <w:rPr>
          <w:rFonts w:ascii="Arial" w:cs="Arial" w:eastAsia="Arial" w:hAnsi="Arial"/>
          <w:sz w:val="18"/>
          <w:szCs w:val="18"/>
          <w:b w:val="1"/>
          <w:bCs w:val="1"/>
          <w:color w:val="auto"/>
        </w:rPr>
      </w:pPr>
    </w:p>
    <w:p>
      <w:pPr>
        <w:ind w:left="-960" w:firstLine="1426"/>
        <w:spacing w:after="0" w:line="255" w:lineRule="auto"/>
        <w:tabs>
          <w:tab w:leader="none" w:pos="845" w:val="left"/>
        </w:tabs>
        <w:numPr>
          <w:ilvl w:val="1"/>
          <w:numId w:val="203"/>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w:t>
      </w:r>
    </w:p>
    <w:p>
      <w:pPr>
        <w:sectPr>
          <w:pgSz w:w="11900" w:h="16838" w:orient="portrait"/>
          <w:cols w:equalWidth="0" w:num="1">
            <w:col w:w="9920"/>
          </w:cols>
          <w:pgMar w:left="1440" w:top="268" w:right="539" w:bottom="1440" w:gutter="0" w:footer="0" w:header="0"/>
        </w:sectPr>
      </w:pPr>
    </w:p>
    <w:bookmarkStart w:id="266" w:name="page267"/>
    <w:bookmarkEnd w:id="266"/>
    <w:p>
      <w:pPr>
        <w:ind w:right="2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2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4"/>
          <w:szCs w:val="14"/>
          <w:b w:val="1"/>
          <w:bCs w:val="1"/>
          <w:color w:val="auto"/>
        </w:rPr>
        <w:t>Notices</w:t>
      </w:r>
      <w:r>
        <w:rPr>
          <w:rFonts w:ascii="Arial" w:cs="Arial" w:eastAsia="Arial" w:hAnsi="Arial"/>
          <w:sz w:val="14"/>
          <w:szCs w:val="14"/>
          <w:color w:val="auto"/>
        </w:rPr>
        <w:t>.</w:t>
      </w:r>
    </w:p>
    <w:p>
      <w:pPr>
        <w:spacing w:after="0" w:line="114" w:lineRule="exact"/>
        <w:rPr>
          <w:sz w:val="20"/>
          <w:szCs w:val="20"/>
          <w:color w:val="auto"/>
        </w:rPr>
      </w:pPr>
    </w:p>
    <w:p>
      <w:pPr>
        <w:ind w:right="20" w:firstLine="990"/>
        <w:spacing w:after="0" w:line="299" w:lineRule="auto"/>
        <w:tabs>
          <w:tab w:leader="none" w:pos="1368"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Stockholders</w:t>
      </w:r>
      <w:r>
        <w:rPr>
          <w:rFonts w:ascii="Arial" w:cs="Arial" w:eastAsia="Arial" w:hAnsi="Arial"/>
          <w:sz w:val="16"/>
          <w:szCs w:val="16"/>
          <w:color w:val="auto"/>
        </w:rPr>
        <w:t>. Written notice to stockholders of stockholder meetings shall be given as provided in Section 7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53" w:lineRule="exact"/>
        <w:rPr>
          <w:rFonts w:ascii="Arial" w:cs="Arial" w:eastAsia="Arial" w:hAnsi="Arial"/>
          <w:sz w:val="16"/>
          <w:szCs w:val="16"/>
          <w:b w:val="1"/>
          <w:bCs w:val="1"/>
          <w:color w:val="auto"/>
        </w:rPr>
      </w:pPr>
    </w:p>
    <w:p>
      <w:pPr>
        <w:ind w:right="60" w:firstLine="990"/>
        <w:spacing w:after="0" w:line="284" w:lineRule="auto"/>
        <w:tabs>
          <w:tab w:leader="none" w:pos="1378"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Directors</w:t>
      </w:r>
      <w:r>
        <w:rPr>
          <w:rFonts w:ascii="Arial" w:cs="Arial" w:eastAsia="Arial" w:hAnsi="Arial"/>
          <w:sz w:val="17"/>
          <w:szCs w:val="17"/>
          <w:color w:val="auto"/>
        </w:rPr>
        <w:t>. Any notice required to be given to any director may be given by the method stated in paragraph (a)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or as provided for 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61" w:lineRule="exact"/>
        <w:rPr>
          <w:rFonts w:ascii="Arial" w:cs="Arial" w:eastAsia="Arial" w:hAnsi="Arial"/>
          <w:sz w:val="17"/>
          <w:szCs w:val="17"/>
          <w:b w:val="1"/>
          <w:bCs w:val="1"/>
          <w:color w:val="auto"/>
        </w:rPr>
      </w:pPr>
    </w:p>
    <w:p>
      <w:pPr>
        <w:ind w:firstLine="990"/>
        <w:spacing w:after="0" w:line="257" w:lineRule="auto"/>
        <w:tabs>
          <w:tab w:leader="none" w:pos="1358"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3" w:lineRule="exact"/>
        <w:rPr>
          <w:rFonts w:ascii="Arial" w:cs="Arial" w:eastAsia="Arial" w:hAnsi="Arial"/>
          <w:sz w:val="18"/>
          <w:szCs w:val="18"/>
          <w:b w:val="1"/>
          <w:bCs w:val="1"/>
          <w:color w:val="auto"/>
        </w:rPr>
      </w:pPr>
    </w:p>
    <w:p>
      <w:pPr>
        <w:jc w:val="both"/>
        <w:ind w:right="20" w:firstLine="990"/>
        <w:spacing w:after="0" w:line="261" w:lineRule="auto"/>
        <w:tabs>
          <w:tab w:leader="none" w:pos="1378"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80" w:lineRule="exact"/>
        <w:rPr>
          <w:rFonts w:ascii="Arial" w:cs="Arial" w:eastAsia="Arial" w:hAnsi="Arial"/>
          <w:sz w:val="18"/>
          <w:szCs w:val="18"/>
          <w:b w:val="1"/>
          <w:bCs w:val="1"/>
          <w:color w:val="auto"/>
        </w:rPr>
      </w:pPr>
    </w:p>
    <w:p>
      <w:pPr>
        <w:ind w:firstLine="990"/>
        <w:spacing w:after="0" w:line="269" w:lineRule="auto"/>
        <w:tabs>
          <w:tab w:leader="none" w:pos="1358"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8" w:lineRule="exact"/>
        <w:rPr>
          <w:rFonts w:ascii="Arial" w:cs="Arial" w:eastAsia="Arial" w:hAnsi="Arial"/>
          <w:sz w:val="17"/>
          <w:szCs w:val="17"/>
          <w:b w:val="1"/>
          <w:bCs w:val="1"/>
          <w:color w:val="auto"/>
        </w:rPr>
      </w:pPr>
    </w:p>
    <w:p>
      <w:pPr>
        <w:ind w:right="60" w:firstLine="990"/>
        <w:spacing w:after="0" w:line="273" w:lineRule="auto"/>
        <w:tabs>
          <w:tab w:leader="none" w:pos="1339"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ectPr>
          <w:pgSz w:w="11900" w:h="16838" w:orient="portrait"/>
          <w:cols w:equalWidth="0" w:num="1">
            <w:col w:w="10900"/>
          </w:cols>
          <w:pgMar w:left="480" w:top="272" w:right="519"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XIII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1"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b w:val="1"/>
          <w:bCs w:val="1"/>
          <w:color w:val="auto"/>
        </w:rPr>
        <w:t>Section 45. Amendments</w:t>
      </w:r>
      <w:r>
        <w:rPr>
          <w:rFonts w:ascii="Arial" w:cs="Arial" w:eastAsia="Arial" w:hAnsi="Arial"/>
          <w:sz w:val="18"/>
          <w:szCs w:val="18"/>
          <w:color w:val="auto"/>
        </w:rPr>
        <w:t>. The Board of Directors is expressly empowered to adopt, amend or repeal Bylaws of the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stockholders shall also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LOANS TO OFFICERS</w:t>
      </w:r>
    </w:p>
    <w:p>
      <w:pPr>
        <w:spacing w:after="0" w:line="221"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b w:val="1"/>
          <w:bCs w:val="1"/>
          <w:color w:val="auto"/>
        </w:rPr>
        <w:t>Section 46. Loans to Officers</w:t>
      </w:r>
      <w:r>
        <w:rPr>
          <w:rFonts w:ascii="Arial" w:cs="Arial" w:eastAsia="Arial" w:hAnsi="Arial"/>
          <w:sz w:val="16"/>
          <w:szCs w:val="16"/>
          <w:color w:val="auto"/>
        </w:rPr>
        <w:t>. Except as otherwise prohibited under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Forum</w:t>
      </w:r>
      <w:r>
        <w:rPr>
          <w:rFonts w:ascii="Arial" w:cs="Arial" w:eastAsia="Arial" w:hAnsi="Arial"/>
          <w:sz w:val="17"/>
          <w:szCs w:val="17"/>
          <w:color w:val="auto"/>
        </w:rPr>
        <w:t>. Unless the corporation consents in writing to the selection of an alternative forum, the Court of Chancery of the State of Delaware shall be the</w:t>
      </w:r>
      <w:r>
        <w:rPr>
          <w:rFonts w:ascii="Arial" w:cs="Arial" w:eastAsia="Arial" w:hAnsi="Arial"/>
          <w:sz w:val="17"/>
          <w:szCs w:val="17"/>
          <w:b w:val="1"/>
          <w:bCs w:val="1"/>
          <w:color w:val="auto"/>
        </w:rPr>
        <w:t xml:space="preserve"> </w:t>
      </w:r>
      <w:r>
        <w:rPr>
          <w:rFonts w:ascii="Arial" w:cs="Arial" w:eastAsia="Arial" w:hAnsi="Arial"/>
          <w:sz w:val="17"/>
          <w:szCs w:val="17"/>
          <w:color w:val="auto"/>
        </w:rPr>
        <w:t>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or any director or officer or other employee of the corporation arising pursuant to any provision of the DGCL, the certificate of incorporation or the Bylaws of the corporation; or (iv) any action asserting a claim against the corporation or any director or officer or other employee of the corporation governed by the internal affairs doctrine.</w:t>
      </w:r>
    </w:p>
    <w:p>
      <w:pPr>
        <w:sectPr>
          <w:pgSz w:w="11900" w:h="16838" w:orient="portrait"/>
          <w:cols w:equalWidth="0" w:num="1">
            <w:col w:w="10920"/>
          </w:cols>
          <w:pgMar w:left="480" w:top="268" w:right="49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10.1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Executed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AMENDED AND RESTATED INVESTORS’ RIGHTS AGREEMENT</w:t>
      </w:r>
    </w:p>
    <w:p>
      <w:pPr>
        <w:spacing w:after="0" w:line="221" w:lineRule="exact"/>
        <w:rPr>
          <w:sz w:val="20"/>
          <w:szCs w:val="20"/>
          <w:color w:val="auto"/>
        </w:rPr>
      </w:pPr>
    </w:p>
    <w:p>
      <w:pPr>
        <w:jc w:val="both"/>
        <w:ind w:right="160" w:firstLine="1419"/>
        <w:spacing w:after="0" w:line="284" w:lineRule="auto"/>
        <w:rPr>
          <w:sz w:val="20"/>
          <w:szCs w:val="20"/>
          <w:color w:val="auto"/>
        </w:rPr>
      </w:pPr>
      <w:r>
        <w:rPr>
          <w:rFonts w:ascii="Arial" w:cs="Arial" w:eastAsia="Arial" w:hAnsi="Arial"/>
          <w:sz w:val="17"/>
          <w:szCs w:val="17"/>
          <w:b w:val="1"/>
          <w:bCs w:val="1"/>
          <w:color w:val="auto"/>
        </w:rPr>
        <w:t xml:space="preserve">THIS SEVENTH AMENDED AND RESTATED INVESTORS’ RIGHTS AGREEMENT </w:t>
      </w:r>
      <w:r>
        <w:rPr>
          <w:rFonts w:ascii="Arial" w:cs="Arial" w:eastAsia="Arial" w:hAnsi="Arial"/>
          <w:sz w:val="17"/>
          <w:szCs w:val="17"/>
          <w:color w:val="auto"/>
        </w:rPr>
        <w:t>is made as of July 20, 2020, by and</w:t>
      </w:r>
      <w:r>
        <w:rPr>
          <w:rFonts w:ascii="Arial" w:cs="Arial" w:eastAsia="Arial" w:hAnsi="Arial"/>
          <w:sz w:val="17"/>
          <w:szCs w:val="17"/>
          <w:b w:val="1"/>
          <w:bCs w:val="1"/>
          <w:color w:val="auto"/>
        </w:rPr>
        <w:t xml:space="preserve"> </w:t>
      </w:r>
      <w:r>
        <w:rPr>
          <w:rFonts w:ascii="Arial" w:cs="Arial" w:eastAsia="Arial" w:hAnsi="Arial"/>
          <w:sz w:val="17"/>
          <w:szCs w:val="17"/>
          <w:color w:val="auto"/>
        </w:rPr>
        <w:t>among Xometry,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each of the investors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each of which is referred to in this Agreement as an “</w:t>
      </w:r>
      <w:r>
        <w:rPr>
          <w:rFonts w:ascii="Arial" w:cs="Arial" w:eastAsia="Arial" w:hAnsi="Arial"/>
          <w:sz w:val="17"/>
          <w:szCs w:val="17"/>
          <w:b w:val="1"/>
          <w:bCs w:val="1"/>
          <w:color w:val="auto"/>
        </w:rPr>
        <w:t>Investor</w:t>
      </w:r>
      <w:r>
        <w:rPr>
          <w:rFonts w:ascii="Arial" w:cs="Arial" w:eastAsia="Arial" w:hAnsi="Arial"/>
          <w:sz w:val="17"/>
          <w:szCs w:val="17"/>
          <w:color w:val="auto"/>
        </w:rPr>
        <w:t xml:space="preserve">,” that is or becomes a party to this Agreement in accordance with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17" w:lineRule="exact"/>
        <w:rPr>
          <w:sz w:val="20"/>
          <w:szCs w:val="20"/>
          <w:color w:val="auto"/>
        </w:rPr>
      </w:pPr>
    </w:p>
    <w:p>
      <w:pPr>
        <w:ind w:right="40" w:firstLine="1419"/>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Series Seed-1 Preferred Stock, Series</w:t>
      </w:r>
      <w:r>
        <w:rPr>
          <w:rFonts w:ascii="Arial" w:cs="Arial" w:eastAsia="Arial" w:hAnsi="Arial"/>
          <w:sz w:val="18"/>
          <w:szCs w:val="18"/>
          <w:b w:val="1"/>
          <w:bCs w:val="1"/>
          <w:color w:val="auto"/>
        </w:rPr>
        <w:t xml:space="preserve"> </w:t>
      </w:r>
      <w:r>
        <w:rPr>
          <w:rFonts w:ascii="Arial" w:cs="Arial" w:eastAsia="Arial" w:hAnsi="Arial"/>
          <w:sz w:val="18"/>
          <w:szCs w:val="18"/>
          <w:color w:val="auto"/>
        </w:rPr>
        <w:t>Seed-2 Preferred Stock, Series A-1 Preferred Stock, Series A-2 Preferred Stock, Series B Preferred Stock, Series C Preferred Stock, Series D Preferred Stock and/or shares of Common Stock issued upon conversion thereof and possess information rights, rights of first offer, and other rights pursuant to a Sixth Amended and Restated Investors’ Rights Agreement dated as of May 2, 2019, between the Company and the Existing Investors (the “</w:t>
      </w:r>
      <w:r>
        <w:rPr>
          <w:rFonts w:ascii="Arial" w:cs="Arial" w:eastAsia="Arial" w:hAnsi="Arial"/>
          <w:sz w:val="18"/>
          <w:szCs w:val="18"/>
          <w:b w:val="1"/>
          <w:b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4" w:lineRule="exact"/>
        <w:rPr>
          <w:sz w:val="20"/>
          <w:szCs w:val="20"/>
          <w:color w:val="auto"/>
        </w:rPr>
      </w:pPr>
    </w:p>
    <w:p>
      <w:pPr>
        <w:jc w:val="both"/>
        <w:ind w:right="60" w:firstLine="1419"/>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the Company and certain of the Investors are entering into a Series</w:t>
      </w:r>
      <w:r>
        <w:rPr>
          <w:rFonts w:ascii="Arial" w:cs="Arial" w:eastAsia="Arial" w:hAnsi="Arial"/>
          <w:sz w:val="18"/>
          <w:szCs w:val="18"/>
          <w:b w:val="1"/>
          <w:bCs w:val="1"/>
          <w:color w:val="auto"/>
        </w:rPr>
        <w:t xml:space="preserve"> </w:t>
      </w:r>
      <w:r>
        <w:rPr>
          <w:rFonts w:ascii="Arial" w:cs="Arial" w:eastAsia="Arial" w:hAnsi="Arial"/>
          <w:sz w:val="18"/>
          <w:szCs w:val="18"/>
          <w:color w:val="auto"/>
        </w:rPr>
        <w:t>E Preferred Stock Purchase Agreement dated of even date herewith (the “</w:t>
      </w:r>
      <w:r>
        <w:rPr>
          <w:rFonts w:ascii="Arial" w:cs="Arial" w:eastAsia="Arial" w:hAnsi="Arial"/>
          <w:sz w:val="18"/>
          <w:szCs w:val="18"/>
          <w:b w:val="1"/>
          <w:bCs w:val="1"/>
          <w:color w:val="auto"/>
        </w:rPr>
        <w:t>Purchase Agreement</w:t>
      </w:r>
      <w:r>
        <w:rPr>
          <w:rFonts w:ascii="Arial" w:cs="Arial" w:eastAsia="Arial" w:hAnsi="Arial"/>
          <w:sz w:val="18"/>
          <w:szCs w:val="18"/>
          <w:color w:val="auto"/>
        </w:rPr>
        <w:t>”), providing for the sale of shares of Series E Preferred Stock; and</w:t>
      </w:r>
    </w:p>
    <w:p>
      <w:pPr>
        <w:spacing w:after="0" w:line="181" w:lineRule="exact"/>
        <w:rPr>
          <w:sz w:val="20"/>
          <w:szCs w:val="20"/>
          <w:color w:val="auto"/>
        </w:rPr>
      </w:pPr>
    </w:p>
    <w:p>
      <w:pPr>
        <w:ind w:right="320" w:firstLine="1419"/>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execution of the Purchase Agreement, the Company and the Existing Investors holding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Registrable Securities currently outstanding, including a majority in interest of the Company’s Series Seed-1 Preferred Stock, Series Seed-2 Preferred Stock, Series A-1 Preferred Stock, Series A-2 Preferred Stock, Series B Preferred Stock, Series C Preferred Stock and Series D Preferred Stock currently outstanding, desire to amend and restate the Prior Agreement in its entirety and to accept the rights created pursuant to this Agreement in lieu of the rights granted to them under the Prior Agreement.</w:t>
      </w:r>
    </w:p>
    <w:p>
      <w:pPr>
        <w:spacing w:after="0" w:line="184" w:lineRule="exact"/>
        <w:rPr>
          <w:sz w:val="20"/>
          <w:szCs w:val="20"/>
          <w:color w:val="auto"/>
        </w:rPr>
      </w:pPr>
    </w:p>
    <w:p>
      <w:pPr>
        <w:ind w:right="120" w:firstLine="1419"/>
        <w:spacing w:after="0" w:line="275"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the Company and the Existing Investors agree that the Prior Agreement shall be amended and restated,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to this Agreement agree, as follows:</w:t>
      </w:r>
    </w:p>
    <w:p>
      <w:pPr>
        <w:spacing w:after="0" w:line="172" w:lineRule="exact"/>
        <w:rPr>
          <w:sz w:val="20"/>
          <w:szCs w:val="20"/>
          <w:color w:val="auto"/>
        </w:rPr>
      </w:pPr>
    </w:p>
    <w:p>
      <w:pPr>
        <w:ind w:left="860"/>
        <w:spacing w:after="0"/>
        <w:tabs>
          <w:tab w:leader="none" w:pos="11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110" w:lineRule="exact"/>
        <w:rPr>
          <w:sz w:val="20"/>
          <w:szCs w:val="20"/>
          <w:color w:val="auto"/>
        </w:rPr>
      </w:pPr>
    </w:p>
    <w:p>
      <w:pPr>
        <w:ind w:left="440" w:right="220" w:firstLine="1362"/>
        <w:spacing w:after="0" w:line="283"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 “</w:t>
      </w:r>
      <w:r>
        <w:rPr>
          <w:rFonts w:ascii="Arial" w:cs="Arial" w:eastAsia="Arial" w:hAnsi="Arial"/>
          <w:sz w:val="16"/>
          <w:szCs w:val="16"/>
          <w:b w:val="1"/>
          <w:bCs w:val="1"/>
          <w:color w:val="auto"/>
        </w:rPr>
        <w:t>Affiliate</w:t>
      </w:r>
      <w:r>
        <w:rPr>
          <w:rFonts w:ascii="Arial" w:cs="Arial" w:eastAsia="Arial" w:hAnsi="Arial"/>
          <w:sz w:val="16"/>
          <w:szCs w:val="16"/>
          <w:color w:val="auto"/>
        </w:rPr>
        <w:t>” means, in addition to the foregoing (i) with respect to T. Rowe Price, any T. Rowe Price Investor, (ii) with respect to any T. Rowe Price Investor, T. Rowe Price or any other T. Rowe Price Investor, and</w:t>
      </w:r>
    </w:p>
    <w:p>
      <w:pPr>
        <w:spacing w:after="0" w:line="2" w:lineRule="exact"/>
        <w:rPr>
          <w:sz w:val="20"/>
          <w:szCs w:val="20"/>
          <w:color w:val="auto"/>
        </w:rPr>
      </w:pPr>
    </w:p>
    <w:p>
      <w:pPr>
        <w:ind w:left="440" w:firstLine="4"/>
        <w:spacing w:after="0" w:line="256" w:lineRule="auto"/>
        <w:tabs>
          <w:tab w:leader="none" w:pos="7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with respect to T. Rowe Price or any T. Rowe Price Investor, any fund or account now or hereafter existing that is managed by, governed by or advised or sub-advised by T. Rowe Price or any Affiliate thereof.</w:t>
      </w:r>
    </w:p>
    <w:p>
      <w:pPr>
        <w:sectPr>
          <w:pgSz w:w="11900" w:h="16838" w:orient="portrait"/>
          <w:cols w:equalWidth="0" w:num="1">
            <w:col w:w="10920"/>
          </w:cols>
          <w:pgMar w:left="480" w:top="121" w:right="499" w:bottom="1440" w:gutter="0" w:footer="0" w:header="0"/>
        </w:sectPr>
      </w:pPr>
    </w:p>
    <w:bookmarkStart w:id="269" w:name="page270"/>
    <w:bookmarkEnd w:id="269"/>
    <w:p>
      <w:pPr>
        <w:ind w:left="1360"/>
        <w:spacing w:after="0"/>
        <w:tabs>
          <w:tab w:leader="none" w:pos="1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Company’s Board of Directors.</w:t>
      </w:r>
    </w:p>
    <w:p>
      <w:pPr>
        <w:spacing w:after="0" w:line="114" w:lineRule="exact"/>
        <w:rPr>
          <w:sz w:val="20"/>
          <w:szCs w:val="20"/>
          <w:color w:val="auto"/>
        </w:rPr>
      </w:pPr>
    </w:p>
    <w:p>
      <w:pPr>
        <w:ind w:left="1360"/>
        <w:spacing w:after="0"/>
        <w:tabs>
          <w:tab w:leader="none" w:pos="1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par value $0.000001 per share.</w:t>
      </w:r>
    </w:p>
    <w:p>
      <w:pPr>
        <w:spacing w:after="0" w:line="114" w:lineRule="exact"/>
        <w:rPr>
          <w:sz w:val="20"/>
          <w:szCs w:val="20"/>
          <w:color w:val="auto"/>
        </w:rPr>
      </w:pPr>
    </w:p>
    <w:p>
      <w:pPr>
        <w:ind w:firstLine="1362"/>
        <w:spacing w:after="0" w:line="252"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Damages</w:t>
      </w:r>
      <w:r>
        <w:rPr>
          <w:rFonts w:ascii="Arial" w:cs="Arial" w:eastAsia="Arial" w:hAnsi="Arial"/>
          <w:sz w:val="18"/>
          <w:szCs w:val="18"/>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80" w:lineRule="exact"/>
        <w:rPr>
          <w:sz w:val="20"/>
          <w:szCs w:val="20"/>
          <w:color w:val="auto"/>
        </w:rPr>
      </w:pPr>
    </w:p>
    <w:p>
      <w:pPr>
        <w:ind w:right="100" w:firstLine="1362"/>
        <w:spacing w:after="0" w:line="275"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61" w:lineRule="exact"/>
        <w:rPr>
          <w:sz w:val="20"/>
          <w:szCs w:val="20"/>
          <w:color w:val="auto"/>
        </w:rPr>
      </w:pPr>
    </w:p>
    <w:p>
      <w:pPr>
        <w:ind w:left="1360"/>
        <w:spacing w:after="0"/>
        <w:tabs>
          <w:tab w:leader="none" w:pos="17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Durable</w:t>
      </w:r>
      <w:r>
        <w:rPr>
          <w:rFonts w:ascii="Arial" w:cs="Arial" w:eastAsia="Arial" w:hAnsi="Arial"/>
          <w:sz w:val="16"/>
          <w:szCs w:val="16"/>
          <w:color w:val="auto"/>
        </w:rPr>
        <w:t>” means Durable Capital Master Fund LP.</w:t>
      </w:r>
    </w:p>
    <w:p>
      <w:pPr>
        <w:spacing w:after="0" w:line="114" w:lineRule="exact"/>
        <w:rPr>
          <w:sz w:val="20"/>
          <w:szCs w:val="20"/>
          <w:color w:val="auto"/>
        </w:rPr>
      </w:pPr>
    </w:p>
    <w:p>
      <w:pPr>
        <w:ind w:left="1360"/>
        <w:spacing w:after="0"/>
        <w:tabs>
          <w:tab w:leader="none" w:pos="17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97" w:lineRule="exact"/>
        <w:rPr>
          <w:sz w:val="20"/>
          <w:szCs w:val="20"/>
          <w:color w:val="auto"/>
        </w:rPr>
      </w:pPr>
    </w:p>
    <w:p>
      <w:pPr>
        <w:ind w:right="80" w:firstLine="1362"/>
        <w:spacing w:after="0" w:line="255"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77" w:lineRule="exact"/>
        <w:rPr>
          <w:sz w:val="20"/>
          <w:szCs w:val="20"/>
          <w:color w:val="auto"/>
        </w:rPr>
      </w:pPr>
    </w:p>
    <w:p>
      <w:pPr>
        <w:ind w:right="200" w:firstLine="1362"/>
        <w:spacing w:after="0" w:line="275"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61" w:lineRule="exact"/>
        <w:rPr>
          <w:sz w:val="20"/>
          <w:szCs w:val="20"/>
          <w:color w:val="auto"/>
        </w:rPr>
      </w:pPr>
    </w:p>
    <w:p>
      <w:pPr>
        <w:jc w:val="both"/>
        <w:ind w:right="60" w:firstLine="1362"/>
        <w:spacing w:after="0" w:line="261"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74" w:lineRule="exact"/>
        <w:rPr>
          <w:sz w:val="20"/>
          <w:szCs w:val="20"/>
          <w:color w:val="auto"/>
        </w:rPr>
      </w:pPr>
    </w:p>
    <w:p>
      <w:pPr>
        <w:ind w:left="1360"/>
        <w:spacing w:after="0"/>
        <w:tabs>
          <w:tab w:leader="none" w:pos="18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Founders</w:t>
      </w:r>
      <w:r>
        <w:rPr>
          <w:rFonts w:ascii="Arial" w:cs="Arial" w:eastAsia="Arial" w:hAnsi="Arial"/>
          <w:sz w:val="16"/>
          <w:szCs w:val="16"/>
          <w:color w:val="auto"/>
        </w:rPr>
        <w:t>” means Randy Altschuler and Laurence Zuriff.</w:t>
      </w:r>
    </w:p>
    <w:p>
      <w:pPr>
        <w:spacing w:after="0" w:line="11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920" w:top="268" w:right="499" w:bottom="1440" w:gutter="0" w:footer="0" w:header="0"/>
        </w:sectPr>
      </w:pPr>
    </w:p>
    <w:bookmarkStart w:id="270" w:name="page271"/>
    <w:bookmarkEnd w:id="270"/>
    <w:p>
      <w:pPr>
        <w:ind w:left="1360"/>
        <w:spacing w:after="0"/>
        <w:tabs>
          <w:tab w:leader="none" w:pos="1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114" w:lineRule="exact"/>
        <w:rPr>
          <w:sz w:val="20"/>
          <w:szCs w:val="20"/>
          <w:color w:val="auto"/>
        </w:rPr>
      </w:pPr>
    </w:p>
    <w:p>
      <w:pPr>
        <w:jc w:val="both"/>
        <w:ind w:right="220" w:firstLine="1362"/>
        <w:spacing w:after="0" w:line="261"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7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11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114" w:lineRule="exact"/>
        <w:rPr>
          <w:sz w:val="20"/>
          <w:szCs w:val="20"/>
          <w:color w:val="auto"/>
        </w:rPr>
      </w:pPr>
    </w:p>
    <w:p>
      <w:pPr>
        <w:ind w:right="140" w:firstLine="1362"/>
        <w:spacing w:after="0" w:line="277"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Major Investor</w:t>
      </w:r>
      <w:r>
        <w:rPr>
          <w:rFonts w:ascii="Arial" w:cs="Arial" w:eastAsia="Arial" w:hAnsi="Arial"/>
          <w:sz w:val="17"/>
          <w:szCs w:val="17"/>
          <w:color w:val="auto"/>
        </w:rPr>
        <w:t>” means (i) any Investor that, individually or together with such Investor’s Affiliates, holds at least 300,000 shares of Registrable Securities (as adjusted for any stock split, stock dividend, combination, or other recapitalization or reclassification effected after the date hereof), (ii) any T. Rowe Price Investor without regard to the number of shares of Registrable Securities held thereby, and (iii) Durable without regard to the number of shares of Registrable Securities held thereby.</w:t>
      </w:r>
    </w:p>
    <w:p>
      <w:pPr>
        <w:spacing w:after="0" w:line="60" w:lineRule="exact"/>
        <w:rPr>
          <w:sz w:val="20"/>
          <w:szCs w:val="20"/>
          <w:color w:val="auto"/>
        </w:rPr>
      </w:pPr>
    </w:p>
    <w:p>
      <w:pPr>
        <w:ind w:right="60" w:firstLine="1362"/>
        <w:spacing w:after="0" w:line="261"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7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11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Directors</w:t>
      </w:r>
      <w:r>
        <w:rPr>
          <w:rFonts w:ascii="Arial" w:cs="Arial" w:eastAsia="Arial" w:hAnsi="Arial"/>
          <w:sz w:val="16"/>
          <w:szCs w:val="16"/>
          <w:color w:val="auto"/>
        </w:rPr>
        <w:t>” means, collectively, the Series A-1 Director, the Series B Director, the Series C Director and the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Series D Director.</w:t>
      </w:r>
    </w:p>
    <w:p>
      <w:pPr>
        <w:spacing w:after="0" w:line="97" w:lineRule="exact"/>
        <w:rPr>
          <w:sz w:val="20"/>
          <w:szCs w:val="20"/>
          <w:color w:val="auto"/>
        </w:rPr>
      </w:pPr>
    </w:p>
    <w:p>
      <w:pPr>
        <w:jc w:val="both"/>
        <w:ind w:right="60" w:firstLine="1362"/>
        <w:spacing w:after="0" w:line="261"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the Series Seed-1 Preferred Stock, the Series Seed-2 Preferred Stock, the Series A-1 Preferred Stock, the Series A-2 Preferred Stock, the Series B Preferred Stock, the Series C Preferred Stock, the Series D Preferred Stock and the Series E Preferred Stock.</w:t>
      </w:r>
    </w:p>
    <w:p>
      <w:pPr>
        <w:spacing w:after="0" w:line="7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Common Stock issuable or issued upon conversion of the Preferred Stock;</w:t>
      </w:r>
    </w:p>
    <w:p>
      <w:pPr>
        <w:spacing w:after="0" w:line="24" w:lineRule="exact"/>
        <w:rPr>
          <w:sz w:val="20"/>
          <w:szCs w:val="20"/>
          <w:color w:val="auto"/>
        </w:rPr>
      </w:pPr>
    </w:p>
    <w:p>
      <w:pPr>
        <w:ind w:firstLine="4"/>
        <w:spacing w:after="0" w:line="286" w:lineRule="auto"/>
        <w:tabs>
          <w:tab w:leader="none" w:pos="26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any Common Stock issued or issuable (directly or indirectly) upon conversion and/or exercise of any other securities of the Company, and any other shares of Common Stock, in each case held by the Investors; and (iii)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of this Agreement.</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40"/>
          </w:cols>
          <w:pgMar w:left="920" w:top="268" w:right="539" w:bottom="1440" w:gutter="0" w:footer="0" w:header="0"/>
        </w:sectPr>
      </w:pPr>
    </w:p>
    <w:bookmarkStart w:id="271" w:name="page272"/>
    <w:bookmarkEnd w:id="271"/>
    <w:p>
      <w:pPr>
        <w:jc w:val="both"/>
        <w:ind w:firstLine="1362"/>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1.23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7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bear the legend set forth in </w:t>
      </w:r>
      <w:r>
        <w:rPr>
          <w:rFonts w:ascii="Arial" w:cs="Arial" w:eastAsia="Arial" w:hAnsi="Arial"/>
          <w:sz w:val="16"/>
          <w:szCs w:val="16"/>
          <w:u w:val="single" w:color="auto"/>
          <w:color w:val="auto"/>
        </w:rPr>
        <w:t>Subsection 2.12(b)</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97"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11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w:t>
      </w:r>
    </w:p>
    <w:p>
      <w:pPr>
        <w:spacing w:after="0" w:line="11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w:t>
      </w:r>
    </w:p>
    <w:p>
      <w:pPr>
        <w:spacing w:after="0" w:line="114"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Securities Act</w:t>
      </w:r>
      <w:r>
        <w:rPr>
          <w:rFonts w:ascii="Arial" w:cs="Arial" w:eastAsia="Arial" w:hAnsi="Arial"/>
          <w:sz w:val="14"/>
          <w:szCs w:val="14"/>
          <w:color w:val="auto"/>
        </w:rPr>
        <w:t>” means the Securities Act of 1933, as amended, and the rules and regulations promulgated thereunder.</w:t>
      </w:r>
    </w:p>
    <w:p>
      <w:pPr>
        <w:spacing w:after="0" w:line="114" w:lineRule="exact"/>
        <w:rPr>
          <w:sz w:val="20"/>
          <w:szCs w:val="20"/>
          <w:color w:val="auto"/>
        </w:rPr>
      </w:pPr>
    </w:p>
    <w:p>
      <w:pPr>
        <w:jc w:val="both"/>
        <w:ind w:right="140" w:firstLine="1362"/>
        <w:spacing w:after="0" w:line="261"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74" w:lineRule="exact"/>
        <w:rPr>
          <w:sz w:val="20"/>
          <w:szCs w:val="20"/>
          <w:color w:val="auto"/>
        </w:rPr>
      </w:pPr>
    </w:p>
    <w:p>
      <w:pPr>
        <w:ind w:right="60" w:firstLine="1362"/>
        <w:spacing w:after="0" w:line="275"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Series Seed-1 Preferred Stock</w:t>
      </w:r>
      <w:r>
        <w:rPr>
          <w:rFonts w:ascii="Arial" w:cs="Arial" w:eastAsia="Arial" w:hAnsi="Arial"/>
          <w:sz w:val="18"/>
          <w:szCs w:val="18"/>
          <w:color w:val="auto"/>
        </w:rPr>
        <w:t>” means shares of the Company’s Series Seed-1 Convertible Preferred Stock, par value $0.000001 per share.</w:t>
      </w:r>
    </w:p>
    <w:p>
      <w:pPr>
        <w:spacing w:after="0" w:line="61" w:lineRule="exact"/>
        <w:rPr>
          <w:sz w:val="20"/>
          <w:szCs w:val="20"/>
          <w:color w:val="auto"/>
        </w:rPr>
      </w:pPr>
    </w:p>
    <w:p>
      <w:pPr>
        <w:ind w:right="60" w:firstLine="1362"/>
        <w:spacing w:after="0" w:line="275"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Series Seed-2 Preferred Stock</w:t>
      </w:r>
      <w:r>
        <w:rPr>
          <w:rFonts w:ascii="Arial" w:cs="Arial" w:eastAsia="Arial" w:hAnsi="Arial"/>
          <w:sz w:val="18"/>
          <w:szCs w:val="18"/>
          <w:color w:val="auto"/>
        </w:rPr>
        <w:t>” means shares of the Company’s Series Seed-2 Convertible Preferred Stock, par value $0.000001 per share.</w:t>
      </w:r>
    </w:p>
    <w:p>
      <w:pPr>
        <w:spacing w:after="0" w:line="61" w:lineRule="exact"/>
        <w:rPr>
          <w:sz w:val="20"/>
          <w:szCs w:val="20"/>
          <w:color w:val="auto"/>
        </w:rPr>
      </w:pPr>
    </w:p>
    <w:p>
      <w:pPr>
        <w:ind w:right="120" w:firstLine="1362"/>
        <w:spacing w:after="0" w:line="275"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A-1 Director</w:t>
      </w:r>
      <w:r>
        <w:rPr>
          <w:rFonts w:ascii="Arial" w:cs="Arial" w:eastAsia="Arial" w:hAnsi="Arial"/>
          <w:sz w:val="18"/>
          <w:szCs w:val="18"/>
          <w:color w:val="auto"/>
        </w:rPr>
        <w:t>” means any director of the Company that the holders of record of the Series A-1 Preferred Stock are entitled to elect pursuant to the Company’s Amended and Restated Certificate of Incorporation.</w:t>
      </w:r>
    </w:p>
    <w:p>
      <w:pPr>
        <w:spacing w:after="0" w:line="61" w:lineRule="exact"/>
        <w:rPr>
          <w:sz w:val="20"/>
          <w:szCs w:val="20"/>
          <w:color w:val="auto"/>
        </w:rPr>
      </w:pPr>
    </w:p>
    <w:p>
      <w:pPr>
        <w:ind w:right="500" w:firstLine="1362"/>
        <w:spacing w:after="0" w:line="275"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Series A-1 Preferred Stock</w:t>
      </w:r>
      <w:r>
        <w:rPr>
          <w:rFonts w:ascii="Arial" w:cs="Arial" w:eastAsia="Arial" w:hAnsi="Arial"/>
          <w:sz w:val="18"/>
          <w:szCs w:val="18"/>
          <w:color w:val="auto"/>
        </w:rPr>
        <w:t>” means shares of the Company’s Series A-1 Convertible Preferred Stock, par value $0.000001 per share.</w:t>
      </w:r>
    </w:p>
    <w:p>
      <w:pPr>
        <w:spacing w:after="0" w:line="61" w:lineRule="exact"/>
        <w:rPr>
          <w:sz w:val="20"/>
          <w:szCs w:val="20"/>
          <w:color w:val="auto"/>
        </w:rPr>
      </w:pPr>
    </w:p>
    <w:p>
      <w:pPr>
        <w:ind w:right="500" w:firstLine="1362"/>
        <w:spacing w:after="0" w:line="275"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Series A-2 Preferred Stock</w:t>
      </w:r>
      <w:r>
        <w:rPr>
          <w:rFonts w:ascii="Arial" w:cs="Arial" w:eastAsia="Arial" w:hAnsi="Arial"/>
          <w:sz w:val="18"/>
          <w:szCs w:val="18"/>
          <w:color w:val="auto"/>
        </w:rPr>
        <w:t>” means shares of the Company’s Series A-2 Convertible Preferred Stock, par value $0.000001 per share.</w:t>
      </w:r>
    </w:p>
    <w:p>
      <w:pPr>
        <w:spacing w:after="0" w:line="61" w:lineRule="exact"/>
        <w:rPr>
          <w:sz w:val="20"/>
          <w:szCs w:val="20"/>
          <w:color w:val="auto"/>
        </w:rPr>
      </w:pPr>
    </w:p>
    <w:p>
      <w:pPr>
        <w:ind w:right="180" w:firstLine="1362"/>
        <w:spacing w:after="0" w:line="275"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Series B Director</w:t>
      </w:r>
      <w:r>
        <w:rPr>
          <w:rFonts w:ascii="Arial" w:cs="Arial" w:eastAsia="Arial" w:hAnsi="Arial"/>
          <w:sz w:val="18"/>
          <w:szCs w:val="18"/>
          <w:color w:val="auto"/>
        </w:rPr>
        <w:t>” means any director of the Company that the holders of record of the Series B Preferred Stock are entitled to elect pursuant to the Company’s Amended and Restated Certificate of Incorporation.</w:t>
      </w:r>
    </w:p>
    <w:p>
      <w:pPr>
        <w:spacing w:after="0" w:line="61"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Convertible Preferred Stock, par value $0.000001</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per share.</w:t>
      </w:r>
    </w:p>
    <w:p>
      <w:pPr>
        <w:spacing w:after="0" w:line="14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920" w:top="268" w:right="539" w:bottom="1440" w:gutter="0" w:footer="0" w:header="0"/>
        </w:sectPr>
      </w:pPr>
    </w:p>
    <w:bookmarkStart w:id="272" w:name="page273"/>
    <w:bookmarkEnd w:id="272"/>
    <w:p>
      <w:pPr>
        <w:ind w:left="440" w:right="180" w:firstLine="1362"/>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1.37 “</w:t>
      </w:r>
      <w:r>
        <w:rPr>
          <w:rFonts w:ascii="Arial" w:cs="Arial" w:eastAsia="Arial" w:hAnsi="Arial"/>
          <w:sz w:val="18"/>
          <w:szCs w:val="18"/>
          <w:b w:val="1"/>
          <w:bCs w:val="1"/>
          <w:color w:val="auto"/>
        </w:rPr>
        <w:t>Series C Director</w:t>
      </w:r>
      <w:r>
        <w:rPr>
          <w:rFonts w:ascii="Arial" w:cs="Arial" w:eastAsia="Arial" w:hAnsi="Arial"/>
          <w:sz w:val="18"/>
          <w:szCs w:val="18"/>
          <w:color w:val="auto"/>
        </w:rPr>
        <w:t>” means any director of the Company that the holders of record of the Series C Preferred Stock are entitled to elect pursuant to the Company’s Amended and Restated Certificate of Incorporation.</w:t>
      </w:r>
    </w:p>
    <w:p>
      <w:pPr>
        <w:spacing w:after="0" w:line="61" w:lineRule="exact"/>
        <w:rPr>
          <w:sz w:val="20"/>
          <w:szCs w:val="20"/>
          <w:color w:val="auto"/>
        </w:rPr>
      </w:pPr>
    </w:p>
    <w:p>
      <w:pPr>
        <w:ind w:left="1800"/>
        <w:spacing w:after="0"/>
        <w:tabs>
          <w:tab w:leader="none" w:pos="22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means shares of the Company’s Series C Convertible Preferred Stock, par value $0.000001</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 share.</w:t>
      </w:r>
    </w:p>
    <w:p>
      <w:pPr>
        <w:spacing w:after="0" w:line="97" w:lineRule="exact"/>
        <w:rPr>
          <w:sz w:val="20"/>
          <w:szCs w:val="20"/>
          <w:color w:val="auto"/>
        </w:rPr>
      </w:pPr>
    </w:p>
    <w:p>
      <w:pPr>
        <w:ind w:left="440" w:right="180" w:firstLine="1362"/>
        <w:spacing w:after="0" w:line="275"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Series D Director</w:t>
      </w:r>
      <w:r>
        <w:rPr>
          <w:rFonts w:ascii="Arial" w:cs="Arial" w:eastAsia="Arial" w:hAnsi="Arial"/>
          <w:sz w:val="18"/>
          <w:szCs w:val="18"/>
          <w:color w:val="auto"/>
        </w:rPr>
        <w:t>” means any director of the Company that the holders of record of the Series D Preferred Stock are entitled to elect pursuant to the Company’s Amended and Restated Certificate of Incorporation.</w:t>
      </w:r>
    </w:p>
    <w:p>
      <w:pPr>
        <w:spacing w:after="0" w:line="61" w:lineRule="exact"/>
        <w:rPr>
          <w:sz w:val="20"/>
          <w:szCs w:val="20"/>
          <w:color w:val="auto"/>
        </w:rPr>
      </w:pPr>
    </w:p>
    <w:p>
      <w:pPr>
        <w:ind w:left="1800"/>
        <w:spacing w:after="0"/>
        <w:tabs>
          <w:tab w:leader="none" w:pos="22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D Preferred Stock</w:t>
      </w:r>
      <w:r>
        <w:rPr>
          <w:rFonts w:ascii="Arial" w:cs="Arial" w:eastAsia="Arial" w:hAnsi="Arial"/>
          <w:sz w:val="16"/>
          <w:szCs w:val="16"/>
          <w:color w:val="auto"/>
        </w:rPr>
        <w:t>” means shares of the Company’s Series D Convertible Preferred Stock, par value $0.000001</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 share.</w:t>
      </w:r>
    </w:p>
    <w:p>
      <w:pPr>
        <w:spacing w:after="0" w:line="97" w:lineRule="exact"/>
        <w:rPr>
          <w:sz w:val="20"/>
          <w:szCs w:val="20"/>
          <w:color w:val="auto"/>
        </w:rPr>
      </w:pPr>
    </w:p>
    <w:p>
      <w:pPr>
        <w:ind w:left="1800"/>
        <w:spacing w:after="0"/>
        <w:tabs>
          <w:tab w:leader="none" w:pos="22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E Preferred Stock</w:t>
      </w:r>
      <w:r>
        <w:rPr>
          <w:rFonts w:ascii="Arial" w:cs="Arial" w:eastAsia="Arial" w:hAnsi="Arial"/>
          <w:sz w:val="16"/>
          <w:szCs w:val="16"/>
          <w:color w:val="auto"/>
        </w:rPr>
        <w:t>” means shares of the Company’s Series E Convertible Preferred Stock, par value $0.000001</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 share.</w:t>
      </w:r>
    </w:p>
    <w:p>
      <w:pPr>
        <w:spacing w:after="0" w:line="97" w:lineRule="exact"/>
        <w:rPr>
          <w:sz w:val="20"/>
          <w:szCs w:val="20"/>
          <w:color w:val="auto"/>
        </w:rPr>
      </w:pPr>
    </w:p>
    <w:p>
      <w:pPr>
        <w:ind w:left="1800"/>
        <w:spacing w:after="0"/>
        <w:tabs>
          <w:tab w:leader="none" w:pos="2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 Rowe Price</w:t>
      </w:r>
      <w:r>
        <w:rPr>
          <w:rFonts w:ascii="Arial" w:cs="Arial" w:eastAsia="Arial" w:hAnsi="Arial"/>
          <w:sz w:val="16"/>
          <w:szCs w:val="16"/>
          <w:color w:val="auto"/>
        </w:rPr>
        <w:t>” means T. Rowe Price Associates, Inc.</w:t>
      </w:r>
    </w:p>
    <w:p>
      <w:pPr>
        <w:spacing w:after="0" w:line="114" w:lineRule="exact"/>
        <w:rPr>
          <w:sz w:val="20"/>
          <w:szCs w:val="20"/>
          <w:color w:val="auto"/>
        </w:rPr>
      </w:pPr>
    </w:p>
    <w:p>
      <w:pPr>
        <w:ind w:left="440" w:right="440" w:firstLine="1362"/>
        <w:spacing w:after="0" w:line="275"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T. Rowe Price Investors</w:t>
      </w:r>
      <w:r>
        <w:rPr>
          <w:rFonts w:ascii="Arial" w:cs="Arial" w:eastAsia="Arial" w:hAnsi="Arial"/>
          <w:sz w:val="18"/>
          <w:szCs w:val="18"/>
          <w:color w:val="auto"/>
        </w:rPr>
        <w:t>” means, collectively, the Investors or Additional Purchasers that are advisory funds and accounts advised or sub-advised by T. Rowe Price or one of its Affiliates.</w:t>
      </w:r>
    </w:p>
    <w:p>
      <w:pPr>
        <w:spacing w:after="0" w:line="172" w:lineRule="exact"/>
        <w:rPr>
          <w:sz w:val="20"/>
          <w:szCs w:val="20"/>
          <w:color w:val="auto"/>
        </w:rPr>
      </w:pPr>
    </w:p>
    <w:p>
      <w:pPr>
        <w:ind w:left="1980" w:right="4860" w:hanging="1117"/>
        <w:spacing w:after="0" w:line="372" w:lineRule="auto"/>
        <w:tabs>
          <w:tab w:leader="none" w:pos="1183"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p>
    <w:p>
      <w:pPr>
        <w:ind w:firstLine="2408"/>
        <w:spacing w:after="0" w:line="284" w:lineRule="auto"/>
        <w:tabs>
          <w:tab w:leader="none" w:pos="2777"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three (3) years after the date of this Agreement or (ii) one hundred eighty (180) days after the effective date of the registration statement for the IPO, the Company receives a request from Holders of at least forty percent (40%) of the Registrable Securities then outstanding if the anticipated aggregate offering price, net of Selling Expenses, would exceed</w:t>
      </w:r>
    </w:p>
    <w:p>
      <w:pPr>
        <w:spacing w:after="0" w:line="1" w:lineRule="exact"/>
        <w:rPr>
          <w:rFonts w:ascii="Arial" w:cs="Arial" w:eastAsia="Arial" w:hAnsi="Arial"/>
          <w:sz w:val="16"/>
          <w:szCs w:val="16"/>
          <w:color w:val="auto"/>
        </w:rPr>
      </w:pP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$5 million, then the Company shall (A)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(B) as soon as practicable, and in any event within sixty (60) days after the date such request is given by the Initiating Holders, use its best efforts to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2.3</w:t>
      </w:r>
      <w:r>
        <w:rPr>
          <w:rFonts w:ascii="Arial" w:cs="Arial" w:eastAsia="Arial" w:hAnsi="Arial"/>
          <w:sz w:val="17"/>
          <w:szCs w:val="17"/>
          <w:color w:val="auto"/>
        </w:rPr>
        <w:t>.</w:t>
      </w:r>
    </w:p>
    <w:p>
      <w:pPr>
        <w:spacing w:after="0" w:line="180" w:lineRule="exact"/>
        <w:rPr>
          <w:rFonts w:ascii="Arial" w:cs="Arial" w:eastAsia="Arial" w:hAnsi="Arial"/>
          <w:sz w:val="16"/>
          <w:szCs w:val="16"/>
          <w:color w:val="auto"/>
        </w:rPr>
      </w:pPr>
    </w:p>
    <w:p>
      <w:pPr>
        <w:ind w:right="240" w:firstLine="2408"/>
        <w:spacing w:after="0" w:line="272" w:lineRule="auto"/>
        <w:tabs>
          <w:tab w:leader="none" w:pos="2787"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$3 million, then the Company shall (i) within ten (10) days after the date such request is given, give a Demand Notice to all Holders other than the Initiating Holders; and (ii) as soon as practicable, and in any event within forty-five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-1670050</wp:posOffset>
            </wp:positionV>
            <wp:extent cx="285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68" w:right="519" w:bottom="1440" w:gutter="0" w:footer="0" w:header="0"/>
        </w:sectPr>
      </w:pPr>
    </w:p>
    <w:bookmarkStart w:id="273" w:name="page274"/>
    <w:bookmarkEnd w:id="273"/>
    <w:p>
      <w:pPr>
        <w:ind w:right="2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Subsection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2.3</w:t>
      </w:r>
      <w:r>
        <w:rPr>
          <w:rFonts w:ascii="Arial" w:cs="Arial" w:eastAsia="Arial" w:hAnsi="Arial"/>
          <w:sz w:val="16"/>
          <w:szCs w:val="16"/>
          <w:color w:val="auto"/>
        </w:rPr>
        <w:t>.</w:t>
      </w:r>
    </w:p>
    <w:p>
      <w:pPr>
        <w:spacing w:after="0" w:line="150" w:lineRule="exact"/>
        <w:rPr>
          <w:sz w:val="20"/>
          <w:szCs w:val="20"/>
          <w:color w:val="auto"/>
        </w:rPr>
      </w:pPr>
    </w:p>
    <w:p>
      <w:pPr>
        <w:ind w:firstLine="2408"/>
        <w:spacing w:after="0" w:line="285" w:lineRule="auto"/>
        <w:tabs>
          <w:tab w:leader="none" w:pos="277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may not invoke this right more than twice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ninety (90) day period.</w:t>
      </w:r>
    </w:p>
    <w:p>
      <w:pPr>
        <w:spacing w:after="0" w:line="168" w:lineRule="exact"/>
        <w:rPr>
          <w:rFonts w:ascii="Arial" w:cs="Arial" w:eastAsia="Arial" w:hAnsi="Arial"/>
          <w:sz w:val="16"/>
          <w:szCs w:val="16"/>
          <w:color w:val="auto"/>
        </w:rPr>
      </w:pPr>
    </w:p>
    <w:p>
      <w:pPr>
        <w:ind w:right="40" w:firstLine="2408"/>
        <w:spacing w:after="0" w:line="283" w:lineRule="auto"/>
        <w:tabs>
          <w:tab w:leader="none" w:pos="278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(ii) if the Company has effected two registrations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(iii) if the Company has effected three registration statements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or (iv)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Subsection 2.1(c)</w:t>
      </w:r>
      <w:r>
        <w:rPr>
          <w:rFonts w:ascii="Arial" w:cs="Arial" w:eastAsia="Arial" w:hAnsi="Arial"/>
          <w:sz w:val="16"/>
          <w:szCs w:val="16"/>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274" w:name="page275"/>
    <w:bookmarkEnd w:id="274"/>
    <w:p>
      <w:pPr>
        <w:ind w:left="440" w:firstLine="1362"/>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cause to be registered all of the Registrable Securities that each such Holder has requested to be included in such registration. The Company shall have the right to terminate or withdraw any registration initiated by it under this S</w:t>
      </w:r>
      <w:r>
        <w:rPr>
          <w:rFonts w:ascii="Arial" w:cs="Arial" w:eastAsia="Arial" w:hAnsi="Arial"/>
          <w:sz w:val="16"/>
          <w:szCs w:val="16"/>
          <w:u w:val="single" w:color="auto"/>
          <w:color w:val="auto"/>
        </w:rPr>
        <w:t>ubsection 2.2</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273"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114" w:lineRule="exact"/>
        <w:rPr>
          <w:sz w:val="20"/>
          <w:szCs w:val="20"/>
          <w:color w:val="auto"/>
        </w:rPr>
      </w:pPr>
    </w:p>
    <w:p>
      <w:pPr>
        <w:ind w:right="60" w:firstLine="2408"/>
        <w:spacing w:after="0" w:line="283" w:lineRule="auto"/>
        <w:tabs>
          <w:tab w:leader="none" w:pos="277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69" w:lineRule="exact"/>
        <w:rPr>
          <w:rFonts w:ascii="Arial" w:cs="Arial" w:eastAsia="Arial" w:hAnsi="Arial"/>
          <w:sz w:val="16"/>
          <w:szCs w:val="16"/>
          <w:color w:val="auto"/>
        </w:rPr>
      </w:pPr>
    </w:p>
    <w:p>
      <w:pPr>
        <w:ind w:right="100" w:firstLine="2408"/>
        <w:spacing w:after="0" w:line="272" w:lineRule="auto"/>
        <w:tabs>
          <w:tab w:leader="none" w:pos="2787"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Subsection 2.2</w:t>
      </w:r>
      <w:r>
        <w:rPr>
          <w:rFonts w:ascii="Arial" w:cs="Arial" w:eastAsia="Arial" w:hAnsi="Arial"/>
          <w:sz w:val="17"/>
          <w:szCs w:val="17"/>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275" w:name="page276"/>
    <w:bookmarkEnd w:id="275"/>
    <w:p>
      <w:pPr>
        <w:ind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w:t>
      </w:r>
    </w:p>
    <w:p>
      <w:pPr>
        <w:spacing w:after="0" w:line="3" w:lineRule="exact"/>
        <w:rPr>
          <w:sz w:val="20"/>
          <w:szCs w:val="20"/>
          <w:color w:val="auto"/>
        </w:rPr>
      </w:pPr>
    </w:p>
    <w:p>
      <w:pPr>
        <w:ind w:firstLine="7"/>
        <w:spacing w:after="0" w:line="249" w:lineRule="auto"/>
        <w:tabs>
          <w:tab w:leader="none" w:pos="43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8"/>
          <w:szCs w:val="18"/>
          <w:u w:val="single" w:color="auto"/>
          <w:color w:val="auto"/>
        </w:rPr>
        <w:t>Subsection 2.3(b)</w:t>
      </w:r>
      <w:r>
        <w:rPr>
          <w:rFonts w:ascii="Arial" w:cs="Arial" w:eastAsia="Arial" w:hAnsi="Arial"/>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86" w:lineRule="exact"/>
        <w:rPr>
          <w:sz w:val="20"/>
          <w:szCs w:val="20"/>
          <w:color w:val="auto"/>
        </w:rPr>
      </w:pPr>
    </w:p>
    <w:p>
      <w:pPr>
        <w:ind w:left="440" w:right="620" w:firstLine="1362"/>
        <w:spacing w:after="0" w:line="271"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175" w:lineRule="exact"/>
        <w:rPr>
          <w:sz w:val="20"/>
          <w:szCs w:val="20"/>
          <w:color w:val="auto"/>
        </w:rPr>
      </w:pPr>
    </w:p>
    <w:p>
      <w:pPr>
        <w:ind w:right="60" w:firstLine="2408"/>
        <w:spacing w:after="0" w:line="270" w:lineRule="auto"/>
        <w:tabs>
          <w:tab w:leader="none" w:pos="277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one hundred twenty (120) day period shall be extended for a period of time equal to the period the Holder refrains, at the request of an underwriter of Common Stock (or other securities) of the Company, from selling any securities included in such registration;</w:t>
      </w:r>
    </w:p>
    <w:p>
      <w:pPr>
        <w:spacing w:after="0" w:line="178" w:lineRule="exact"/>
        <w:rPr>
          <w:rFonts w:ascii="Arial" w:cs="Arial" w:eastAsia="Arial" w:hAnsi="Arial"/>
          <w:sz w:val="17"/>
          <w:szCs w:val="17"/>
          <w:color w:val="auto"/>
        </w:rPr>
      </w:pPr>
    </w:p>
    <w:p>
      <w:pPr>
        <w:ind w:right="60" w:firstLine="2408"/>
        <w:spacing w:after="0" w:line="259" w:lineRule="auto"/>
        <w:tabs>
          <w:tab w:leader="none" w:pos="278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80" w:top="272" w:right="539" w:bottom="1440" w:gutter="0" w:footer="0" w:header="0"/>
        </w:sectPr>
      </w:pPr>
    </w:p>
    <w:bookmarkStart w:id="276" w:name="page277"/>
    <w:bookmarkEnd w:id="276"/>
    <w:p>
      <w:pPr>
        <w:ind w:right="380" w:firstLine="2408"/>
        <w:spacing w:after="0" w:line="259" w:lineRule="auto"/>
        <w:tabs>
          <w:tab w:leader="none" w:pos="2777"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85" w:lineRule="exact"/>
        <w:rPr>
          <w:rFonts w:ascii="Arial" w:cs="Arial" w:eastAsia="Arial" w:hAnsi="Arial"/>
          <w:sz w:val="18"/>
          <w:szCs w:val="18"/>
          <w:color w:val="auto"/>
        </w:rPr>
      </w:pPr>
    </w:p>
    <w:p>
      <w:pPr>
        <w:ind w:right="240" w:firstLine="2408"/>
        <w:spacing w:after="0" w:line="275" w:lineRule="auto"/>
        <w:tabs>
          <w:tab w:leader="none" w:pos="278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provided </w:t>
      </w:r>
      <w:r>
        <w:rPr>
          <w:rFonts w:ascii="Arial" w:cs="Arial" w:eastAsia="Arial" w:hAnsi="Arial"/>
          <w:sz w:val="17"/>
          <w:szCs w:val="17"/>
          <w:i w:val="1"/>
          <w:iCs w:val="1"/>
          <w:color w:val="auto"/>
        </w:rPr>
        <w:t>that</w:t>
      </w:r>
      <w:r>
        <w:rPr>
          <w:rFonts w:ascii="Arial" w:cs="Arial" w:eastAsia="Arial" w:hAnsi="Arial"/>
          <w:sz w:val="17"/>
          <w:szCs w:val="17"/>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3" w:lineRule="exact"/>
        <w:rPr>
          <w:rFonts w:ascii="Arial" w:cs="Arial" w:eastAsia="Arial" w:hAnsi="Arial"/>
          <w:sz w:val="17"/>
          <w:szCs w:val="17"/>
          <w:color w:val="auto"/>
        </w:rPr>
      </w:pPr>
    </w:p>
    <w:p>
      <w:pPr>
        <w:ind w:right="360" w:firstLine="2408"/>
        <w:spacing w:after="0" w:line="271" w:lineRule="auto"/>
        <w:tabs>
          <w:tab w:leader="none" w:pos="277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4" w:lineRule="exact"/>
        <w:rPr>
          <w:rFonts w:ascii="Arial" w:cs="Arial" w:eastAsia="Arial" w:hAnsi="Arial"/>
          <w:sz w:val="18"/>
          <w:szCs w:val="18"/>
          <w:color w:val="auto"/>
        </w:rPr>
      </w:pPr>
    </w:p>
    <w:p>
      <w:pPr>
        <w:ind w:right="380" w:firstLine="2408"/>
        <w:spacing w:after="0" w:line="259" w:lineRule="auto"/>
        <w:tabs>
          <w:tab w:leader="none" w:pos="275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5" w:lineRule="exact"/>
        <w:rPr>
          <w:rFonts w:ascii="Arial" w:cs="Arial" w:eastAsia="Arial" w:hAnsi="Arial"/>
          <w:sz w:val="18"/>
          <w:szCs w:val="18"/>
          <w:color w:val="auto"/>
        </w:rPr>
      </w:pPr>
    </w:p>
    <w:p>
      <w:pPr>
        <w:ind w:right="360" w:firstLine="2408"/>
        <w:spacing w:after="0" w:line="335" w:lineRule="auto"/>
        <w:tabs>
          <w:tab w:leader="none" w:pos="278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28" w:lineRule="exact"/>
        <w:rPr>
          <w:rFonts w:ascii="Arial" w:cs="Arial" w:eastAsia="Arial" w:hAnsi="Arial"/>
          <w:sz w:val="16"/>
          <w:szCs w:val="16"/>
          <w:color w:val="auto"/>
        </w:rPr>
      </w:pPr>
    </w:p>
    <w:p>
      <w:pPr>
        <w:ind w:right="20" w:firstLine="2408"/>
        <w:spacing w:after="0" w:line="252" w:lineRule="auto"/>
        <w:tabs>
          <w:tab w:leader="none" w:pos="278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3" w:lineRule="exact"/>
        <w:rPr>
          <w:rFonts w:ascii="Arial" w:cs="Arial" w:eastAsia="Arial" w:hAnsi="Arial"/>
          <w:sz w:val="18"/>
          <w:szCs w:val="18"/>
          <w:color w:val="auto"/>
        </w:rPr>
      </w:pPr>
    </w:p>
    <w:p>
      <w:pPr>
        <w:ind w:firstLine="2408"/>
        <w:spacing w:after="0" w:line="335" w:lineRule="auto"/>
        <w:tabs>
          <w:tab w:leader="none" w:pos="27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28" w:lineRule="exact"/>
        <w:rPr>
          <w:rFonts w:ascii="Arial" w:cs="Arial" w:eastAsia="Arial" w:hAnsi="Arial"/>
          <w:sz w:val="16"/>
          <w:szCs w:val="16"/>
          <w:color w:val="auto"/>
        </w:rPr>
      </w:pPr>
    </w:p>
    <w:p>
      <w:pPr>
        <w:ind w:right="100" w:firstLine="2408"/>
        <w:spacing w:after="0" w:line="271" w:lineRule="auto"/>
        <w:tabs>
          <w:tab w:leader="none" w:pos="27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5" w:lineRule="exact"/>
        <w:rPr>
          <w:sz w:val="20"/>
          <w:szCs w:val="20"/>
          <w:color w:val="auto"/>
        </w:rPr>
      </w:pPr>
    </w:p>
    <w:p>
      <w:pPr>
        <w:ind w:right="60" w:firstLine="982"/>
        <w:spacing w:after="0" w:line="259"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become effective, its insider trading policy shall provide that the Company’s directors may implement a trading program under Rule 10b5-1 of the Exchange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277" w:name="page278"/>
    <w:bookmarkEnd w:id="277"/>
    <w:p>
      <w:pPr>
        <w:ind w:left="440" w:right="180" w:firstLine="136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83" w:lineRule="exact"/>
        <w:rPr>
          <w:sz w:val="20"/>
          <w:szCs w:val="20"/>
          <w:color w:val="auto"/>
        </w:rPr>
      </w:pPr>
    </w:p>
    <w:p>
      <w:pPr>
        <w:ind w:left="440" w:firstLine="1362"/>
        <w:spacing w:after="0" w:line="283"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Selling Expenses) incurred in connection with registrations, filings, or qualifications pursuant to Section 2,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or 2.1(b),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two registrations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or to three registrations subject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-719455</wp:posOffset>
            </wp:positionV>
            <wp:extent cx="3016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48" w:lineRule="exact"/>
        <w:rPr>
          <w:sz w:val="20"/>
          <w:szCs w:val="20"/>
          <w:color w:val="auto"/>
        </w:rPr>
      </w:pPr>
    </w:p>
    <w:p>
      <w:pPr>
        <w:ind w:left="440" w:right="40" w:firstLine="1362"/>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79" w:lineRule="exact"/>
        <w:rPr>
          <w:sz w:val="20"/>
          <w:szCs w:val="20"/>
          <w:color w:val="auto"/>
        </w:rPr>
      </w:pPr>
    </w:p>
    <w:p>
      <w:pPr>
        <w:ind w:left="1800"/>
        <w:spacing w:after="0"/>
        <w:tabs>
          <w:tab w:leader="none" w:pos="21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1" w:lineRule="exact"/>
        <w:rPr>
          <w:sz w:val="20"/>
          <w:szCs w:val="20"/>
          <w:color w:val="auto"/>
        </w:rPr>
      </w:pPr>
    </w:p>
    <w:p>
      <w:pPr>
        <w:ind w:right="180" w:firstLine="2408"/>
        <w:spacing w:after="0" w:line="269" w:lineRule="auto"/>
        <w:tabs>
          <w:tab w:leader="none" w:pos="277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2.8(a)</w:t>
      </w:r>
      <w:r>
        <w:rPr>
          <w:rFonts w:ascii="Arial" w:cs="Arial" w:eastAsia="Arial" w:hAnsi="Arial"/>
          <w:sz w:val="17"/>
          <w:szCs w:val="17"/>
          <w:color w:val="auto"/>
        </w:rPr>
        <w:t xml:space="preserve"> shall not apply to amounts paid in settlement of any such claim or proceeding if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2" w:right="499" w:bottom="1440" w:gutter="0" w:footer="0" w:header="0"/>
        </w:sectPr>
      </w:pPr>
    </w:p>
    <w:bookmarkStart w:id="278" w:name="page279"/>
    <w:bookmarkEnd w:id="278"/>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90" w:lineRule="exact"/>
        <w:rPr>
          <w:sz w:val="20"/>
          <w:szCs w:val="20"/>
          <w:color w:val="auto"/>
        </w:rPr>
      </w:pPr>
    </w:p>
    <w:p>
      <w:pPr>
        <w:ind w:right="20" w:firstLine="2408"/>
        <w:spacing w:after="0" w:line="284" w:lineRule="auto"/>
        <w:tabs>
          <w:tab w:leader="none" w:pos="278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69" w:lineRule="exact"/>
        <w:rPr>
          <w:rFonts w:ascii="Arial" w:cs="Arial" w:eastAsia="Arial" w:hAnsi="Arial"/>
          <w:sz w:val="16"/>
          <w:szCs w:val="16"/>
          <w:color w:val="auto"/>
        </w:rPr>
      </w:pPr>
    </w:p>
    <w:p>
      <w:pPr>
        <w:ind w:firstLine="2408"/>
        <w:spacing w:after="0" w:line="284" w:lineRule="auto"/>
        <w:tabs>
          <w:tab w:leader="none" w:pos="277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an indemnified party (together with all other indemnified parties that may be represented without conflict by one counsel)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80" w:top="272" w:right="519" w:bottom="1440" w:gutter="0" w:footer="0" w:header="0"/>
        </w:sectPr>
      </w:pPr>
    </w:p>
    <w:bookmarkStart w:id="279" w:name="page280"/>
    <w:bookmarkEnd w:id="279"/>
    <w:p>
      <w:pPr>
        <w:ind w:left="2793" w:hanging="392"/>
        <w:spacing w:after="0"/>
        <w:tabs>
          <w:tab w:leader="none" w:pos="2793" w:val="left"/>
        </w:tabs>
        <w:numPr>
          <w:ilvl w:val="1"/>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provide for just and equitable contribution to joint liability under the Securities Act in any case in which either</w:t>
      </w:r>
    </w:p>
    <w:p>
      <w:pPr>
        <w:spacing w:after="0" w:line="42" w:lineRule="exact"/>
        <w:rPr>
          <w:rFonts w:ascii="Arial" w:cs="Arial" w:eastAsia="Arial" w:hAnsi="Arial"/>
          <w:sz w:val="16"/>
          <w:szCs w:val="16"/>
          <w:color w:val="auto"/>
        </w:rPr>
      </w:pPr>
    </w:p>
    <w:p>
      <w:pPr>
        <w:ind w:left="-7" w:firstLine="7"/>
        <w:spacing w:after="0" w:line="264" w:lineRule="auto"/>
        <w:tabs>
          <w:tab w:leader="none" w:pos="20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any party otherwise entitled to indemnification hereunder makes a claim for indemnification pursuant to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any such case, (i) no Holder will be required to contribute any amount in excess of the public offering price of all such Registrable Securities offered and sold by such Holder pursuant to such registration statement; and (ii) no Person guilty of fraudulent misrepresentation (within the meaning of </w:t>
      </w:r>
      <w:r>
        <w:rPr>
          <w:rFonts w:ascii="Arial" w:cs="Arial" w:eastAsia="Arial" w:hAnsi="Arial"/>
          <w:sz w:val="17"/>
          <w:szCs w:val="17"/>
          <w:u w:val="single" w:color="auto"/>
          <w:color w:val="auto"/>
        </w:rPr>
        <w:t>Section 11(f)</w:t>
      </w:r>
      <w:r>
        <w:rPr>
          <w:rFonts w:ascii="Arial" w:cs="Arial" w:eastAsia="Arial" w:hAnsi="Arial"/>
          <w:sz w:val="17"/>
          <w:szCs w:val="17"/>
          <w:color w:val="auto"/>
        </w:rPr>
        <w:t xml:space="preserve"> of the Securities Act) will be entitled to contribution from any Person who was not guilty of such fraudulent misrepresentation;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no event shall a Holder’s liability pursuant to this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when combined with the amounts paid or payable by such Holder pursuant to </w:t>
      </w:r>
      <w:r>
        <w:rPr>
          <w:rFonts w:ascii="Arial" w:cs="Arial" w:eastAsia="Arial" w:hAnsi="Arial"/>
          <w:sz w:val="17"/>
          <w:szCs w:val="17"/>
          <w:u w:val="single" w:color="auto"/>
          <w:color w:val="auto"/>
        </w:rPr>
        <w:t>Subsection 2.8(b)</w:t>
      </w:r>
      <w:r>
        <w:rPr>
          <w:rFonts w:ascii="Arial" w:cs="Arial" w:eastAsia="Arial" w:hAnsi="Arial"/>
          <w:sz w:val="17"/>
          <w:szCs w:val="17"/>
          <w:color w:val="auto"/>
        </w:rPr>
        <w:t>, exceed the proceeds from the offering received by such Holder (net of any Selling Expenses paid by such Holder), except in the case of willful misconduct or fraud by such Holder.</w:t>
      </w:r>
    </w:p>
    <w:p>
      <w:pPr>
        <w:spacing w:after="0" w:line="183" w:lineRule="exact"/>
        <w:rPr>
          <w:rFonts w:ascii="Arial" w:cs="Arial" w:eastAsia="Arial" w:hAnsi="Arial"/>
          <w:sz w:val="17"/>
          <w:szCs w:val="17"/>
          <w:color w:val="auto"/>
        </w:rPr>
      </w:pPr>
    </w:p>
    <w:p>
      <w:pPr>
        <w:jc w:val="both"/>
        <w:ind w:left="-7" w:right="80" w:firstLine="2408"/>
        <w:spacing w:after="0" w:line="259" w:lineRule="auto"/>
        <w:tabs>
          <w:tab w:leader="none" w:pos="277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5" w:lineRule="exact"/>
        <w:rPr>
          <w:rFonts w:ascii="Arial" w:cs="Arial" w:eastAsia="Arial" w:hAnsi="Arial"/>
          <w:sz w:val="18"/>
          <w:szCs w:val="18"/>
          <w:color w:val="auto"/>
        </w:rPr>
      </w:pPr>
    </w:p>
    <w:p>
      <w:pPr>
        <w:ind w:left="-7" w:right="420" w:firstLine="2408"/>
        <w:spacing w:after="0" w:line="281" w:lineRule="auto"/>
        <w:tabs>
          <w:tab w:leader="none" w:pos="275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shall survive the completion of any offering of Registrable Securities in a registration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and otherwise shall survive the termination of this Agreement.</w:t>
      </w:r>
    </w:p>
    <w:p>
      <w:pPr>
        <w:spacing w:after="0" w:line="62" w:lineRule="exact"/>
        <w:rPr>
          <w:sz w:val="20"/>
          <w:szCs w:val="20"/>
          <w:color w:val="auto"/>
        </w:rPr>
      </w:pPr>
    </w:p>
    <w:p>
      <w:pPr>
        <w:ind w:left="433" w:right="20" w:firstLine="1362"/>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6" w:lineRule="exact"/>
        <w:rPr>
          <w:sz w:val="20"/>
          <w:szCs w:val="20"/>
          <w:color w:val="auto"/>
        </w:rPr>
      </w:pPr>
    </w:p>
    <w:p>
      <w:pPr>
        <w:ind w:left="-7" w:right="140" w:firstLine="2408"/>
        <w:spacing w:after="0" w:line="271" w:lineRule="auto"/>
        <w:tabs>
          <w:tab w:leader="none" w:pos="277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08"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13"/>
          </w:cols>
          <w:pgMar w:left="487" w:top="272" w:right="499" w:bottom="1440" w:gutter="0" w:footer="0" w:header="0"/>
        </w:sectPr>
      </w:pPr>
    </w:p>
    <w:bookmarkStart w:id="280" w:name="page281"/>
    <w:bookmarkEnd w:id="280"/>
    <w:p>
      <w:pPr>
        <w:ind w:left="-7" w:right="380" w:firstLine="2408"/>
        <w:spacing w:after="0" w:line="259" w:lineRule="auto"/>
        <w:tabs>
          <w:tab w:leader="none" w:pos="27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85" w:lineRule="exact"/>
        <w:rPr>
          <w:rFonts w:ascii="Arial" w:cs="Arial" w:eastAsia="Arial" w:hAnsi="Arial"/>
          <w:sz w:val="18"/>
          <w:szCs w:val="18"/>
          <w:color w:val="auto"/>
        </w:rPr>
      </w:pPr>
    </w:p>
    <w:p>
      <w:pPr>
        <w:ind w:left="-7" w:right="280" w:firstLine="2408"/>
        <w:spacing w:after="0" w:line="287" w:lineRule="auto"/>
        <w:tabs>
          <w:tab w:leader="none" w:pos="277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w:t>
      </w:r>
    </w:p>
    <w:p>
      <w:pPr>
        <w:ind w:left="-7" w:right="120" w:firstLine="7"/>
        <w:spacing w:after="0" w:line="286" w:lineRule="auto"/>
        <w:tabs>
          <w:tab w:leader="none" w:pos="33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63" w:lineRule="exact"/>
        <w:rPr>
          <w:sz w:val="20"/>
          <w:szCs w:val="20"/>
          <w:color w:val="auto"/>
        </w:rPr>
      </w:pPr>
    </w:p>
    <w:p>
      <w:pPr>
        <w:ind w:left="433" w:right="120" w:firstLine="1362"/>
        <w:spacing w:after="0" w:line="28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(i) would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this limitation shall not apply to any additional Investor who becomes a party to this Agreement in accordance with </w:t>
      </w:r>
      <w:r>
        <w:rPr>
          <w:rFonts w:ascii="Arial" w:cs="Arial" w:eastAsia="Arial" w:hAnsi="Arial"/>
          <w:sz w:val="16"/>
          <w:szCs w:val="16"/>
          <w:u w:val="single" w:color="auto"/>
          <w:color w:val="auto"/>
        </w:rPr>
        <w:t>Subsection 6.9</w:t>
      </w:r>
      <w:r>
        <w:rPr>
          <w:rFonts w:ascii="Arial" w:cs="Arial" w:eastAsia="Arial" w:hAnsi="Arial"/>
          <w:sz w:val="16"/>
          <w:szCs w:val="16"/>
          <w:color w:val="auto"/>
        </w:rPr>
        <w:t>.</w:t>
      </w:r>
    </w:p>
    <w:p>
      <w:pPr>
        <w:spacing w:after="0" w:line="59" w:lineRule="exact"/>
        <w:rPr>
          <w:sz w:val="20"/>
          <w:szCs w:val="20"/>
          <w:color w:val="auto"/>
        </w:rPr>
      </w:pPr>
    </w:p>
    <w:p>
      <w:pPr>
        <w:ind w:left="433" w:firstLine="1362"/>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 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Company’s IPO under the Securities Act on a registration statement on Form S-1 or Form S-3,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apply only to the IPO and shall not apply to the sale of any shares to an underwriter pursuant to an underwriting agreement or the transfer of any shares to any trust for the direct or indirect benefit of the Holder or the immediate family of the Holder, provided</w:t>
      </w:r>
    </w:p>
    <w:p>
      <w:pPr>
        <w:spacing w:after="0" w:line="106"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73"/>
          </w:cols>
          <w:pgMar w:left="487" w:top="272" w:right="539" w:bottom="1440" w:gutter="0" w:footer="0" w:header="0"/>
        </w:sectPr>
      </w:pPr>
    </w:p>
    <w:bookmarkStart w:id="281" w:name="page282"/>
    <w:bookmarkEnd w:id="281"/>
    <w:p>
      <w:pPr>
        <w:ind w:left="3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that the trustee of the trust agrees to be bound in writing by the restrictions set forth herein, and provided further that any such transfer shall not involve a disposition for value, and shall be applicable to the Holders only if all officers and directors are subject to the same restrictions and the Company obtains a similar agreement from all stockholders individually owning more than one percent (1%) of the Company’s outstanding Common Stock (after giving effect to conversion into Common Stock of all outstanding Preferred Stock). The underwriters in connection with such registration are intended third 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Notwithstanding the foregoing, in the event that the Company and/or the underwriters in connection with the IPO agree to allow any security holder to hold its securities of the Company subject to lock-up restrictions which are more favorable to such security holder than the lock-up restrictions applicable to the Registrable Securities purchased by a T. Rowe Price Investor or Durable under the Purchase Agreement, the lock-up restrictions applicable to such Registrable Securities held by any such T. Rowe Price Investor and Durable will be automatically amended to conform to the more favorable lock-up restrictions applicable to the shares held by such securityholder. The Company shall be obligated to reissue promptly unlegended certificates at the request of any Holder thereof if the Company has completed its IPO or in connection with a sale of Registrable Securities by a Holder pursuant to Rule 144.</w:t>
      </w:r>
    </w:p>
    <w:p>
      <w:pPr>
        <w:spacing w:after="0" w:line="276" w:lineRule="exact"/>
        <w:rPr>
          <w:sz w:val="20"/>
          <w:szCs w:val="20"/>
          <w:color w:val="auto"/>
        </w:rPr>
      </w:pPr>
    </w:p>
    <w:p>
      <w:pPr>
        <w:ind w:left="1740"/>
        <w:spacing w:after="0"/>
        <w:tabs>
          <w:tab w:leader="none" w:pos="22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14" w:lineRule="exact"/>
        <w:rPr>
          <w:sz w:val="20"/>
          <w:szCs w:val="20"/>
          <w:color w:val="auto"/>
        </w:rPr>
      </w:pPr>
    </w:p>
    <w:p>
      <w:pPr>
        <w:ind w:left="-60" w:firstLine="2408"/>
        <w:spacing w:after="0" w:line="285" w:lineRule="auto"/>
        <w:tabs>
          <w:tab w:leader="none" w:pos="271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or otherwise in this Agreement and, if applicable to such holder of Preferred Stock, Section 3 of the Company’s Seventh Amended and Restated Right of First Refusal and Co-Sale Agreement (“</w:t>
      </w:r>
      <w:r>
        <w:rPr>
          <w:rFonts w:ascii="Arial" w:cs="Arial" w:eastAsia="Arial" w:hAnsi="Arial"/>
          <w:sz w:val="16"/>
          <w:szCs w:val="16"/>
          <w:b w:val="1"/>
          <w:bCs w:val="1"/>
          <w:color w:val="auto"/>
        </w:rPr>
        <w:t>ROFR Agreement</w:t>
      </w:r>
      <w:r>
        <w:rPr>
          <w:rFonts w:ascii="Arial" w:cs="Arial" w:eastAsia="Arial" w:hAnsi="Arial"/>
          <w:sz w:val="16"/>
          <w:szCs w:val="16"/>
          <w:color w:val="auto"/>
        </w:rPr>
        <w:t xml:space="preserve">”) dated of even date herewith, which conditions are intended to ensure compliance with the provisions of the Securities Act. Subject to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below and the right of first refusal set forth in Section 2 of the ROFR Agreement, a Holder may sell, pledge, or otherwise transfer his, her, or its shares of Preferred Stock to a transferee who, after such transfer, holds at least 100,000 shares of Preferred Stock (subject to appropriate adjustment for stock splits, stock dividends, combinations and other recapitalizations); provided that no such threshold shall be required for a transfer to an Affiliate pursuant to Section 6.1(i).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68" w:lineRule="exact"/>
        <w:rPr>
          <w:rFonts w:ascii="Arial" w:cs="Arial" w:eastAsia="Arial" w:hAnsi="Arial"/>
          <w:sz w:val="16"/>
          <w:szCs w:val="16"/>
          <w:color w:val="auto"/>
        </w:rPr>
      </w:pPr>
    </w:p>
    <w:p>
      <w:pPr>
        <w:ind w:left="-60" w:right="260" w:firstLine="2408"/>
        <w:spacing w:after="0" w:line="335" w:lineRule="auto"/>
        <w:tabs>
          <w:tab w:leader="none" w:pos="272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Each certificate or instrument representing (i) the Preferred Stock; (ii) the Registrable Securities; and (iii) any other securities issued in respect of the securities referenced in clauses (i) and (ii), upon any stock split, stock dividend, recapitalization, merger,</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00"/>
          </w:cols>
          <w:pgMar w:left="540" w:top="272" w:right="559" w:bottom="1440" w:gutter="0" w:footer="0" w:header="0"/>
        </w:sectPr>
      </w:pPr>
    </w:p>
    <w:bookmarkStart w:id="282" w:name="page283"/>
    <w:bookmarkEnd w:id="282"/>
    <w:p>
      <w:pPr>
        <w:ind w:right="3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consolidation, or similar event, shall (unless otherwise permitted by the provisions of </w:t>
      </w:r>
      <w:r>
        <w:rPr>
          <w:rFonts w:ascii="Arial" w:cs="Arial" w:eastAsia="Arial" w:hAnsi="Arial"/>
          <w:sz w:val="18"/>
          <w:szCs w:val="18"/>
          <w:u w:val="single" w:color="auto"/>
          <w:color w:val="auto"/>
        </w:rPr>
        <w:t>Subsection 2.12(c))</w:t>
      </w:r>
      <w:r>
        <w:rPr>
          <w:rFonts w:ascii="Arial" w:cs="Arial" w:eastAsia="Arial" w:hAnsi="Arial"/>
          <w:sz w:val="18"/>
          <w:szCs w:val="18"/>
          <w:color w:val="auto"/>
        </w:rPr>
        <w:t xml:space="preserve"> be stamped or otherwise imprinted with a legend substantially in the following form:</w:t>
      </w:r>
    </w:p>
    <w:p>
      <w:pPr>
        <w:spacing w:after="0" w:line="68" w:lineRule="exact"/>
        <w:rPr>
          <w:sz w:val="20"/>
          <w:szCs w:val="20"/>
          <w:color w:val="auto"/>
        </w:rPr>
      </w:pPr>
    </w:p>
    <w:p>
      <w:pPr>
        <w:ind w:left="1420" w:right="240"/>
        <w:spacing w:after="0" w:line="255"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83" w:lineRule="exact"/>
        <w:rPr>
          <w:sz w:val="20"/>
          <w:szCs w:val="20"/>
          <w:color w:val="auto"/>
        </w:rPr>
      </w:pPr>
    </w:p>
    <w:p>
      <w:pPr>
        <w:jc w:val="both"/>
        <w:ind w:left="1420" w:right="140"/>
        <w:spacing w:after="0" w:line="281" w:lineRule="auto"/>
        <w:rPr>
          <w:sz w:val="20"/>
          <w:szCs w:val="20"/>
          <w:color w:val="auto"/>
        </w:rPr>
      </w:pPr>
      <w:r>
        <w:rPr>
          <w:rFonts w:ascii="Arial" w:cs="Arial" w:eastAsia="Arial" w:hAnsi="Arial"/>
          <w:sz w:val="17"/>
          <w:szCs w:val="17"/>
          <w:color w:val="auto"/>
        </w:rPr>
        <w:t>THE SECURITIES REPRESENTED HEREBY MAY BE TRANSFERRED ONLY IN ACCORDANCE WITH THE TERMS OF AN SEVENTH AMENDED AND RESTATED INVESTORS’ RIGHTS AGREEMENT BETWEEN THE COMPANY AND THE STOCKHOLDER, A COPY OF WHICH IS ON FILE WITH THE SECRETARY OF THE COMPANY.</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5" w:lineRule="exact"/>
        <w:rPr>
          <w:sz w:val="20"/>
          <w:szCs w:val="20"/>
          <w:color w:val="auto"/>
        </w:rPr>
      </w:pPr>
    </w:p>
    <w:p>
      <w:pPr>
        <w:ind w:firstLine="2408"/>
        <w:spacing w:after="0" w:line="282" w:lineRule="auto"/>
        <w:tabs>
          <w:tab w:leader="none" w:pos="277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each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Each certificate or instrument evidencing the Restricted Securities transferred as above provided shall bear, except if such transfer is made pursuant to SEC Rule 144, the appropriate restrictive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80" w:top="272" w:right="519" w:bottom="1440" w:gutter="0" w:footer="0" w:header="0"/>
        </w:sectPr>
      </w:pPr>
    </w:p>
    <w:bookmarkStart w:id="283" w:name="page284"/>
    <w:bookmarkEnd w:id="283"/>
    <w:p>
      <w:pPr>
        <w:ind w:left="440" w:right="40" w:firstLine="1362"/>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shall terminate upon the earliest to occur of:</w:t>
      </w:r>
    </w:p>
    <w:p>
      <w:pPr>
        <w:spacing w:after="0" w:line="175" w:lineRule="exact"/>
        <w:rPr>
          <w:sz w:val="20"/>
          <w:szCs w:val="20"/>
          <w:color w:val="auto"/>
        </w:rPr>
      </w:pPr>
    </w:p>
    <w:p>
      <w:pPr>
        <w:ind w:left="2400"/>
        <w:spacing w:after="0"/>
        <w:tabs>
          <w:tab w:leader="none" w:pos="27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closing of a Deemed Liquidation Event, as such term is defined in the Company’s Amended and Restated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w:t>
      </w:r>
    </w:p>
    <w:p>
      <w:pPr>
        <w:spacing w:after="0" w:line="208" w:lineRule="exact"/>
        <w:rPr>
          <w:sz w:val="20"/>
          <w:szCs w:val="20"/>
          <w:color w:val="auto"/>
        </w:rPr>
      </w:pPr>
    </w:p>
    <w:p>
      <w:pPr>
        <w:ind w:firstLine="2408"/>
        <w:spacing w:after="0" w:line="271" w:lineRule="auto"/>
        <w:tabs>
          <w:tab w:leader="none" w:pos="278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shares without limitation during a ninety (90) day period without registration; and</w:t>
      </w:r>
    </w:p>
    <w:p>
      <w:pPr>
        <w:spacing w:after="0" w:line="174" w:lineRule="exact"/>
        <w:rPr>
          <w:rFonts w:ascii="Arial" w:cs="Arial" w:eastAsia="Arial" w:hAnsi="Arial"/>
          <w:sz w:val="18"/>
          <w:szCs w:val="18"/>
          <w:color w:val="auto"/>
        </w:rPr>
      </w:pPr>
    </w:p>
    <w:p>
      <w:pPr>
        <w:ind w:left="2780" w:hanging="372"/>
        <w:spacing w:after="0"/>
        <w:tabs>
          <w:tab w:leader="none" w:pos="27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fifth (5th) anniversary of the IPO.</w:t>
      </w:r>
    </w:p>
    <w:p>
      <w:pPr>
        <w:spacing w:after="0" w:line="327" w:lineRule="exact"/>
        <w:rPr>
          <w:rFonts w:ascii="Arial" w:cs="Arial" w:eastAsia="Arial" w:hAnsi="Arial"/>
          <w:sz w:val="18"/>
          <w:szCs w:val="18"/>
          <w:color w:val="auto"/>
        </w:rPr>
      </w:pPr>
    </w:p>
    <w:p>
      <w:pPr>
        <w:ind w:left="1180" w:hanging="317"/>
        <w:spacing w:after="0"/>
        <w:tabs>
          <w:tab w:leader="none" w:pos="118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114" w:lineRule="exact"/>
        <w:rPr>
          <w:sz w:val="20"/>
          <w:szCs w:val="20"/>
          <w:color w:val="auto"/>
        </w:rPr>
      </w:pPr>
    </w:p>
    <w:p>
      <w:pPr>
        <w:ind w:left="440" w:right="80" w:firstLine="1362"/>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Major Investor, as the case may be,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Board has not reasonably determined that such Major Investor is a competitor of the Company; </w:t>
      </w:r>
      <w:r>
        <w:rPr>
          <w:rFonts w:ascii="Arial" w:cs="Arial" w:eastAsia="Arial" w:hAnsi="Arial"/>
          <w:sz w:val="18"/>
          <w:szCs w:val="18"/>
          <w:i w:val="1"/>
          <w:iCs w:val="1"/>
          <w:color w:val="auto"/>
        </w:rPr>
        <w:t>provided further that</w:t>
      </w:r>
      <w:r>
        <w:rPr>
          <w:rFonts w:ascii="Arial" w:cs="Arial" w:eastAsia="Arial" w:hAnsi="Arial"/>
          <w:sz w:val="18"/>
          <w:szCs w:val="18"/>
          <w:color w:val="auto"/>
        </w:rPr>
        <w:t xml:space="preserve"> neither BMW i Ventures Fund SCS, SICAV RAIF (“</w:t>
      </w:r>
      <w:r>
        <w:rPr>
          <w:rFonts w:ascii="Arial" w:cs="Arial" w:eastAsia="Arial" w:hAnsi="Arial"/>
          <w:sz w:val="18"/>
          <w:szCs w:val="18"/>
          <w:b w:val="1"/>
          <w:bCs w:val="1"/>
          <w:color w:val="auto"/>
        </w:rPr>
        <w:t>i Ventures</w:t>
      </w:r>
      <w:r>
        <w:rPr>
          <w:rFonts w:ascii="Arial" w:cs="Arial" w:eastAsia="Arial" w:hAnsi="Arial"/>
          <w:sz w:val="18"/>
          <w:szCs w:val="18"/>
          <w:color w:val="auto"/>
        </w:rPr>
        <w:t>”), Durable, nor any T. Rowe Price Investor shall be deemed to be a competitor of the Company for any purpose under this Agreement:</w:t>
      </w:r>
    </w:p>
    <w:p>
      <w:pPr>
        <w:spacing w:after="0" w:line="190" w:lineRule="exact"/>
        <w:rPr>
          <w:sz w:val="20"/>
          <w:szCs w:val="20"/>
          <w:color w:val="auto"/>
        </w:rPr>
      </w:pPr>
    </w:p>
    <w:p>
      <w:pPr>
        <w:ind w:right="140" w:firstLine="2408"/>
        <w:spacing w:after="0" w:line="255" w:lineRule="auto"/>
        <w:tabs>
          <w:tab w:leader="none" w:pos="277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eighty (180) days after the end of each fiscal year of the Company, (i) a balance sheet as of the end of such year, (ii) statements of income and of cash flows for such year, and (iii) a statement of stockholders’ equity as of the end of such year, all such financial statements audited and certified by independent public accountants of nationally recognized standing selected by the Company;</w:t>
      </w:r>
    </w:p>
    <w:p>
      <w:pPr>
        <w:spacing w:after="0" w:line="190" w:lineRule="exact"/>
        <w:rPr>
          <w:rFonts w:ascii="Arial" w:cs="Arial" w:eastAsia="Arial" w:hAnsi="Arial"/>
          <w:sz w:val="18"/>
          <w:szCs w:val="18"/>
          <w:color w:val="auto"/>
        </w:rPr>
      </w:pPr>
    </w:p>
    <w:p>
      <w:pPr>
        <w:ind w:left="2840" w:hanging="432"/>
        <w:spacing w:after="0"/>
        <w:tabs>
          <w:tab w:leader="none" w:pos="28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as soon as practicable, but in any event within ninety (90) days after the end of each fiscal year of the Company,</w:t>
      </w:r>
    </w:p>
    <w:p>
      <w:pPr>
        <w:spacing w:after="0" w:line="42" w:lineRule="exact"/>
        <w:rPr>
          <w:rFonts w:ascii="Arial" w:cs="Arial" w:eastAsia="Arial" w:hAnsi="Arial"/>
          <w:sz w:val="16"/>
          <w:szCs w:val="16"/>
          <w:color w:val="auto"/>
        </w:rPr>
      </w:pPr>
    </w:p>
    <w:p>
      <w:pPr>
        <w:ind w:right="400" w:firstLine="7"/>
        <w:spacing w:after="0" w:line="256" w:lineRule="auto"/>
        <w:tabs>
          <w:tab w:leader="none" w:pos="21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unaudited balance sheet as of the end of such year, (ii) unaudited statements of income and of cash flows for such year, and (iii) an unaudited statement of stockholders’ equity as of the end of such year;</w:t>
      </w:r>
    </w:p>
    <w:p>
      <w:pPr>
        <w:spacing w:after="0" w:line="187" w:lineRule="exact"/>
        <w:rPr>
          <w:rFonts w:ascii="Arial" w:cs="Arial" w:eastAsia="Arial" w:hAnsi="Arial"/>
          <w:sz w:val="18"/>
          <w:szCs w:val="18"/>
          <w:color w:val="auto"/>
        </w:rPr>
      </w:pPr>
    </w:p>
    <w:p>
      <w:pPr>
        <w:ind w:right="40" w:firstLine="2408"/>
        <w:spacing w:after="0" w:line="253" w:lineRule="auto"/>
        <w:tabs>
          <w:tab w:leader="none" w:pos="277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calendar month, an unaudited income statement and statement of cash flows for such month, an unaudited balance sheet and statement of stockholders’ equity as of the end of such month, a headcount of the Company’s employees, contractors and consultants and a comparison to such Budget for such month, all prepared in accordance with GAAP (except that such financial statements may (i) be subject to normal year-end audit adjustments; and (ii) not contain all notes thereto that may be required in accordance with GAAP);</w:t>
      </w:r>
    </w:p>
    <w:p>
      <w:pPr>
        <w:spacing w:after="0" w:line="192" w:lineRule="exact"/>
        <w:rPr>
          <w:rFonts w:ascii="Arial" w:cs="Arial" w:eastAsia="Arial" w:hAnsi="Arial"/>
          <w:sz w:val="18"/>
          <w:szCs w:val="18"/>
          <w:color w:val="auto"/>
        </w:rPr>
      </w:pPr>
    </w:p>
    <w:p>
      <w:pPr>
        <w:ind w:right="120" w:firstLine="2408"/>
        <w:spacing w:after="0" w:line="255" w:lineRule="auto"/>
        <w:tabs>
          <w:tab w:leader="none" w:pos="278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as soon as practicable, but in any event thirty (30) days before the end of each fiscal year, a budget and business plan for the next fiscal year (collectively, the “</w:t>
      </w:r>
      <w:r>
        <w:rPr>
          <w:rFonts w:ascii="Arial" w:cs="Arial" w:eastAsia="Arial" w:hAnsi="Arial"/>
          <w:sz w:val="18"/>
          <w:szCs w:val="18"/>
          <w:b w:val="1"/>
          <w:bCs w:val="1"/>
          <w:color w:val="auto"/>
        </w:rPr>
        <w:t>Budget</w:t>
      </w:r>
      <w:r>
        <w:rPr>
          <w:rFonts w:ascii="Arial" w:cs="Arial" w:eastAsia="Arial" w:hAnsi="Arial"/>
          <w:sz w:val="18"/>
          <w:szCs w:val="18"/>
          <w:color w:val="auto"/>
        </w:rPr>
        <w:t>”), approved by the Board and prepared on a monthly basis, including balance sheets, income statements, statements of cash flow and profit and loss statements for such months and, promptly after prepared, any other budgets or revised budgets prepared by the Company;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80" w:top="272" w:right="519" w:bottom="1440" w:gutter="0" w:footer="0" w:header="0"/>
        </w:sectPr>
      </w:pPr>
    </w:p>
    <w:bookmarkStart w:id="284" w:name="page285"/>
    <w:bookmarkEnd w:id="284"/>
    <w:p>
      <w:pPr>
        <w:ind w:right="380" w:firstLine="2408"/>
        <w:spacing w:after="0" w:line="253" w:lineRule="auto"/>
        <w:tabs>
          <w:tab w:leader="none" w:pos="2777"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Subsection 3.1(e)</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and not in lieu of, the foregoing, the Company shall deliver to each T. Rowe Price Investor and Durable, as applicable:</w:t>
      </w:r>
    </w:p>
    <w:p>
      <w:pPr>
        <w:spacing w:after="0" w:line="221" w:lineRule="exact"/>
        <w:rPr>
          <w:sz w:val="20"/>
          <w:szCs w:val="20"/>
          <w:color w:val="auto"/>
        </w:rPr>
      </w:pPr>
    </w:p>
    <w:p>
      <w:pPr>
        <w:ind w:firstLine="2408"/>
        <w:spacing w:after="0" w:line="253" w:lineRule="auto"/>
        <w:tabs>
          <w:tab w:leader="none" w:pos="282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quarter of each fiscal year of the Company, (i) an unaudited balance sheet as of the end of such quarter, (ii) unaudited statements of income and of cash flows for such quarter, and (iii) an unaudited statement of stockholders’ equity as of the end of such quarter, all prepared in accordance with GAAP (except that such financial statements may (i) be subject to normal year-end audit adjustments; and (ii) not contain all notes thereto that may be required in accordance with GAAP);</w:t>
      </w:r>
    </w:p>
    <w:p>
      <w:pPr>
        <w:spacing w:after="0" w:line="192" w:lineRule="exact"/>
        <w:rPr>
          <w:rFonts w:ascii="Arial" w:cs="Arial" w:eastAsia="Arial" w:hAnsi="Arial"/>
          <w:sz w:val="18"/>
          <w:szCs w:val="18"/>
          <w:color w:val="auto"/>
        </w:rPr>
      </w:pPr>
    </w:p>
    <w:p>
      <w:pPr>
        <w:ind w:left="2820" w:hanging="412"/>
        <w:spacing w:after="0"/>
        <w:tabs>
          <w:tab w:leader="none" w:pos="28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included with, or accompanying, each of the financial statements to be delivered pursuant to Sections 3.1(a),</w:t>
      </w:r>
    </w:p>
    <w:p>
      <w:pPr>
        <w:spacing w:after="0" w:line="43" w:lineRule="exact"/>
        <w:rPr>
          <w:sz w:val="20"/>
          <w:szCs w:val="20"/>
          <w:color w:val="auto"/>
        </w:rPr>
      </w:pPr>
    </w:p>
    <w:p>
      <w:pPr>
        <w:ind w:right="700"/>
        <w:spacing w:after="0" w:line="285" w:lineRule="auto"/>
        <w:rPr>
          <w:sz w:val="20"/>
          <w:szCs w:val="20"/>
          <w:color w:val="auto"/>
        </w:rPr>
      </w:pPr>
      <w:r>
        <w:rPr>
          <w:rFonts w:ascii="Arial" w:cs="Arial" w:eastAsia="Arial" w:hAnsi="Arial"/>
          <w:sz w:val="17"/>
          <w:szCs w:val="17"/>
          <w:color w:val="auto"/>
        </w:rPr>
        <w:t>3.1(b) and 3.1(A), (i) a then current detailed capitalization table of the Company showing the outstanding and fully diluted capitalization of the Company, and (ii) operating metrics reasonably requested by T. Rowe Price Investors or Durable, as applicable;</w:t>
      </w:r>
    </w:p>
    <w:p>
      <w:pPr>
        <w:spacing w:after="0" w:line="165" w:lineRule="exact"/>
        <w:rPr>
          <w:sz w:val="20"/>
          <w:szCs w:val="20"/>
          <w:color w:val="auto"/>
        </w:rPr>
      </w:pPr>
    </w:p>
    <w:p>
      <w:pPr>
        <w:ind w:firstLine="2408"/>
        <w:spacing w:after="0" w:line="275" w:lineRule="auto"/>
        <w:tabs>
          <w:tab w:leader="none" w:pos="2817" w:val="left"/>
        </w:tabs>
        <w:numPr>
          <w:ilvl w:val="0"/>
          <w:numId w:val="228"/>
        </w:numPr>
        <w:rPr>
          <w:rFonts w:ascii="Arial" w:cs="Arial" w:eastAsia="Arial" w:hAnsi="Arial"/>
          <w:sz w:val="17"/>
          <w:szCs w:val="17"/>
          <w:color w:val="auto"/>
        </w:rPr>
      </w:pPr>
      <w:r>
        <w:rPr>
          <w:rFonts w:ascii="Arial" w:cs="Arial" w:eastAsia="Arial" w:hAnsi="Arial"/>
          <w:sz w:val="17"/>
          <w:szCs w:val="17"/>
          <w:color w:val="auto"/>
        </w:rPr>
        <w:t>promptly upon the request of (i) any T. Rowe Price Investor, a then current detailed capitalization table of the Company showing the outstanding and fully diluted capitalization of the Company, including the number, class and series of shares in the Company held by such T. Rowe Price Investor or (ii) Durable, a then current detailed capitalization table of the Company showing the outstanding and fully diluted capitalization of the Company, including the number, class and series of shares in the Company held by Durable;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80" w:top="272" w:right="519" w:bottom="1440" w:gutter="0" w:footer="0" w:header="0"/>
        </w:sectPr>
      </w:pPr>
    </w:p>
    <w:bookmarkStart w:id="285" w:name="page286"/>
    <w:bookmarkEnd w:id="285"/>
    <w:p>
      <w:pPr>
        <w:ind w:left="-20" w:right="980" w:firstLine="2408"/>
        <w:spacing w:after="0" w:line="271" w:lineRule="auto"/>
        <w:tabs>
          <w:tab w:leader="none" w:pos="2807"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contemporaneous, and to the extent practicable prior, notice of stock splits, dividends, distributions, recapitalizations, equity reclassifications and other similar events of the Company;</w:t>
      </w:r>
    </w:p>
    <w:p>
      <w:pPr>
        <w:spacing w:after="0" w:line="174" w:lineRule="exact"/>
        <w:rPr>
          <w:rFonts w:ascii="Arial" w:cs="Arial" w:eastAsia="Arial" w:hAnsi="Arial"/>
          <w:sz w:val="18"/>
          <w:szCs w:val="18"/>
          <w:color w:val="auto"/>
        </w:rPr>
      </w:pPr>
    </w:p>
    <w:p>
      <w:pPr>
        <w:jc w:val="both"/>
        <w:ind w:left="-20" w:right="360" w:firstLine="2408"/>
        <w:spacing w:after="0" w:line="281" w:lineRule="auto"/>
        <w:tabs>
          <w:tab w:leader="none" w:pos="278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on or prior to the effectiveness date of the registration statement filed by the Company in connection with its IPO, upon the request of any T. Rowe Price Investor or Durable, (i) written confirmation of its holdings on an as-converted basis and (ii) a personal contact at Company’s transfer agent to assist with custody and audit requests and confirm holdings and provide statements;</w:t>
      </w:r>
    </w:p>
    <w:p>
      <w:pPr>
        <w:spacing w:after="0" w:line="169" w:lineRule="exact"/>
        <w:rPr>
          <w:rFonts w:ascii="Arial" w:cs="Arial" w:eastAsia="Arial" w:hAnsi="Arial"/>
          <w:sz w:val="17"/>
          <w:szCs w:val="17"/>
          <w:color w:val="auto"/>
        </w:rPr>
      </w:pPr>
    </w:p>
    <w:p>
      <w:pPr>
        <w:ind w:left="-20" w:right="260" w:firstLine="2408"/>
        <w:spacing w:after="0" w:line="286" w:lineRule="auto"/>
        <w:tabs>
          <w:tab w:leader="none" w:pos="277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prompt responses, and the Company shall use its commercially reasonable efforts to cause its transfer agent to promptly respond, to reasonable requests for information made by (i) any T. Rowe Price Investor relating to (A) accounting or securities law matters required in connection with such T. Rowe Price Investor’s audit or (B) the actual holdings of such T. Rowe Price Investor, including in relation to the total outstanding shares of the Company; provided, however, that the Company shall not be obligated to provide any such information that could reasonably result in a violation of applicable law or conflict with the Company’s insider trading policy or a confidentiality obligation or other legal obligation of the Company or (ii) Durable relating to (A) accounting or securities law matters required in connection with Durable’s audit or (B) the actual holdings of Durable, including in relation to the total outstanding shares of the Company; provided, however, that the Company shall not be obligated to provide any such information that could reasonably result in a violation of applicable law or conflict with the Company’s insider trading policy or a confidentiality obligation or other legal obligation of the Company.</w:t>
      </w:r>
    </w:p>
    <w:p>
      <w:pPr>
        <w:spacing w:after="0" w:line="60" w:lineRule="exact"/>
        <w:rPr>
          <w:sz w:val="20"/>
          <w:szCs w:val="20"/>
          <w:color w:val="auto"/>
        </w:rPr>
      </w:pPr>
    </w:p>
    <w:p>
      <w:pPr>
        <w:ind w:left="420" w:firstLine="1362"/>
        <w:spacing w:after="0" w:line="28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xml:space="preserve"> The Company understands and acknowledges that in the regular course of their business, the T. Rowe Price Investors and Durable may invest in companies that have issued securities that are publicly traded (each, a “</w:t>
      </w:r>
      <w:r>
        <w:rPr>
          <w:rFonts w:ascii="Arial" w:cs="Arial" w:eastAsia="Arial" w:hAnsi="Arial"/>
          <w:sz w:val="16"/>
          <w:szCs w:val="16"/>
          <w:b w:val="1"/>
          <w:b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 Accordingly, the Company covenants and agrees that before providing material non-public information about a Public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Public Company Information</w:t>
      </w:r>
      <w:r>
        <w:rPr>
          <w:rFonts w:ascii="Arial" w:cs="Arial" w:eastAsia="Arial" w:hAnsi="Arial"/>
          <w:sz w:val="16"/>
          <w:szCs w:val="16"/>
          <w:color w:val="auto"/>
        </w:rPr>
        <w:t>”) to (i) T. Rowe Price or any T. Rowe Price Investor, the Company will provide prior written notice to Ryan Nolan, Vice President, at ryan_nolan@troweprice.com (or in his absence to Ellen York, Legal Counsel, at ellen_york@troweprice.com) describing such information in reasonable detail or (ii) Durable, the Company will provide prior written notice to Julie Jack, General Counsel, at julie@durablecap.com describing such information in reasonable detail. The Company shall not disclose Public Company Information to either</w:t>
      </w:r>
    </w:p>
    <w:p>
      <w:pPr>
        <w:spacing w:after="0" w:line="3" w:lineRule="exact"/>
        <w:rPr>
          <w:sz w:val="20"/>
          <w:szCs w:val="20"/>
          <w:color w:val="auto"/>
        </w:rPr>
      </w:pPr>
    </w:p>
    <w:p>
      <w:pPr>
        <w:ind w:left="420" w:right="120" w:firstLine="4"/>
        <w:spacing w:after="0" w:line="250" w:lineRule="auto"/>
        <w:tabs>
          <w:tab w:leader="none" w:pos="63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 Rowe Price or any T. Rowe Price Investor without written authorization from T. Rowe Price’s compliance personnel or (ii) Durable without written authorization from Durable’s compliance personnel; provided, however, that, the Company will be permitted to disclose agreements entered into with Public Companies in the ordinary course of business, such as routine customer, supplier, advertising and publishing agreements without such written authorization.</w:t>
      </w:r>
    </w:p>
    <w:p>
      <w:pPr>
        <w:spacing w:after="0" w:line="88" w:lineRule="exact"/>
        <w:rPr>
          <w:sz w:val="20"/>
          <w:szCs w:val="20"/>
          <w:color w:val="auto"/>
        </w:rPr>
      </w:pPr>
    </w:p>
    <w:p>
      <w:pPr>
        <w:ind w:left="420" w:right="40" w:firstLine="1362"/>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(provided that the Board has not reasonably determined that such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500" w:top="272" w:right="499" w:bottom="1440" w:gutter="0" w:footer="0" w:header="0"/>
        </w:sectPr>
      </w:pPr>
    </w:p>
    <w:bookmarkStart w:id="286" w:name="page287"/>
    <w:bookmarkEnd w:id="286"/>
    <w:p>
      <w:pPr>
        <w:ind w:left="420"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be reasonably requested by such Major Investor;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obligated pursuant to this Subsection 3.3 to provide access to any information that it reasonably and in good faith considered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297" w:lineRule="exact"/>
        <w:rPr>
          <w:sz w:val="20"/>
          <w:szCs w:val="20"/>
          <w:color w:val="auto"/>
        </w:rPr>
      </w:pPr>
    </w:p>
    <w:p>
      <w:pPr>
        <w:ind w:left="1780"/>
        <w:spacing w:after="0"/>
        <w:tabs>
          <w:tab w:leader="none" w:pos="21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Observer Rights</w:t>
      </w:r>
      <w:r>
        <w:rPr>
          <w:rFonts w:ascii="Arial" w:cs="Arial" w:eastAsia="Arial" w:hAnsi="Arial"/>
          <w:sz w:val="16"/>
          <w:szCs w:val="16"/>
          <w:color w:val="auto"/>
        </w:rPr>
        <w:t>.</w:t>
      </w:r>
    </w:p>
    <w:p>
      <w:pPr>
        <w:spacing w:after="0" w:line="114" w:lineRule="exact"/>
        <w:rPr>
          <w:sz w:val="20"/>
          <w:szCs w:val="20"/>
          <w:color w:val="auto"/>
        </w:rPr>
      </w:pPr>
    </w:p>
    <w:p>
      <w:pPr>
        <w:ind w:left="-20" w:right="40" w:firstLine="2408"/>
        <w:spacing w:after="0" w:line="267" w:lineRule="auto"/>
        <w:tabs>
          <w:tab w:leader="none" w:pos="274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As long as Highland Capital Partners 9 Limited Partnership, Highland Capital Partners 9-B Limited Partnership, Highland Entrepreneurs’ Fund 9 Limited Partnership and/or their affiliates (collectively, “</w:t>
      </w:r>
      <w:r>
        <w:rPr>
          <w:rFonts w:ascii="Arial" w:cs="Arial" w:eastAsia="Arial" w:hAnsi="Arial"/>
          <w:sz w:val="17"/>
          <w:szCs w:val="17"/>
          <w:b w:val="1"/>
          <w:bCs w:val="1"/>
          <w:color w:val="auto"/>
        </w:rPr>
        <w:t>Highland Capital Partners</w:t>
      </w:r>
      <w:r>
        <w:rPr>
          <w:rFonts w:ascii="Arial" w:cs="Arial" w:eastAsia="Arial" w:hAnsi="Arial"/>
          <w:sz w:val="17"/>
          <w:szCs w:val="17"/>
          <w:color w:val="auto"/>
        </w:rPr>
        <w:t>”) owns shares of Preferred Stock (or shares of Common Stock issued upon conversion thereof), the Company shall invite a representative of Highland Capital Partners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with respect to all information so provided, except that such representative may provide such information to Highland Capital Partners for purposes of monitoring its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179" w:lineRule="exact"/>
        <w:rPr>
          <w:rFonts w:ascii="Arial" w:cs="Arial" w:eastAsia="Arial" w:hAnsi="Arial"/>
          <w:sz w:val="17"/>
          <w:szCs w:val="17"/>
          <w:color w:val="auto"/>
        </w:rPr>
      </w:pPr>
    </w:p>
    <w:p>
      <w:pPr>
        <w:ind w:left="-20" w:right="80" w:firstLine="2408"/>
        <w:spacing w:after="0" w:line="287" w:lineRule="auto"/>
        <w:tabs>
          <w:tab w:leader="none" w:pos="275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As long as i Ventures and/or its affiliates owns shares of Preferred Stock (or shares of Common Stock issued upon conversion thereof), the Company shall invite a representative of i Ventures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with respect to all information so provided, except that such representative may provide such information to i Ventures for purposes of monitoring its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161" w:lineRule="exact"/>
        <w:rPr>
          <w:rFonts w:ascii="Arial" w:cs="Arial" w:eastAsia="Arial" w:hAnsi="Arial"/>
          <w:sz w:val="16"/>
          <w:szCs w:val="16"/>
          <w:color w:val="auto"/>
        </w:rPr>
      </w:pPr>
    </w:p>
    <w:p>
      <w:pPr>
        <w:ind w:left="-20" w:firstLine="2408"/>
        <w:spacing w:after="0" w:line="253" w:lineRule="auto"/>
        <w:tabs>
          <w:tab w:leader="none" w:pos="27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 long as Almaz Capital Fund II, L.P. (“</w:t>
      </w:r>
      <w:r>
        <w:rPr>
          <w:rFonts w:ascii="Arial" w:cs="Arial" w:eastAsia="Arial" w:hAnsi="Arial"/>
          <w:sz w:val="18"/>
          <w:szCs w:val="18"/>
          <w:b w:val="1"/>
          <w:bCs w:val="1"/>
          <w:color w:val="auto"/>
        </w:rPr>
        <w:t>Almaz</w:t>
      </w:r>
      <w:r>
        <w:rPr>
          <w:rFonts w:ascii="Arial" w:cs="Arial" w:eastAsia="Arial" w:hAnsi="Arial"/>
          <w:sz w:val="18"/>
          <w:szCs w:val="18"/>
          <w:color w:val="auto"/>
        </w:rPr>
        <w:t>”) and/or its affiliates owns shares of Series C Preferred Stock (or shares of Common Stock issued upon conversion thereof), the Company shall invite a representative of Almaz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with respect to all information so provided, except that such representative may provide such information to Almaz for purposes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500" w:top="272" w:right="499" w:bottom="1440" w:gutter="0" w:footer="0" w:header="0"/>
        </w:sectPr>
      </w:pPr>
    </w:p>
    <w:bookmarkStart w:id="287" w:name="page288"/>
    <w:bookmarkEnd w:id="28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monitoring its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190" w:lineRule="exact"/>
        <w:rPr>
          <w:sz w:val="20"/>
          <w:szCs w:val="20"/>
          <w:color w:val="auto"/>
        </w:rPr>
      </w:pPr>
    </w:p>
    <w:p>
      <w:pPr>
        <w:ind w:right="20" w:firstLine="2408"/>
        <w:spacing w:after="0" w:line="286" w:lineRule="auto"/>
        <w:tabs>
          <w:tab w:leader="none" w:pos="277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As long as any T. Rowe Price Investor owns shares of Preferred Stock (or shares of Common Stock issued upon conversion thereof), the Company shall invite a representative of T. Rowe Price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(including with respect to all committees, including executive sessions); provided, however, that such representative shall agree to hold in confidence and trust with respect to all information so provided, except that such representative may provide such information to the T. Rowe Price Investors for purposes of monitoring their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166" w:lineRule="exact"/>
        <w:rPr>
          <w:rFonts w:ascii="Arial" w:cs="Arial" w:eastAsia="Arial" w:hAnsi="Arial"/>
          <w:sz w:val="16"/>
          <w:szCs w:val="16"/>
          <w:color w:val="auto"/>
        </w:rPr>
      </w:pPr>
    </w:p>
    <w:p>
      <w:pPr>
        <w:ind w:firstLine="2408"/>
        <w:spacing w:after="0" w:line="267" w:lineRule="auto"/>
        <w:tabs>
          <w:tab w:leader="none" w:pos="276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As long as Durable owns shares of Preferred Stock (or shares of Common Stock issued upon conversion thereof), the Company shall invite a representative of Durable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(including with respect to all committees, including executive sessions); provided, however, that such representative shall agree to hold in confidence and trust with respect to all information so provided, except that such representative may provide such information to Durable for purposes of monitoring their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76" w:lineRule="exact"/>
        <w:rPr>
          <w:sz w:val="20"/>
          <w:szCs w:val="20"/>
          <w:color w:val="auto"/>
        </w:rPr>
      </w:pPr>
    </w:p>
    <w:p>
      <w:pPr>
        <w:jc w:val="both"/>
        <w:ind w:left="440" w:firstLine="1362"/>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The Company shall not use the name or trademarks of (i) T. Rowe Price or any T. Rowe Price Investors or their Affiliates, including the issuance of any press release relating to the sale of the shares of the Company’s capital stock that identifies T. Rowe Price or any T. Rowe Price Investors or their Affiliates, without the prior review and written consent of T. Rowe Price or such T. Rowe Price Investor or</w:t>
      </w:r>
    </w:p>
    <w:p>
      <w:pPr>
        <w:spacing w:after="0" w:line="2" w:lineRule="exact"/>
        <w:rPr>
          <w:sz w:val="20"/>
          <w:szCs w:val="20"/>
          <w:color w:val="auto"/>
        </w:rPr>
      </w:pPr>
    </w:p>
    <w:p>
      <w:pPr>
        <w:ind w:left="440" w:right="500" w:firstLine="4"/>
        <w:spacing w:after="0" w:line="256" w:lineRule="auto"/>
        <w:tabs>
          <w:tab w:leader="none" w:pos="70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Durable or its Affiliates, including the issuance of any press release relating to the sale of the shares of the Company’s capital stock that identifies Durable or their Affiliates, without the prior review and written consent of Durable.</w:t>
      </w:r>
    </w:p>
    <w:p>
      <w:pPr>
        <w:spacing w:after="0" w:line="81" w:lineRule="exact"/>
        <w:rPr>
          <w:sz w:val="20"/>
          <w:szCs w:val="20"/>
          <w:color w:val="auto"/>
        </w:rPr>
      </w:pPr>
    </w:p>
    <w:p>
      <w:pPr>
        <w:ind w:left="1800"/>
        <w:spacing w:after="0"/>
        <w:tabs>
          <w:tab w:leader="none" w:pos="21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Termination of Information and Observer Rights</w:t>
      </w:r>
      <w:r>
        <w:rPr>
          <w:rFonts w:ascii="Arial" w:cs="Arial" w:eastAsia="Arial" w:hAnsi="Arial"/>
          <w:sz w:val="16"/>
          <w:szCs w:val="16"/>
          <w:color w:val="auto"/>
        </w:rPr>
        <w:t>. The covenants set forth in</w:t>
      </w:r>
      <w:r>
        <w:rPr>
          <w:rFonts w:ascii="Arial" w:cs="Arial" w:eastAsia="Arial" w:hAnsi="Arial"/>
          <w:sz w:val="16"/>
          <w:szCs w:val="16"/>
          <w:u w:val="single" w:color="auto"/>
          <w:color w:val="auto"/>
        </w:rPr>
        <w:t xml:space="preserve"> Subsections 3.1 </w:t>
      </w:r>
      <w:r>
        <w:rPr>
          <w:rFonts w:ascii="Arial" w:cs="Arial" w:eastAsia="Arial" w:hAnsi="Arial"/>
          <w:sz w:val="16"/>
          <w:szCs w:val="16"/>
          <w:color w:val="auto"/>
        </w:rPr>
        <w:t>(other than</w:t>
      </w:r>
      <w:r>
        <w:rPr>
          <w:rFonts w:ascii="Arial" w:cs="Arial" w:eastAsia="Arial" w:hAnsi="Arial"/>
          <w:sz w:val="16"/>
          <w:szCs w:val="16"/>
          <w:u w:val="single" w:color="auto"/>
          <w:color w:val="auto"/>
        </w:rPr>
        <w:t xml:space="preserve"> Subsections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3.1(E)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3.1(F))</w:t>
      </w:r>
      <w:r>
        <w:rPr>
          <w:rFonts w:ascii="Arial" w:cs="Arial" w:eastAsia="Arial" w:hAnsi="Arial"/>
          <w:sz w:val="17"/>
          <w:szCs w:val="17"/>
          <w:color w:val="auto"/>
        </w:rPr>
        <w:t xml:space="preserve">,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shall terminate and be of no further force or effect (i) immediately before the consummation of the IPO; (ii)</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480" w:top="272" w:right="539" w:bottom="1440" w:gutter="0" w:footer="0" w:header="0"/>
        </w:sectPr>
      </w:pPr>
    </w:p>
    <w:bookmarkStart w:id="288" w:name="page289"/>
    <w:bookmarkEnd w:id="288"/>
    <w:p>
      <w:pPr>
        <w:ind w:left="42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when the Company first becomes subject to the periodic reporting requirements of Section 12(g) or 15(d) of the Exchange Act; or (iii) upon a Deemed Liquidation Event, as such term is defined in the Company’s Amended and Restated Certificate of Incorporation, pursuant to which, with respect to the T. Rowe Price Investors and Durable, such Investors receive proceeds solely in the form of cash and/or marketable securities, whichever event occurs first.</w:t>
      </w:r>
    </w:p>
    <w:p>
      <w:pPr>
        <w:spacing w:after="0" w:line="297" w:lineRule="exact"/>
        <w:rPr>
          <w:sz w:val="20"/>
          <w:szCs w:val="20"/>
          <w:color w:val="auto"/>
        </w:rPr>
      </w:pPr>
    </w:p>
    <w:p>
      <w:pPr>
        <w:ind w:left="1780"/>
        <w:spacing w:after="0"/>
        <w:tabs>
          <w:tab w:leader="none" w:pos="21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114" w:lineRule="exact"/>
        <w:rPr>
          <w:sz w:val="20"/>
          <w:szCs w:val="20"/>
          <w:color w:val="auto"/>
        </w:rPr>
      </w:pPr>
    </w:p>
    <w:p>
      <w:pPr>
        <w:ind w:left="-20" w:right="80" w:firstLine="2408"/>
        <w:spacing w:after="0" w:line="266" w:lineRule="auto"/>
        <w:tabs>
          <w:tab w:leader="none" w:pos="269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(i) is known or becomes known to the public in general (other than as a result of a breach of this </w:t>
      </w:r>
      <w:r>
        <w:rPr>
          <w:rFonts w:ascii="Arial" w:cs="Arial" w:eastAsia="Arial" w:hAnsi="Arial"/>
          <w:sz w:val="17"/>
          <w:szCs w:val="17"/>
          <w:u w:val="single" w:color="auto"/>
          <w:color w:val="auto"/>
        </w:rPr>
        <w:t>Subsection 3.7</w:t>
      </w:r>
      <w:r>
        <w:rPr>
          <w:rFonts w:ascii="Arial" w:cs="Arial" w:eastAsia="Arial" w:hAnsi="Arial"/>
          <w:sz w:val="17"/>
          <w:szCs w:val="17"/>
          <w:color w:val="auto"/>
        </w:rPr>
        <w:t xml:space="preserve"> by such Investor), (ii) is or has been independently developed or conceived by the Investor without use of the Company’s confidential information, or (iii) is or has been made known or disclosed to the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Major Investor may disclose confidential information (x) to its attorneys, accountants, consultants, and other professionals to the extent necessary to obtain their services in connection with monitoring its investment in the Company; (y) to an</w:t>
      </w:r>
      <w:r>
        <w:rPr>
          <w:rFonts w:ascii="Arial" w:cs="Arial" w:eastAsia="Arial" w:hAnsi="Arial"/>
          <w:sz w:val="17"/>
          <w:szCs w:val="17"/>
          <w:b w:val="1"/>
          <w:bCs w:val="1"/>
          <w:color w:val="auto"/>
        </w:rPr>
        <w:t>y</w:t>
      </w:r>
      <w:r>
        <w:rPr>
          <w:rFonts w:ascii="Arial" w:cs="Arial" w:eastAsia="Arial" w:hAnsi="Arial"/>
          <w:sz w:val="17"/>
          <w:szCs w:val="17"/>
          <w:color w:val="auto"/>
        </w:rPr>
        <w:t xml:space="preserve"> existing or prospective Affiliate, partner, member, stockholder, or wholly owned subsidiary of such Major Investor in the ordinary course of business, provided that such Major Investor informs such Person that such information is confidential and directs such Person to maintain the confidentiality of such information; or (z) as may otherwise be required by law, provided that such Major Investor promptly notifies the Company of such disclosure and takes reasonable steps to minimize the extent of any such required disclosure.</w:t>
      </w:r>
    </w:p>
    <w:p>
      <w:pPr>
        <w:spacing w:after="0" w:line="181" w:lineRule="exact"/>
        <w:rPr>
          <w:rFonts w:ascii="Arial" w:cs="Arial" w:eastAsia="Arial" w:hAnsi="Arial"/>
          <w:sz w:val="17"/>
          <w:szCs w:val="17"/>
          <w:color w:val="auto"/>
        </w:rPr>
      </w:pPr>
    </w:p>
    <w:p>
      <w:pPr>
        <w:ind w:left="-20" w:firstLine="2408"/>
        <w:spacing w:after="0" w:line="283" w:lineRule="auto"/>
        <w:tabs>
          <w:tab w:leader="none" w:pos="270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Notwithstanding the foregoing or anything to the contrary herein, T. Rowe Price, each T. Rowe Price Investor, and Durable may disclose any confidential information to any of their respective Affiliates (or any partner, employee or representative of any of the foregoing) (each of the foregoing persons, a “</w:t>
      </w:r>
      <w:r>
        <w:rPr>
          <w:rFonts w:ascii="Arial" w:cs="Arial" w:eastAsia="Arial" w:hAnsi="Arial"/>
          <w:sz w:val="16"/>
          <w:szCs w:val="16"/>
          <w:b w:val="1"/>
          <w:bCs w:val="1"/>
          <w:color w:val="auto"/>
        </w:rPr>
        <w:t>Permitted Disclosee</w:t>
      </w:r>
      <w:r>
        <w:rPr>
          <w:rFonts w:ascii="Arial" w:cs="Arial" w:eastAsia="Arial" w:hAnsi="Arial"/>
          <w:sz w:val="16"/>
          <w:szCs w:val="16"/>
          <w:color w:val="auto"/>
        </w:rPr>
        <w:t xml:space="preserve">”). Furthermore, nothing contained herein shall prevent T. Rowe Price or any T. Rowe Price Investor, Durable, or any Permitted Disclosee from (i) entering into any business, entering into any agreement with a third party, or investing in or engaging in investment discussions with any other company (whether or not competitive with the Company), provided that T. Rowe Price, such T. Rowe Price Investor, Durable or Permitted Disclosee does not, except as permitted in accordance with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disclose or otherwise make use of any proprietary or confidential information of the Company in connection with such activities, or (ii) making any disclosures required by law, rule, regulation or court or other governmental order. For the sake of clarity, nothing contained in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shall in any way restrict or impair the obligations of T. Rowe Price or Durable to report the investment of its advisory clients in the Company (including its internal valuations thereof) in accordance with applicable laws and regulations, without any requirement of prior notice to the Company. Without limiting the foregoing, the Company understands that T. Rowe Price and Durable are subject to examination by the Securities and Exchange Commission and the Financial Industry Regulatory Authority, Inc., and that in examining T. Rowe Price and Durable, such organizations have the right to see all documents and records of T. Rowe Price and Durable, as applicable. The Company consents to disclosures made to those organizations and such other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500" w:top="272" w:right="519" w:bottom="1440" w:gutter="0" w:footer="0" w:header="0"/>
        </w:sectPr>
      </w:pPr>
    </w:p>
    <w:bookmarkStart w:id="289" w:name="page290"/>
    <w:bookmarkEnd w:id="289"/>
    <w:p>
      <w:pPr>
        <w:ind w:right="40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similar regulatory bodies in their routine exercise of regulatory authority over T. Rowe Price and Durable without having to comply with the notice provisions of any confidentiality obligation so long as the Company is not the target of such examination.</w:t>
      </w:r>
    </w:p>
    <w:p>
      <w:pPr>
        <w:spacing w:after="0" w:line="281" w:lineRule="exact"/>
        <w:rPr>
          <w:sz w:val="20"/>
          <w:szCs w:val="20"/>
          <w:color w:val="auto"/>
        </w:rPr>
      </w:pPr>
    </w:p>
    <w:p>
      <w:pPr>
        <w:ind w:left="1180" w:hanging="317"/>
        <w:spacing w:after="0"/>
        <w:tabs>
          <w:tab w:leader="none" w:pos="118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4" w:lineRule="exact"/>
        <w:rPr>
          <w:sz w:val="20"/>
          <w:szCs w:val="20"/>
          <w:color w:val="auto"/>
        </w:rPr>
      </w:pPr>
    </w:p>
    <w:p>
      <w:pPr>
        <w:ind w:left="440" w:right="380" w:firstLine="1362"/>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and applicable securities laws, if the Company proposes to offer or sell any New Securities, the Company shall first offer such New Securities to each Major Investor. Each Major Investor shall be entitled to apportion the right of first offer hereby granted to it among itself and its Affiliates in such proportions as it deems appropriate.</w:t>
      </w:r>
    </w:p>
    <w:p>
      <w:pPr>
        <w:spacing w:after="0" w:line="186" w:lineRule="exact"/>
        <w:rPr>
          <w:sz w:val="20"/>
          <w:szCs w:val="20"/>
          <w:color w:val="auto"/>
        </w:rPr>
      </w:pPr>
    </w:p>
    <w:p>
      <w:pPr>
        <w:ind w:firstLine="2408"/>
        <w:spacing w:after="0" w:line="261" w:lineRule="auto"/>
        <w:tabs>
          <w:tab w:leader="none" w:pos="277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84" w:lineRule="exact"/>
        <w:rPr>
          <w:rFonts w:ascii="Arial" w:cs="Arial" w:eastAsia="Arial" w:hAnsi="Arial"/>
          <w:sz w:val="18"/>
          <w:szCs w:val="18"/>
          <w:color w:val="auto"/>
        </w:rPr>
      </w:pPr>
    </w:p>
    <w:p>
      <w:pPr>
        <w:ind w:firstLine="2408"/>
        <w:spacing w:after="0" w:line="283" w:lineRule="auto"/>
        <w:tabs>
          <w:tab w:leader="none" w:pos="278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(i) the Common Stock issued and held and (ii) the Common Stock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 (such amount, the Major Investor’s “</w:t>
      </w:r>
      <w:r>
        <w:rPr>
          <w:rFonts w:ascii="Arial" w:cs="Arial" w:eastAsia="Arial" w:hAnsi="Arial"/>
          <w:sz w:val="16"/>
          <w:szCs w:val="16"/>
          <w:b w:val="1"/>
          <w:bCs w:val="1"/>
          <w:color w:val="auto"/>
        </w:rPr>
        <w:t>Pro Rata Amount</w:t>
      </w:r>
      <w:r>
        <w:rPr>
          <w:rFonts w:ascii="Arial" w:cs="Arial" w:eastAsia="Arial" w:hAnsi="Arial"/>
          <w:sz w:val="16"/>
          <w:szCs w:val="16"/>
          <w:color w:val="auto"/>
        </w:rPr>
        <w:t>”).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Major Investor</w:t>
      </w:r>
      <w:r>
        <w:rPr>
          <w:rFonts w:ascii="Arial" w:cs="Arial" w:eastAsia="Arial" w:hAnsi="Arial"/>
          <w:sz w:val="16"/>
          <w:szCs w:val="16"/>
          <w:color w:val="auto"/>
        </w:rPr>
        <w:t xml:space="preserve">”) of any other Major Investor’s failure to do likewise. During the ten (10) day period commencing after the Company has given such notice, each Fully Exercising Major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Major Investor bears to the Common Stock issued and held, or issuable (directly or indirectly) upon conversion and/or exercise, as applicable, of the Preferred Stock and any other Derivative Securities then held by all Fully Exercising Major Investors who wish to purchase such unsubscribed shares. The closing of any sale pursuant to this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shall occur within the later of one hundred twenty (120) days of the date that the Offer Notice is given and the date of initial sale of New Securities pursuant to </w:t>
      </w:r>
      <w:r>
        <w:rPr>
          <w:rFonts w:ascii="Arial" w:cs="Arial" w:eastAsia="Arial" w:hAnsi="Arial"/>
          <w:sz w:val="16"/>
          <w:szCs w:val="16"/>
          <w:u w:val="single" w:color="auto"/>
          <w:color w:val="auto"/>
        </w:rPr>
        <w:t>Subsection 4.1(c)</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right="120" w:firstLine="2408"/>
        <w:spacing w:after="0" w:line="255" w:lineRule="auto"/>
        <w:tabs>
          <w:tab w:leader="none" w:pos="277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If all New Securities referred to in the Offer Notice are not elected to be purchased or acquired as provided in </w:t>
      </w:r>
      <w:r>
        <w:rPr>
          <w:rFonts w:ascii="Arial" w:cs="Arial" w:eastAsia="Arial" w:hAnsi="Arial"/>
          <w:sz w:val="18"/>
          <w:szCs w:val="18"/>
          <w:u w:val="single" w:color="auto"/>
          <w:color w:val="auto"/>
        </w:rPr>
        <w:t>Subsection 4.1(b)</w:t>
      </w:r>
      <w:r>
        <w:rPr>
          <w:rFonts w:ascii="Arial" w:cs="Arial" w:eastAsia="Arial" w:hAnsi="Arial"/>
          <w:sz w:val="18"/>
          <w:szCs w:val="18"/>
          <w:color w:val="auto"/>
        </w:rPr>
        <w:t xml:space="preserve">, the Company may, during the ninety (90) day period following the expiration of the periods provided in </w:t>
      </w:r>
      <w:r>
        <w:rPr>
          <w:rFonts w:ascii="Arial" w:cs="Arial" w:eastAsia="Arial" w:hAnsi="Arial"/>
          <w:sz w:val="18"/>
          <w:szCs w:val="18"/>
          <w:u w:val="single" w:color="auto"/>
          <w:color w:val="auto"/>
        </w:rPr>
        <w:t>Subsection 4.1(b)</w:t>
      </w:r>
      <w:r>
        <w:rPr>
          <w:rFonts w:ascii="Arial" w:cs="Arial" w:eastAsia="Arial" w:hAnsi="Arial"/>
          <w:sz w:val="18"/>
          <w:szCs w:val="18"/>
          <w:color w:val="auto"/>
        </w:rPr>
        <w:t>, offer and sell the remaining unsubscribed portion of such New Securities to any Person or Persons at a price not less than, and upon terms no more favorable to the offeree than, those specified in the Offer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80" w:top="273" w:right="519" w:bottom="1440" w:gutter="0" w:footer="0" w:header="0"/>
        </w:sectPr>
      </w:pPr>
    </w:p>
    <w:bookmarkStart w:id="290" w:name="page291"/>
    <w:bookmarkEnd w:id="290"/>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Notice. If the Company does not enter into an agreement for the sale of the New Securities within such period, or if such agreement is not consummated within sixty (60)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8"/>
          <w:szCs w:val="18"/>
          <w:u w:val="single" w:color="auto"/>
          <w:color w:val="auto"/>
        </w:rPr>
        <w:t>Subsection 4.1</w:t>
      </w:r>
      <w:r>
        <w:rPr>
          <w:rFonts w:ascii="Arial" w:cs="Arial" w:eastAsia="Arial" w:hAnsi="Arial"/>
          <w:sz w:val="18"/>
          <w:szCs w:val="18"/>
          <w:color w:val="auto"/>
        </w:rPr>
        <w:t>.</w:t>
      </w:r>
    </w:p>
    <w:p>
      <w:pPr>
        <w:spacing w:after="0" w:line="186" w:lineRule="exact"/>
        <w:rPr>
          <w:sz w:val="20"/>
          <w:szCs w:val="20"/>
          <w:color w:val="auto"/>
        </w:rPr>
      </w:pPr>
    </w:p>
    <w:p>
      <w:pPr>
        <w:ind w:right="120" w:firstLine="2408"/>
        <w:spacing w:after="0" w:line="259" w:lineRule="auto"/>
        <w:tabs>
          <w:tab w:leader="none" w:pos="278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defined in the Company’s Amended and Restated Certificate of Incorporation); (ii) shares of Common Stock issued in the IPO and (iii) the issuance of shares of Preferred Stock pursuant to the Purchase Agreement.</w:t>
      </w:r>
    </w:p>
    <w:p>
      <w:pPr>
        <w:spacing w:after="0" w:line="79" w:lineRule="exact"/>
        <w:rPr>
          <w:sz w:val="20"/>
          <w:szCs w:val="20"/>
          <w:color w:val="auto"/>
        </w:rPr>
      </w:pPr>
    </w:p>
    <w:p>
      <w:pPr>
        <w:ind w:left="440" w:firstLine="1362"/>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Amended and Restated Certificate of Incorporation, whichever event occurs first.</w:t>
      </w:r>
    </w:p>
    <w:p>
      <w:pPr>
        <w:spacing w:after="0" w:line="297" w:lineRule="exact"/>
        <w:rPr>
          <w:sz w:val="20"/>
          <w:szCs w:val="20"/>
          <w:color w:val="auto"/>
        </w:rPr>
      </w:pPr>
    </w:p>
    <w:p>
      <w:pPr>
        <w:ind w:left="1180" w:hanging="317"/>
        <w:spacing w:after="0"/>
        <w:tabs>
          <w:tab w:leader="none" w:pos="118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4" w:lineRule="exact"/>
        <w:rPr>
          <w:sz w:val="20"/>
          <w:szCs w:val="20"/>
          <w:color w:val="auto"/>
        </w:rPr>
      </w:pPr>
    </w:p>
    <w:p>
      <w:pPr>
        <w:ind w:left="440" w:right="40" w:firstLine="1362"/>
        <w:spacing w:after="0" w:line="30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from the Company’s sale of Series E Preferred Stock pursuant to the Purchase Agreement shall be used by the Company for general working capital expenses consistent with financial budgets approved by the Board.</w:t>
      </w:r>
    </w:p>
    <w:p>
      <w:pPr>
        <w:spacing w:after="0" w:line="45" w:lineRule="exact"/>
        <w:rPr>
          <w:sz w:val="20"/>
          <w:szCs w:val="20"/>
          <w:color w:val="auto"/>
        </w:rPr>
      </w:pPr>
    </w:p>
    <w:p>
      <w:pPr>
        <w:ind w:left="440" w:firstLine="1362"/>
        <w:spacing w:after="0" w:line="28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Company shall use its commercially reasonable efforts to maintain from financially sound and reputable insurers (i) Directors and Officers liability insurance in an amount, with a carrier, and on terms and conditions satisfactory to the Board, (ii) term “key-person” insurance on Randy Altschuler in the amount of $2,000,000 and on terms and conditions satisfactory to the Board, (iii) fire and casualty insurance policies with extended coverage, sufficient in amount (subject to reasonable deductibles) to allow the Company to replace any of its properties that might be damaged or destroyed and on terms and conditions satisfactory to the Board, and (iv) errors and omissions insurance in an amount, with a carrier, and on terms and conditions satisfactory to the Board. In each case, the Company will use commercially reasonable efforts to cause such insurance policies to be maintained until such time as the Board (including at least two of the Preferred Directors) determines that such insurance should be discontinued. The key-person policy shall name the Company as loss payee, and no policy described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cancelable by the Company without prior approval by the Board (including at least two of the Preferred Directors).</w:t>
      </w:r>
    </w:p>
    <w:p>
      <w:pPr>
        <w:spacing w:after="0" w:line="60" w:lineRule="exact"/>
        <w:rPr>
          <w:sz w:val="20"/>
          <w:szCs w:val="20"/>
          <w:color w:val="auto"/>
        </w:rPr>
      </w:pPr>
    </w:p>
    <w:p>
      <w:pPr>
        <w:ind w:left="440" w:right="20" w:firstLine="1362"/>
        <w:spacing w:after="0" w:line="29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of the Founders, and will use reasonable efforts to cause key employees designated by the Investors, to enter into a one (1) year noncompetition and nonsolicitation agreement, all such agreements to be in substantially the form as delivered to counsel for the Investors. The Company shall use reasonable efforts to cause each key employee designated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480" w:top="272" w:right="519" w:bottom="1440" w:gutter="0" w:footer="0" w:header="0"/>
        </w:sectPr>
      </w:pPr>
    </w:p>
    <w:bookmarkStart w:id="291" w:name="page292"/>
    <w:bookmarkEnd w:id="29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by the Investors to enter into one (1) year noncompetition and nonsolicitation agreement, such agreement to be in substantially the form as delivered to counsel for the Investors. In addition, the Company shall not amend, modify, terminate, waive, or otherwise alter, in whole or in part, any of the above-referenced agreements or any restricted stock agreement between the Company and any employee, without the consent of at least two of the Preferred Directors.</w:t>
      </w:r>
    </w:p>
    <w:p>
      <w:pPr>
        <w:spacing w:after="0" w:line="83" w:lineRule="exact"/>
        <w:rPr>
          <w:sz w:val="20"/>
          <w:szCs w:val="20"/>
          <w:color w:val="auto"/>
        </w:rPr>
      </w:pPr>
    </w:p>
    <w:p>
      <w:pPr>
        <w:ind w:right="20" w:firstLine="1362"/>
        <w:spacing w:after="0" w:line="26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Employee Stock</w:t>
      </w:r>
      <w:r>
        <w:rPr>
          <w:rFonts w:ascii="Arial" w:cs="Arial" w:eastAsia="Arial" w:hAnsi="Arial"/>
          <w:sz w:val="17"/>
          <w:szCs w:val="17"/>
          <w:color w:val="auto"/>
        </w:rPr>
        <w:t xml:space="preserve">. Unless otherwise approved by the Board, including at least two of the Preferred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forty eight (48) month period, with twenty five percent (25%) vesting on the one (1) year anniversary of the vesting commencement date and the remainder vesting in equal monthly installments over thirty six (36) months, and (ii) a market stand-off provision substantially similar to that in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Without the prior approval by the Board (including at least two of the Preferred Directors), the Company shall not amend, modify, terminate, waive or otherwise alter, in whole or in part, any stock purchase, stock restriction or option agreement with any existing employee or service provider if such alteration would cause it to be inconsistent with this </w:t>
      </w:r>
      <w:r>
        <w:rPr>
          <w:rFonts w:ascii="Arial" w:cs="Arial" w:eastAsia="Arial" w:hAnsi="Arial"/>
          <w:sz w:val="17"/>
          <w:szCs w:val="17"/>
          <w:u w:val="single" w:color="auto"/>
          <w:color w:val="auto"/>
        </w:rPr>
        <w:t>Subsection 5.4</w:t>
      </w:r>
      <w:r>
        <w:rPr>
          <w:rFonts w:ascii="Arial" w:cs="Arial" w:eastAsia="Arial" w:hAnsi="Arial"/>
          <w:sz w:val="17"/>
          <w:szCs w:val="17"/>
          <w:color w:val="auto"/>
        </w:rPr>
        <w:t>. In addition, unless otherwise approved by the Board, including at least two of the Preferred Directors, the Company shall retain a “right of first refusal” on employee transfers until the Company’s IPO and shall have the right to repurchase unvested shares at cost upon termination of employment of a holder of restricted stock. Moreover, the Company shall cause each employee or consultant exercising an option, as a condition to such exercise, to become a party to the ROFR Agreement and the Company’s Amended and Restated Voting Agreement, dated even with the date herewith, in each case as a Key Holder thereunder.</w:t>
      </w:r>
    </w:p>
    <w:p>
      <w:pPr>
        <w:spacing w:after="0" w:line="83" w:lineRule="exact"/>
        <w:rPr>
          <w:sz w:val="20"/>
          <w:szCs w:val="20"/>
          <w:color w:val="auto"/>
        </w:rPr>
      </w:pPr>
    </w:p>
    <w:p>
      <w:pPr>
        <w:ind w:firstLine="1362"/>
        <w:spacing w:after="0" w:line="285"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Tax Withholdings</w:t>
      </w:r>
      <w:r>
        <w:rPr>
          <w:rFonts w:ascii="Arial" w:cs="Arial" w:eastAsia="Arial" w:hAnsi="Arial"/>
          <w:sz w:val="16"/>
          <w:szCs w:val="16"/>
          <w:color w:val="auto"/>
        </w:rPr>
        <w:t>. The Company shall notify each non-U.S. Investor of any withholding tax applicable to dividend, interest or other payments made to such Investor and the Company shall pay over and remit such withholding taxes, if any, to the applicable governmental authority. The Company shall promptly furnish to such non-U.S. Investor a receipt evidencing each such withholding tax payment in a form sufficient to enable such Investor to obtain any tax credit to which it may be entitled under the laws of its country of incorporation. In advance of any such payments by the Company, in order for a withholding tax rate, other than the standard U.S. thirty percent (30%) rate, to apply, the non-U.S. Investors, as applicable, will provide to the Company a completed U.S. Form W-8, or any future form issued by the U.S. Department of Treasury that serves a similar purpose, to support a reduced rate of U.S. tax withholding as a resident of a foreign country with which the United States has an income tax treaty. Upon the expiration of the Form W-8, or any future form issued by the U.S. Department of Treasury that serves a similar purpose, the Investors, as applicable, will provide a new Form W-8, or any future form issued by the U.S. Department of Treasury that serves a similar purpose, to the Company as required under applicable law and regulations.</w:t>
      </w:r>
    </w:p>
    <w:p>
      <w:pPr>
        <w:spacing w:after="0" w:line="62" w:lineRule="exact"/>
        <w:rPr>
          <w:sz w:val="20"/>
          <w:szCs w:val="20"/>
          <w:color w:val="auto"/>
        </w:rPr>
      </w:pPr>
    </w:p>
    <w:p>
      <w:pPr>
        <w:ind w:right="340" w:firstLine="1362"/>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80"/>
          </w:cols>
          <w:pgMar w:left="920" w:top="272" w:right="499" w:bottom="1440" w:gutter="0" w:footer="0" w:header="0"/>
        </w:sectPr>
      </w:pPr>
    </w:p>
    <w:bookmarkStart w:id="292" w:name="page293"/>
    <w:bookmarkEnd w:id="292"/>
    <w:p>
      <w:pPr>
        <w:jc w:val="both"/>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obligations of the Company with respect to indemnification of members of the Board as in effect immediately before such transaction, whether such obligations are contained in the Company’s Bylaws, its Amended and Restated Certificate of Incorporation, or elsewhere, as the case may be.</w:t>
      </w:r>
    </w:p>
    <w:p>
      <w:pPr>
        <w:spacing w:after="0" w:line="21" w:lineRule="exact"/>
        <w:rPr>
          <w:sz w:val="20"/>
          <w:szCs w:val="20"/>
          <w:color w:val="auto"/>
        </w:rPr>
      </w:pPr>
    </w:p>
    <w:p>
      <w:pPr>
        <w:ind w:right="60" w:firstLine="1362"/>
        <w:spacing w:after="0" w:line="284"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one (1) or more of the directors nominated to serve on the Board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w:t>
      </w:r>
    </w:p>
    <w:p>
      <w:pPr>
        <w:spacing w:after="0" w:line="2" w:lineRule="exact"/>
        <w:rPr>
          <w:sz w:val="20"/>
          <w:szCs w:val="20"/>
          <w:color w:val="auto"/>
        </w:rPr>
      </w:pPr>
    </w:p>
    <w:p>
      <w:pPr>
        <w:ind w:right="20" w:firstLine="4"/>
        <w:spacing w:after="0" w:line="264" w:lineRule="auto"/>
        <w:tabs>
          <w:tab w:leader="none" w:pos="24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that it is the indemnitor of first resort (</w:t>
      </w:r>
      <w:r>
        <w:rPr>
          <w:rFonts w:ascii="Arial" w:cs="Arial" w:eastAsia="Arial" w:hAnsi="Arial"/>
          <w:sz w:val="17"/>
          <w:szCs w:val="17"/>
          <w:i w:val="1"/>
          <w:iCs w:val="1"/>
          <w:color w:val="auto"/>
        </w:rPr>
        <w:t>i.e.</w:t>
      </w:r>
      <w:r>
        <w:rPr>
          <w:rFonts w:ascii="Arial" w:cs="Arial" w:eastAsia="Arial" w:hAnsi="Arial"/>
          <w:sz w:val="17"/>
          <w:szCs w:val="17"/>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Amended and Restated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 The Fund Directors and the Fund Indemnitors are intended third party beneficiaries of this Subsection 5.7 and shall have the right, power and authority to enforce the provisions of this Subsection 5.7 as though they were a party to this Agreement.</w:t>
      </w:r>
    </w:p>
    <w:p>
      <w:pPr>
        <w:spacing w:after="0" w:line="188" w:lineRule="exact"/>
        <w:rPr>
          <w:sz w:val="20"/>
          <w:szCs w:val="20"/>
          <w:color w:val="auto"/>
        </w:rPr>
      </w:pPr>
    </w:p>
    <w:p>
      <w:pPr>
        <w:ind w:right="40" w:firstLine="1362"/>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Board Matters</w:t>
      </w:r>
      <w:r>
        <w:rPr>
          <w:rFonts w:ascii="Arial" w:cs="Arial" w:eastAsia="Arial" w:hAnsi="Arial"/>
          <w:sz w:val="18"/>
          <w:szCs w:val="18"/>
          <w:color w:val="auto"/>
        </w:rPr>
        <w:t>. The Board shall meet at least six (6) times per calendar year in accordance with an agreed-upon schedule. The Company shall reimburse the nonemployee directors for all reasonable out-of-pocket expenses for meals, travel and lodging (consistent with the Company’s policies) in connection with the performance of their duties. Each of the Preferred Directors shall be entitled in such person’s discretion to be a member of any Board committee.</w:t>
      </w:r>
    </w:p>
    <w:p>
      <w:pPr>
        <w:spacing w:after="0" w:line="190" w:lineRule="exact"/>
        <w:rPr>
          <w:sz w:val="20"/>
          <w:szCs w:val="20"/>
          <w:color w:val="auto"/>
        </w:rPr>
      </w:pPr>
    </w:p>
    <w:p>
      <w:pPr>
        <w:ind w:right="60" w:firstLine="1362"/>
        <w:spacing w:after="0" w:line="251"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Right to Conduct Activities</w:t>
      </w:r>
      <w:r>
        <w:rPr>
          <w:rFonts w:ascii="Arial" w:cs="Arial" w:eastAsia="Arial" w:hAnsi="Arial"/>
          <w:sz w:val="18"/>
          <w:szCs w:val="18"/>
          <w:color w:val="auto"/>
        </w:rPr>
        <w:t>. The Company hereby agrees and acknowledges that Almaz, i Ventures, Highland Capital, Foundry Group Next 2018, L.P. (“</w:t>
      </w:r>
      <w:r>
        <w:rPr>
          <w:rFonts w:ascii="Arial" w:cs="Arial" w:eastAsia="Arial" w:hAnsi="Arial"/>
          <w:sz w:val="18"/>
          <w:szCs w:val="18"/>
          <w:b w:val="1"/>
          <w:bCs w:val="1"/>
          <w:color w:val="auto"/>
        </w:rPr>
        <w:t>Foundry Group</w:t>
      </w:r>
      <w:r>
        <w:rPr>
          <w:rFonts w:ascii="Arial" w:cs="Arial" w:eastAsia="Arial" w:hAnsi="Arial"/>
          <w:sz w:val="18"/>
          <w:szCs w:val="18"/>
          <w:color w:val="auto"/>
        </w:rPr>
        <w:t>”) and Greenspring Opportunities V, L.P., Greenspring Opportunities V-D, L.P., Greenspring Global Partners IX-A, L.P. Greenspring Global Partners IX-C, L.P. (collectively, “</w:t>
      </w:r>
      <w:r>
        <w:rPr>
          <w:rFonts w:ascii="Arial" w:cs="Arial" w:eastAsia="Arial" w:hAnsi="Arial"/>
          <w:sz w:val="18"/>
          <w:szCs w:val="18"/>
          <w:b w:val="1"/>
          <w:bCs w:val="1"/>
          <w:color w:val="auto"/>
        </w:rPr>
        <w:t>Greenspring</w:t>
      </w:r>
      <w:r>
        <w:rPr>
          <w:rFonts w:ascii="Arial" w:cs="Arial" w:eastAsia="Arial" w:hAnsi="Arial"/>
          <w:sz w:val="18"/>
          <w:szCs w:val="18"/>
          <w:color w:val="auto"/>
        </w:rPr>
        <w:t>”), the T. Rowe Price Investors, and Durable (together with their respective Affiliates) are professional investment organizations, and as such review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neither Almaz, i Ventures, Highland Capital, Foundry Group, the T. Rowe Price Investors, Durable, nor Greenspring (together with their respective Affiliates) shall be liable to the Company for any claim</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60"/>
          </w:cols>
          <w:pgMar w:left="920" w:top="272" w:right="51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arising out of, or based upon, (i) the investment by Almaz, i Ventures, Highland Capital, Foundry Group, Greenspring, the T. Rowe Price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Investors, or Durable (or their respective Affiliates) in any entity competitive with the Company, or (ii) actions taken by any partner, officer,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employee or other representative of Almaz, i Ventures, Highland Capital, Foundry Group, Greenspring, the T. Rowe Price Investors,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Durable (or their respective Affiliates) to assist any such competitive company, whether or not such action was taken as a member of the board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directors of such competitive company or otherwise, and whether or not such action has a detrimental effect on the Company; provided, however,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that the foregoing shall not relieve (x) any of the Investors from liability associated with the unauthorized disclosure of the Company’s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confidential information obtained pursuant to this Agreement, or (y) any director or officer of the Company from any liability associated with his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or her fiduciary duties to the Company.</w:t>
      </w:r>
    </w:p>
    <w:p>
      <w:pPr>
        <w:spacing w:after="0" w:line="101" w:lineRule="exact"/>
        <w:rPr>
          <w:sz w:val="20"/>
          <w:szCs w:val="20"/>
          <w:color w:val="auto"/>
        </w:rPr>
      </w:pPr>
    </w:p>
    <w:p>
      <w:pPr>
        <w:ind w:right="280" w:firstLine="1362"/>
        <w:spacing w:after="0" w:line="30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Status as a Corporation.</w:t>
      </w:r>
      <w:r>
        <w:rPr>
          <w:rFonts w:ascii="Arial" w:cs="Arial" w:eastAsia="Arial" w:hAnsi="Arial"/>
          <w:sz w:val="16"/>
          <w:szCs w:val="16"/>
          <w:color w:val="auto"/>
        </w:rPr>
        <w:t xml:space="preserve"> For U.S. federal (and applicable state and local) income tax purposes, (a) the Company is taxable as a domestic corporation and (b) any successor of the Company (including any entity which issues equity to Investors in exchange for capital stock of the Company as a result of a restructuring, merger or otherwise) shall be taxable as a domestic corporation.</w:t>
      </w:r>
    </w:p>
    <w:p>
      <w:pPr>
        <w:spacing w:after="0" w:line="43" w:lineRule="exact"/>
        <w:rPr>
          <w:sz w:val="20"/>
          <w:szCs w:val="20"/>
          <w:color w:val="auto"/>
        </w:rPr>
      </w:pPr>
    </w:p>
    <w:p>
      <w:pPr>
        <w:ind w:right="100" w:firstLine="1362"/>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The covenants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except for </w:t>
      </w:r>
      <w:r>
        <w:rPr>
          <w:rFonts w:ascii="Arial" w:cs="Arial" w:eastAsia="Arial" w:hAnsi="Arial"/>
          <w:sz w:val="17"/>
          <w:szCs w:val="17"/>
          <w:u w:val="single" w:color="auto"/>
          <w:color w:val="auto"/>
        </w:rPr>
        <w:t>Subsections 5.6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5.7</w:t>
      </w:r>
      <w:r>
        <w:rPr>
          <w:rFonts w:ascii="Arial" w:cs="Arial" w:eastAsia="Arial" w:hAnsi="Arial"/>
          <w:sz w:val="17"/>
          <w:szCs w:val="17"/>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Amended and Restated Certificate of Incorporation, whichever event occurs first.</w:t>
      </w:r>
    </w:p>
    <w:p>
      <w:pPr>
        <w:spacing w:after="0" w:line="281" w:lineRule="exact"/>
        <w:rPr>
          <w:sz w:val="20"/>
          <w:szCs w:val="20"/>
          <w:color w:val="auto"/>
        </w:rPr>
      </w:pPr>
    </w:p>
    <w:p>
      <w:pPr>
        <w:ind w:left="740" w:hanging="317"/>
        <w:spacing w:after="0"/>
        <w:tabs>
          <w:tab w:leader="none" w:pos="74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4" w:lineRule="exact"/>
        <w:rPr>
          <w:sz w:val="20"/>
          <w:szCs w:val="20"/>
          <w:color w:val="auto"/>
        </w:rPr>
      </w:pPr>
    </w:p>
    <w:p>
      <w:pPr>
        <w:ind w:right="120" w:firstLine="1362"/>
        <w:spacing w:after="0" w:line="28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100,000 shares of Registrable Securities (subject to appropriate adjustment for stock splits, stock dividends, combinations, and other recapitalizations); or</w:t>
      </w:r>
    </w:p>
    <w:p>
      <w:pPr>
        <w:spacing w:after="0" w:line="1" w:lineRule="exact"/>
        <w:rPr>
          <w:sz w:val="20"/>
          <w:szCs w:val="20"/>
          <w:color w:val="auto"/>
        </w:rPr>
      </w:pPr>
    </w:p>
    <w:p>
      <w:pPr>
        <w:ind w:firstLine="4"/>
        <w:spacing w:after="0" w:line="284" w:lineRule="auto"/>
        <w:tabs>
          <w:tab w:leader="none" w:pos="30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acquires all of the Registrable Securities of such Holder;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60"/>
          </w:cols>
          <w:pgMar w:left="920" w:top="272" w:right="519" w:bottom="1440" w:gutter="0" w:footer="0" w:header="0"/>
        </w:sectPr>
      </w:pPr>
    </w:p>
    <w:bookmarkStart w:id="294" w:name="page295"/>
    <w:bookmarkEnd w:id="29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79" w:lineRule="exact"/>
        <w:rPr>
          <w:sz w:val="20"/>
          <w:szCs w:val="20"/>
          <w:color w:val="auto"/>
        </w:rPr>
      </w:pPr>
    </w:p>
    <w:p>
      <w:pPr>
        <w:ind w:right="640" w:firstLine="1362"/>
        <w:spacing w:after="0" w:line="27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 that might otherwise govern under applicable principles of conflicts of law.</w:t>
      </w:r>
    </w:p>
    <w:p>
      <w:pPr>
        <w:spacing w:after="0" w:line="68" w:lineRule="exact"/>
        <w:rPr>
          <w:sz w:val="20"/>
          <w:szCs w:val="20"/>
          <w:color w:val="auto"/>
        </w:rPr>
      </w:pPr>
    </w:p>
    <w:p>
      <w:pPr>
        <w:jc w:val="both"/>
        <w:ind w:right="60" w:firstLine="1362"/>
        <w:spacing w:after="0" w:line="29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6"/>
          <w:szCs w:val="16"/>
          <w:i w:val="1"/>
          <w:iCs w:val="1"/>
          <w:color w:val="auto"/>
        </w:rPr>
        <w:t>e.g.</w:t>
      </w:r>
      <w:r>
        <w:rPr>
          <w:rFonts w:ascii="Arial" w:cs="Arial" w:eastAsia="Arial" w:hAnsi="Arial"/>
          <w:sz w:val="16"/>
          <w:szCs w:val="16"/>
          <w:color w:val="auto"/>
        </w:rPr>
        <w:t>, www.docusign.com) or other transmission method and any counterpart so delivered shall be deemed to have been duly and validly delivered and be valid and effective for all purposes.</w:t>
      </w:r>
    </w:p>
    <w:p>
      <w:pPr>
        <w:spacing w:after="0" w:line="52" w:lineRule="exact"/>
        <w:rPr>
          <w:sz w:val="20"/>
          <w:szCs w:val="20"/>
          <w:color w:val="auto"/>
        </w:rPr>
      </w:pPr>
    </w:p>
    <w:p>
      <w:pPr>
        <w:ind w:right="100" w:firstLine="1362"/>
        <w:spacing w:after="0" w:line="27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68" w:lineRule="exact"/>
        <w:rPr>
          <w:sz w:val="20"/>
          <w:szCs w:val="20"/>
          <w:color w:val="auto"/>
        </w:rPr>
      </w:pPr>
    </w:p>
    <w:p>
      <w:pPr>
        <w:ind w:right="80" w:firstLine="1362"/>
        <w:spacing w:after="0" w:line="28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and/or e-mail address as set forth on the signature page or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or to such e-mail address, facsimile number or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 If notice is given to the Company, a copy (which shall not constitute notice) shall also be sent to Cooley LLP, 1299 Pennsylvania Avenue NW, Washington, DC 20004, Attn: Mike Lincoln and Derek Colla, Esq., if notice is given to Highland Capital Partners, a copy (which shall not constitute notice) shall also be sent to Morse, Barnes-Brown &amp; Pendleton, PC, 3</w:t>
      </w:r>
      <w:r>
        <w:rPr>
          <w:rFonts w:ascii="Arial" w:cs="Arial" w:eastAsia="Arial" w:hAnsi="Arial"/>
          <w:sz w:val="13"/>
          <w:szCs w:val="13"/>
          <w:color w:val="auto"/>
        </w:rPr>
        <w:t>rd</w:t>
      </w:r>
      <w:r>
        <w:rPr>
          <w:rFonts w:ascii="Arial" w:cs="Arial" w:eastAsia="Arial" w:hAnsi="Arial"/>
          <w:sz w:val="16"/>
          <w:szCs w:val="16"/>
          <w:color w:val="auto"/>
        </w:rPr>
        <w:t xml:space="preserve"> Avenue, 4</w:t>
      </w:r>
      <w:r>
        <w:rPr>
          <w:rFonts w:ascii="Arial" w:cs="Arial" w:eastAsia="Arial" w:hAnsi="Arial"/>
          <w:sz w:val="13"/>
          <w:szCs w:val="13"/>
          <w:color w:val="auto"/>
        </w:rPr>
        <w:t>th</w:t>
      </w:r>
      <w:r>
        <w:rPr>
          <w:rFonts w:ascii="Arial" w:cs="Arial" w:eastAsia="Arial" w:hAnsi="Arial"/>
          <w:sz w:val="16"/>
          <w:szCs w:val="16"/>
          <w:color w:val="auto"/>
        </w:rPr>
        <w:t xml:space="preserve"> Floor, Waltham, MA 02451, Attn: Michael R. Jabbawy, if notice is given to i Ventures, a copy (which shall not constitute notice) shall also be sent to Wilson Sonsini Goodrich &amp; Rosati PC, 139 Townsend Street, Suite 150, San Francisco, CA 94107, Attn: Rebecca DeGraw, Esq., if notice is given to Foundry Group, a copy (which shall not constitute notice) shall also be sent to Koenig, Oelsner, Taylor, Schoenfeld &amp; Gaddis PC, 999 18th Street, Suite 1740, Denver, CO 80202, Attn: Kevin Gibson, if notice is given to Greenspring, a copy (which shall not constitute notice) shall also be sent to Baker, Donelson, Bearman, Caldwell &amp; Berkowitz, PC, 901 K Street, N.W., Suite 900, Washington, D.C. 20001, Attn: Kevin M. Robertson and if notice is given to the T. Rowe Price Investors or Durable, a copy (which shall not constitute notice) shall also be sent to Goodwin Procter LLP, 1900 N Street NW, Washington D.C. 20036, Attn: James Hutchinson; Cameron Contizano.</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80"/>
          </w:cols>
          <w:pgMar w:left="920" w:top="272" w:right="499" w:bottom="1440" w:gutter="0" w:footer="0" w:header="0"/>
        </w:sectPr>
      </w:pPr>
    </w:p>
    <w:bookmarkStart w:id="295" w:name="page296"/>
    <w:bookmarkEnd w:id="295"/>
    <w:p>
      <w:pPr>
        <w:ind w:firstLine="1362"/>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amendment, modification, termination or change to this Agreement that adversely affects any rights or obligations of a Holder or Holders of Securities in a manner different from the rights of other Holders, or in a manner that is disproportionate to the adverse effects on other Holders of the same class or series of stock of the Company held by such Holder, may not be made without the written consent of such Holder or a majority of such Holders,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and provided further that any provision hereof may be waived by any waiving party on such party’s own behalf, without the consent of any other party. Notwithstanding the foregoing, this Agreement may not be amended or terminated and the observance of any term hereof may not be waived (i) with respect to any Investor without the written consent of such Investor, unless such amendment, termination, or waiver applies to all Investors in the same fashion,</w:t>
      </w:r>
    </w:p>
    <w:p>
      <w:pPr>
        <w:spacing w:after="0" w:line="6" w:lineRule="exact"/>
        <w:rPr>
          <w:sz w:val="20"/>
          <w:szCs w:val="20"/>
          <w:color w:val="auto"/>
        </w:rPr>
      </w:pPr>
    </w:p>
    <w:p>
      <w:pPr>
        <w:ind w:firstLine="4"/>
        <w:spacing w:after="0" w:line="281" w:lineRule="auto"/>
        <w:tabs>
          <w:tab w:leader="none" w:pos="26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with respect to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without the written consent of Highland Capital Partners, (iii) with respect to </w:t>
      </w:r>
      <w:r>
        <w:rPr>
          <w:rFonts w:ascii="Arial" w:cs="Arial" w:eastAsia="Arial" w:hAnsi="Arial"/>
          <w:sz w:val="16"/>
          <w:szCs w:val="16"/>
          <w:u w:val="single" w:color="auto"/>
          <w:color w:val="auto"/>
        </w:rPr>
        <w:t>Section 3.4(c)</w:t>
      </w:r>
      <w:r>
        <w:rPr>
          <w:rFonts w:ascii="Arial" w:cs="Arial" w:eastAsia="Arial" w:hAnsi="Arial"/>
          <w:sz w:val="16"/>
          <w:szCs w:val="16"/>
          <w:color w:val="auto"/>
        </w:rPr>
        <w:t xml:space="preserve">, without the written consent of i Ventures, (iv) with respect to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without the written consent of Almaz, (v) with respect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3.6(iii)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(as such section relates to the T. Rowe Price Investors),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6.6(v)</w:t>
      </w:r>
      <w:r>
        <w:rPr>
          <w:rFonts w:ascii="Arial" w:cs="Arial" w:eastAsia="Arial" w:hAnsi="Arial"/>
          <w:sz w:val="16"/>
          <w:szCs w:val="16"/>
          <w:color w:val="auto"/>
        </w:rPr>
        <w:t xml:space="preserve"> without the written consent of T. Rowe Price Investors and (vi) with respect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3.6(iii)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(as such section relates to the Durable),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6.6(vi)</w:t>
      </w:r>
      <w:r>
        <w:rPr>
          <w:rFonts w:ascii="Arial" w:cs="Arial" w:eastAsia="Arial" w:hAnsi="Arial"/>
          <w:sz w:val="16"/>
          <w:szCs w:val="16"/>
          <w:color w:val="auto"/>
        </w:rPr>
        <w:t xml:space="preserve"> without the written consent of Durable. Notwithstanding the foregoing, if any amendment of the definition of Major Investor would cause a Major Investor to no longer qualify as a Major Investor, then the amendment shall require the consent of such Major Investor. Notwithstanding the foregoing, if the rights of a Fund Investor (as defined below)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an offering of New Securities are waived without the consent of such Fund Investor, and any Major Investor actually purchases any New Securities in any such offering, then each Fund Investor who did not consent to such waiver shall be permitted to participate in such offering on a pro rata basis (based on the level of participation of the Major Investor purchasing the largest portion of such Major Investor’s pro rata share, capped at 100%), in accordance with the other provisions (including notice and election periods)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preceding sentence may not be amended in a way that is adverse to any Fund Investor or waived without the consent of each Fund Investor. “Fund Investor” means T. Rowe Price Investors, Durable, Highland Capital Partners, i Ventures, Foundry Group, Almaz and Greenspring.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80"/>
          </w:cols>
          <w:pgMar w:left="920" w:top="272" w:right="499" w:bottom="1440" w:gutter="0" w:footer="0" w:header="0"/>
        </w:sectPr>
      </w:pPr>
    </w:p>
    <w:bookmarkStart w:id="296" w:name="page297"/>
    <w:bookmarkEnd w:id="296"/>
    <w:p>
      <w:pPr>
        <w:jc w:val="both"/>
        <w:ind w:right="180" w:firstLine="136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83" w:lineRule="exact"/>
        <w:rPr>
          <w:sz w:val="20"/>
          <w:szCs w:val="20"/>
          <w:color w:val="auto"/>
        </w:rPr>
      </w:pPr>
    </w:p>
    <w:p>
      <w:pPr>
        <w:ind w:right="140" w:firstLine="1362"/>
        <w:spacing w:after="0" w:line="281"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Aggregation of Stock</w:t>
      </w:r>
      <w:r>
        <w:rPr>
          <w:rFonts w:ascii="Arial" w:cs="Arial" w:eastAsia="Arial" w:hAnsi="Arial"/>
          <w:sz w:val="17"/>
          <w:szCs w:val="17"/>
          <w:color w:val="auto"/>
        </w:rPr>
        <w:t>. All shares of Registrable Securities held or acquired by Affiliates or Immediate Family Members shall be aggregated together for the purpose of determining the availability of any rights under this Agreement and such Affiliated persons or Immediate Family Members may apportion such rights as among themselves in any manner they deem appropriate.</w:t>
      </w:r>
    </w:p>
    <w:p>
      <w:pPr>
        <w:spacing w:after="0" w:line="62" w:lineRule="exact"/>
        <w:rPr>
          <w:sz w:val="20"/>
          <w:szCs w:val="20"/>
          <w:color w:val="auto"/>
        </w:rPr>
      </w:pPr>
    </w:p>
    <w:p>
      <w:pPr>
        <w:ind w:firstLine="1362"/>
        <w:spacing w:after="0" w:line="252"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if the Company issues additional shares of the Company’s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87" w:lineRule="exact"/>
        <w:rPr>
          <w:sz w:val="20"/>
          <w:szCs w:val="20"/>
          <w:color w:val="auto"/>
        </w:rPr>
      </w:pPr>
    </w:p>
    <w:p>
      <w:pPr>
        <w:ind w:firstLine="1362"/>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79" w:lineRule="exact"/>
        <w:rPr>
          <w:sz w:val="20"/>
          <w:szCs w:val="20"/>
          <w:color w:val="auto"/>
        </w:rPr>
      </w:pPr>
    </w:p>
    <w:p>
      <w:pPr>
        <w:ind w:right="60" w:firstLine="1362"/>
        <w:spacing w:after="0" w:line="28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60"/>
          </w:cols>
          <w:pgMar w:left="920" w:top="272" w:right="519" w:bottom="1440" w:gutter="0" w:footer="0" w:header="0"/>
        </w:sectPr>
      </w:pPr>
    </w:p>
    <w:bookmarkStart w:id="297" w:name="page298"/>
    <w:bookmarkEnd w:id="29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86" w:lineRule="exact"/>
        <w:rPr>
          <w:sz w:val="20"/>
          <w:szCs w:val="20"/>
          <w:color w:val="auto"/>
        </w:rPr>
      </w:pPr>
    </w:p>
    <w:p>
      <w:pPr>
        <w:ind w:right="80" w:firstLine="1362"/>
        <w:spacing w:after="0" w:line="252"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87" w:lineRule="exact"/>
        <w:rPr>
          <w:sz w:val="20"/>
          <w:szCs w:val="20"/>
          <w:color w:val="auto"/>
        </w:rPr>
      </w:pPr>
    </w:p>
    <w:p>
      <w:pPr>
        <w:ind w:right="60" w:firstLine="1362"/>
        <w:spacing w:after="0" w:line="288"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Effect on Previous Agreement</w:t>
      </w:r>
      <w:r>
        <w:rPr>
          <w:rFonts w:ascii="Arial" w:cs="Arial" w:eastAsia="Arial" w:hAnsi="Arial"/>
          <w:sz w:val="16"/>
          <w:szCs w:val="16"/>
          <w:color w:val="auto"/>
        </w:rPr>
        <w:t xml:space="preserve">. Upon the execution and delivery of this Agreement by the Company and each holder of Registrable Securities required to amend the Prior Agreement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thereof, the Prior Agreement automatically shall terminate and be of no further force and effect and shall be amended and restated in its entirety as set forth in this Agreement. Upon such execution and delivery of this Agreement by the Company and each holder of Registrable Securities required to amend the Prior Agreement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thereof, all provisions of, rights granted and covenants made in the Prior Agreement are hereby waived, released and superseded in their entirety and shall have no further force or effect, including, without limitation, all rights of first refusal and any notice period associated therewith otherwise applicable to the transactions contemplated by the Purchase Agreement.</w:t>
      </w:r>
    </w:p>
    <w:p>
      <w:pPr>
        <w:spacing w:after="0" w:line="59"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Third Party Beneficiary</w:t>
      </w:r>
      <w:r>
        <w:rPr>
          <w:rFonts w:ascii="Arial" w:cs="Arial" w:eastAsia="Arial" w:hAnsi="Arial"/>
          <w:sz w:val="16"/>
          <w:szCs w:val="16"/>
          <w:color w:val="auto"/>
        </w:rPr>
        <w:t>. T. Rowe Price is a third party beneficiary of this Agreement.</w:t>
      </w:r>
    </w:p>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20"/>
          </w:cols>
          <w:pgMar w:left="920" w:top="272" w:right="559" w:bottom="1440" w:gutter="0" w:footer="0" w:header="0"/>
        </w:sectPr>
      </w:pPr>
    </w:p>
    <w:bookmarkStart w:id="298" w:name="page299"/>
    <w:bookmarkEnd w:id="298"/>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XOMETRY, INC.</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Randy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Randy Altschuler</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Chief Executive Officer</w:t>
      </w:r>
    </w:p>
    <w:p>
      <w:pPr>
        <w:spacing w:after="0" w:line="1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299" w:name="page300"/>
    <w:bookmarkEnd w:id="299"/>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NEW HORIZONS FUND, INC.</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NEW HORIZONS TRUST</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U.S. EQUITIES TRUST</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MASSMUTUAL SELECT FUNDS - MASSMUTUAL</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SELECT T. ROWE PRICE SMALL AND MID CAP</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BLEND FUND</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Each account, severally not jointly</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 T. Rowe Price Associates, Inc., Investment Adviser or</w:t>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Subadviser, as applicable</w:t>
      </w:r>
    </w:p>
    <w:p>
      <w:pPr>
        <w:spacing w:after="0" w:line="208"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Andrew Baek</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Vice President, Senior Legal Counsel</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 Rowe Price Associates, Inc.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Attn.: [*****]</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Phone: [*****]</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E-mail: [*****]</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300" w:name="page301"/>
    <w:bookmarkEnd w:id="300"/>
    <w:p>
      <w:pPr>
        <w:ind w:right="180"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SMALL-CAP STOCK FUND, INC.</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INSTITUTIONAL SMALL-CAP</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STOCK FUND</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SPECTRUM CONSERVATIVE</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ALLOCATION FUND</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SPECTRUM MODERATE</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ALLOCATION FUND</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SPECTRUM MODERATE</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GROWTH ALLOCATION FUND</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MODERATE ALLOCATION</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PORTFOLIO</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U.S. SMALL-CAP STOCK TRUST</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VALIC COMPANY I - SMALL CAP FUND</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TD MUTUAL FUNDS - TD U.S. SMALL-CAP EQUITY</w:t>
      </w:r>
    </w:p>
    <w:p>
      <w:pPr>
        <w:spacing w:after="0" w:line="19"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FUND</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 ROWE PRICE U.S. SMALL-CAP CORE EQUITY</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TRUST</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MINNESOTA LIFE INSURANCE COMPANY</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COSTCO 401(K) RETIREMENT PLAN</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MASSMUTUAL SELECT FUNDS - MASSMUTUAL</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SELECT T. ROWE PRICE SMALL AND MID CAP</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BLEND FUND</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Each account, severally not jointly</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By: T. Rowe Price Associates, Inc., Investment Adviser or</w:t>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Subadviser, as applicable</w:t>
      </w:r>
    </w:p>
    <w:p>
      <w:pPr>
        <w:spacing w:after="0" w:line="208"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Andrew Baek</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Vice President, Senior Legal Counsel</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 Rowe Price Associates, Inc.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Attn.: [*****]</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Phone: [*****]</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E-mail: [*****]</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900"/>
          </w:cols>
          <w:pgMar w:left="480" w:top="269" w:right="519" w:bottom="1440" w:gutter="0" w:footer="0" w:header="0"/>
        </w:sectPr>
      </w:pPr>
    </w:p>
    <w:bookmarkStart w:id="301" w:name="page302"/>
    <w:bookmarkEnd w:id="301"/>
    <w:p>
      <w:pPr>
        <w:ind w:lef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Preferred Stock Purchase Agreement as of the date first above written.</w:t>
      </w:r>
    </w:p>
    <w:p>
      <w:pPr>
        <w:spacing w:after="0" w:line="25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 ROWE PRICE SMALL-CAP VALUE FUND, INC.</w:t>
      </w:r>
    </w:p>
    <w:p>
      <w:pPr>
        <w:spacing w:after="0" w:line="24"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T. ROWE PRICE U.S. SMALL-CAP VALUE EQUITY</w:t>
      </w:r>
    </w:p>
    <w:p>
      <w:pPr>
        <w:spacing w:after="0" w:line="1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TRUST</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 ROWE PRICE U.S. EQUITIES TRUST</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MASSMUTUAL SELECT FUNDS - MASSMUTUAL</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SELECT T. ROWE PRICE SMALL AND MID CAP</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BLEND FUND</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Each account, severally not jointly</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By: T. Rowe Price Associates, Inc., Investment Adviser or</w:t>
      </w:r>
    </w:p>
    <w:p>
      <w:pPr>
        <w:spacing w:after="0" w:line="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Subadviser, as applicable</w:t>
      </w:r>
    </w:p>
    <w:p>
      <w:pPr>
        <w:spacing w:after="0" w:line="208" w:lineRule="exact"/>
        <w:rPr>
          <w:sz w:val="20"/>
          <w:szCs w:val="20"/>
          <w:color w:val="auto"/>
        </w:rPr>
      </w:pPr>
    </w:p>
    <w:p>
      <w:pPr>
        <w:ind w:left="560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13335</wp:posOffset>
            </wp:positionV>
            <wp:extent cx="24288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Andrew Baek</w:t>
      </w:r>
    </w:p>
    <w:p>
      <w:pPr>
        <w:spacing w:after="0" w:line="20" w:lineRule="exact"/>
        <w:rPr>
          <w:sz w:val="20"/>
          <w:szCs w:val="20"/>
          <w:color w:val="auto"/>
        </w:rPr>
      </w:pPr>
    </w:p>
    <w:p>
      <w:pPr>
        <w:ind w:left="5600"/>
        <w:spacing w:after="0"/>
        <w:tabs>
          <w:tab w:leader="none" w:pos="6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Senior Legal Counsel</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 Rowe Price Associates, Inc.</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Attn.: [*****]</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Phone: [*****]</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E-mail: [*****]</w:t>
      </w: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820"/>
          </w:cols>
          <w:pgMar w:left="1440" w:top="269" w:right="639" w:bottom="1440" w:gutter="0" w:footer="0" w:header="0"/>
        </w:sectPr>
      </w:pPr>
    </w:p>
    <w:bookmarkStart w:id="302" w:name="page303"/>
    <w:bookmarkEnd w:id="302"/>
    <w:p>
      <w:pPr>
        <w:ind w:right="200"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DURABLE CAPITAL MASTER FUND LP</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By: Durable Capital Associates LLC, its general partner</w:t>
      </w:r>
    </w:p>
    <w:p>
      <w:pPr>
        <w:spacing w:after="0" w:line="220"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Blandino</w:t>
            </w:r>
          </w:p>
        </w:tc>
      </w:tr>
      <w:tr>
        <w:trPr>
          <w:trHeight w:val="208"/>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Michael Blandino</w:t>
            </w:r>
          </w:p>
        </w:tc>
      </w:tr>
      <w:tr>
        <w:trPr>
          <w:trHeight w:val="227"/>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Authorized Person</w:t>
            </w:r>
          </w:p>
        </w:tc>
      </w:tr>
      <w:tr>
        <w:trPr>
          <w:trHeight w:val="415"/>
        </w:trPr>
        <w:tc>
          <w:tcPr>
            <w:tcW w:w="4360" w:type="dxa"/>
            <w:vAlign w:val="bottom"/>
            <w:gridSpan w:val="2"/>
          </w:tcPr>
          <w:p>
            <w:pPr>
              <w:spacing w:after="0"/>
              <w:rPr>
                <w:sz w:val="20"/>
                <w:szCs w:val="20"/>
                <w:color w:val="auto"/>
              </w:rPr>
            </w:pPr>
            <w:r>
              <w:rPr>
                <w:rFonts w:ascii="Arial" w:cs="Arial" w:eastAsia="Arial" w:hAnsi="Arial"/>
                <w:sz w:val="18"/>
                <w:szCs w:val="18"/>
                <w:color w:val="auto"/>
              </w:rPr>
              <w:t>Address: c/o Durable Capital</w:t>
            </w:r>
          </w:p>
        </w:tc>
      </w:tr>
      <w:tr>
        <w:trPr>
          <w:trHeight w:val="214"/>
        </w:trPr>
        <w:tc>
          <w:tcPr>
            <w:tcW w:w="7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5425 Wisconsin Avenue, Suite 802</w:t>
            </w:r>
          </w:p>
        </w:tc>
      </w:tr>
      <w:tr>
        <w:trPr>
          <w:trHeight w:val="214"/>
        </w:trPr>
        <w:tc>
          <w:tcPr>
            <w:tcW w:w="7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Chevy Chase, MD 20815</w:t>
            </w:r>
          </w:p>
        </w:tc>
      </w:tr>
      <w:tr>
        <w:trPr>
          <w:trHeight w:val="227"/>
        </w:trPr>
        <w:tc>
          <w:tcPr>
            <w:tcW w:w="7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Attn: [*****]</w:t>
            </w:r>
          </w:p>
        </w:tc>
      </w:tr>
      <w:tr>
        <w:trPr>
          <w:trHeight w:val="428"/>
        </w:trPr>
        <w:tc>
          <w:tcPr>
            <w:tcW w:w="740" w:type="dxa"/>
            <w:vAlign w:val="bottom"/>
          </w:tcPr>
          <w:p>
            <w:pPr>
              <w:spacing w:after="0"/>
              <w:rPr>
                <w:sz w:val="20"/>
                <w:szCs w:val="20"/>
                <w:color w:val="auto"/>
              </w:rPr>
            </w:pPr>
            <w:r>
              <w:rPr>
                <w:rFonts w:ascii="Arial" w:cs="Arial" w:eastAsia="Arial" w:hAnsi="Arial"/>
                <w:sz w:val="18"/>
                <w:szCs w:val="18"/>
                <w:color w:val="auto"/>
              </w:rPr>
              <w:t>Email:</w:t>
            </w:r>
          </w:p>
        </w:tc>
        <w:tc>
          <w:tcPr>
            <w:tcW w:w="36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920"/>
          </w:cols>
          <w:pgMar w:left="480" w:top="269" w:right="499" w:bottom="1440" w:gutter="0" w:footer="0" w:header="0"/>
        </w:sectPr>
      </w:pPr>
    </w:p>
    <w:bookmarkStart w:id="303" w:name="page304"/>
    <w:bookmarkEnd w:id="303"/>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Meridian Growth Fund</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its Investment Adviser</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ArrowMark Colorado Holdings LLC</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13335</wp:posOffset>
            </wp:positionV>
            <wp:extent cx="25476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David Corkins</w:t>
      </w:r>
    </w:p>
    <w:p>
      <w:pPr>
        <w:spacing w:after="0" w:line="20" w:lineRule="exact"/>
        <w:rPr>
          <w:sz w:val="20"/>
          <w:szCs w:val="20"/>
          <w:color w:val="auto"/>
        </w:rPr>
      </w:pPr>
    </w:p>
    <w:p>
      <w:pPr>
        <w:ind w:left="6900"/>
        <w:spacing w:after="0"/>
        <w:tabs>
          <w:tab w:leader="none" w:pos="7460" w:val="left"/>
        </w:tabs>
        <w:rPr>
          <w:sz w:val="20"/>
          <w:szCs w:val="20"/>
          <w:color w:val="auto"/>
        </w:rPr>
      </w:pPr>
      <w:r>
        <w:rPr>
          <w:rFonts w:ascii="Arial" w:cs="Arial" w:eastAsia="Arial" w:hAnsi="Arial"/>
          <w:sz w:val="18"/>
          <w:szCs w:val="18"/>
          <w:color w:val="auto"/>
        </w:rPr>
        <w:t>Title:</w:t>
        <w:tab/>
        <w:t>Managing Member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Meridian Small Cap Growth Fund</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its Investment Adviser</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ArrowMark Colorado Holdings LLC</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13335</wp:posOffset>
            </wp:positionV>
            <wp:extent cx="25476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David Corkins</w:t>
      </w:r>
    </w:p>
    <w:p>
      <w:pPr>
        <w:spacing w:after="0" w:line="20" w:lineRule="exact"/>
        <w:rPr>
          <w:sz w:val="20"/>
          <w:szCs w:val="20"/>
          <w:color w:val="auto"/>
        </w:rPr>
      </w:pPr>
    </w:p>
    <w:p>
      <w:pPr>
        <w:ind w:left="6900"/>
        <w:spacing w:after="0"/>
        <w:tabs>
          <w:tab w:leader="none" w:pos="7460" w:val="left"/>
        </w:tabs>
        <w:rPr>
          <w:sz w:val="20"/>
          <w:szCs w:val="20"/>
          <w:color w:val="auto"/>
        </w:rPr>
      </w:pPr>
      <w:r>
        <w:rPr>
          <w:rFonts w:ascii="Arial" w:cs="Arial" w:eastAsia="Arial" w:hAnsi="Arial"/>
          <w:sz w:val="18"/>
          <w:szCs w:val="18"/>
          <w:color w:val="auto"/>
        </w:rPr>
        <w:t>Title:</w:t>
        <w:tab/>
        <w:t>Managing Member</w:t>
      </w:r>
    </w:p>
    <w:p>
      <w:pPr>
        <w:spacing w:after="0" w:line="1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304" w:name="page305"/>
    <w:bookmarkEnd w:id="304"/>
    <w:p>
      <w:pPr>
        <w:ind w:right="200"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GREENSPRING OPPORTUNITIES V, L.P.</w:t>
      </w:r>
    </w:p>
    <w:p>
      <w:pPr>
        <w:spacing w:after="0" w:line="221"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Greenspring Opportunities General Partner V, L.P., its</w:t>
      </w:r>
    </w:p>
    <w:p>
      <w:pPr>
        <w:spacing w:after="0" w:line="3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general partner</w:t>
      </w:r>
    </w:p>
    <w:p>
      <w:pPr>
        <w:spacing w:after="0" w:line="208" w:lineRule="exact"/>
        <w:rPr>
          <w:sz w:val="20"/>
          <w:szCs w:val="20"/>
          <w:color w:val="auto"/>
        </w:rPr>
      </w:pPr>
    </w:p>
    <w:p>
      <w:pPr>
        <w:ind w:left="6380"/>
        <w:spacing w:after="0"/>
        <w:tabs>
          <w:tab w:leader="none" w:pos="6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Opportunities GP V, LLC, its general partner</w:t>
      </w:r>
    </w:p>
    <w:p>
      <w:pPr>
        <w:spacing w:after="0" w:line="22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 Greenspring Associates, Inc.,</w:t>
      </w:r>
    </w:p>
    <w:p>
      <w:pPr>
        <w:spacing w:after="0" w:line="2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its sole member</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13335</wp:posOffset>
            </wp:positionV>
            <wp:extent cx="23863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Eric Thompson</w:t>
      </w:r>
    </w:p>
    <w:p>
      <w:pPr>
        <w:spacing w:after="0" w:line="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Chief Operating Officer</w:t>
      </w:r>
    </w:p>
    <w:p>
      <w:pPr>
        <w:spacing w:after="0" w:line="20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GREENSPRING OPPORTUNITIES V-D, L.P.</w:t>
      </w:r>
    </w:p>
    <w:p>
      <w:pPr>
        <w:spacing w:after="0" w:line="221"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Greenspring Opportunities General Partner V, L.P., its</w:t>
      </w:r>
    </w:p>
    <w:p>
      <w:pPr>
        <w:spacing w:after="0" w:line="3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general partner</w:t>
      </w:r>
    </w:p>
    <w:p>
      <w:pPr>
        <w:spacing w:after="0" w:line="208" w:lineRule="exact"/>
        <w:rPr>
          <w:sz w:val="20"/>
          <w:szCs w:val="20"/>
          <w:color w:val="auto"/>
        </w:rPr>
      </w:pPr>
    </w:p>
    <w:p>
      <w:pPr>
        <w:ind w:left="6380"/>
        <w:spacing w:after="0"/>
        <w:tabs>
          <w:tab w:leader="none" w:pos="6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Opportunities GP V, LLC, its general partner</w:t>
      </w:r>
    </w:p>
    <w:p>
      <w:pPr>
        <w:spacing w:after="0" w:line="22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 Greenspring Associates, Inc.,</w:t>
      </w:r>
    </w:p>
    <w:p>
      <w:pPr>
        <w:spacing w:after="0" w:line="2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its sole member</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13335</wp:posOffset>
            </wp:positionV>
            <wp:extent cx="23863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Eric Thompson</w:t>
      </w:r>
    </w:p>
    <w:p>
      <w:pPr>
        <w:spacing w:after="0" w:line="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Chief Operating Officer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920"/>
          </w:cols>
          <w:pgMar w:left="480" w:top="268" w:right="499" w:bottom="1440" w:gutter="0" w:footer="0" w:header="0"/>
        </w:sectPr>
      </w:pPr>
    </w:p>
    <w:bookmarkStart w:id="305" w:name="page306"/>
    <w:bookmarkEnd w:id="305"/>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GREENSPRING GLOBAL PARTNERS IX-A, L.P.</w:t>
      </w:r>
    </w:p>
    <w:p>
      <w:pPr>
        <w:spacing w:after="0" w:line="225" w:lineRule="exact"/>
        <w:rPr>
          <w:sz w:val="20"/>
          <w:szCs w:val="20"/>
          <w:color w:val="auto"/>
        </w:rPr>
      </w:pPr>
    </w:p>
    <w:p>
      <w:pPr>
        <w:ind w:left="656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Greenspring General Partner IX, L.P.,</w:t>
      </w:r>
    </w:p>
    <w:p>
      <w:pPr>
        <w:spacing w:after="0" w:line="2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8" w:lineRule="exact"/>
        <w:rPr>
          <w:sz w:val="20"/>
          <w:szCs w:val="20"/>
          <w:color w:val="auto"/>
        </w:rPr>
      </w:pPr>
    </w:p>
    <w:p>
      <w:pPr>
        <w:ind w:left="656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Greenspring GP IX, LLC.</w:t>
      </w:r>
    </w:p>
    <w:p>
      <w:pPr>
        <w:spacing w:after="0" w:line="2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22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4615815</wp:posOffset>
            </wp:positionH>
            <wp:positionV relativeFrom="paragraph">
              <wp:posOffset>13335</wp:posOffset>
            </wp:positionV>
            <wp:extent cx="23183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14"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Eric Thompson</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Title:  Chief Operating Officer</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GREENSPRING GLOBAL PARTNERS IX-C, L.P.</w:t>
      </w:r>
    </w:p>
    <w:p>
      <w:pPr>
        <w:spacing w:after="0" w:line="225" w:lineRule="exact"/>
        <w:rPr>
          <w:sz w:val="20"/>
          <w:szCs w:val="20"/>
          <w:color w:val="auto"/>
        </w:rPr>
      </w:pPr>
    </w:p>
    <w:p>
      <w:pPr>
        <w:ind w:left="656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Greenspring General Partner IX, L.P.,</w:t>
      </w:r>
    </w:p>
    <w:p>
      <w:pPr>
        <w:spacing w:after="0" w:line="2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8" w:lineRule="exact"/>
        <w:rPr>
          <w:sz w:val="20"/>
          <w:szCs w:val="20"/>
          <w:color w:val="auto"/>
        </w:rPr>
      </w:pPr>
    </w:p>
    <w:p>
      <w:pPr>
        <w:ind w:left="656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Greenspring GP IX, LLC.</w:t>
      </w:r>
    </w:p>
    <w:p>
      <w:pPr>
        <w:spacing w:after="0" w:line="2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General Partner</w:t>
      </w:r>
    </w:p>
    <w:p>
      <w:pPr>
        <w:spacing w:after="0" w:line="22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4615815</wp:posOffset>
            </wp:positionH>
            <wp:positionV relativeFrom="paragraph">
              <wp:posOffset>13335</wp:posOffset>
            </wp:positionV>
            <wp:extent cx="231838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14"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Eric Thompson</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Title:  Chief Operating Officer</w:t>
      </w:r>
    </w:p>
    <w:p>
      <w:pPr>
        <w:spacing w:after="0" w:line="1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306" w:name="page307"/>
    <w:bookmarkEnd w:id="306"/>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OUNDRY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EXT</w:t>
      </w:r>
      <w:r>
        <w:rPr>
          <w:rFonts w:ascii="Arial" w:cs="Arial" w:eastAsia="Arial" w:hAnsi="Arial"/>
          <w:sz w:val="18"/>
          <w:szCs w:val="18"/>
          <w:b w:val="1"/>
          <w:bCs w:val="1"/>
          <w:color w:val="auto"/>
        </w:rPr>
        <w:t xml:space="preserve"> 2018, L.P.</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FG N</w:t>
      </w:r>
      <w:r>
        <w:rPr>
          <w:rFonts w:ascii="Arial" w:cs="Arial" w:eastAsia="Arial" w:hAnsi="Arial"/>
          <w:sz w:val="14"/>
          <w:szCs w:val="14"/>
          <w:b w:val="1"/>
          <w:bCs w:val="1"/>
          <w:color w:val="auto"/>
        </w:rPr>
        <w:t>EXT</w:t>
      </w:r>
      <w:r>
        <w:rPr>
          <w:rFonts w:ascii="Arial" w:cs="Arial" w:eastAsia="Arial" w:hAnsi="Arial"/>
          <w:sz w:val="18"/>
          <w:szCs w:val="18"/>
          <w:color w:val="auto"/>
        </w:rPr>
        <w:t xml:space="preserve"> </w:t>
      </w:r>
      <w:r>
        <w:rPr>
          <w:rFonts w:ascii="Arial" w:cs="Arial" w:eastAsia="Arial" w:hAnsi="Arial"/>
          <w:sz w:val="18"/>
          <w:szCs w:val="18"/>
          <w:b w:val="1"/>
          <w:bCs w:val="1"/>
          <w:color w:val="auto"/>
        </w:rPr>
        <w:t>GP 2018, LLC</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Seth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Seth Levine</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Managing Director</w:t>
      </w:r>
    </w:p>
    <w:p>
      <w:pPr>
        <w:spacing w:after="0" w:line="1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307" w:name="page308"/>
    <w:bookmarkEnd w:id="307"/>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ALMAZ CAPITAL FUND II, L.P.</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Almaz Capital Partners II LTD.</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Ross Hangebrauck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Ross Hangebrauck</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Director</w:t>
      </w:r>
    </w:p>
    <w:p>
      <w:pPr>
        <w:spacing w:after="0" w:line="1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308" w:name="page309"/>
    <w:bookmarkEnd w:id="308"/>
    <w:p>
      <w:pPr>
        <w:ind w:right="200"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BMW I VENTURES SCS, SICAV RAIF,</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duly represented by BMW i Ventures, Inc., itself duly</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represented by Baris Guzel and Ulrich Quay</w:t>
      </w:r>
    </w:p>
    <w:p>
      <w:pPr>
        <w:spacing w:after="0" w:line="221"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Baris Guzel</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Baris Guzel</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Principal</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Ulrich Quay</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Ulrich Quay</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920"/>
          </w:cols>
          <w:pgMar w:left="480" w:top="268" w:right="499" w:bottom="1440" w:gutter="0" w:footer="0" w:header="0"/>
        </w:sectPr>
      </w:pPr>
    </w:p>
    <w:bookmarkStart w:id="309" w:name="page310"/>
    <w:bookmarkEnd w:id="309"/>
    <w:p>
      <w:pPr>
        <w:ind w:right="60"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HIGHLAND CAPITAL PARTNERS 9 LIMITED</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PARTNERSHIP</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 Highland Management Partners 9 Limited Partnership,</w:t>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Highland Management Partners 9, LLC,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Authorized Manager</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HIGHLAND CAPITAL PARTNERS 9-B LIMITED</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PARTNERSHIP</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 Highland Management Partners 9 Limited Partnership,</w:t>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Highland Management Partners 9, LLC,</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Authorized Manager</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80"/>
          </w:cols>
          <w:pgMar w:left="480" w:top="268" w:right="639" w:bottom="1440" w:gutter="0" w:footer="0" w:header="0"/>
        </w:sectPr>
      </w:pPr>
    </w:p>
    <w:bookmarkStart w:id="310" w:name="page311"/>
    <w:bookmarkEnd w:id="310"/>
    <w:p>
      <w:pPr>
        <w:ind w:right="60"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HIGHLAND ENTREPRENEURS’ FUND 9 LIMITED</w:t>
      </w:r>
    </w:p>
    <w:p>
      <w:pPr>
        <w:spacing w:after="0" w:line="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PARTNERSHIP</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 Highland Management Partners 9 Limited Partnership,</w:t>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Highland Management Partners 9, LLC,</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Authorized Manager</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HIGHLAND CAPITAL LEADERS FUND I, L.P.</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 Highland Leaders Fund I, GP, L.P. Its General Partner</w:t>
      </w:r>
    </w:p>
    <w:p>
      <w:pPr>
        <w:spacing w:after="0" w:line="244"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 Highland Leaders Fund I GP, LLC its General Partner</w:t>
      </w:r>
    </w:p>
    <w:p>
      <w:pPr>
        <w:spacing w:after="0" w:line="24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Authorized Manager</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80"/>
          </w:cols>
          <w:pgMar w:left="480" w:top="268" w:right="639" w:bottom="1440" w:gutter="0" w:footer="0" w:header="0"/>
        </w:sectPr>
      </w:pPr>
    </w:p>
    <w:bookmarkStart w:id="311" w:name="page312"/>
    <w:bookmarkEnd w:id="311"/>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ELL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ECHNOLOGIES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LLC</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Robert Potts</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7"/>
          <w:szCs w:val="17"/>
          <w:color w:val="auto"/>
        </w:rPr>
        <w:t>Title:</w:t>
        <w:tab/>
        <w:t>Senior Vice President and Assistant Secretary</w:t>
      </w:r>
    </w:p>
    <w:p>
      <w:pPr>
        <w:spacing w:after="0" w:line="15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312" w:name="page313"/>
    <w:bookmarkEnd w:id="312"/>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Randy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13335</wp:posOffset>
            </wp:positionV>
            <wp:extent cx="27686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ANDY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LTSCHULER</w:t>
      </w:r>
    </w:p>
    <w:p>
      <w:pPr>
        <w:spacing w:after="0" w:line="15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313" w:name="page314"/>
    <w:bookmarkEnd w:id="313"/>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Cheryl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13335</wp:posOffset>
            </wp:positionV>
            <wp:extent cx="27686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HERYL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LTSCHULER</w:t>
      </w:r>
    </w:p>
    <w:p>
      <w:pPr>
        <w:spacing w:after="0" w:line="15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314" w:name="page315"/>
    <w:bookmarkEnd w:id="314"/>
    <w:p>
      <w:pPr>
        <w:ind w:firstLine="141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INVESTORS:</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ZFI CAPITAL, LP</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Laurence Zuriff</w:t>
      </w:r>
    </w:p>
    <w:p>
      <w:pPr>
        <w:spacing w:after="0" w:line="20"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General Partner</w:t>
      </w:r>
    </w:p>
    <w:p>
      <w:pPr>
        <w:spacing w:after="0" w:line="14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20"/>
          </w:cols>
          <w:pgMar w:left="480" w:top="268" w:right="699" w:bottom="1440" w:gutter="0" w:footer="0" w:header="0"/>
        </w:sectPr>
      </w:pPr>
    </w:p>
    <w:bookmarkStart w:id="315" w:name="page316"/>
    <w:bookmarkEnd w:id="315"/>
    <w:p>
      <w:pPr>
        <w:jc w:val="center"/>
        <w:ind w:right="-94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A</w:t>
      </w:r>
    </w:p>
    <w:p>
      <w:pPr>
        <w:spacing w:after="0" w:line="35"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979"/>
          </w:cols>
          <w:pgMar w:left="480" w:top="268"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10.2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BOARD OF DIRECTORS: February 3, 2016</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BY THE STOCKHOLDERS: February 3,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DATE: February 2, 2026</w:t>
      </w:r>
    </w:p>
    <w:p>
      <w:pPr>
        <w:spacing w:after="0" w:line="231" w:lineRule="exact"/>
        <w:rPr>
          <w:sz w:val="20"/>
          <w:szCs w:val="20"/>
          <w:color w:val="auto"/>
        </w:rPr>
      </w:pPr>
    </w:p>
    <w:p>
      <w:pPr>
        <w:ind w:left="440" w:hanging="433"/>
        <w:spacing w:after="0"/>
        <w:tabs>
          <w:tab w:leader="none" w:pos="44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left="820" w:hanging="376"/>
        <w:spacing w:after="0"/>
        <w:tabs>
          <w:tab w:leader="none" w:pos="820"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Eligible Stock Award Recipients</w:t>
      </w:r>
      <w:r>
        <w:rPr>
          <w:rFonts w:ascii="Arial" w:cs="Arial" w:eastAsia="Arial" w:hAnsi="Arial"/>
          <w:sz w:val="18"/>
          <w:szCs w:val="18"/>
          <w:color w:val="auto"/>
        </w:rPr>
        <w:t>. Employees, Directors and Consultants are eligible to receive Stock Awards.</w:t>
      </w:r>
    </w:p>
    <w:p>
      <w:pPr>
        <w:spacing w:after="0" w:line="220" w:lineRule="exact"/>
        <w:rPr>
          <w:rFonts w:ascii="Arial" w:cs="Arial" w:eastAsia="Arial" w:hAnsi="Arial"/>
          <w:sz w:val="18"/>
          <w:szCs w:val="18"/>
          <w:b w:val="1"/>
          <w:bCs w:val="1"/>
          <w:color w:val="auto"/>
        </w:rPr>
      </w:pPr>
    </w:p>
    <w:p>
      <w:pPr>
        <w:ind w:left="840" w:hanging="396"/>
        <w:spacing w:after="0"/>
        <w:tabs>
          <w:tab w:leader="none" w:pos="840"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Stock Awards</w:t>
      </w:r>
      <w:r>
        <w:rPr>
          <w:rFonts w:ascii="Arial" w:cs="Arial" w:eastAsia="Arial" w:hAnsi="Arial"/>
          <w:sz w:val="18"/>
          <w:szCs w:val="18"/>
          <w:color w:val="auto"/>
        </w:rPr>
        <w:t>. The Plan provides for the grant of the following types of Stock Awards: (i) Incentive Stock Options,</w:t>
      </w:r>
    </w:p>
    <w:p>
      <w:pPr>
        <w:spacing w:after="0" w:line="24" w:lineRule="exact"/>
        <w:rPr>
          <w:sz w:val="20"/>
          <w:szCs w:val="20"/>
          <w:color w:val="auto"/>
        </w:rPr>
      </w:pPr>
    </w:p>
    <w:p>
      <w:pPr>
        <w:ind w:right="260" w:firstLine="7"/>
        <w:spacing w:after="0" w:line="256" w:lineRule="auto"/>
        <w:tabs>
          <w:tab w:leader="none" w:pos="26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Nonstatutory Stock Options, (iii) Stock Appreciation Rights, (iv) Restricted Stock Awards, (v) Restricted Stock Unit Awards and (vi) Other Stock Awards.</w:t>
      </w:r>
    </w:p>
    <w:p>
      <w:pPr>
        <w:spacing w:after="0" w:line="183" w:lineRule="exact"/>
        <w:rPr>
          <w:rFonts w:ascii="Arial" w:cs="Arial" w:eastAsia="Arial" w:hAnsi="Arial"/>
          <w:sz w:val="18"/>
          <w:szCs w:val="18"/>
          <w:color w:val="auto"/>
        </w:rPr>
      </w:pPr>
    </w:p>
    <w:p>
      <w:pPr>
        <w:jc w:val="both"/>
        <w:ind w:right="420" w:firstLine="444"/>
        <w:spacing w:after="0" w:line="261" w:lineRule="auto"/>
        <w:tabs>
          <w:tab w:leader="none" w:pos="812"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Plan, through the grant of Stock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180" w:lineRule="exact"/>
        <w:rPr>
          <w:rFonts w:ascii="Arial" w:cs="Arial" w:eastAsia="Arial" w:hAnsi="Arial"/>
          <w:sz w:val="18"/>
          <w:szCs w:val="18"/>
          <w:b w:val="1"/>
          <w:bCs w:val="1"/>
          <w:color w:val="auto"/>
        </w:rPr>
      </w:pPr>
    </w:p>
    <w:p>
      <w:pPr>
        <w:ind w:right="40" w:firstLine="444"/>
        <w:spacing w:after="0" w:line="257" w:lineRule="auto"/>
        <w:tabs>
          <w:tab w:leader="none" w:pos="832"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 to and Continuation of Prior Plan. </w:t>
      </w:r>
      <w:r>
        <w:rPr>
          <w:rFonts w:ascii="Arial" w:cs="Arial" w:eastAsia="Arial" w:hAnsi="Arial"/>
          <w:sz w:val="18"/>
          <w:szCs w:val="18"/>
          <w:color w:val="auto"/>
        </w:rPr>
        <w:t>The Plan is the successor to and continuation of the NextLine Manufacturing Corp., 2014</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Plan, as amended (the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From and after 12:01 a.m. Eastern time on the Effective Date, no additional stock awards will be granted under the Prior Plan, provided that all stock awards granted and outstanding under the Prior Plan at such time will remain subject to the terms of the Prior Plan.</w:t>
      </w:r>
    </w:p>
    <w:p>
      <w:pPr>
        <w:spacing w:after="0" w:line="330" w:lineRule="exact"/>
        <w:rPr>
          <w:sz w:val="20"/>
          <w:szCs w:val="20"/>
          <w:color w:val="auto"/>
        </w:rPr>
      </w:pPr>
    </w:p>
    <w:p>
      <w:pPr>
        <w:ind w:left="440" w:hanging="433"/>
        <w:spacing w:after="0"/>
        <w:tabs>
          <w:tab w:leader="none" w:pos="44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right="240" w:firstLine="444"/>
        <w:spacing w:after="0" w:line="275" w:lineRule="auto"/>
        <w:tabs>
          <w:tab w:leader="none" w:pos="822"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the Board</w:t>
      </w:r>
      <w:r>
        <w:rPr>
          <w:rFonts w:ascii="Arial" w:cs="Arial" w:eastAsia="Arial" w:hAnsi="Arial"/>
          <w:sz w:val="18"/>
          <w:szCs w:val="18"/>
          <w:color w:val="auto"/>
        </w:rPr>
        <w:t>. 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7" w:lineRule="exact"/>
        <w:rPr>
          <w:rFonts w:ascii="Arial" w:cs="Arial" w:eastAsia="Arial" w:hAnsi="Arial"/>
          <w:sz w:val="18"/>
          <w:szCs w:val="18"/>
          <w:b w:val="1"/>
          <w:bCs w:val="1"/>
          <w:color w:val="auto"/>
        </w:rPr>
      </w:pPr>
    </w:p>
    <w:p>
      <w:pPr>
        <w:ind w:left="840" w:hanging="396"/>
        <w:spacing w:after="0"/>
        <w:tabs>
          <w:tab w:leader="none" w:pos="840" w:val="left"/>
        </w:tabs>
        <w:numPr>
          <w:ilvl w:val="1"/>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the Board</w:t>
      </w:r>
      <w:r>
        <w:rPr>
          <w:rFonts w:ascii="Arial" w:cs="Arial" w:eastAsia="Arial" w:hAnsi="Arial"/>
          <w:sz w:val="17"/>
          <w:szCs w:val="17"/>
          <w:color w:val="auto"/>
        </w:rPr>
        <w:t>. The Board will have the power, subject to, and within the limitations of, the express provisions of the Plan:</w:t>
      </w:r>
    </w:p>
    <w:p>
      <w:pPr>
        <w:spacing w:after="0" w:line="236" w:lineRule="exact"/>
        <w:rPr>
          <w:rFonts w:ascii="Arial" w:cs="Arial" w:eastAsia="Arial" w:hAnsi="Arial"/>
          <w:sz w:val="17"/>
          <w:szCs w:val="17"/>
          <w:b w:val="1"/>
          <w:bCs w:val="1"/>
          <w:color w:val="auto"/>
        </w:rPr>
      </w:pPr>
    </w:p>
    <w:p>
      <w:pPr>
        <w:ind w:right="20" w:firstLine="990"/>
        <w:spacing w:after="0" w:line="255" w:lineRule="auto"/>
        <w:tabs>
          <w:tab w:leader="none" w:pos="1325" w:val="left"/>
        </w:tabs>
        <w:numPr>
          <w:ilvl w:val="2"/>
          <w:numId w:val="245"/>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Stock Awards; (B) when and how each Stock Award will be granted; (C) what type or combination of types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190" w:lineRule="exact"/>
        <w:rPr>
          <w:rFonts w:ascii="Arial" w:cs="Arial" w:eastAsia="Arial" w:hAnsi="Arial"/>
          <w:sz w:val="18"/>
          <w:szCs w:val="18"/>
          <w:b w:val="1"/>
          <w:bCs w:val="1"/>
          <w:color w:val="auto"/>
        </w:rPr>
      </w:pPr>
    </w:p>
    <w:p>
      <w:pPr>
        <w:ind w:right="140" w:firstLine="990"/>
        <w:spacing w:after="0" w:line="307" w:lineRule="auto"/>
        <w:tabs>
          <w:tab w:leader="none" w:pos="1375" w:val="left"/>
        </w:tabs>
        <w:numPr>
          <w:ilvl w:val="2"/>
          <w:numId w:val="245"/>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317" w:name="page318"/>
    <w:bookmarkEnd w:id="317"/>
    <w:p>
      <w:pPr>
        <w:ind w:left="1440" w:hanging="450"/>
        <w:spacing w:after="0"/>
        <w:tabs>
          <w:tab w:leader="none" w:pos="1440" w:val="left"/>
        </w:tabs>
        <w:numPr>
          <w:ilvl w:val="1"/>
          <w:numId w:val="24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settle all controversies regarding the Plan and Stock Awards granted under it.</w:t>
      </w:r>
    </w:p>
    <w:p>
      <w:pPr>
        <w:spacing w:after="0" w:line="220" w:lineRule="exact"/>
        <w:rPr>
          <w:rFonts w:ascii="Arial" w:cs="Arial" w:eastAsia="Arial" w:hAnsi="Arial"/>
          <w:sz w:val="18"/>
          <w:szCs w:val="18"/>
          <w:b w:val="1"/>
          <w:bCs w:val="1"/>
          <w:color w:val="auto"/>
        </w:rPr>
      </w:pPr>
    </w:p>
    <w:p>
      <w:pPr>
        <w:ind w:right="160" w:firstLine="990"/>
        <w:spacing w:after="0" w:line="271" w:lineRule="auto"/>
        <w:tabs>
          <w:tab w:leader="none" w:pos="1414" w:val="left"/>
        </w:tabs>
        <w:numPr>
          <w:ilvl w:val="1"/>
          <w:numId w:val="246"/>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 Stock Award may be exercised or vest (or the time at which cash or shares of Common Stock may be issued in settlement thereof).</w:t>
      </w:r>
    </w:p>
    <w:p>
      <w:pPr>
        <w:spacing w:after="0" w:line="174" w:lineRule="exact"/>
        <w:rPr>
          <w:rFonts w:ascii="Arial" w:cs="Arial" w:eastAsia="Arial" w:hAnsi="Arial"/>
          <w:sz w:val="18"/>
          <w:szCs w:val="18"/>
          <w:b w:val="1"/>
          <w:bCs w:val="1"/>
          <w:color w:val="auto"/>
        </w:rPr>
      </w:pPr>
    </w:p>
    <w:p>
      <w:pPr>
        <w:ind w:right="200" w:firstLine="990"/>
        <w:spacing w:after="0" w:line="259" w:lineRule="auto"/>
        <w:tabs>
          <w:tab w:leader="none" w:pos="1365" w:val="left"/>
        </w:tabs>
        <w:numPr>
          <w:ilvl w:val="1"/>
          <w:numId w:val="246"/>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 Stock Award Agreement, suspension or termination of the Plan will not materially impair a Participant’s economic rights under the Participant’s then-outstanding Stock Award without the affected Participant’s written consent except as provided in subsection (viii) below.</w:t>
      </w:r>
    </w:p>
    <w:p>
      <w:pPr>
        <w:spacing w:after="0" w:line="185" w:lineRule="exact"/>
        <w:rPr>
          <w:rFonts w:ascii="Arial" w:cs="Arial" w:eastAsia="Arial" w:hAnsi="Arial"/>
          <w:sz w:val="18"/>
          <w:szCs w:val="18"/>
          <w:b w:val="1"/>
          <w:bCs w:val="1"/>
          <w:color w:val="auto"/>
        </w:rPr>
      </w:pPr>
    </w:p>
    <w:p>
      <w:pPr>
        <w:ind w:right="40" w:firstLine="990"/>
        <w:spacing w:after="0" w:line="281" w:lineRule="auto"/>
        <w:tabs>
          <w:tab w:leader="none" w:pos="1414" w:val="left"/>
        </w:tabs>
        <w:numPr>
          <w:ilvl w:val="1"/>
          <w:numId w:val="246"/>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Stock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w:t>
      </w:r>
    </w:p>
    <w:p>
      <w:pPr>
        <w:spacing w:after="0" w:line="1" w:lineRule="exact"/>
        <w:rPr>
          <w:rFonts w:ascii="Arial" w:cs="Arial" w:eastAsia="Arial" w:hAnsi="Arial"/>
          <w:sz w:val="16"/>
          <w:szCs w:val="16"/>
          <w:b w:val="1"/>
          <w:bCs w:val="1"/>
          <w:color w:val="auto"/>
        </w:rPr>
      </w:pPr>
    </w:p>
    <w:p>
      <w:pPr>
        <w:ind w:right="420" w:firstLine="7"/>
        <w:spacing w:after="0" w:line="274" w:lineRule="auto"/>
        <w:tabs>
          <w:tab w:leader="none" w:pos="27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materially extends the term of the Plan, or (F) materially expands the types of Stock Awards available for issuance under the Plan. Except as otherwise provided in the Plan (including subsection (viii) below) or a Stock Award Agreement, no amendment of the Plan will materially impair a Participant’s economic rights under an outstanding Stock Award without the Participant’s written consent.</w:t>
      </w:r>
    </w:p>
    <w:p>
      <w:pPr>
        <w:spacing w:after="0" w:line="173" w:lineRule="exact"/>
        <w:rPr>
          <w:rFonts w:ascii="Arial" w:cs="Arial" w:eastAsia="Arial" w:hAnsi="Arial"/>
          <w:sz w:val="17"/>
          <w:szCs w:val="17"/>
          <w:color w:val="auto"/>
        </w:rPr>
      </w:pPr>
    </w:p>
    <w:p>
      <w:pPr>
        <w:ind w:right="220" w:firstLine="990"/>
        <w:spacing w:after="0" w:line="271" w:lineRule="auto"/>
        <w:tabs>
          <w:tab w:leader="none" w:pos="1464" w:val="left"/>
        </w:tabs>
        <w:numPr>
          <w:ilvl w:val="1"/>
          <w:numId w:val="247"/>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174" w:lineRule="exact"/>
        <w:rPr>
          <w:rFonts w:ascii="Arial" w:cs="Arial" w:eastAsia="Arial" w:hAnsi="Arial"/>
          <w:sz w:val="18"/>
          <w:szCs w:val="18"/>
          <w:b w:val="1"/>
          <w:bCs w:val="1"/>
          <w:color w:val="auto"/>
        </w:rPr>
      </w:pPr>
    </w:p>
    <w:p>
      <w:pPr>
        <w:ind w:firstLine="990"/>
        <w:spacing w:after="0" w:line="284" w:lineRule="auto"/>
        <w:tabs>
          <w:tab w:leader="none" w:pos="1514" w:val="left"/>
        </w:tabs>
        <w:numPr>
          <w:ilvl w:val="1"/>
          <w:numId w:val="247"/>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as otherwise provided in the Plan or the applicable Stock Award Agreement, a Participant’s rights under any Stock Award will not be materially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2" w:right="499" w:bottom="1440" w:gutter="0" w:footer="0" w:header="0"/>
        </w:sectPr>
      </w:pPr>
    </w:p>
    <w:bookmarkStart w:id="318" w:name="page319"/>
    <w:bookmarkEnd w:id="318"/>
    <w:p>
      <w:pPr>
        <w:ind w:left="-7" w:right="60" w:firstLine="990"/>
        <w:spacing w:after="0" w:line="271" w:lineRule="auto"/>
        <w:tabs>
          <w:tab w:leader="none" w:pos="1410" w:val="left"/>
        </w:tabs>
        <w:numPr>
          <w:ilvl w:val="2"/>
          <w:numId w:val="24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Stock Awards.</w:t>
      </w:r>
    </w:p>
    <w:p>
      <w:pPr>
        <w:spacing w:after="0" w:line="174" w:lineRule="exact"/>
        <w:rPr>
          <w:rFonts w:ascii="Arial" w:cs="Arial" w:eastAsia="Arial" w:hAnsi="Arial"/>
          <w:sz w:val="18"/>
          <w:szCs w:val="18"/>
          <w:b w:val="1"/>
          <w:bCs w:val="1"/>
          <w:color w:val="auto"/>
        </w:rPr>
      </w:pPr>
    </w:p>
    <w:p>
      <w:pPr>
        <w:ind w:left="-7" w:firstLine="990"/>
        <w:spacing w:after="0" w:line="307" w:lineRule="auto"/>
        <w:tabs>
          <w:tab w:leader="none" w:pos="1358" w:val="left"/>
        </w:tabs>
        <w:numPr>
          <w:ilvl w:val="2"/>
          <w:numId w:val="248"/>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149" w:lineRule="exact"/>
        <w:rPr>
          <w:rFonts w:ascii="Arial" w:cs="Arial" w:eastAsia="Arial" w:hAnsi="Arial"/>
          <w:sz w:val="16"/>
          <w:szCs w:val="16"/>
          <w:b w:val="1"/>
          <w:bCs w:val="1"/>
          <w:color w:val="auto"/>
        </w:rPr>
      </w:pPr>
    </w:p>
    <w:p>
      <w:pPr>
        <w:ind w:left="-7" w:right="260" w:firstLine="990"/>
        <w:spacing w:after="0" w:line="287" w:lineRule="auto"/>
        <w:tabs>
          <w:tab w:leader="none" w:pos="1455" w:val="left"/>
        </w:tabs>
        <w:numPr>
          <w:ilvl w:val="2"/>
          <w:numId w:val="248"/>
        </w:numPr>
        <w:rPr>
          <w:rFonts w:ascii="Arial" w:cs="Arial" w:eastAsia="Arial" w:hAnsi="Arial"/>
          <w:sz w:val="16"/>
          <w:szCs w:val="16"/>
          <w:b w:val="1"/>
          <w:bCs w:val="1"/>
          <w:color w:val="auto"/>
        </w:rPr>
      </w:pPr>
      <w:r>
        <w:rPr>
          <w:rFonts w:ascii="Arial" w:cs="Arial" w:eastAsia="Arial" w:hAnsi="Arial"/>
          <w:sz w:val="16"/>
          <w:szCs w:val="16"/>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w:t>
      </w:r>
    </w:p>
    <w:p>
      <w:pPr>
        <w:ind w:left="-7" w:right="20" w:firstLine="7"/>
        <w:spacing w:after="0" w:line="250" w:lineRule="auto"/>
        <w:tabs>
          <w:tab w:leader="none" w:pos="24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90" w:lineRule="exact"/>
        <w:rPr>
          <w:rFonts w:ascii="Arial" w:cs="Arial" w:eastAsia="Arial" w:hAnsi="Arial"/>
          <w:sz w:val="18"/>
          <w:szCs w:val="18"/>
          <w:color w:val="auto"/>
        </w:rPr>
      </w:pPr>
    </w:p>
    <w:p>
      <w:pPr>
        <w:ind w:left="-7" w:right="20" w:firstLine="444"/>
        <w:spacing w:after="0" w:line="289" w:lineRule="auto"/>
        <w:tabs>
          <w:tab w:leader="none" w:pos="805" w:val="left"/>
        </w:tabs>
        <w:numPr>
          <w:ilvl w:val="1"/>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Committee</w:t>
      </w:r>
      <w:r>
        <w:rPr>
          <w:rFonts w:ascii="Arial" w:cs="Arial" w:eastAsia="Arial" w:hAnsi="Arial"/>
          <w:sz w:val="16"/>
          <w:szCs w:val="16"/>
          <w:color w:val="auto"/>
        </w:rPr>
        <w:t>. To the extent permitted by applicable law, the Board may delegate some or all of the administration of the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61" w:lineRule="exact"/>
        <w:rPr>
          <w:rFonts w:ascii="Arial" w:cs="Arial" w:eastAsia="Arial" w:hAnsi="Arial"/>
          <w:sz w:val="16"/>
          <w:szCs w:val="16"/>
          <w:b w:val="1"/>
          <w:bCs w:val="1"/>
          <w:color w:val="auto"/>
        </w:rPr>
      </w:pPr>
    </w:p>
    <w:p>
      <w:pPr>
        <w:ind w:left="-7" w:right="20" w:firstLine="444"/>
        <w:spacing w:after="0" w:line="287" w:lineRule="auto"/>
        <w:tabs>
          <w:tab w:leader="none" w:pos="870" w:val="left"/>
        </w:tabs>
        <w:numPr>
          <w:ilvl w:val="1"/>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an Officer</w:t>
      </w:r>
      <w:r>
        <w:rPr>
          <w:rFonts w:ascii="Arial" w:cs="Arial" w:eastAsia="Arial" w:hAnsi="Arial"/>
          <w:sz w:val="16"/>
          <w:szCs w:val="16"/>
          <w:color w:val="auto"/>
        </w:rPr>
        <w:t>. The Board may delegate to one or more Officers the authority to do one or both of the following: (i) designate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13(t) below.</w:t>
      </w:r>
    </w:p>
    <w:p>
      <w:pPr>
        <w:spacing w:after="0" w:line="165" w:lineRule="exact"/>
        <w:rPr>
          <w:rFonts w:ascii="Arial" w:cs="Arial" w:eastAsia="Arial" w:hAnsi="Arial"/>
          <w:sz w:val="16"/>
          <w:szCs w:val="16"/>
          <w:b w:val="1"/>
          <w:bCs w:val="1"/>
          <w:color w:val="auto"/>
        </w:rPr>
      </w:pPr>
    </w:p>
    <w:p>
      <w:pPr>
        <w:ind w:left="-7" w:right="380" w:firstLine="444"/>
        <w:spacing w:after="0" w:line="275" w:lineRule="auto"/>
        <w:tabs>
          <w:tab w:leader="none" w:pos="805" w:val="left"/>
        </w:tabs>
        <w:numPr>
          <w:ilvl w:val="1"/>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will be final, binding and conclusive on all persons.</w:t>
      </w:r>
    </w:p>
    <w:p>
      <w:pPr>
        <w:spacing w:after="0" w:line="105"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13"/>
          </w:cols>
          <w:pgMar w:left="487" w:top="272" w:right="499" w:bottom="1440" w:gutter="0" w:footer="0" w:header="0"/>
        </w:sectPr>
      </w:pPr>
    </w:p>
    <w:bookmarkStart w:id="319" w:name="page320"/>
    <w:bookmarkEnd w:id="319"/>
    <w:p>
      <w:pPr>
        <w:ind w:left="440" w:hanging="433"/>
        <w:spacing w:after="0"/>
        <w:tabs>
          <w:tab w:leader="none" w:pos="44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left="820" w:hanging="376"/>
        <w:spacing w:after="0"/>
        <w:tabs>
          <w:tab w:leader="none" w:pos="820"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990"/>
        <w:spacing w:after="0" w:line="267" w:lineRule="auto"/>
        <w:tabs>
          <w:tab w:leader="none" w:pos="1329" w:val="left"/>
        </w:tabs>
        <w:numPr>
          <w:ilvl w:val="2"/>
          <w:numId w:val="250"/>
        </w:numPr>
        <w:rPr>
          <w:rFonts w:ascii="Arial" w:cs="Arial" w:eastAsia="Arial" w:hAnsi="Arial"/>
          <w:sz w:val="17"/>
          <w:szCs w:val="17"/>
          <w:b w:val="1"/>
          <w:bCs w:val="1"/>
          <w:color w:val="auto"/>
        </w:rPr>
      </w:pPr>
      <w:r>
        <w:rPr>
          <w:rFonts w:ascii="Arial" w:cs="Arial" w:eastAsia="Arial" w:hAnsi="Arial"/>
          <w:sz w:val="17"/>
          <w:szCs w:val="17"/>
          <w:color w:val="auto"/>
        </w:rPr>
        <w:t xml:space="preserve">Subject to Section 9(a) relating to Capitalization Adjustments, the aggregate number of shares of Common Stock that may be issued pursuant to Stock Awards from and after the Effective Date will not exceed 1,634,926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which number represents the sum of (x) 1,363,826 shares available for issuance under the Prior Plan as of 12:01 a.m. Eastern time on the Effective Date plus (y) such number of shares, up to a maximum of 271,100 shares of Common Stock, subject to outstanding stock awards granted under the Prior Plan as of 12:01 a.m. Eastern time on the Effective Date that (1) expire or terminate for any reason prior to exercise or settlement or without all shares covered by such award having been issued; (2) are forfeited, cancelled or otherwise returned to the Company because of the failure to meet a contingency or condition required to vest such shares; or (3) are reacquired, repurchased or withheld (or not issued) to satisfy a tax withholding obligation in connection with an award or to satisfy the purchase price or exercise price of a stock award (such shares, the “</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as and to the extent such Returning Shares become available from time to time.</w:t>
      </w:r>
    </w:p>
    <w:p>
      <w:pPr>
        <w:spacing w:after="0" w:line="182" w:lineRule="exact"/>
        <w:rPr>
          <w:rFonts w:ascii="Arial" w:cs="Arial" w:eastAsia="Arial" w:hAnsi="Arial"/>
          <w:sz w:val="17"/>
          <w:szCs w:val="17"/>
          <w:b w:val="1"/>
          <w:bCs w:val="1"/>
          <w:color w:val="auto"/>
        </w:rPr>
      </w:pPr>
    </w:p>
    <w:p>
      <w:pPr>
        <w:ind w:right="520" w:firstLine="990"/>
        <w:spacing w:after="0" w:line="301" w:lineRule="auto"/>
        <w:tabs>
          <w:tab w:leader="none" w:pos="1378" w:val="left"/>
        </w:tabs>
        <w:numPr>
          <w:ilvl w:val="2"/>
          <w:numId w:val="250"/>
        </w:numPr>
        <w:rPr>
          <w:rFonts w:ascii="Arial" w:cs="Arial" w:eastAsia="Arial" w:hAnsi="Arial"/>
          <w:sz w:val="17"/>
          <w:szCs w:val="17"/>
          <w:b w:val="1"/>
          <w:bCs w:val="1"/>
          <w:color w:val="auto"/>
        </w:rPr>
      </w:pPr>
      <w:r>
        <w:rPr>
          <w:rFonts w:ascii="Arial" w:cs="Arial" w:eastAsia="Arial" w:hAnsi="Arial"/>
          <w:sz w:val="17"/>
          <w:szCs w:val="17"/>
          <w:color w:val="auto"/>
        </w:rPr>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147" w:lineRule="exact"/>
        <w:rPr>
          <w:rFonts w:ascii="Arial" w:cs="Arial" w:eastAsia="Arial" w:hAnsi="Arial"/>
          <w:sz w:val="17"/>
          <w:szCs w:val="17"/>
          <w:b w:val="1"/>
          <w:bCs w:val="1"/>
          <w:color w:val="auto"/>
        </w:rPr>
      </w:pPr>
    </w:p>
    <w:p>
      <w:pPr>
        <w:ind w:right="40" w:firstLine="444"/>
        <w:spacing w:after="0" w:line="289" w:lineRule="auto"/>
        <w:tabs>
          <w:tab w:leader="none" w:pos="832" w:val="left"/>
        </w:tabs>
        <w:numPr>
          <w:ilvl w:val="1"/>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 Stock Award or any portion thereof (i) expires or otherwise terminates without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61" w:lineRule="exact"/>
        <w:rPr>
          <w:rFonts w:ascii="Arial" w:cs="Arial" w:eastAsia="Arial" w:hAnsi="Arial"/>
          <w:sz w:val="16"/>
          <w:szCs w:val="16"/>
          <w:b w:val="1"/>
          <w:bCs w:val="1"/>
          <w:color w:val="auto"/>
        </w:rPr>
      </w:pPr>
    </w:p>
    <w:p>
      <w:pPr>
        <w:ind w:right="380" w:firstLine="444"/>
        <w:spacing w:after="0" w:line="261" w:lineRule="auto"/>
        <w:tabs>
          <w:tab w:leader="none" w:pos="812"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w:t>
      </w:r>
      <w:r>
        <w:rPr>
          <w:rFonts w:ascii="Arial" w:cs="Arial" w:eastAsia="Arial" w:hAnsi="Arial"/>
          <w:sz w:val="18"/>
          <w:szCs w:val="18"/>
          <w:color w:val="auto"/>
        </w:rPr>
        <w:t>. Subject to the Share Reserve and Section 9(a) relating to Capitalization Adjustments,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of Common Stock that may be issued pursuant to the exercise of Incentive Stock Options will be a number of shares of Common Stock equal to five multiplied by the Share Reserve.</w:t>
      </w:r>
    </w:p>
    <w:p>
      <w:pPr>
        <w:spacing w:after="0" w:line="180" w:lineRule="exact"/>
        <w:rPr>
          <w:rFonts w:ascii="Arial" w:cs="Arial" w:eastAsia="Arial" w:hAnsi="Arial"/>
          <w:sz w:val="18"/>
          <w:szCs w:val="18"/>
          <w:b w:val="1"/>
          <w:bCs w:val="1"/>
          <w:color w:val="auto"/>
        </w:rPr>
      </w:pPr>
    </w:p>
    <w:p>
      <w:pPr>
        <w:ind w:right="460" w:firstLine="444"/>
        <w:spacing w:after="0" w:line="275" w:lineRule="auto"/>
        <w:tabs>
          <w:tab w:leader="none" w:pos="832"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will be shares of authorized but unissued or reacquired Common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314" w:lineRule="exact"/>
        <w:rPr>
          <w:rFonts w:ascii="Arial" w:cs="Arial" w:eastAsia="Arial" w:hAnsi="Arial"/>
          <w:sz w:val="18"/>
          <w:szCs w:val="18"/>
          <w:b w:val="1"/>
          <w:bCs w:val="1"/>
          <w:color w:val="auto"/>
        </w:rPr>
      </w:pPr>
    </w:p>
    <w:p>
      <w:pPr>
        <w:ind w:left="440" w:hanging="433"/>
        <w:spacing w:after="0"/>
        <w:tabs>
          <w:tab w:leader="none" w:pos="44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firstLine="444"/>
        <w:spacing w:after="0" w:line="294" w:lineRule="auto"/>
        <w:tabs>
          <w:tab w:leader="none" w:pos="822" w:val="left"/>
        </w:tabs>
        <w:numPr>
          <w:ilvl w:val="1"/>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 “parent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68" w:right="499" w:bottom="1440" w:gutter="0" w:footer="0" w:header="0"/>
        </w:sectPr>
      </w:pPr>
    </w:p>
    <w:bookmarkStart w:id="320" w:name="page321"/>
    <w:bookmarkEnd w:id="320"/>
    <w:p>
      <w:pPr>
        <w:ind w:right="6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65" w:lineRule="exact"/>
        <w:rPr>
          <w:sz w:val="20"/>
          <w:szCs w:val="20"/>
          <w:color w:val="auto"/>
        </w:rPr>
      </w:pPr>
    </w:p>
    <w:p>
      <w:pPr>
        <w:ind w:right="220" w:firstLine="444"/>
        <w:spacing w:after="0" w:line="261" w:lineRule="auto"/>
        <w:tabs>
          <w:tab w:leader="none" w:pos="832"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Stockholders</w:t>
      </w:r>
      <w:r>
        <w:rPr>
          <w:rFonts w:ascii="Arial" w:cs="Arial" w:eastAsia="Arial" w:hAnsi="Arial"/>
          <w:sz w:val="18"/>
          <w:szCs w:val="18"/>
          <w:color w:val="auto"/>
        </w:rPr>
        <w:t>. A Ten Percent Stockholder will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110 percent of the Fair Market Value on the date of grant and the Option is not exercisable after the expiration of five years from the date of grant.</w:t>
      </w:r>
    </w:p>
    <w:p>
      <w:pPr>
        <w:spacing w:after="0" w:line="180" w:lineRule="exact"/>
        <w:rPr>
          <w:rFonts w:ascii="Arial" w:cs="Arial" w:eastAsia="Arial" w:hAnsi="Arial"/>
          <w:sz w:val="18"/>
          <w:szCs w:val="18"/>
          <w:b w:val="1"/>
          <w:bCs w:val="1"/>
          <w:color w:val="auto"/>
        </w:rPr>
      </w:pPr>
    </w:p>
    <w:p>
      <w:pPr>
        <w:ind w:right="40" w:firstLine="444"/>
        <w:spacing w:after="0" w:line="255" w:lineRule="auto"/>
        <w:tabs>
          <w:tab w:leader="none" w:pos="812"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Consultants</w:t>
      </w:r>
      <w:r>
        <w:rPr>
          <w:rFonts w:ascii="Arial" w:cs="Arial" w:eastAsia="Arial" w:hAnsi="Arial"/>
          <w:sz w:val="18"/>
          <w:szCs w:val="18"/>
          <w:color w:val="auto"/>
        </w:rPr>
        <w:t>. A Consultant will not be eligible for the grant of a Stock Award if, at the time of grant, either the offer or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331" w:lineRule="exact"/>
        <w:rPr>
          <w:sz w:val="20"/>
          <w:szCs w:val="20"/>
          <w:color w:val="auto"/>
        </w:rPr>
      </w:pPr>
    </w:p>
    <w:p>
      <w:pPr>
        <w:ind w:left="440" w:hanging="433"/>
        <w:spacing w:after="0"/>
        <w:tabs>
          <w:tab w:leader="none" w:pos="44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118" w:lineRule="exact"/>
        <w:rPr>
          <w:sz w:val="20"/>
          <w:szCs w:val="20"/>
          <w:color w:val="auto"/>
        </w:rPr>
      </w:pPr>
    </w:p>
    <w:p>
      <w:pPr>
        <w:ind w:right="40" w:firstLine="436"/>
        <w:spacing w:after="0" w:line="288"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Award Agreement will conform to (through incorporation of provisions hereof by reference in the applicable Stock Award Agreement or otherwise) the substance of each of the following provisions:</w:t>
      </w:r>
    </w:p>
    <w:p>
      <w:pPr>
        <w:spacing w:after="0" w:line="162" w:lineRule="exact"/>
        <w:rPr>
          <w:sz w:val="20"/>
          <w:szCs w:val="20"/>
          <w:color w:val="auto"/>
        </w:rPr>
      </w:pPr>
    </w:p>
    <w:p>
      <w:pPr>
        <w:ind w:right="700" w:firstLine="444"/>
        <w:spacing w:after="0" w:line="306" w:lineRule="auto"/>
        <w:tabs>
          <w:tab w:leader="none" w:pos="822"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4(b) regarding Ten Percent Stockholders, no Option or SAR will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10 years from the date of its grant or such shorter period specified in the Stock Award Agreement.</w:t>
      </w:r>
    </w:p>
    <w:p>
      <w:pPr>
        <w:spacing w:after="0" w:line="143" w:lineRule="exact"/>
        <w:rPr>
          <w:rFonts w:ascii="Arial" w:cs="Arial" w:eastAsia="Arial" w:hAnsi="Arial"/>
          <w:sz w:val="17"/>
          <w:szCs w:val="17"/>
          <w:b w:val="1"/>
          <w:bCs w:val="1"/>
          <w:color w:val="auto"/>
        </w:rPr>
      </w:pPr>
    </w:p>
    <w:p>
      <w:pPr>
        <w:ind w:firstLine="444"/>
        <w:spacing w:after="0" w:line="252" w:lineRule="auto"/>
        <w:tabs>
          <w:tab w:leader="none" w:pos="832"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Unless otherwise determined by the Board, and subject to the provisions of Section 4(b) regarding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the exercise or strike price of each Option or SAR will be not less than 100 percent of the Fair Market Value of the Common Stock subject to the Option or SAR on the date the Stock Award is granted. Notwithstanding the foregoing, an Option or SAR may be granted with an exercise or strike price lower than 100 percent of the Fair Market Value of the Common Stock subject to the Stock Award if such Stock Award is granted pursuant to an assumption of or substitution for another option or stock appreciation right pursuant to a Transaction and in a manner consistent with the provisions of Section 409A of the Code and, if applicable, Section 424(a) of the Code. Each SAR will be denominated in shares of Common Stock equivalents.</w:t>
      </w:r>
    </w:p>
    <w:p>
      <w:pPr>
        <w:spacing w:after="0" w:line="190" w:lineRule="exact"/>
        <w:rPr>
          <w:rFonts w:ascii="Arial" w:cs="Arial" w:eastAsia="Arial" w:hAnsi="Arial"/>
          <w:sz w:val="18"/>
          <w:szCs w:val="18"/>
          <w:b w:val="1"/>
          <w:bCs w:val="1"/>
          <w:color w:val="auto"/>
        </w:rPr>
      </w:pPr>
    </w:p>
    <w:p>
      <w:pPr>
        <w:ind w:firstLine="444"/>
        <w:spacing w:after="0" w:line="284" w:lineRule="auto"/>
        <w:tabs>
          <w:tab w:leader="none" w:pos="812"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Purchase Price for Options</w:t>
      </w:r>
      <w:r>
        <w:rPr>
          <w:rFonts w:ascii="Arial" w:cs="Arial" w:eastAsia="Arial" w:hAnsi="Arial"/>
          <w:sz w:val="17"/>
          <w:szCs w:val="17"/>
          <w:color w:val="auto"/>
        </w:rPr>
        <w:t>. The purchase price of Common Stock acquired pursuant to the exercise of an Option may be paid,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applicable law and as determined by the Board in its sole discretion, by any combination of the methods of payment set forth below. The Board will have the authority to grant Options that do not permit all of the following methods of payment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72" w:right="51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otherwise restrict the ability to use certain methods) and to grant Options that require the consent of the Company to use a particular method of payment.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permitted methods of payment are as follows:</w:t>
      </w:r>
    </w:p>
    <w:p>
      <w:pPr>
        <w:spacing w:after="0" w:line="208" w:lineRule="exact"/>
        <w:rPr>
          <w:sz w:val="20"/>
          <w:szCs w:val="20"/>
          <w:color w:val="auto"/>
        </w:rPr>
      </w:pPr>
    </w:p>
    <w:p>
      <w:pPr>
        <w:ind w:left="1340" w:hanging="350"/>
        <w:spacing w:after="0"/>
        <w:tabs>
          <w:tab w:leader="none" w:pos="1340"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0" w:lineRule="exact"/>
        <w:rPr>
          <w:rFonts w:ascii="Arial" w:cs="Arial" w:eastAsia="Arial" w:hAnsi="Arial"/>
          <w:sz w:val="18"/>
          <w:szCs w:val="18"/>
          <w:b w:val="1"/>
          <w:bCs w:val="1"/>
          <w:color w:val="auto"/>
        </w:rPr>
      </w:pPr>
    </w:p>
    <w:p>
      <w:pPr>
        <w:ind w:right="80" w:firstLine="990"/>
        <w:spacing w:after="0" w:line="259" w:lineRule="auto"/>
        <w:tabs>
          <w:tab w:leader="none" w:pos="1378"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5" w:lineRule="exact"/>
        <w:rPr>
          <w:rFonts w:ascii="Arial" w:cs="Arial" w:eastAsia="Arial" w:hAnsi="Arial"/>
          <w:sz w:val="18"/>
          <w:szCs w:val="18"/>
          <w:b w:val="1"/>
          <w:bCs w:val="1"/>
          <w:color w:val="auto"/>
        </w:rPr>
      </w:pPr>
    </w:p>
    <w:p>
      <w:pPr>
        <w:ind w:left="1440" w:hanging="450"/>
        <w:spacing w:after="0"/>
        <w:tabs>
          <w:tab w:leader="none" w:pos="1440"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0" w:lineRule="exact"/>
        <w:rPr>
          <w:rFonts w:ascii="Arial" w:cs="Arial" w:eastAsia="Arial" w:hAnsi="Arial"/>
          <w:sz w:val="18"/>
          <w:szCs w:val="18"/>
          <w:b w:val="1"/>
          <w:bCs w:val="1"/>
          <w:color w:val="auto"/>
        </w:rPr>
      </w:pPr>
    </w:p>
    <w:p>
      <w:pPr>
        <w:ind w:right="200" w:firstLine="990"/>
        <w:spacing w:after="0" w:line="251" w:lineRule="auto"/>
        <w:tabs>
          <w:tab w:leader="none" w:pos="1418"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w:t>
      </w:r>
    </w:p>
    <w:p>
      <w:pPr>
        <w:spacing w:after="0" w:line="196" w:lineRule="exact"/>
        <w:rPr>
          <w:rFonts w:ascii="Arial" w:cs="Arial" w:eastAsia="Arial" w:hAnsi="Arial"/>
          <w:sz w:val="18"/>
          <w:szCs w:val="18"/>
          <w:b w:val="1"/>
          <w:bCs w:val="1"/>
          <w:color w:val="auto"/>
        </w:rPr>
      </w:pPr>
    </w:p>
    <w:p>
      <w:pPr>
        <w:ind w:right="20" w:firstLine="990"/>
        <w:spacing w:after="0" w:line="252" w:lineRule="auto"/>
        <w:tabs>
          <w:tab w:leader="none" w:pos="1368"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(including by the Optionholder delivering to the Company a promissory note on such terms determined by the Board in its sole discretion, if the Board has expressly authorized the loan of funds to the Optionholder for the purpose of enabling or assisting the Optionholder to effect the exercise of his or her Option);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93" w:lineRule="exact"/>
        <w:rPr>
          <w:rFonts w:ascii="Arial" w:cs="Arial" w:eastAsia="Arial" w:hAnsi="Arial"/>
          <w:sz w:val="18"/>
          <w:szCs w:val="18"/>
          <w:b w:val="1"/>
          <w:bCs w:val="1"/>
          <w:color w:val="auto"/>
        </w:rPr>
      </w:pPr>
    </w:p>
    <w:p>
      <w:pPr>
        <w:ind w:left="1420" w:hanging="430"/>
        <w:spacing w:after="0"/>
        <w:tabs>
          <w:tab w:leader="none" w:pos="1420" w:val="left"/>
        </w:tabs>
        <w:numPr>
          <w:ilvl w:val="1"/>
          <w:numId w:val="254"/>
        </w:numPr>
        <w:rPr>
          <w:rFonts w:ascii="Arial" w:cs="Arial" w:eastAsia="Arial" w:hAnsi="Arial"/>
          <w:sz w:val="16"/>
          <w:szCs w:val="16"/>
          <w:b w:val="1"/>
          <w:bCs w:val="1"/>
          <w:color w:val="auto"/>
        </w:rPr>
      </w:pPr>
      <w:r>
        <w:rPr>
          <w:rFonts w:ascii="Arial" w:cs="Arial" w:eastAsia="Arial" w:hAnsi="Arial"/>
          <w:sz w:val="16"/>
          <w:szCs w:val="16"/>
          <w:color w:val="auto"/>
        </w:rPr>
        <w:t>in any other form of legal consideration that may be acceptable to the Board and specified in the applicable Stock Award Agreement.</w:t>
      </w:r>
    </w:p>
    <w:p>
      <w:pPr>
        <w:spacing w:after="0" w:line="239" w:lineRule="exact"/>
        <w:rPr>
          <w:rFonts w:ascii="Arial" w:cs="Arial" w:eastAsia="Arial" w:hAnsi="Arial"/>
          <w:sz w:val="16"/>
          <w:szCs w:val="16"/>
          <w:b w:val="1"/>
          <w:bCs w:val="1"/>
          <w:color w:val="auto"/>
        </w:rPr>
      </w:pPr>
    </w:p>
    <w:p>
      <w:pPr>
        <w:ind w:right="20" w:firstLine="444"/>
        <w:spacing w:after="0" w:line="252" w:lineRule="auto"/>
        <w:tabs>
          <w:tab w:leader="none" w:pos="832"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and Payment of a SAR</w:t>
      </w:r>
      <w:r>
        <w:rPr>
          <w:rFonts w:ascii="Arial" w:cs="Arial" w:eastAsia="Arial" w:hAnsi="Arial"/>
          <w:sz w:val="18"/>
          <w:szCs w:val="18"/>
          <w:color w:val="auto"/>
        </w:rPr>
        <w:t>. To exercise any outstanding SAR, the Participant must provide written notice of exercise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322" w:name="page323"/>
    <w:bookmarkEnd w:id="322"/>
    <w:p>
      <w:pPr>
        <w:ind w:left="-20" w:firstLine="444"/>
        <w:spacing w:after="0" w:line="261" w:lineRule="auto"/>
        <w:tabs>
          <w:tab w:leader="none" w:pos="792"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Transferability of Options and SARs</w:t>
      </w:r>
      <w:r>
        <w:rPr>
          <w:rFonts w:ascii="Arial" w:cs="Arial" w:eastAsia="Arial" w:hAnsi="Arial"/>
          <w:sz w:val="18"/>
          <w:szCs w:val="18"/>
          <w:color w:val="auto"/>
        </w:rPr>
        <w:t>. 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will determine. In the absence of such a determination by the Board to the contrary, the following restrictions on the transferability of Options and SARs will apply:</w:t>
      </w:r>
    </w:p>
    <w:p>
      <w:pPr>
        <w:spacing w:after="0" w:line="180" w:lineRule="exact"/>
        <w:rPr>
          <w:rFonts w:ascii="Arial" w:cs="Arial" w:eastAsia="Arial" w:hAnsi="Arial"/>
          <w:sz w:val="18"/>
          <w:szCs w:val="18"/>
          <w:b w:val="1"/>
          <w:bCs w:val="1"/>
          <w:color w:val="auto"/>
        </w:rPr>
      </w:pPr>
    </w:p>
    <w:p>
      <w:pPr>
        <w:ind w:left="-20" w:right="100" w:firstLine="990"/>
        <w:spacing w:after="0" w:line="257" w:lineRule="auto"/>
        <w:tabs>
          <w:tab w:leader="none" w:pos="1309"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83" w:lineRule="exact"/>
        <w:rPr>
          <w:rFonts w:ascii="Arial" w:cs="Arial" w:eastAsia="Arial" w:hAnsi="Arial"/>
          <w:sz w:val="18"/>
          <w:szCs w:val="18"/>
          <w:b w:val="1"/>
          <w:bCs w:val="1"/>
          <w:color w:val="auto"/>
        </w:rPr>
      </w:pPr>
    </w:p>
    <w:p>
      <w:pPr>
        <w:ind w:left="-20" w:right="20" w:firstLine="990"/>
        <w:spacing w:after="0" w:line="257" w:lineRule="auto"/>
        <w:tabs>
          <w:tab w:leader="none" w:pos="1358"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83" w:lineRule="exact"/>
        <w:rPr>
          <w:rFonts w:ascii="Arial" w:cs="Arial" w:eastAsia="Arial" w:hAnsi="Arial"/>
          <w:sz w:val="18"/>
          <w:szCs w:val="18"/>
          <w:b w:val="1"/>
          <w:bCs w:val="1"/>
          <w:color w:val="auto"/>
        </w:rPr>
      </w:pPr>
    </w:p>
    <w:p>
      <w:pPr>
        <w:ind w:left="-20" w:right="40" w:firstLine="990"/>
        <w:spacing w:after="0" w:line="252" w:lineRule="auto"/>
        <w:tabs>
          <w:tab w:leader="none" w:pos="1408"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Subject to the approval of the Board or a duly authorized Officer, a Participant may, by delivering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90" w:lineRule="exact"/>
        <w:rPr>
          <w:rFonts w:ascii="Arial" w:cs="Arial" w:eastAsia="Arial" w:hAnsi="Arial"/>
          <w:sz w:val="18"/>
          <w:szCs w:val="18"/>
          <w:b w:val="1"/>
          <w:bCs w:val="1"/>
          <w:color w:val="auto"/>
        </w:rPr>
      </w:pPr>
    </w:p>
    <w:p>
      <w:pPr>
        <w:ind w:left="-20" w:right="100" w:firstLine="444"/>
        <w:spacing w:after="0" w:line="273" w:lineRule="auto"/>
        <w:tabs>
          <w:tab w:leader="none" w:pos="773"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The total number of shares of Common Stock subject to an Option or SAR may vest and become exercisable in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2" w:lineRule="exact"/>
        <w:rPr>
          <w:rFonts w:ascii="Arial" w:cs="Arial" w:eastAsia="Arial" w:hAnsi="Arial"/>
          <w:sz w:val="17"/>
          <w:szCs w:val="17"/>
          <w:b w:val="1"/>
          <w:bCs w:val="1"/>
          <w:color w:val="auto"/>
        </w:rPr>
      </w:pPr>
    </w:p>
    <w:p>
      <w:pPr>
        <w:ind w:left="-20" w:right="20" w:firstLine="444"/>
        <w:spacing w:after="0" w:line="268" w:lineRule="auto"/>
        <w:tabs>
          <w:tab w:leader="none" w:pos="802"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Continuous Service</w:t>
      </w:r>
      <w:r>
        <w:rPr>
          <w:rFonts w:ascii="Arial" w:cs="Arial" w:eastAsia="Arial" w:hAnsi="Arial"/>
          <w:sz w:val="17"/>
          <w:szCs w:val="17"/>
          <w:color w:val="auto"/>
        </w:rPr>
        <w:t>. Except as otherwise provided in the applicable Stock Award Agreement or other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months following the termination of the Participant’s Continuous Service (or such longer or shorter period specified in the applicable Stock Award Agreement, which period will not be less than 30 days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(as applicable) within the applicable time frame, the Option or SAR will terminate.</w:t>
      </w:r>
    </w:p>
    <w:p>
      <w:pPr>
        <w:spacing w:after="0" w:line="179" w:lineRule="exact"/>
        <w:rPr>
          <w:rFonts w:ascii="Arial" w:cs="Arial" w:eastAsia="Arial" w:hAnsi="Arial"/>
          <w:sz w:val="17"/>
          <w:szCs w:val="17"/>
          <w:b w:val="1"/>
          <w:bCs w:val="1"/>
          <w:color w:val="auto"/>
        </w:rPr>
      </w:pPr>
    </w:p>
    <w:p>
      <w:pPr>
        <w:ind w:left="-20" w:right="240" w:firstLine="444"/>
        <w:spacing w:after="0" w:line="284" w:lineRule="auto"/>
        <w:tabs>
          <w:tab w:leader="none" w:pos="812"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the exercise of an Option or SAR following the termination of the Participant’s Continuous Service (other than for Cause and other than upon the Participant’s death or Disability) would be prohibited at any time solely because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500" w:top="268" w:right="499" w:bottom="1440" w:gutter="0" w:footer="0" w:header="0"/>
        </w:sectPr>
      </w:pPr>
    </w:p>
    <w:bookmarkStart w:id="323" w:name="page324"/>
    <w:bookmarkEnd w:id="323"/>
    <w:p>
      <w:pPr>
        <w:ind w:right="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the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and (ii) the expiration of the term of the Option or SAR as set forth in the applicable Stock Award Agreement.</w:t>
      </w:r>
    </w:p>
    <w:p>
      <w:pPr>
        <w:spacing w:after="0" w:line="175" w:lineRule="exact"/>
        <w:rPr>
          <w:sz w:val="20"/>
          <w:szCs w:val="20"/>
          <w:color w:val="auto"/>
        </w:rPr>
      </w:pPr>
    </w:p>
    <w:p>
      <w:pPr>
        <w:ind w:right="120" w:firstLine="444"/>
        <w:spacing w:after="0" w:line="268" w:lineRule="auto"/>
        <w:tabs>
          <w:tab w:leader="none" w:pos="783"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Disability of Participant</w:t>
      </w:r>
      <w:r>
        <w:rPr>
          <w:rFonts w:ascii="Arial" w:cs="Arial" w:eastAsia="Arial" w:hAnsi="Arial"/>
          <w:sz w:val="17"/>
          <w:szCs w:val="17"/>
          <w:color w:val="auto"/>
        </w:rPr>
        <w:t>. 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which period will not be less than six months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79" w:lineRule="exact"/>
        <w:rPr>
          <w:rFonts w:ascii="Arial" w:cs="Arial" w:eastAsia="Arial" w:hAnsi="Arial"/>
          <w:sz w:val="17"/>
          <w:szCs w:val="17"/>
          <w:b w:val="1"/>
          <w:bCs w:val="1"/>
          <w:color w:val="auto"/>
        </w:rPr>
      </w:pPr>
    </w:p>
    <w:p>
      <w:pPr>
        <w:ind w:firstLine="444"/>
        <w:spacing w:after="0" w:line="267" w:lineRule="auto"/>
        <w:tabs>
          <w:tab w:leader="none" w:pos="793"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Death of Participant</w:t>
      </w:r>
      <w:r>
        <w:rPr>
          <w:rFonts w:ascii="Arial" w:cs="Arial" w:eastAsia="Arial" w:hAnsi="Arial"/>
          <w:sz w:val="17"/>
          <w:szCs w:val="17"/>
          <w:color w:val="auto"/>
        </w:rPr>
        <w:t>. Except as otherwise provided in the applicable Stock Award Agreement or other agreement between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Stock Award Agreement, which period will not be less than six months if necessary to comply with applicable laws unless such termination is for Cause),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79" w:lineRule="exact"/>
        <w:rPr>
          <w:rFonts w:ascii="Arial" w:cs="Arial" w:eastAsia="Arial" w:hAnsi="Arial"/>
          <w:sz w:val="17"/>
          <w:szCs w:val="17"/>
          <w:b w:val="1"/>
          <w:bCs w:val="1"/>
          <w:color w:val="auto"/>
        </w:rPr>
      </w:pPr>
    </w:p>
    <w:p>
      <w:pPr>
        <w:ind w:right="140" w:firstLine="444"/>
        <w:spacing w:after="0" w:line="277" w:lineRule="auto"/>
        <w:tabs>
          <w:tab w:leader="none" w:pos="874"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for Cause</w:t>
      </w:r>
      <w:r>
        <w:rPr>
          <w:rFonts w:ascii="Arial" w:cs="Arial" w:eastAsia="Arial" w:hAnsi="Arial"/>
          <w:sz w:val="17"/>
          <w:szCs w:val="17"/>
          <w:color w:val="auto"/>
        </w:rPr>
        <w:t>. Except as explicitly provided otherwise in a Participant’s Stock Award Agreement or other individual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167" w:lineRule="exact"/>
        <w:rPr>
          <w:rFonts w:ascii="Arial" w:cs="Arial" w:eastAsia="Arial" w:hAnsi="Arial"/>
          <w:sz w:val="17"/>
          <w:szCs w:val="17"/>
          <w:b w:val="1"/>
          <w:bCs w:val="1"/>
          <w:color w:val="auto"/>
        </w:rPr>
      </w:pPr>
    </w:p>
    <w:p>
      <w:pPr>
        <w:ind w:right="380" w:firstLine="444"/>
        <w:spacing w:after="0" w:line="275" w:lineRule="auto"/>
        <w:tabs>
          <w:tab w:leader="none" w:pos="783"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If an Option or SAR is granted to an Employee who is a non-exempt employee for purposes of the Fair Labor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Act of 1938, as amended, the Option or SAR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324" w:name="page325"/>
    <w:bookmarkEnd w:id="324"/>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81" w:lineRule="exact"/>
        <w:rPr>
          <w:sz w:val="20"/>
          <w:szCs w:val="20"/>
          <w:color w:val="auto"/>
        </w:rPr>
      </w:pPr>
    </w:p>
    <w:p>
      <w:pPr>
        <w:ind w:right="140" w:firstLine="444"/>
        <w:spacing w:after="0" w:line="291" w:lineRule="auto"/>
        <w:tabs>
          <w:tab w:leader="none" w:pos="882" w:val="left"/>
        </w:tabs>
        <w:numPr>
          <w:ilvl w:val="1"/>
          <w:numId w:val="258"/>
        </w:numPr>
        <w:rPr>
          <w:rFonts w:ascii="Arial" w:cs="Arial" w:eastAsia="Arial" w:hAnsi="Arial"/>
          <w:sz w:val="16"/>
          <w:szCs w:val="16"/>
          <w:b w:val="1"/>
          <w:bCs w:val="1"/>
          <w:color w:val="auto"/>
        </w:rPr>
      </w:pPr>
      <w:r>
        <w:rPr>
          <w:rFonts w:ascii="Arial" w:cs="Arial" w:eastAsia="Arial" w:hAnsi="Arial"/>
          <w:sz w:val="16"/>
          <w:szCs w:val="16"/>
          <w:b w:val="1"/>
          <w:bCs w:val="1"/>
          <w:color w:val="auto"/>
        </w:rPr>
        <w:t>Early Exercise of Options</w:t>
      </w:r>
      <w:r>
        <w:rPr>
          <w:rFonts w:ascii="Arial" w:cs="Arial" w:eastAsia="Arial" w:hAnsi="Arial"/>
          <w:sz w:val="16"/>
          <w:szCs w:val="16"/>
          <w:color w:val="auto"/>
        </w:rPr>
        <w:t>. An Option may, but need not, include a provision whereby the Optionholder may elect at any time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Optionholder’s Continuous Service terminates to exercise the Option as to any part or all of the shares of Common Stock subject to the Option prior to the full vesting of the Option. Any unvested shares of Common Stock so purchased may be subject to a repurchase right in favor of the Company or to any other restriction the Board determines to be appropriate. The Company will not be required to exercise its repurchase right until at least six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59" w:lineRule="exact"/>
        <w:rPr>
          <w:rFonts w:ascii="Arial" w:cs="Arial" w:eastAsia="Arial" w:hAnsi="Arial"/>
          <w:sz w:val="16"/>
          <w:szCs w:val="16"/>
          <w:b w:val="1"/>
          <w:bCs w:val="1"/>
          <w:color w:val="auto"/>
        </w:rPr>
      </w:pPr>
    </w:p>
    <w:p>
      <w:pPr>
        <w:ind w:right="380" w:firstLine="444"/>
        <w:spacing w:after="0" w:line="275" w:lineRule="auto"/>
        <w:tabs>
          <w:tab w:leader="none" w:pos="832" w:val="left"/>
        </w:tabs>
        <w:numPr>
          <w:ilvl w:val="1"/>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w:t>
      </w:r>
      <w:r>
        <w:rPr>
          <w:rFonts w:ascii="Arial" w:cs="Arial" w:eastAsia="Arial" w:hAnsi="Arial"/>
          <w:sz w:val="18"/>
          <w:szCs w:val="18"/>
          <w:color w:val="auto"/>
        </w:rPr>
        <w:t>. The Option or SAR may include a provision whereby the Company may elect to repurchase all or any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acquired by the Participant pursuant to the exercise of the Option or SAR.</w:t>
      </w:r>
    </w:p>
    <w:p>
      <w:pPr>
        <w:spacing w:after="0" w:line="167" w:lineRule="exact"/>
        <w:rPr>
          <w:rFonts w:ascii="Arial" w:cs="Arial" w:eastAsia="Arial" w:hAnsi="Arial"/>
          <w:sz w:val="18"/>
          <w:szCs w:val="18"/>
          <w:b w:val="1"/>
          <w:bCs w:val="1"/>
          <w:color w:val="auto"/>
        </w:rPr>
      </w:pPr>
    </w:p>
    <w:p>
      <w:pPr>
        <w:ind w:right="140" w:firstLine="444"/>
        <w:spacing w:after="0" w:line="257" w:lineRule="auto"/>
        <w:tabs>
          <w:tab w:leader="none" w:pos="822" w:val="left"/>
        </w:tabs>
        <w:numPr>
          <w:ilvl w:val="1"/>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The Option or SAR may include a provision whereby the Company may elect to exercise a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notice from the Participant of the intent to transfer all or any part of the shares of Common Stock received upon the exercise of the Option or SAR. Except as expressly provided in this Section 5(o) or in the Stock Award Agreement, such right of first refusal will otherwise comply with any applicable provisions of the bylaws of the Company.</w:t>
      </w:r>
    </w:p>
    <w:p>
      <w:pPr>
        <w:spacing w:after="0" w:line="330" w:lineRule="exact"/>
        <w:rPr>
          <w:rFonts w:ascii="Arial" w:cs="Arial" w:eastAsia="Arial" w:hAnsi="Arial"/>
          <w:sz w:val="18"/>
          <w:szCs w:val="18"/>
          <w:b w:val="1"/>
          <w:bCs w:val="1"/>
          <w:color w:val="auto"/>
        </w:rPr>
      </w:pPr>
    </w:p>
    <w:p>
      <w:pPr>
        <w:ind w:left="440" w:hanging="433"/>
        <w:spacing w:after="0"/>
        <w:tabs>
          <w:tab w:leader="none" w:pos="4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 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4"/>
          <w:szCs w:val="14"/>
          <w:b w:val="1"/>
          <w:bCs w:val="1"/>
          <w:color w:val="auto"/>
        </w:rPr>
        <w:t>S</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right="160" w:firstLine="444"/>
        <w:spacing w:after="0" w:line="271" w:lineRule="auto"/>
        <w:tabs>
          <w:tab w:leader="none" w:pos="822" w:val="left"/>
        </w:tabs>
        <w:numPr>
          <w:ilvl w:val="1"/>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r>
        <w:rPr>
          <w:rFonts w:ascii="Arial" w:cs="Arial" w:eastAsia="Arial" w:hAnsi="Arial"/>
          <w:sz w:val="17"/>
          <w:szCs w:val="17"/>
          <w:color w:val="auto"/>
        </w:rPr>
        <w:t>. Each Restricted Stock Award Agreement will be in such form and will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will deem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325" w:name="page326"/>
    <w:bookmarkEnd w:id="3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(through incorporation of the provisions hereof by reference in the agreement or otherwise) the substance of each of the following provisions:</w:t>
      </w:r>
    </w:p>
    <w:p>
      <w:pPr>
        <w:spacing w:after="0" w:line="228" w:lineRule="exact"/>
        <w:rPr>
          <w:sz w:val="20"/>
          <w:szCs w:val="20"/>
          <w:color w:val="auto"/>
        </w:rPr>
      </w:pPr>
    </w:p>
    <w:p>
      <w:pPr>
        <w:ind w:right="100" w:firstLine="990"/>
        <w:spacing w:after="0" w:line="261" w:lineRule="auto"/>
        <w:tabs>
          <w:tab w:leader="none" w:pos="1329" w:val="left"/>
        </w:tabs>
        <w:numPr>
          <w:ilvl w:val="1"/>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or cash equivalents, (B) past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 Affiliate, or (C) any other form of legal consideration (including future services) that may be acceptable to the Board, in its sole discretion, and permissible under applicable law.</w:t>
      </w:r>
    </w:p>
    <w:p>
      <w:pPr>
        <w:spacing w:after="0" w:line="180" w:lineRule="exact"/>
        <w:rPr>
          <w:rFonts w:ascii="Arial" w:cs="Arial" w:eastAsia="Arial" w:hAnsi="Arial"/>
          <w:sz w:val="18"/>
          <w:szCs w:val="18"/>
          <w:b w:val="1"/>
          <w:bCs w:val="1"/>
          <w:color w:val="auto"/>
        </w:rPr>
      </w:pPr>
    </w:p>
    <w:p>
      <w:pPr>
        <w:ind w:right="660" w:firstLine="990"/>
        <w:spacing w:after="0" w:line="275" w:lineRule="auto"/>
        <w:tabs>
          <w:tab w:leader="none" w:pos="1378" w:val="left"/>
        </w:tabs>
        <w:numPr>
          <w:ilvl w:val="1"/>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Shares of Common Stock awarded under the Restricted Stock Award Agreement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a vesting schedule to be determined by the Board.</w:t>
      </w:r>
    </w:p>
    <w:p>
      <w:pPr>
        <w:spacing w:after="0" w:line="167" w:lineRule="exact"/>
        <w:rPr>
          <w:rFonts w:ascii="Arial" w:cs="Arial" w:eastAsia="Arial" w:hAnsi="Arial"/>
          <w:sz w:val="18"/>
          <w:szCs w:val="18"/>
          <w:b w:val="1"/>
          <w:bCs w:val="1"/>
          <w:color w:val="auto"/>
        </w:rPr>
      </w:pPr>
    </w:p>
    <w:p>
      <w:pPr>
        <w:ind w:right="120" w:firstLine="990"/>
        <w:spacing w:after="0" w:line="284" w:lineRule="auto"/>
        <w:tabs>
          <w:tab w:leader="none" w:pos="1428" w:val="left"/>
        </w:tabs>
        <w:numPr>
          <w:ilvl w:val="1"/>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Participant’s Continuous Service</w:t>
      </w:r>
      <w:r>
        <w:rPr>
          <w:rFonts w:ascii="Arial" w:cs="Arial" w:eastAsia="Arial" w:hAnsi="Arial"/>
          <w:sz w:val="17"/>
          <w:szCs w:val="17"/>
          <w:color w:val="auto"/>
        </w:rPr>
        <w:t>. If a Participant’s Continuous Service terminates, the Company may receive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a forfeiture condition and/or a repurchase or reacquisition right, any or all of the shares of Common Stock held by the Participant that have not vested as of the date of termination of Continuous Service under the terms of the Restricted Stock Award Agreement.</w:t>
      </w:r>
    </w:p>
    <w:p>
      <w:pPr>
        <w:spacing w:after="0" w:line="161" w:lineRule="exact"/>
        <w:rPr>
          <w:rFonts w:ascii="Arial" w:cs="Arial" w:eastAsia="Arial" w:hAnsi="Arial"/>
          <w:sz w:val="17"/>
          <w:szCs w:val="17"/>
          <w:b w:val="1"/>
          <w:bCs w:val="1"/>
          <w:color w:val="auto"/>
        </w:rPr>
      </w:pPr>
    </w:p>
    <w:p>
      <w:pPr>
        <w:ind w:firstLine="990"/>
        <w:spacing w:after="0" w:line="257" w:lineRule="auto"/>
        <w:tabs>
          <w:tab w:leader="none" w:pos="1418" w:val="left"/>
        </w:tabs>
        <w:numPr>
          <w:ilvl w:val="1"/>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will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83" w:lineRule="exact"/>
        <w:rPr>
          <w:rFonts w:ascii="Arial" w:cs="Arial" w:eastAsia="Arial" w:hAnsi="Arial"/>
          <w:sz w:val="18"/>
          <w:szCs w:val="18"/>
          <w:b w:val="1"/>
          <w:bCs w:val="1"/>
          <w:color w:val="auto"/>
        </w:rPr>
      </w:pPr>
    </w:p>
    <w:p>
      <w:pPr>
        <w:ind w:right="360" w:firstLine="990"/>
        <w:spacing w:after="0" w:line="306" w:lineRule="auto"/>
        <w:tabs>
          <w:tab w:leader="none" w:pos="1368" w:val="left"/>
        </w:tabs>
        <w:numPr>
          <w:ilvl w:val="1"/>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 A Restricted Stock Award Agreement may provide that any dividends paid on Restricted Stock will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vesting and forfeiture restrictions as apply to the shares subject to the Restricted Stock Award to which they relate</w:t>
      </w:r>
    </w:p>
    <w:p>
      <w:pPr>
        <w:spacing w:after="0" w:line="143" w:lineRule="exact"/>
        <w:rPr>
          <w:rFonts w:ascii="Arial" w:cs="Arial" w:eastAsia="Arial" w:hAnsi="Arial"/>
          <w:sz w:val="17"/>
          <w:szCs w:val="17"/>
          <w:b w:val="1"/>
          <w:bCs w:val="1"/>
          <w:color w:val="auto"/>
        </w:rPr>
      </w:pPr>
    </w:p>
    <w:p>
      <w:pPr>
        <w:ind w:right="640" w:firstLine="990"/>
        <w:spacing w:after="0" w:line="306" w:lineRule="auto"/>
        <w:tabs>
          <w:tab w:leader="none" w:pos="1418" w:val="left"/>
        </w:tabs>
        <w:numPr>
          <w:ilvl w:val="1"/>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Right of Repurchase</w:t>
      </w:r>
      <w:r>
        <w:rPr>
          <w:rFonts w:ascii="Arial" w:cs="Arial" w:eastAsia="Arial" w:hAnsi="Arial"/>
          <w:sz w:val="17"/>
          <w:szCs w:val="17"/>
          <w:color w:val="auto"/>
        </w:rPr>
        <w:t>. The Restricted Stock Award Agreement may include a provision whereby the Company may elect to</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all or any part of the shares of Common Stock acquired by the Participant pursuant to the Restricted Stock Award.</w:t>
      </w:r>
    </w:p>
    <w:p>
      <w:pPr>
        <w:spacing w:after="0" w:line="143" w:lineRule="exact"/>
        <w:rPr>
          <w:rFonts w:ascii="Arial" w:cs="Arial" w:eastAsia="Arial" w:hAnsi="Arial"/>
          <w:sz w:val="17"/>
          <w:szCs w:val="17"/>
          <w:b w:val="1"/>
          <w:bCs w:val="1"/>
          <w:color w:val="auto"/>
        </w:rPr>
      </w:pPr>
    </w:p>
    <w:p>
      <w:pPr>
        <w:ind w:right="140" w:firstLine="444"/>
        <w:spacing w:after="0" w:line="255" w:lineRule="auto"/>
        <w:tabs>
          <w:tab w:leader="none" w:pos="832"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 Awards</w:t>
      </w:r>
      <w:r>
        <w:rPr>
          <w:rFonts w:ascii="Arial" w:cs="Arial" w:eastAsia="Arial" w:hAnsi="Arial"/>
          <w:sz w:val="18"/>
          <w:szCs w:val="18"/>
          <w:color w:val="auto"/>
        </w:rPr>
        <w:t>. Each Restricted Stock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84" w:lineRule="exact"/>
        <w:rPr>
          <w:rFonts w:ascii="Arial" w:cs="Arial" w:eastAsia="Arial" w:hAnsi="Arial"/>
          <w:sz w:val="18"/>
          <w:szCs w:val="18"/>
          <w:b w:val="1"/>
          <w:bCs w:val="1"/>
          <w:color w:val="auto"/>
        </w:rPr>
      </w:pPr>
    </w:p>
    <w:p>
      <w:pPr>
        <w:ind w:firstLine="990"/>
        <w:spacing w:after="0" w:line="257" w:lineRule="auto"/>
        <w:tabs>
          <w:tab w:leader="none" w:pos="1329" w:val="left"/>
        </w:tabs>
        <w:numPr>
          <w:ilvl w:val="1"/>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At the time of grant of a Restricted Stock Unit Award, the Board will determine the consideration, if any,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3" w:lineRule="exact"/>
        <w:rPr>
          <w:rFonts w:ascii="Arial" w:cs="Arial" w:eastAsia="Arial" w:hAnsi="Arial"/>
          <w:sz w:val="18"/>
          <w:szCs w:val="18"/>
          <w:b w:val="1"/>
          <w:bCs w:val="1"/>
          <w:color w:val="auto"/>
        </w:rPr>
      </w:pPr>
    </w:p>
    <w:p>
      <w:pPr>
        <w:ind w:right="240" w:firstLine="990"/>
        <w:spacing w:after="0" w:line="275" w:lineRule="auto"/>
        <w:tabs>
          <w:tab w:leader="none" w:pos="1378" w:val="left"/>
        </w:tabs>
        <w:numPr>
          <w:ilvl w:val="1"/>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72" w:right="519" w:bottom="1440" w:gutter="0" w:footer="0" w:header="0"/>
        </w:sectPr>
      </w:pPr>
    </w:p>
    <w:bookmarkStart w:id="326" w:name="page327"/>
    <w:bookmarkEnd w:id="326"/>
    <w:p>
      <w:pPr>
        <w:ind w:left="-7" w:right="220" w:firstLine="990"/>
        <w:spacing w:after="0" w:line="340" w:lineRule="auto"/>
        <w:tabs>
          <w:tab w:leader="none" w:pos="1420" w:val="left"/>
        </w:tabs>
        <w:numPr>
          <w:ilvl w:val="2"/>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20" w:lineRule="exact"/>
        <w:rPr>
          <w:rFonts w:ascii="Arial" w:cs="Arial" w:eastAsia="Arial" w:hAnsi="Arial"/>
          <w:sz w:val="16"/>
          <w:szCs w:val="16"/>
          <w:b w:val="1"/>
          <w:bCs w:val="1"/>
          <w:color w:val="auto"/>
        </w:rPr>
      </w:pPr>
    </w:p>
    <w:p>
      <w:pPr>
        <w:jc w:val="both"/>
        <w:ind w:left="-7" w:firstLine="990"/>
        <w:spacing w:after="0" w:line="299" w:lineRule="auto"/>
        <w:tabs>
          <w:tab w:leader="none" w:pos="1410" w:val="left"/>
        </w:tabs>
        <w:numPr>
          <w:ilvl w:val="2"/>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Restrictions</w:t>
      </w:r>
      <w:r>
        <w:rPr>
          <w:rFonts w:ascii="Arial" w:cs="Arial" w:eastAsia="Arial" w:hAnsi="Arial"/>
          <w:sz w:val="16"/>
          <w:szCs w:val="16"/>
          <w:color w:val="auto"/>
        </w:rPr>
        <w:t>. At the time of the grant of a Restricted Stock Unit Award, the Board, as it deems appropriate, may impose</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restrictions or conditions that delay the delivery of the shares of Common Stock (or their cash equivalent) subject to a Restricted Stock Unit Award to a time after the vesting of such Restricted Stock Unit Award. The Restricted Stock Unit Award may include a provision whereby the Company may elect to repurchase all or any part of the shares of Common Stock issued to the participant in connection with the Restricted Stock Unit Award.</w:t>
      </w:r>
    </w:p>
    <w:p>
      <w:pPr>
        <w:spacing w:after="0" w:line="153" w:lineRule="exact"/>
        <w:rPr>
          <w:rFonts w:ascii="Arial" w:cs="Arial" w:eastAsia="Arial" w:hAnsi="Arial"/>
          <w:sz w:val="16"/>
          <w:szCs w:val="16"/>
          <w:b w:val="1"/>
          <w:bCs w:val="1"/>
          <w:color w:val="auto"/>
        </w:rPr>
      </w:pPr>
    </w:p>
    <w:p>
      <w:pPr>
        <w:ind w:left="-7" w:right="20" w:firstLine="990"/>
        <w:spacing w:after="0" w:line="253" w:lineRule="auto"/>
        <w:tabs>
          <w:tab w:leader="none" w:pos="1361" w:val="left"/>
        </w:tabs>
        <w:numPr>
          <w:ilvl w:val="2"/>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Dividend equivalents may be credited in respect of shares of Common Stock covered by a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Unless otherwise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88" w:lineRule="exact"/>
        <w:rPr>
          <w:rFonts w:ascii="Arial" w:cs="Arial" w:eastAsia="Arial" w:hAnsi="Arial"/>
          <w:sz w:val="18"/>
          <w:szCs w:val="18"/>
          <w:b w:val="1"/>
          <w:bCs w:val="1"/>
          <w:color w:val="auto"/>
        </w:rPr>
      </w:pPr>
    </w:p>
    <w:p>
      <w:pPr>
        <w:ind w:left="-7" w:right="240" w:firstLine="990"/>
        <w:spacing w:after="0" w:line="261" w:lineRule="auto"/>
        <w:tabs>
          <w:tab w:leader="none" w:pos="1410" w:val="left"/>
        </w:tabs>
        <w:numPr>
          <w:ilvl w:val="2"/>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80" w:lineRule="exact"/>
        <w:rPr>
          <w:rFonts w:ascii="Arial" w:cs="Arial" w:eastAsia="Arial" w:hAnsi="Arial"/>
          <w:sz w:val="18"/>
          <w:szCs w:val="18"/>
          <w:b w:val="1"/>
          <w:bCs w:val="1"/>
          <w:color w:val="auto"/>
        </w:rPr>
      </w:pPr>
    </w:p>
    <w:p>
      <w:pPr>
        <w:ind w:left="-7" w:firstLine="990"/>
        <w:spacing w:after="0" w:line="271" w:lineRule="auto"/>
        <w:tabs>
          <w:tab w:leader="none" w:pos="1460" w:val="left"/>
        </w:tabs>
        <w:numPr>
          <w:ilvl w:val="2"/>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Section 409A of the Code</w:t>
      </w:r>
      <w:r>
        <w:rPr>
          <w:rFonts w:ascii="Arial" w:cs="Arial" w:eastAsia="Arial" w:hAnsi="Arial"/>
          <w:sz w:val="17"/>
          <w:szCs w:val="17"/>
          <w:color w:val="auto"/>
        </w:rPr>
        <w:t>. Notwithstanding anything to the contrary set forth herein, any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73" w:lineRule="exact"/>
        <w:rPr>
          <w:rFonts w:ascii="Arial" w:cs="Arial" w:eastAsia="Arial" w:hAnsi="Arial"/>
          <w:sz w:val="17"/>
          <w:szCs w:val="17"/>
          <w:b w:val="1"/>
          <w:bCs w:val="1"/>
          <w:color w:val="auto"/>
        </w:rPr>
      </w:pPr>
    </w:p>
    <w:p>
      <w:pPr>
        <w:ind w:left="-7" w:firstLine="444"/>
        <w:spacing w:after="0" w:line="291" w:lineRule="auto"/>
        <w:tabs>
          <w:tab w:leader="none" w:pos="805" w:val="left"/>
        </w:tabs>
        <w:numPr>
          <w:ilvl w:val="1"/>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t>Other Stock Awards</w:t>
      </w:r>
      <w:r>
        <w:rPr>
          <w:rFonts w:ascii="Arial" w:cs="Arial" w:eastAsia="Arial" w:hAnsi="Arial"/>
          <w:sz w:val="16"/>
          <w:szCs w:val="16"/>
          <w:color w:val="auto"/>
        </w:rPr>
        <w:t>. Other forms of Stock Awards valued in whole or in part by reference to, or otherwise based on,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appreciation in value thereof (e.g., options or stock rights with an exercise price or strike price less than 100 percent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306" w:lineRule="exact"/>
        <w:rPr>
          <w:rFonts w:ascii="Arial" w:cs="Arial" w:eastAsia="Arial" w:hAnsi="Arial"/>
          <w:sz w:val="16"/>
          <w:szCs w:val="16"/>
          <w:b w:val="1"/>
          <w:bCs w:val="1"/>
          <w:color w:val="auto"/>
        </w:rPr>
      </w:pPr>
    </w:p>
    <w:p>
      <w:pPr>
        <w:ind w:left="433" w:hanging="433"/>
        <w:spacing w:after="0"/>
        <w:tabs>
          <w:tab w:leader="none" w:pos="433"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left="-7" w:right="40" w:firstLine="444"/>
        <w:spacing w:after="0" w:line="275" w:lineRule="auto"/>
        <w:tabs>
          <w:tab w:leader="none" w:pos="815" w:val="left"/>
        </w:tabs>
        <w:numPr>
          <w:ilvl w:val="1"/>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The Company will keep available at all times the number of shares of Common Stock reasonably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then-outstanding Stock Awards.</w:t>
      </w:r>
    </w:p>
    <w:p>
      <w:pPr>
        <w:spacing w:after="0" w:line="105"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53"/>
          </w:cols>
          <w:pgMar w:left="487" w:top="268" w:right="559" w:bottom="1440" w:gutter="0" w:footer="0" w:header="0"/>
        </w:sectPr>
      </w:pPr>
    </w:p>
    <w:bookmarkStart w:id="327" w:name="page328"/>
    <w:bookmarkEnd w:id="327"/>
    <w:p>
      <w:pPr>
        <w:ind w:left="-7" w:right="200" w:firstLine="444"/>
        <w:spacing w:after="0" w:line="287" w:lineRule="auto"/>
        <w:tabs>
          <w:tab w:leader="none" w:pos="825" w:val="left"/>
        </w:tabs>
        <w:numPr>
          <w:ilvl w:val="1"/>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Securities Law Compliance</w:t>
      </w:r>
      <w:r>
        <w:rPr>
          <w:rFonts w:ascii="Arial" w:cs="Arial" w:eastAsia="Arial" w:hAnsi="Arial"/>
          <w:sz w:val="16"/>
          <w:szCs w:val="16"/>
          <w:color w:val="auto"/>
        </w:rPr>
        <w:t>. The Company will seek to obtain from each regulatory commission or agency having jurisdiction over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 such authority as may be required to grant Stock Awards and to issue and sell shares of Common Stock upon exercise of the Stock Awards;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this undertaking will not require the Company to register under the Securities Act the Plan, any Stock Award or any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165" w:lineRule="exact"/>
        <w:rPr>
          <w:rFonts w:ascii="Arial" w:cs="Arial" w:eastAsia="Arial" w:hAnsi="Arial"/>
          <w:sz w:val="16"/>
          <w:szCs w:val="16"/>
          <w:b w:val="1"/>
          <w:bCs w:val="1"/>
          <w:color w:val="auto"/>
        </w:rPr>
      </w:pPr>
    </w:p>
    <w:p>
      <w:pPr>
        <w:jc w:val="both"/>
        <w:ind w:left="-7" w:firstLine="444"/>
        <w:spacing w:after="0" w:line="277" w:lineRule="auto"/>
        <w:tabs>
          <w:tab w:leader="none" w:pos="805" w:val="left"/>
        </w:tabs>
        <w:numPr>
          <w:ilvl w:val="1"/>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No Obligation to Notify or Minimize Taxes</w:t>
      </w:r>
      <w:r>
        <w:rPr>
          <w:rFonts w:ascii="Arial" w:cs="Arial" w:eastAsia="Arial" w:hAnsi="Arial"/>
          <w:sz w:val="17"/>
          <w:szCs w:val="17"/>
          <w:color w:val="auto"/>
        </w:rPr>
        <w:t>. The Company will have no duty or obligation to any Participant to advise such holder as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or manner of exercising such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314" w:lineRule="exact"/>
        <w:rPr>
          <w:rFonts w:ascii="Arial" w:cs="Arial" w:eastAsia="Arial" w:hAnsi="Arial"/>
          <w:sz w:val="17"/>
          <w:szCs w:val="17"/>
          <w:b w:val="1"/>
          <w:bCs w:val="1"/>
          <w:color w:val="auto"/>
        </w:rPr>
      </w:pPr>
    </w:p>
    <w:p>
      <w:pPr>
        <w:ind w:left="433" w:hanging="433"/>
        <w:spacing w:after="0"/>
        <w:tabs>
          <w:tab w:leader="none" w:pos="433"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left="-7" w:right="680" w:firstLine="444"/>
        <w:spacing w:after="0" w:line="275" w:lineRule="auto"/>
        <w:tabs>
          <w:tab w:leader="none" w:pos="815" w:val="left"/>
        </w:tabs>
        <w:numPr>
          <w:ilvl w:val="1"/>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7" w:lineRule="exact"/>
        <w:rPr>
          <w:rFonts w:ascii="Arial" w:cs="Arial" w:eastAsia="Arial" w:hAnsi="Arial"/>
          <w:sz w:val="18"/>
          <w:szCs w:val="18"/>
          <w:b w:val="1"/>
          <w:bCs w:val="1"/>
          <w:color w:val="auto"/>
        </w:rPr>
      </w:pPr>
    </w:p>
    <w:p>
      <w:pPr>
        <w:ind w:left="-7" w:firstLine="444"/>
        <w:spacing w:after="0" w:line="269" w:lineRule="auto"/>
        <w:tabs>
          <w:tab w:leader="none" w:pos="825" w:val="left"/>
        </w:tabs>
        <w:numPr>
          <w:ilvl w:val="1"/>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Corporate Action Constituting Grant of Stock Awards</w:t>
      </w:r>
      <w:r>
        <w:rPr>
          <w:rFonts w:ascii="Arial" w:cs="Arial" w:eastAsia="Arial" w:hAnsi="Arial"/>
          <w:sz w:val="17"/>
          <w:szCs w:val="17"/>
          <w:color w:val="auto"/>
        </w:rPr>
        <w:t>. Corporate action constituting a grant by the Company of a Stock Award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 in the Stock Award Agreement or related grant documents.</w:t>
      </w:r>
    </w:p>
    <w:p>
      <w:pPr>
        <w:spacing w:after="0" w:line="178" w:lineRule="exact"/>
        <w:rPr>
          <w:rFonts w:ascii="Arial" w:cs="Arial" w:eastAsia="Arial" w:hAnsi="Arial"/>
          <w:sz w:val="17"/>
          <w:szCs w:val="17"/>
          <w:b w:val="1"/>
          <w:bCs w:val="1"/>
          <w:color w:val="auto"/>
        </w:rPr>
      </w:pPr>
    </w:p>
    <w:p>
      <w:pPr>
        <w:ind w:left="-7" w:right="60" w:firstLine="444"/>
        <w:spacing w:after="0" w:line="268" w:lineRule="auto"/>
        <w:tabs>
          <w:tab w:leader="none" w:pos="805" w:val="left"/>
        </w:tabs>
        <w:numPr>
          <w:ilvl w:val="1"/>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 Rights</w:t>
      </w:r>
      <w:r>
        <w:rPr>
          <w:rFonts w:ascii="Arial" w:cs="Arial" w:eastAsia="Arial" w:hAnsi="Arial"/>
          <w:sz w:val="17"/>
          <w:szCs w:val="17"/>
          <w:color w:val="auto"/>
        </w:rPr>
        <w:t>. 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a Stock Award unless and until (i) such Participant has satisfied all requirements for exercise of, or the issuance of shares of Common Stock under, the Stock Award pursuant to its terms or as otherwise required by the Company at the time of exercise or issuance, which, in the Company’s discretion, may include, among other things, the Participant’s execution and delivery of any applicable securityholders’ agreement, investor rights agreement, voting agreement, drag-along agreement, right of first refusal and co-sale agreement or similar agreement that may be in effect from time to time among the Company and the holders of its capital securities (and which may contain, among other provisions, additional restrictions on transfer rights of repurchase in favor of the Company) and (ii) the issuance of the Common Stock subject to the Stock Award has been entered into the books and records of the Company.</w:t>
      </w:r>
    </w:p>
    <w:p>
      <w:pPr>
        <w:spacing w:after="0" w:line="117"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93"/>
          </w:cols>
          <w:pgMar w:left="487" w:top="268" w:right="519" w:bottom="1440" w:gutter="0" w:footer="0" w:header="0"/>
        </w:sectPr>
      </w:pPr>
    </w:p>
    <w:bookmarkStart w:id="328" w:name="page329"/>
    <w:bookmarkEnd w:id="328"/>
    <w:p>
      <w:pPr>
        <w:ind w:left="-20" w:right="40" w:firstLine="444"/>
        <w:spacing w:after="0" w:line="291" w:lineRule="auto"/>
        <w:tabs>
          <w:tab w:leader="none" w:pos="812"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 Employment or Other Service Rights</w:t>
      </w:r>
      <w:r>
        <w:rPr>
          <w:rFonts w:ascii="Arial" w:cs="Arial" w:eastAsia="Arial" w:hAnsi="Arial"/>
          <w:sz w:val="16"/>
          <w:szCs w:val="16"/>
          <w:color w:val="auto"/>
        </w:rPr>
        <w:t>. Nothing in the Plan, any Stock Award Agreement or any other instrument executed thereunder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59" w:lineRule="exact"/>
        <w:rPr>
          <w:rFonts w:ascii="Arial" w:cs="Arial" w:eastAsia="Arial" w:hAnsi="Arial"/>
          <w:sz w:val="16"/>
          <w:szCs w:val="16"/>
          <w:b w:val="1"/>
          <w:bCs w:val="1"/>
          <w:color w:val="auto"/>
        </w:rPr>
      </w:pPr>
    </w:p>
    <w:p>
      <w:pPr>
        <w:ind w:left="-20" w:firstLine="444"/>
        <w:spacing w:after="0" w:line="289" w:lineRule="auto"/>
        <w:tabs>
          <w:tab w:leader="none" w:pos="792"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Time Commitment</w:t>
      </w:r>
      <w:r>
        <w:rPr>
          <w:rFonts w:ascii="Arial" w:cs="Arial" w:eastAsia="Arial" w:hAnsi="Arial"/>
          <w:sz w:val="16"/>
          <w:szCs w:val="16"/>
          <w:color w:val="auto"/>
        </w:rPr>
        <w:t>. In the event a Participant’s regular level of time commitment in the performance of his or her services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Stock Award to the Participant, the Board has the right in its sole discretion (and without the Participant’s consent) to (x) make a corresponding reduction in the number of shares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161" w:lineRule="exact"/>
        <w:rPr>
          <w:rFonts w:ascii="Arial" w:cs="Arial" w:eastAsia="Arial" w:hAnsi="Arial"/>
          <w:sz w:val="16"/>
          <w:szCs w:val="16"/>
          <w:b w:val="1"/>
          <w:bCs w:val="1"/>
          <w:color w:val="auto"/>
        </w:rPr>
      </w:pPr>
    </w:p>
    <w:p>
      <w:pPr>
        <w:ind w:left="-20" w:right="60" w:firstLine="444"/>
        <w:spacing w:after="0" w:line="294" w:lineRule="auto"/>
        <w:tabs>
          <w:tab w:leader="none" w:pos="773"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Stock Option Limitations</w:t>
      </w:r>
      <w:r>
        <w:rPr>
          <w:rFonts w:ascii="Arial" w:cs="Arial" w:eastAsia="Arial" w:hAnsi="Arial"/>
          <w:sz w:val="16"/>
          <w:szCs w:val="16"/>
          <w:color w:val="auto"/>
        </w:rPr>
        <w:t>. To the extent that the aggregate Fair Market Value (determined at the time of grant)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6" w:lineRule="exact"/>
        <w:rPr>
          <w:rFonts w:ascii="Arial" w:cs="Arial" w:eastAsia="Arial" w:hAnsi="Arial"/>
          <w:sz w:val="16"/>
          <w:szCs w:val="16"/>
          <w:b w:val="1"/>
          <w:bCs w:val="1"/>
          <w:color w:val="auto"/>
        </w:rPr>
      </w:pPr>
    </w:p>
    <w:p>
      <w:pPr>
        <w:ind w:left="-20" w:right="20" w:firstLine="444"/>
        <w:spacing w:after="0" w:line="266" w:lineRule="auto"/>
        <w:tabs>
          <w:tab w:leader="none" w:pos="802"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Assurances</w:t>
      </w:r>
      <w:r>
        <w:rPr>
          <w:rFonts w:ascii="Arial" w:cs="Arial" w:eastAsia="Arial" w:hAnsi="Arial"/>
          <w:sz w:val="17"/>
          <w:szCs w:val="17"/>
          <w:color w:val="auto"/>
        </w:rPr>
        <w:t>. The Company may require a Participant, as a condition of exercising or acquiring Common Stock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the Participant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68" w:right="499" w:bottom="1440" w:gutter="0" w:footer="0" w:header="0"/>
        </w:sectPr>
      </w:pPr>
    </w:p>
    <w:bookmarkStart w:id="329" w:name="page330"/>
    <w:bookmarkEnd w:id="329"/>
    <w:p>
      <w:pPr>
        <w:ind w:left="-20" w:firstLine="444"/>
        <w:spacing w:after="0" w:line="289" w:lineRule="auto"/>
        <w:tabs>
          <w:tab w:leader="none" w:pos="812" w:val="left"/>
        </w:tabs>
        <w:numPr>
          <w:ilvl w:val="0"/>
          <w:numId w:val="26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Withholding Obligations</w:t>
      </w:r>
      <w:r>
        <w:rPr>
          <w:rFonts w:ascii="Arial" w:cs="Arial" w:eastAsia="Arial" w:hAnsi="Arial"/>
          <w:sz w:val="16"/>
          <w:szCs w:val="16"/>
          <w:color w:val="auto"/>
        </w:rPr>
        <w:t>. Unless prohibited by the terms of a Stock Award Agreement, the Company may, in its sole discretion, satisfy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161" w:lineRule="exact"/>
        <w:rPr>
          <w:rFonts w:ascii="Arial" w:cs="Arial" w:eastAsia="Arial" w:hAnsi="Arial"/>
          <w:sz w:val="16"/>
          <w:szCs w:val="16"/>
          <w:b w:val="1"/>
          <w:bCs w:val="1"/>
          <w:color w:val="auto"/>
        </w:rPr>
      </w:pPr>
    </w:p>
    <w:p>
      <w:pPr>
        <w:ind w:left="-20" w:right="120" w:firstLine="444"/>
        <w:spacing w:after="0" w:line="340" w:lineRule="auto"/>
        <w:tabs>
          <w:tab w:leader="none" w:pos="763" w:val="left"/>
        </w:tabs>
        <w:numPr>
          <w:ilvl w:val="0"/>
          <w:numId w:val="268"/>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Delivery</w:t>
      </w:r>
      <w:r>
        <w:rPr>
          <w:rFonts w:ascii="Arial" w:cs="Arial" w:eastAsia="Arial" w:hAnsi="Arial"/>
          <w:sz w:val="16"/>
          <w:szCs w:val="16"/>
          <w:color w:val="auto"/>
        </w:rPr>
        <w:t>. Any reference herein to a “written” agreement or document will include any agreement or document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or posted on the Company’s intranet (or other shared electronic medium controlled by the Company to which the Participant has access).</w:t>
      </w:r>
    </w:p>
    <w:p>
      <w:pPr>
        <w:spacing w:after="0" w:line="120" w:lineRule="exact"/>
        <w:rPr>
          <w:rFonts w:ascii="Arial" w:cs="Arial" w:eastAsia="Arial" w:hAnsi="Arial"/>
          <w:sz w:val="16"/>
          <w:szCs w:val="16"/>
          <w:b w:val="1"/>
          <w:bCs w:val="1"/>
          <w:color w:val="auto"/>
        </w:rPr>
      </w:pPr>
    </w:p>
    <w:p>
      <w:pPr>
        <w:ind w:left="-20" w:right="80" w:firstLine="444"/>
        <w:spacing w:after="0" w:line="289" w:lineRule="auto"/>
        <w:tabs>
          <w:tab w:leader="none" w:pos="773" w:val="left"/>
        </w:tabs>
        <w:numPr>
          <w:ilvl w:val="0"/>
          <w:numId w:val="268"/>
        </w:numPr>
        <w:rPr>
          <w:rFonts w:ascii="Arial" w:cs="Arial" w:eastAsia="Arial" w:hAnsi="Arial"/>
          <w:sz w:val="16"/>
          <w:szCs w:val="16"/>
          <w:b w:val="1"/>
          <w:bCs w:val="1"/>
          <w:color w:val="auto"/>
        </w:rPr>
      </w:pPr>
      <w:r>
        <w:rPr>
          <w:rFonts w:ascii="Arial" w:cs="Arial" w:eastAsia="Arial" w:hAnsi="Arial"/>
          <w:sz w:val="16"/>
          <w:szCs w:val="16"/>
          <w:b w:val="1"/>
          <w:bCs w:val="1"/>
          <w:color w:val="auto"/>
        </w:rPr>
        <w:t>Deferrals</w:t>
      </w:r>
      <w:r>
        <w:rPr>
          <w:rFonts w:ascii="Arial" w:cs="Arial" w:eastAsia="Arial" w:hAnsi="Arial"/>
          <w:sz w:val="16"/>
          <w:szCs w:val="16"/>
          <w:color w:val="auto"/>
        </w:rPr>
        <w:t>. 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61" w:lineRule="exact"/>
        <w:rPr>
          <w:rFonts w:ascii="Arial" w:cs="Arial" w:eastAsia="Arial" w:hAnsi="Arial"/>
          <w:sz w:val="16"/>
          <w:szCs w:val="16"/>
          <w:b w:val="1"/>
          <w:bCs w:val="1"/>
          <w:color w:val="auto"/>
        </w:rPr>
      </w:pPr>
    </w:p>
    <w:p>
      <w:pPr>
        <w:ind w:left="-20" w:firstLine="444"/>
        <w:spacing w:after="0" w:line="285" w:lineRule="auto"/>
        <w:tabs>
          <w:tab w:leader="none" w:pos="812" w:val="left"/>
        </w:tabs>
        <w:numPr>
          <w:ilvl w:val="0"/>
          <w:numId w:val="268"/>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Section 409A of the Code</w:t>
      </w:r>
      <w:r>
        <w:rPr>
          <w:rFonts w:ascii="Arial" w:cs="Arial" w:eastAsia="Arial" w:hAnsi="Arial"/>
          <w:sz w:val="16"/>
          <w:szCs w:val="16"/>
          <w:color w:val="auto"/>
        </w:rPr>
        <w:t>. To the extent that the Board determines that any Stock Award granted hereunder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 Notwithstanding anything to the contrary in the Plan (and unless the Stock Award Agreement specifically provides otherwise), if the shares of Common Stock are publicly traded, and if a Participant holding a Stock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4" w:lineRule="exact"/>
        <w:rPr>
          <w:rFonts w:ascii="Arial" w:cs="Arial" w:eastAsia="Arial" w:hAnsi="Arial"/>
          <w:sz w:val="16"/>
          <w:szCs w:val="16"/>
          <w:b w:val="1"/>
          <w:bCs w:val="1"/>
          <w:color w:val="auto"/>
        </w:rPr>
      </w:pPr>
    </w:p>
    <w:p>
      <w:pPr>
        <w:ind w:left="-20" w:right="20" w:firstLine="444"/>
        <w:spacing w:after="0" w:line="255" w:lineRule="auto"/>
        <w:tabs>
          <w:tab w:leader="none" w:pos="763"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Rights</w:t>
      </w:r>
      <w:r>
        <w:rPr>
          <w:rFonts w:ascii="Arial" w:cs="Arial" w:eastAsia="Arial" w:hAnsi="Arial"/>
          <w:sz w:val="18"/>
          <w:szCs w:val="18"/>
          <w:color w:val="auto"/>
        </w:rPr>
        <w:t>. The terms of any repurchase right will be specified in the Stock Award Agreement. Unless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repurchase price for vested shares of Common Stock will be the Fair Market Value of the shares of Common Stock on the date of repurchase. Unless otherwise provided by the Board, the repurchase price for unvested shares of Common Stock will be the lower of (i) the Fair Market Value of the shares of Common Stock on the date of repurchase or (ii) their original purchase price. However, the Company will not exercise its repurchase right until at least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500" w:top="268" w:right="519" w:bottom="1440" w:gutter="0" w:footer="0" w:header="0"/>
        </w:sectPr>
      </w:pPr>
    </w:p>
    <w:bookmarkStart w:id="330" w:name="page331"/>
    <w:bookmarkEnd w:id="330"/>
    <w:p>
      <w:pPr>
        <w:ind w:right="4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six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271" w:lineRule="exact"/>
        <w:rPr>
          <w:sz w:val="20"/>
          <w:szCs w:val="20"/>
          <w:color w:val="auto"/>
        </w:rPr>
      </w:pPr>
    </w:p>
    <w:p>
      <w:pPr>
        <w:ind w:left="440" w:hanging="433"/>
        <w:spacing w:after="0"/>
        <w:tabs>
          <w:tab w:leader="none" w:pos="44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firstLine="444"/>
        <w:spacing w:after="0" w:line="291" w:lineRule="auto"/>
        <w:tabs>
          <w:tab w:leader="none" w:pos="822" w:val="left"/>
        </w:tabs>
        <w:numPr>
          <w:ilvl w:val="1"/>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will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 Unless otherwise determined by the Board in its sole discretion, no fractional shares of Common Stock (or other applicable securities) shall be issued under the Plan resulting from such Capitalization Adjustment, however the Board, in its sole discretion, may make a cash payment in lieu of fractional shares.</w:t>
      </w:r>
    </w:p>
    <w:p>
      <w:pPr>
        <w:spacing w:after="0" w:line="159" w:lineRule="exact"/>
        <w:rPr>
          <w:rFonts w:ascii="Arial" w:cs="Arial" w:eastAsia="Arial" w:hAnsi="Arial"/>
          <w:sz w:val="16"/>
          <w:szCs w:val="16"/>
          <w:b w:val="1"/>
          <w:bCs w:val="1"/>
          <w:color w:val="auto"/>
        </w:rPr>
      </w:pPr>
    </w:p>
    <w:p>
      <w:pPr>
        <w:ind w:right="80" w:firstLine="444"/>
        <w:spacing w:after="0" w:line="289" w:lineRule="auto"/>
        <w:tabs>
          <w:tab w:leader="none" w:pos="832" w:val="left"/>
        </w:tabs>
        <w:numPr>
          <w:ilvl w:val="1"/>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Stock Award Agreement, in the event of a dissolution or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61" w:lineRule="exact"/>
        <w:rPr>
          <w:rFonts w:ascii="Arial" w:cs="Arial" w:eastAsia="Arial" w:hAnsi="Arial"/>
          <w:sz w:val="16"/>
          <w:szCs w:val="16"/>
          <w:b w:val="1"/>
          <w:bCs w:val="1"/>
          <w:color w:val="auto"/>
        </w:rPr>
      </w:pPr>
    </w:p>
    <w:p>
      <w:pPr>
        <w:ind w:firstLine="444"/>
        <w:spacing w:after="0" w:line="299" w:lineRule="auto"/>
        <w:tabs>
          <w:tab w:leader="none" w:pos="812" w:val="left"/>
        </w:tabs>
        <w:numPr>
          <w:ilvl w:val="1"/>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Transactions</w:t>
      </w:r>
      <w:r>
        <w:rPr>
          <w:rFonts w:ascii="Arial" w:cs="Arial" w:eastAsia="Arial" w:hAnsi="Arial"/>
          <w:sz w:val="16"/>
          <w:szCs w:val="16"/>
          <w:color w:val="auto"/>
        </w:rPr>
        <w:t>. The following provisions will apply to Stock Awards in the event of a Transaction unless otherwise provided in the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157" w:lineRule="exact"/>
        <w:rPr>
          <w:rFonts w:ascii="Arial" w:cs="Arial" w:eastAsia="Arial" w:hAnsi="Arial"/>
          <w:sz w:val="16"/>
          <w:szCs w:val="16"/>
          <w:b w:val="1"/>
          <w:bCs w:val="1"/>
          <w:color w:val="auto"/>
        </w:rPr>
      </w:pPr>
    </w:p>
    <w:p>
      <w:pPr>
        <w:ind w:right="20" w:firstLine="990"/>
        <w:spacing w:after="0" w:line="259" w:lineRule="auto"/>
        <w:tabs>
          <w:tab w:leader="none" w:pos="1329" w:val="left"/>
        </w:tabs>
        <w:numPr>
          <w:ilvl w:val="2"/>
          <w:numId w:val="269"/>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85" w:lineRule="exact"/>
        <w:rPr>
          <w:rFonts w:ascii="Arial" w:cs="Arial" w:eastAsia="Arial" w:hAnsi="Arial"/>
          <w:sz w:val="18"/>
          <w:szCs w:val="18"/>
          <w:b w:val="1"/>
          <w:bCs w:val="1"/>
          <w:color w:val="auto"/>
        </w:rPr>
      </w:pPr>
    </w:p>
    <w:p>
      <w:pPr>
        <w:ind w:right="540" w:firstLine="990"/>
        <w:spacing w:after="0" w:line="335" w:lineRule="auto"/>
        <w:tabs>
          <w:tab w:leader="none" w:pos="1378" w:val="left"/>
        </w:tabs>
        <w:numPr>
          <w:ilvl w:val="2"/>
          <w:numId w:val="269"/>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28" w:lineRule="exact"/>
        <w:rPr>
          <w:rFonts w:ascii="Arial" w:cs="Arial" w:eastAsia="Arial" w:hAnsi="Arial"/>
          <w:sz w:val="16"/>
          <w:szCs w:val="16"/>
          <w:b w:val="1"/>
          <w:bCs w:val="1"/>
          <w:color w:val="auto"/>
        </w:rPr>
      </w:pPr>
    </w:p>
    <w:p>
      <w:pPr>
        <w:ind w:right="180" w:firstLine="990"/>
        <w:spacing w:after="0" w:line="293" w:lineRule="auto"/>
        <w:tabs>
          <w:tab w:leader="none" w:pos="1428" w:val="left"/>
        </w:tabs>
        <w:numPr>
          <w:ilvl w:val="2"/>
          <w:numId w:val="269"/>
        </w:numPr>
        <w:rPr>
          <w:rFonts w:ascii="Arial" w:cs="Arial" w:eastAsia="Arial" w:hAnsi="Arial"/>
          <w:sz w:val="16"/>
          <w:szCs w:val="16"/>
          <w:b w:val="1"/>
          <w:bCs w:val="1"/>
          <w:color w:val="auto"/>
        </w:rPr>
      </w:pPr>
      <w:r>
        <w:rPr>
          <w:rFonts w:ascii="Arial" w:cs="Arial" w:eastAsia="Arial" w:hAnsi="Arial"/>
          <w:sz w:val="16"/>
          <w:szCs w:val="16"/>
          <w:color w:val="auto"/>
        </w:rPr>
        <w:t xml:space="preserve">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days prior to the effective date of the Transaction), with such Stock Award terminating if not exercised (if applicable) at or prior to the effective time of the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require Participants to complete and deliver to the Company a notice of exercise before the effective date of a Transaction, which exercise is contingent upon the effectiveness of such Transaction;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80" w:top="272" w:right="519" w:bottom="1440" w:gutter="0" w:footer="0" w:header="0"/>
        </w:sectPr>
      </w:pPr>
    </w:p>
    <w:bookmarkStart w:id="331" w:name="page332"/>
    <w:bookmarkEnd w:id="331"/>
    <w:p>
      <w:pPr>
        <w:ind w:left="1420" w:hanging="430"/>
        <w:spacing w:after="0"/>
        <w:tabs>
          <w:tab w:leader="none" w:pos="1420" w:val="left"/>
        </w:tabs>
        <w:numPr>
          <w:ilvl w:val="0"/>
          <w:numId w:val="27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arrange for the lapse, in whole or in part, of any reacquisition or repurchase rights held by the Company with respect to the Stock</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08" w:lineRule="exact"/>
        <w:rPr>
          <w:sz w:val="20"/>
          <w:szCs w:val="20"/>
          <w:color w:val="auto"/>
        </w:rPr>
      </w:pPr>
    </w:p>
    <w:p>
      <w:pPr>
        <w:ind w:right="220" w:firstLine="990"/>
        <w:spacing w:after="0" w:line="335" w:lineRule="auto"/>
        <w:tabs>
          <w:tab w:leader="none" w:pos="1368"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cancel or arrange for the cancellation of the Stock Award, to the extent not vested or not exercised prior to the effective time of the Transaction, in exchange for such consideration or for no consideration as the Board, in its sole discretion, may consider appropriate; and</w:t>
      </w:r>
    </w:p>
    <w:p>
      <w:pPr>
        <w:spacing w:after="0" w:line="128" w:lineRule="exact"/>
        <w:rPr>
          <w:rFonts w:ascii="Arial" w:cs="Arial" w:eastAsia="Arial" w:hAnsi="Arial"/>
          <w:sz w:val="16"/>
          <w:szCs w:val="16"/>
          <w:b w:val="1"/>
          <w:bCs w:val="1"/>
          <w:color w:val="auto"/>
        </w:rPr>
      </w:pPr>
    </w:p>
    <w:p>
      <w:pPr>
        <w:ind w:right="40" w:firstLine="990"/>
        <w:spacing w:after="0" w:line="293" w:lineRule="auto"/>
        <w:tabs>
          <w:tab w:leader="none" w:pos="1418"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6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71" w:lineRule="exact"/>
        <w:rPr>
          <w:sz w:val="20"/>
          <w:szCs w:val="20"/>
          <w:color w:val="auto"/>
        </w:rPr>
      </w:pPr>
    </w:p>
    <w:p>
      <w:pPr>
        <w:ind w:firstLine="444"/>
        <w:spacing w:after="0" w:line="284" w:lineRule="auto"/>
        <w:tabs>
          <w:tab w:leader="none" w:pos="832" w:val="left"/>
        </w:tabs>
        <w:numPr>
          <w:ilvl w:val="1"/>
          <w:numId w:val="272"/>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309" w:lineRule="exact"/>
        <w:rPr>
          <w:rFonts w:ascii="Arial" w:cs="Arial" w:eastAsia="Arial" w:hAnsi="Arial"/>
          <w:sz w:val="17"/>
          <w:szCs w:val="17"/>
          <w:b w:val="1"/>
          <w:bCs w:val="1"/>
          <w:color w:val="auto"/>
        </w:rPr>
      </w:pPr>
    </w:p>
    <w:p>
      <w:pPr>
        <w:ind w:left="440" w:hanging="433"/>
        <w:spacing w:after="0"/>
        <w:tabs>
          <w:tab w:leader="none" w:pos="44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E</w:t>
      </w:r>
      <w:r>
        <w:rPr>
          <w:rFonts w:ascii="Arial" w:cs="Arial" w:eastAsia="Arial" w:hAnsi="Arial"/>
          <w:sz w:val="14"/>
          <w:szCs w:val="14"/>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right="20" w:firstLine="444"/>
        <w:spacing w:after="0" w:line="309" w:lineRule="auto"/>
        <w:tabs>
          <w:tab w:leader="none" w:pos="822" w:val="left"/>
        </w:tabs>
        <w:numPr>
          <w:ilvl w:val="1"/>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Plan Term</w:t>
      </w:r>
      <w:r>
        <w:rPr>
          <w:rFonts w:ascii="Arial" w:cs="Arial" w:eastAsia="Arial" w:hAnsi="Arial"/>
          <w:sz w:val="16"/>
          <w:szCs w:val="16"/>
          <w:color w:val="auto"/>
        </w:rPr>
        <w:t>. The Board may suspend or terminate the Plan at any time. Unless terminated sooner by the Board, the Plan will automatically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on the day before the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45" w:lineRule="exact"/>
        <w:rPr>
          <w:rFonts w:ascii="Arial" w:cs="Arial" w:eastAsia="Arial" w:hAnsi="Arial"/>
          <w:sz w:val="16"/>
          <w:szCs w:val="16"/>
          <w:b w:val="1"/>
          <w:bCs w:val="1"/>
          <w:color w:val="auto"/>
        </w:rPr>
      </w:pPr>
    </w:p>
    <w:p>
      <w:pPr>
        <w:ind w:right="380" w:firstLine="444"/>
        <w:spacing w:after="0" w:line="306" w:lineRule="auto"/>
        <w:tabs>
          <w:tab w:leader="none" w:pos="832" w:val="left"/>
        </w:tabs>
        <w:numPr>
          <w:ilvl w:val="1"/>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No Impairment of Rights</w:t>
      </w:r>
      <w:r>
        <w:rPr>
          <w:rFonts w:ascii="Arial" w:cs="Arial" w:eastAsia="Arial" w:hAnsi="Arial"/>
          <w:sz w:val="17"/>
          <w:szCs w:val="17"/>
          <w:color w:val="auto"/>
        </w:rPr>
        <w:t>. Suspension or termination of the Plan will not impair rights and obligations under any Stock Award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while the Plan is in effect except with the written consent of the affected Participant or as otherwise permitted in the Plan.</w:t>
      </w:r>
    </w:p>
    <w:p>
      <w:pPr>
        <w:spacing w:after="0" w:line="290" w:lineRule="exact"/>
        <w:rPr>
          <w:rFonts w:ascii="Arial" w:cs="Arial" w:eastAsia="Arial" w:hAnsi="Arial"/>
          <w:sz w:val="17"/>
          <w:szCs w:val="17"/>
          <w:b w:val="1"/>
          <w:bCs w:val="1"/>
          <w:color w:val="auto"/>
        </w:rPr>
      </w:pPr>
    </w:p>
    <w:p>
      <w:pPr>
        <w:ind w:left="440" w:hanging="433"/>
        <w:spacing w:after="0"/>
        <w:tabs>
          <w:tab w:leader="none" w:pos="44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Plan will become effective on the Effective Date.</w:t>
      </w:r>
    </w:p>
    <w:p>
      <w:pPr>
        <w:spacing w:after="0" w:line="364" w:lineRule="exact"/>
        <w:rPr>
          <w:sz w:val="20"/>
          <w:szCs w:val="20"/>
          <w:color w:val="auto"/>
        </w:rPr>
      </w:pPr>
    </w:p>
    <w:p>
      <w:pPr>
        <w:ind w:left="440" w:hanging="433"/>
        <w:spacing w:after="0"/>
        <w:tabs>
          <w:tab w:leader="none" w:pos="4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color w:val="auto"/>
        </w:rPr>
        <w:t>.</w:t>
      </w:r>
    </w:p>
    <w:p>
      <w:pPr>
        <w:spacing w:after="0" w:line="118"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The laws of the State of Delaware will govern all questions concerning the construction, validity and interpretation of this Plan, without regard to that state’s conflict of laws rules.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80" w:top="272" w:right="519" w:bottom="1440" w:gutter="0" w:footer="0" w:header="0"/>
        </w:sectPr>
      </w:pPr>
    </w:p>
    <w:bookmarkStart w:id="332" w:name="page333"/>
    <w:bookmarkEnd w:id="332"/>
    <w:p>
      <w:pPr>
        <w:ind w:left="400" w:hanging="393"/>
        <w:spacing w:after="0"/>
        <w:tabs>
          <w:tab w:leader="none" w:pos="40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8"/>
          <w:szCs w:val="18"/>
          <w:color w:val="auto"/>
        </w:rPr>
        <w:t>. As used in the Plan, the following definitions will apply to the capitalized terms indicated below:</w:t>
      </w:r>
    </w:p>
    <w:p>
      <w:pPr>
        <w:spacing w:after="0" w:line="224" w:lineRule="exact"/>
        <w:rPr>
          <w:rFonts w:ascii="Arial" w:cs="Arial" w:eastAsia="Arial" w:hAnsi="Arial"/>
          <w:sz w:val="18"/>
          <w:szCs w:val="18"/>
          <w:b w:val="1"/>
          <w:bCs w:val="1"/>
          <w:color w:val="auto"/>
        </w:rPr>
      </w:pPr>
    </w:p>
    <w:p>
      <w:pPr>
        <w:ind w:firstLine="444"/>
        <w:spacing w:after="0" w:line="259" w:lineRule="auto"/>
        <w:tabs>
          <w:tab w:leader="none" w:pos="822"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The Board will have the authority to determine the time or times at which “parent” or “majority-owned subsidiary” status is determined within the foregoing definition.</w:t>
      </w:r>
    </w:p>
    <w:p>
      <w:pPr>
        <w:spacing w:after="0" w:line="185" w:lineRule="exact"/>
        <w:rPr>
          <w:rFonts w:ascii="Arial" w:cs="Arial" w:eastAsia="Arial" w:hAnsi="Arial"/>
          <w:sz w:val="18"/>
          <w:szCs w:val="18"/>
          <w:b w:val="1"/>
          <w:bCs w:val="1"/>
          <w:color w:val="auto"/>
        </w:rPr>
      </w:pPr>
    </w:p>
    <w:p>
      <w:pPr>
        <w:ind w:left="840" w:hanging="396"/>
        <w:spacing w:after="0"/>
        <w:tabs>
          <w:tab w:leader="none" w:pos="840"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0" w:lineRule="exact"/>
        <w:rPr>
          <w:rFonts w:ascii="Arial" w:cs="Arial" w:eastAsia="Arial" w:hAnsi="Arial"/>
          <w:sz w:val="18"/>
          <w:szCs w:val="18"/>
          <w:b w:val="1"/>
          <w:bCs w:val="1"/>
          <w:color w:val="auto"/>
        </w:rPr>
      </w:pPr>
    </w:p>
    <w:p>
      <w:pPr>
        <w:ind w:right="80" w:firstLine="444"/>
        <w:spacing w:after="0" w:line="290" w:lineRule="auto"/>
        <w:tabs>
          <w:tab w:leader="none" w:pos="812" w:val="left"/>
        </w:tabs>
        <w:numPr>
          <w:ilvl w:val="1"/>
          <w:numId w:val="2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3" w:lineRule="exact"/>
        <w:rPr>
          <w:rFonts w:ascii="Arial" w:cs="Arial" w:eastAsia="Arial" w:hAnsi="Arial"/>
          <w:sz w:val="16"/>
          <w:szCs w:val="16"/>
          <w:b w:val="1"/>
          <w:bCs w:val="1"/>
          <w:color w:val="auto"/>
        </w:rPr>
      </w:pPr>
    </w:p>
    <w:p>
      <w:pPr>
        <w:ind w:right="20" w:firstLine="444"/>
        <w:spacing w:after="0" w:line="265" w:lineRule="auto"/>
        <w:tabs>
          <w:tab w:leader="none" w:pos="832" w:val="left"/>
        </w:tabs>
        <w:numPr>
          <w:ilvl w:val="1"/>
          <w:numId w:val="2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Affiliates; (iii) such Participant’s material breach or violation of any contract or agreement between the Participant and the Company or of any statutory duty owed to the Company or any of its Affiliates; (iv) such Participant’s unauthorized use or disclosure of the Company’s or it’s Affiliate’s confidential information or trade secrets; (v) the Participant’s failure to perform the Participant’s assigned duties and responsibilities to the reasonable satisfaction of the Company which failure continues, in the reasonable judgment of the Company, after written notice given to the grantee by the Company; or (vi) the Participant’s gross negligence, willful misconduct or insubordination with respect to the Company or any Affiliate of the Company.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89" w:lineRule="exact"/>
        <w:rPr>
          <w:rFonts w:ascii="Arial" w:cs="Arial" w:eastAsia="Arial" w:hAnsi="Arial"/>
          <w:sz w:val="17"/>
          <w:szCs w:val="17"/>
          <w:b w:val="1"/>
          <w:bCs w:val="1"/>
          <w:color w:val="auto"/>
        </w:rPr>
      </w:pPr>
    </w:p>
    <w:p>
      <w:pPr>
        <w:ind w:left="860" w:hanging="416"/>
        <w:spacing w:after="0"/>
        <w:tabs>
          <w:tab w:leader="none" w:pos="860" w:val="left"/>
        </w:tabs>
        <w:numPr>
          <w:ilvl w:val="1"/>
          <w:numId w:val="27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208" w:lineRule="exact"/>
        <w:rPr>
          <w:rFonts w:ascii="Arial" w:cs="Arial" w:eastAsia="Arial" w:hAnsi="Arial"/>
          <w:sz w:val="16"/>
          <w:szCs w:val="16"/>
          <w:b w:val="1"/>
          <w:bCs w:val="1"/>
          <w:color w:val="auto"/>
        </w:rPr>
      </w:pPr>
    </w:p>
    <w:p>
      <w:pPr>
        <w:ind w:right="20" w:firstLine="990"/>
        <w:spacing w:after="0" w:line="272" w:lineRule="auto"/>
        <w:tabs>
          <w:tab w:leader="none" w:pos="1329" w:val="left"/>
        </w:tabs>
        <w:numPr>
          <w:ilvl w:val="2"/>
          <w:numId w:val="275"/>
        </w:numPr>
        <w:rPr>
          <w:rFonts w:ascii="Arial" w:cs="Arial" w:eastAsia="Arial" w:hAnsi="Arial"/>
          <w:sz w:val="17"/>
          <w:szCs w:val="17"/>
          <w:b w:val="1"/>
          <w:bCs w:val="1"/>
          <w:color w:val="auto"/>
        </w:rPr>
      </w:pPr>
      <w:r>
        <w:rPr>
          <w:rFonts w:ascii="Arial" w:cs="Arial" w:eastAsia="Arial" w:hAnsi="Arial"/>
          <w:sz w:val="17"/>
          <w:szCs w:val="17"/>
          <w:color w:val="auto"/>
        </w:rPr>
        <w:t>any Exchange Act Person becomes the Owner, directly or indirectly, of securities of the Company representing more than 50 percent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80" w:top="268" w:right="499" w:bottom="1440" w:gutter="0" w:footer="0" w:header="0"/>
        </w:sectPr>
      </w:pPr>
    </w:p>
    <w:bookmarkStart w:id="333" w:name="page334"/>
    <w:bookmarkEnd w:id="333"/>
    <w:p>
      <w:pPr>
        <w:ind w:right="2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which is to obtain financing for the Company through the issuance of equity securities or (C)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7" w:lineRule="exact"/>
        <w:rPr>
          <w:sz w:val="20"/>
          <w:szCs w:val="20"/>
          <w:color w:val="auto"/>
        </w:rPr>
      </w:pPr>
    </w:p>
    <w:p>
      <w:pPr>
        <w:ind w:firstLine="990"/>
        <w:spacing w:after="0" w:line="270" w:lineRule="auto"/>
        <w:tabs>
          <w:tab w:leader="none" w:pos="1378"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percent of the combined outstanding voting power of the surviving Entity in such merger, consolidation or similar transaction or (B) more than 50 percent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spacing w:after="0" w:line="178" w:lineRule="exact"/>
        <w:rPr>
          <w:rFonts w:ascii="Arial" w:cs="Arial" w:eastAsia="Arial" w:hAnsi="Arial"/>
          <w:sz w:val="17"/>
          <w:szCs w:val="17"/>
          <w:b w:val="1"/>
          <w:bCs w:val="1"/>
          <w:color w:val="auto"/>
        </w:rPr>
      </w:pPr>
    </w:p>
    <w:p>
      <w:pPr>
        <w:ind w:right="60" w:firstLine="990"/>
        <w:spacing w:after="0" w:line="253" w:lineRule="auto"/>
        <w:tabs>
          <w:tab w:leader="none" w:pos="1428"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percent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93" w:lineRule="exact"/>
        <w:rPr>
          <w:sz w:val="20"/>
          <w:szCs w:val="20"/>
          <w:color w:val="auto"/>
        </w:rPr>
      </w:pPr>
    </w:p>
    <w:p>
      <w:pPr>
        <w:ind w:right="120" w:firstLine="436"/>
        <w:spacing w:after="0" w:line="335" w:lineRule="auto"/>
        <w:rPr>
          <w:sz w:val="20"/>
          <w:szCs w:val="20"/>
          <w:color w:val="auto"/>
        </w:rPr>
      </w:pPr>
      <w:r>
        <w:rPr>
          <w:rFonts w:ascii="Arial" w:cs="Arial" w:eastAsia="Arial" w:hAnsi="Arial"/>
          <w:sz w:val="16"/>
          <w:szCs w:val="16"/>
          <w:color w:val="auto"/>
        </w:rPr>
        <w:t>Notwithstanding the foregoing, the Company’s initial public offering, any subsequent public offering or another capital raising event, or a sale of assets, merger or other transaction effected solely to change the Company’s domicile shall not constitute a “Change in Control” hereunder.</w:t>
      </w:r>
    </w:p>
    <w:p>
      <w:pPr>
        <w:spacing w:after="0" w:line="128" w:lineRule="exact"/>
        <w:rPr>
          <w:sz w:val="20"/>
          <w:szCs w:val="20"/>
          <w:color w:val="auto"/>
        </w:rPr>
      </w:pPr>
    </w:p>
    <w:p>
      <w:pPr>
        <w:ind w:left="800" w:hanging="356"/>
        <w:spacing w:after="0"/>
        <w:tabs>
          <w:tab w:leader="none" w:pos="800"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232" w:lineRule="exact"/>
        <w:rPr>
          <w:rFonts w:ascii="Arial" w:cs="Arial" w:eastAsia="Arial" w:hAnsi="Arial"/>
          <w:sz w:val="17"/>
          <w:szCs w:val="17"/>
          <w:b w:val="1"/>
          <w:bCs w:val="1"/>
          <w:color w:val="auto"/>
        </w:rPr>
      </w:pPr>
    </w:p>
    <w:p>
      <w:pPr>
        <w:ind w:right="800" w:firstLine="435"/>
        <w:spacing w:after="0" w:line="271" w:lineRule="auto"/>
        <w:tabs>
          <w:tab w:leader="none" w:pos="814"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Directors to whom authority has been delegated by the Board in accordance with Section 2(c).</w:t>
      </w:r>
    </w:p>
    <w:p>
      <w:pPr>
        <w:spacing w:after="0" w:line="174" w:lineRule="exact"/>
        <w:rPr>
          <w:rFonts w:ascii="Arial" w:cs="Arial" w:eastAsia="Arial" w:hAnsi="Arial"/>
          <w:sz w:val="18"/>
          <w:szCs w:val="18"/>
          <w:b w:val="1"/>
          <w:bCs w:val="1"/>
          <w:color w:val="auto"/>
        </w:rPr>
      </w:pPr>
    </w:p>
    <w:p>
      <w:pPr>
        <w:ind w:left="840" w:hanging="396"/>
        <w:spacing w:after="0"/>
        <w:tabs>
          <w:tab w:leader="none" w:pos="84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0" w:lineRule="exact"/>
        <w:rPr>
          <w:rFonts w:ascii="Arial" w:cs="Arial" w:eastAsia="Arial" w:hAnsi="Arial"/>
          <w:sz w:val="18"/>
          <w:szCs w:val="18"/>
          <w:b w:val="1"/>
          <w:bCs w:val="1"/>
          <w:color w:val="auto"/>
        </w:rPr>
      </w:pPr>
    </w:p>
    <w:p>
      <w:pPr>
        <w:ind w:left="800" w:hanging="356"/>
        <w:spacing w:after="0"/>
        <w:tabs>
          <w:tab w:leader="none" w:pos="80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Xometry, Inc.</w:t>
      </w:r>
    </w:p>
    <w:p>
      <w:pPr>
        <w:spacing w:after="0" w:line="220" w:lineRule="exact"/>
        <w:rPr>
          <w:rFonts w:ascii="Arial" w:cs="Arial" w:eastAsia="Arial" w:hAnsi="Arial"/>
          <w:sz w:val="18"/>
          <w:szCs w:val="18"/>
          <w:b w:val="1"/>
          <w:bCs w:val="1"/>
          <w:color w:val="auto"/>
        </w:rPr>
      </w:pPr>
    </w:p>
    <w:p>
      <w:pPr>
        <w:ind w:right="40" w:firstLine="444"/>
        <w:spacing w:after="0" w:line="255" w:lineRule="auto"/>
        <w:tabs>
          <w:tab w:leader="none" w:pos="793"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80" w:top="272" w:right="519" w:bottom="1440" w:gutter="0" w:footer="0" w:header="0"/>
        </w:sectPr>
      </w:pPr>
    </w:p>
    <w:bookmarkStart w:id="334" w:name="page335"/>
    <w:bookmarkEnd w:id="334"/>
    <w:p>
      <w:pPr>
        <w:ind w:left="-20" w:firstLine="444"/>
        <w:spacing w:after="0" w:line="265" w:lineRule="auto"/>
        <w:tabs>
          <w:tab w:leader="none" w:pos="812"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89" w:lineRule="exact"/>
        <w:rPr>
          <w:rFonts w:ascii="Arial" w:cs="Arial" w:eastAsia="Arial" w:hAnsi="Arial"/>
          <w:sz w:val="17"/>
          <w:szCs w:val="17"/>
          <w:b w:val="1"/>
          <w:bCs w:val="1"/>
          <w:color w:val="auto"/>
        </w:rPr>
      </w:pPr>
    </w:p>
    <w:p>
      <w:pPr>
        <w:ind w:left="-20" w:right="320" w:firstLine="444"/>
        <w:spacing w:after="0" w:line="271" w:lineRule="auto"/>
        <w:tabs>
          <w:tab w:leader="none" w:pos="763"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4" w:lineRule="exact"/>
        <w:rPr>
          <w:rFonts w:ascii="Arial" w:cs="Arial" w:eastAsia="Arial" w:hAnsi="Arial"/>
          <w:sz w:val="18"/>
          <w:szCs w:val="18"/>
          <w:b w:val="1"/>
          <w:bCs w:val="1"/>
          <w:color w:val="auto"/>
        </w:rPr>
      </w:pPr>
    </w:p>
    <w:p>
      <w:pPr>
        <w:ind w:left="-20" w:right="80" w:firstLine="990"/>
        <w:spacing w:after="0" w:line="271" w:lineRule="auto"/>
        <w:tabs>
          <w:tab w:leader="none" w:pos="1309"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4" w:lineRule="exact"/>
        <w:rPr>
          <w:rFonts w:ascii="Arial" w:cs="Arial" w:eastAsia="Arial" w:hAnsi="Arial"/>
          <w:sz w:val="18"/>
          <w:szCs w:val="18"/>
          <w:b w:val="1"/>
          <w:bCs w:val="1"/>
          <w:color w:val="auto"/>
        </w:rPr>
      </w:pPr>
    </w:p>
    <w:p>
      <w:pPr>
        <w:ind w:left="1360" w:hanging="390"/>
        <w:spacing w:after="0"/>
        <w:tabs>
          <w:tab w:leader="none" w:pos="1360"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percent of the outstanding securities of the Company;</w:t>
      </w:r>
    </w:p>
    <w:p>
      <w:pPr>
        <w:spacing w:after="0" w:line="220" w:lineRule="exact"/>
        <w:rPr>
          <w:rFonts w:ascii="Arial" w:cs="Arial" w:eastAsia="Arial" w:hAnsi="Arial"/>
          <w:sz w:val="18"/>
          <w:szCs w:val="18"/>
          <w:b w:val="1"/>
          <w:bCs w:val="1"/>
          <w:color w:val="auto"/>
        </w:rPr>
      </w:pPr>
    </w:p>
    <w:p>
      <w:pPr>
        <w:ind w:left="1420" w:hanging="450"/>
        <w:spacing w:after="0"/>
        <w:tabs>
          <w:tab w:leader="none" w:pos="1420"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0" w:lineRule="exact"/>
        <w:rPr>
          <w:rFonts w:ascii="Arial" w:cs="Arial" w:eastAsia="Arial" w:hAnsi="Arial"/>
          <w:sz w:val="18"/>
          <w:szCs w:val="18"/>
          <w:b w:val="1"/>
          <w:bCs w:val="1"/>
          <w:color w:val="auto"/>
        </w:rPr>
      </w:pPr>
    </w:p>
    <w:p>
      <w:pPr>
        <w:ind w:left="-20" w:right="120" w:firstLine="990"/>
        <w:spacing w:after="0" w:line="259" w:lineRule="auto"/>
        <w:tabs>
          <w:tab w:leader="none" w:pos="1398"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5" w:lineRule="exact"/>
        <w:rPr>
          <w:rFonts w:ascii="Arial" w:cs="Arial" w:eastAsia="Arial" w:hAnsi="Arial"/>
          <w:sz w:val="18"/>
          <w:szCs w:val="18"/>
          <w:b w:val="1"/>
          <w:bCs w:val="1"/>
          <w:color w:val="auto"/>
        </w:rPr>
      </w:pPr>
    </w:p>
    <w:p>
      <w:pPr>
        <w:ind w:left="860" w:hanging="436"/>
        <w:spacing w:after="0"/>
        <w:tabs>
          <w:tab w:leader="none" w:pos="860"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0" w:lineRule="exact"/>
        <w:rPr>
          <w:rFonts w:ascii="Arial" w:cs="Arial" w:eastAsia="Arial" w:hAnsi="Arial"/>
          <w:sz w:val="18"/>
          <w:szCs w:val="18"/>
          <w:b w:val="1"/>
          <w:bCs w:val="1"/>
          <w:color w:val="auto"/>
        </w:rPr>
      </w:pPr>
    </w:p>
    <w:p>
      <w:pPr>
        <w:ind w:left="-20" w:right="140" w:firstLine="444"/>
        <w:spacing w:after="0" w:line="275" w:lineRule="auto"/>
        <w:tabs>
          <w:tab w:leader="none" w:pos="812"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73" w:lineRule="exact"/>
        <w:rPr>
          <w:rFonts w:ascii="Arial" w:cs="Arial" w:eastAsia="Arial" w:hAnsi="Arial"/>
          <w:sz w:val="17"/>
          <w:szCs w:val="17"/>
          <w:b w:val="1"/>
          <w:bCs w:val="1"/>
          <w:color w:val="auto"/>
        </w:rPr>
      </w:pPr>
    </w:p>
    <w:p>
      <w:pPr>
        <w:ind w:left="-20" w:right="280" w:firstLine="444"/>
        <w:spacing w:after="0" w:line="271" w:lineRule="auto"/>
        <w:tabs>
          <w:tab w:leader="none" w:pos="802"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and (ii) the date this Plan is adopted by the Board.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500" w:top="272" w:right="499" w:bottom="1440" w:gutter="0" w:footer="0" w:header="0"/>
        </w:sectPr>
      </w:pPr>
    </w:p>
    <w:bookmarkStart w:id="335" w:name="page336"/>
    <w:bookmarkEnd w:id="335"/>
    <w:p>
      <w:pPr>
        <w:ind w:right="20" w:firstLine="444"/>
        <w:spacing w:after="0" w:line="271" w:lineRule="auto"/>
        <w:tabs>
          <w:tab w:leader="none" w:pos="832"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4" w:lineRule="exact"/>
        <w:rPr>
          <w:rFonts w:ascii="Arial" w:cs="Arial" w:eastAsia="Arial" w:hAnsi="Arial"/>
          <w:sz w:val="18"/>
          <w:szCs w:val="18"/>
          <w:b w:val="1"/>
          <w:bCs w:val="1"/>
          <w:color w:val="auto"/>
        </w:rPr>
      </w:pPr>
    </w:p>
    <w:p>
      <w:pPr>
        <w:ind w:left="840" w:hanging="396"/>
        <w:spacing w:after="0"/>
        <w:tabs>
          <w:tab w:leader="none" w:pos="840"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0" w:lineRule="exact"/>
        <w:rPr>
          <w:rFonts w:ascii="Arial" w:cs="Arial" w:eastAsia="Arial" w:hAnsi="Arial"/>
          <w:sz w:val="18"/>
          <w:szCs w:val="18"/>
          <w:b w:val="1"/>
          <w:bCs w:val="1"/>
          <w:color w:val="auto"/>
        </w:rPr>
      </w:pPr>
    </w:p>
    <w:p>
      <w:pPr>
        <w:ind w:left="820" w:hanging="376"/>
        <w:spacing w:after="0"/>
        <w:tabs>
          <w:tab w:leader="none" w:pos="820" w:val="left"/>
        </w:tabs>
        <w:numPr>
          <w:ilvl w:val="0"/>
          <w:numId w:val="27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2" w:lineRule="exact"/>
        <w:rPr>
          <w:rFonts w:ascii="Arial" w:cs="Arial" w:eastAsia="Arial" w:hAnsi="Arial"/>
          <w:sz w:val="17"/>
          <w:szCs w:val="17"/>
          <w:b w:val="1"/>
          <w:bCs w:val="1"/>
          <w:color w:val="auto"/>
        </w:rPr>
      </w:pPr>
    </w:p>
    <w:p>
      <w:pPr>
        <w:ind w:right="60" w:firstLine="444"/>
        <w:spacing w:after="0" w:line="251" w:lineRule="auto"/>
        <w:tabs>
          <w:tab w:leader="none" w:pos="803"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percent of the combined voting power of the Company’s then outstanding securities.</w:t>
      </w:r>
    </w:p>
    <w:p>
      <w:pPr>
        <w:spacing w:after="0" w:line="194" w:lineRule="exact"/>
        <w:rPr>
          <w:rFonts w:ascii="Arial" w:cs="Arial" w:eastAsia="Arial" w:hAnsi="Arial"/>
          <w:sz w:val="18"/>
          <w:szCs w:val="18"/>
          <w:b w:val="1"/>
          <w:bCs w:val="1"/>
          <w:color w:val="auto"/>
        </w:rPr>
      </w:pPr>
    </w:p>
    <w:p>
      <w:pPr>
        <w:ind w:right="440" w:firstLine="444"/>
        <w:spacing w:after="0" w:line="301" w:lineRule="auto"/>
        <w:tabs>
          <w:tab w:leader="none" w:pos="793" w:val="left"/>
        </w:tabs>
        <w:numPr>
          <w:ilvl w:val="0"/>
          <w:numId w:val="27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the Common Stock determined by the Board in a manner not inconsistent with Section 409A of the Code or, in the case of an Incentive Stock Option, in compliance with Section 422 of the Code.</w:t>
      </w:r>
    </w:p>
    <w:p>
      <w:pPr>
        <w:spacing w:after="0" w:line="151" w:lineRule="exact"/>
        <w:rPr>
          <w:rFonts w:ascii="Arial" w:cs="Arial" w:eastAsia="Arial" w:hAnsi="Arial"/>
          <w:sz w:val="17"/>
          <w:szCs w:val="17"/>
          <w:b w:val="1"/>
          <w:bCs w:val="1"/>
          <w:color w:val="auto"/>
        </w:rPr>
      </w:pPr>
    </w:p>
    <w:p>
      <w:pPr>
        <w:ind w:firstLine="444"/>
        <w:spacing w:after="0" w:line="271" w:lineRule="auto"/>
        <w:tabs>
          <w:tab w:leader="none" w:pos="832"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that qualifies as, an “incentive stock option” within the meaning of Section 422 of the Code.</w:t>
      </w:r>
    </w:p>
    <w:p>
      <w:pPr>
        <w:spacing w:after="0" w:line="174" w:lineRule="exact"/>
        <w:rPr>
          <w:rFonts w:ascii="Arial" w:cs="Arial" w:eastAsia="Arial" w:hAnsi="Arial"/>
          <w:sz w:val="18"/>
          <w:szCs w:val="18"/>
          <w:b w:val="1"/>
          <w:bCs w:val="1"/>
          <w:color w:val="auto"/>
        </w:rPr>
      </w:pPr>
    </w:p>
    <w:p>
      <w:pPr>
        <w:ind w:left="820" w:hanging="376"/>
        <w:spacing w:after="0"/>
        <w:tabs>
          <w:tab w:leader="none" w:pos="820" w:val="left"/>
        </w:tabs>
        <w:numPr>
          <w:ilvl w:val="0"/>
          <w:numId w:val="27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 option granted pursuant to Section 5 of the Plan that does not qualify as an Incentive Stock Option.</w:t>
      </w:r>
    </w:p>
    <w:p>
      <w:pPr>
        <w:spacing w:after="0" w:line="243" w:lineRule="exact"/>
        <w:rPr>
          <w:rFonts w:ascii="Arial" w:cs="Arial" w:eastAsia="Arial" w:hAnsi="Arial"/>
          <w:sz w:val="16"/>
          <w:szCs w:val="16"/>
          <w:b w:val="1"/>
          <w:bCs w:val="1"/>
          <w:color w:val="auto"/>
        </w:rPr>
      </w:pPr>
    </w:p>
    <w:p>
      <w:pPr>
        <w:ind w:left="860" w:hanging="416"/>
        <w:spacing w:after="0"/>
        <w:tabs>
          <w:tab w:leader="none" w:pos="860"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220" w:lineRule="exact"/>
        <w:rPr>
          <w:rFonts w:ascii="Arial" w:cs="Arial" w:eastAsia="Arial" w:hAnsi="Arial"/>
          <w:sz w:val="18"/>
          <w:szCs w:val="18"/>
          <w:b w:val="1"/>
          <w:bCs w:val="1"/>
          <w:color w:val="auto"/>
        </w:rPr>
      </w:pPr>
    </w:p>
    <w:p>
      <w:pPr>
        <w:ind w:left="820" w:hanging="376"/>
        <w:spacing w:after="0"/>
        <w:tabs>
          <w:tab w:leader="none" w:pos="820" w:val="left"/>
        </w:tabs>
        <w:numPr>
          <w:ilvl w:val="0"/>
          <w:numId w:val="27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208" w:lineRule="exact"/>
        <w:rPr>
          <w:rFonts w:ascii="Arial" w:cs="Arial" w:eastAsia="Arial" w:hAnsi="Arial"/>
          <w:sz w:val="16"/>
          <w:szCs w:val="16"/>
          <w:b w:val="1"/>
          <w:bCs w:val="1"/>
          <w:color w:val="auto"/>
        </w:rPr>
      </w:pPr>
    </w:p>
    <w:p>
      <w:pPr>
        <w:ind w:right="440" w:firstLine="444"/>
        <w:spacing w:after="0" w:line="271" w:lineRule="auto"/>
        <w:tabs>
          <w:tab w:leader="none" w:pos="822"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74" w:lineRule="exact"/>
        <w:rPr>
          <w:rFonts w:ascii="Arial" w:cs="Arial" w:eastAsia="Arial" w:hAnsi="Arial"/>
          <w:sz w:val="18"/>
          <w:szCs w:val="18"/>
          <w:b w:val="1"/>
          <w:bCs w:val="1"/>
          <w:color w:val="auto"/>
        </w:rPr>
      </w:pPr>
    </w:p>
    <w:p>
      <w:pPr>
        <w:ind w:right="680" w:firstLine="444"/>
        <w:spacing w:after="0" w:line="271" w:lineRule="auto"/>
        <w:tabs>
          <w:tab w:leader="none" w:pos="812"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5" w:lineRule="exact"/>
        <w:rPr>
          <w:sz w:val="20"/>
          <w:szCs w:val="20"/>
          <w:color w:val="auto"/>
        </w:rPr>
      </w:pPr>
    </w:p>
    <w:p>
      <w:pPr>
        <w:ind w:right="160" w:firstLine="444"/>
        <w:spacing w:after="0" w:line="271" w:lineRule="auto"/>
        <w:tabs>
          <w:tab w:leader="none" w:pos="912"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6(c).</w:t>
      </w:r>
    </w:p>
    <w:p>
      <w:pPr>
        <w:spacing w:after="0" w:line="174" w:lineRule="exact"/>
        <w:rPr>
          <w:rFonts w:ascii="Arial" w:cs="Arial" w:eastAsia="Arial" w:hAnsi="Arial"/>
          <w:sz w:val="18"/>
          <w:szCs w:val="18"/>
          <w:b w:val="1"/>
          <w:bCs w:val="1"/>
          <w:color w:val="auto"/>
        </w:rPr>
      </w:pPr>
    </w:p>
    <w:p>
      <w:pPr>
        <w:ind w:right="160" w:firstLine="444"/>
        <w:spacing w:after="0" w:line="335" w:lineRule="auto"/>
        <w:tabs>
          <w:tab w:leader="none" w:pos="931" w:val="left"/>
        </w:tabs>
        <w:numPr>
          <w:ilvl w:val="0"/>
          <w:numId w:val="28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80" w:top="271" w:right="499" w:bottom="1440" w:gutter="0" w:footer="0" w:header="0"/>
        </w:sectPr>
      </w:pPr>
    </w:p>
    <w:bookmarkStart w:id="336" w:name="page337"/>
    <w:bookmarkEnd w:id="336"/>
    <w:p>
      <w:pPr>
        <w:ind w:firstLine="444"/>
        <w:spacing w:after="0" w:line="281" w:lineRule="auto"/>
        <w:tabs>
          <w:tab w:leader="none" w:pos="892" w:val="left"/>
        </w:tabs>
        <w:numPr>
          <w:ilvl w:val="0"/>
          <w:numId w:val="28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9" w:lineRule="exact"/>
        <w:rPr>
          <w:rFonts w:ascii="Arial" w:cs="Arial" w:eastAsia="Arial" w:hAnsi="Arial"/>
          <w:sz w:val="17"/>
          <w:szCs w:val="17"/>
          <w:b w:val="1"/>
          <w:bCs w:val="1"/>
          <w:color w:val="auto"/>
        </w:rPr>
      </w:pPr>
    </w:p>
    <w:p>
      <w:pPr>
        <w:ind w:right="380" w:firstLine="444"/>
        <w:spacing w:after="0" w:line="271" w:lineRule="auto"/>
        <w:tabs>
          <w:tab w:leader="none" w:pos="931"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174" w:lineRule="exact"/>
        <w:rPr>
          <w:rFonts w:ascii="Arial" w:cs="Arial" w:eastAsia="Arial" w:hAnsi="Arial"/>
          <w:sz w:val="18"/>
          <w:szCs w:val="18"/>
          <w:b w:val="1"/>
          <w:bCs w:val="1"/>
          <w:color w:val="auto"/>
        </w:rPr>
      </w:pPr>
    </w:p>
    <w:p>
      <w:pPr>
        <w:ind w:left="900" w:hanging="456"/>
        <w:spacing w:after="0"/>
        <w:tabs>
          <w:tab w:leader="none" w:pos="900"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Xometry, Inc. 2016 Equity Incentive Plan.</w:t>
      </w:r>
    </w:p>
    <w:p>
      <w:pPr>
        <w:spacing w:after="0" w:line="220" w:lineRule="exact"/>
        <w:rPr>
          <w:rFonts w:ascii="Arial" w:cs="Arial" w:eastAsia="Arial" w:hAnsi="Arial"/>
          <w:sz w:val="18"/>
          <w:szCs w:val="18"/>
          <w:b w:val="1"/>
          <w:bCs w:val="1"/>
          <w:color w:val="auto"/>
        </w:rPr>
      </w:pPr>
    </w:p>
    <w:p>
      <w:pPr>
        <w:ind w:left="860" w:hanging="425"/>
        <w:spacing w:after="0"/>
        <w:tabs>
          <w:tab w:leader="none" w:pos="860" w:val="left"/>
        </w:tabs>
        <w:numPr>
          <w:ilvl w:val="0"/>
          <w:numId w:val="28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shares of Common Stock which is granted pursuant to the terms and conditions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of Section 6(a).</w:t>
      </w:r>
    </w:p>
    <w:p>
      <w:pPr>
        <w:spacing w:after="0" w:line="208" w:lineRule="exact"/>
        <w:rPr>
          <w:sz w:val="20"/>
          <w:szCs w:val="20"/>
          <w:color w:val="auto"/>
        </w:rPr>
      </w:pPr>
    </w:p>
    <w:p>
      <w:pPr>
        <w:ind w:right="580" w:firstLine="444"/>
        <w:spacing w:after="0" w:line="259" w:lineRule="auto"/>
        <w:tabs>
          <w:tab w:leader="none" w:pos="912"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85" w:lineRule="exact"/>
        <w:rPr>
          <w:rFonts w:ascii="Arial" w:cs="Arial" w:eastAsia="Arial" w:hAnsi="Arial"/>
          <w:sz w:val="18"/>
          <w:szCs w:val="18"/>
          <w:b w:val="1"/>
          <w:bCs w:val="1"/>
          <w:color w:val="auto"/>
        </w:rPr>
      </w:pPr>
    </w:p>
    <w:p>
      <w:pPr>
        <w:ind w:left="940" w:hanging="496"/>
        <w:spacing w:after="0"/>
        <w:tabs>
          <w:tab w:leader="none" w:pos="940" w:val="left"/>
        </w:tabs>
        <w:numPr>
          <w:ilvl w:val="0"/>
          <w:numId w:val="28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 right to receive shares of Common Stock which is granted pursuant to the terms and conditions of</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6(b).</w:t>
      </w:r>
    </w:p>
    <w:p>
      <w:pPr>
        <w:spacing w:after="0" w:line="208" w:lineRule="exact"/>
        <w:rPr>
          <w:rFonts w:ascii="Arial" w:cs="Arial" w:eastAsia="Arial" w:hAnsi="Arial"/>
          <w:sz w:val="16"/>
          <w:szCs w:val="16"/>
          <w:b w:val="1"/>
          <w:bCs w:val="1"/>
          <w:color w:val="auto"/>
        </w:rPr>
      </w:pPr>
    </w:p>
    <w:p>
      <w:pPr>
        <w:ind w:right="60" w:firstLine="444"/>
        <w:spacing w:after="0" w:line="259" w:lineRule="auto"/>
        <w:tabs>
          <w:tab w:leader="none" w:pos="832"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85" w:lineRule="exact"/>
        <w:rPr>
          <w:rFonts w:ascii="Arial" w:cs="Arial" w:eastAsia="Arial" w:hAnsi="Arial"/>
          <w:sz w:val="18"/>
          <w:szCs w:val="18"/>
          <w:b w:val="1"/>
          <w:bCs w:val="1"/>
          <w:color w:val="auto"/>
        </w:rPr>
      </w:pPr>
    </w:p>
    <w:p>
      <w:pPr>
        <w:ind w:left="860" w:hanging="416"/>
        <w:spacing w:after="0"/>
        <w:tabs>
          <w:tab w:leader="none" w:pos="86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0" w:lineRule="exact"/>
        <w:rPr>
          <w:rFonts w:ascii="Arial" w:cs="Arial" w:eastAsia="Arial" w:hAnsi="Arial"/>
          <w:sz w:val="18"/>
          <w:szCs w:val="18"/>
          <w:b w:val="1"/>
          <w:bCs w:val="1"/>
          <w:color w:val="auto"/>
        </w:rPr>
      </w:pPr>
    </w:p>
    <w:p>
      <w:pPr>
        <w:ind w:left="940" w:hanging="496"/>
        <w:spacing w:after="0"/>
        <w:tabs>
          <w:tab w:leader="none" w:pos="94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220" w:lineRule="exact"/>
        <w:rPr>
          <w:rFonts w:ascii="Arial" w:cs="Arial" w:eastAsia="Arial" w:hAnsi="Arial"/>
          <w:sz w:val="18"/>
          <w:szCs w:val="18"/>
          <w:b w:val="1"/>
          <w:bCs w:val="1"/>
          <w:color w:val="auto"/>
        </w:rPr>
      </w:pPr>
    </w:p>
    <w:p>
      <w:pPr>
        <w:ind w:left="840" w:hanging="396"/>
        <w:spacing w:after="0"/>
        <w:tabs>
          <w:tab w:leader="none" w:pos="84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0" w:lineRule="exact"/>
        <w:rPr>
          <w:rFonts w:ascii="Arial" w:cs="Arial" w:eastAsia="Arial" w:hAnsi="Arial"/>
          <w:sz w:val="18"/>
          <w:szCs w:val="18"/>
          <w:b w:val="1"/>
          <w:bCs w:val="1"/>
          <w:color w:val="auto"/>
        </w:rPr>
      </w:pPr>
    </w:p>
    <w:p>
      <w:pPr>
        <w:ind w:right="200" w:firstLine="444"/>
        <w:spacing w:after="0" w:line="271" w:lineRule="auto"/>
        <w:tabs>
          <w:tab w:leader="none" w:pos="103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74" w:lineRule="exact"/>
        <w:rPr>
          <w:rFonts w:ascii="Arial" w:cs="Arial" w:eastAsia="Arial" w:hAnsi="Arial"/>
          <w:sz w:val="18"/>
          <w:szCs w:val="18"/>
          <w:b w:val="1"/>
          <w:bCs w:val="1"/>
          <w:color w:val="auto"/>
        </w:rPr>
      </w:pPr>
    </w:p>
    <w:p>
      <w:pPr>
        <w:ind w:right="300" w:firstLine="444"/>
        <w:spacing w:after="0" w:line="259" w:lineRule="auto"/>
        <w:tabs>
          <w:tab w:leader="none" w:pos="931"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85" w:lineRule="exact"/>
        <w:rPr>
          <w:rFonts w:ascii="Arial" w:cs="Arial" w:eastAsia="Arial" w:hAnsi="Arial"/>
          <w:sz w:val="18"/>
          <w:szCs w:val="18"/>
          <w:b w:val="1"/>
          <w:bCs w:val="1"/>
          <w:color w:val="auto"/>
        </w:rPr>
      </w:pPr>
    </w:p>
    <w:p>
      <w:pPr>
        <w:ind w:right="340" w:firstLine="444"/>
        <w:spacing w:after="0" w:line="301" w:lineRule="auto"/>
        <w:tabs>
          <w:tab w:leader="none" w:pos="912" w:val="left"/>
        </w:tabs>
        <w:numPr>
          <w:ilvl w:val="0"/>
          <w:numId w:val="28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to receive Common Stock granted under the Plan, including an Incentive Stock Option, a Nonstatutory Stock Option, a Restricted Stock Award, a Restricted Stock Unit Award, a Stock Appreciation Right or any Other Stock Award.</w:t>
      </w:r>
    </w:p>
    <w:p>
      <w:pPr>
        <w:spacing w:after="0" w:line="151" w:lineRule="exact"/>
        <w:rPr>
          <w:rFonts w:ascii="Arial" w:cs="Arial" w:eastAsia="Arial" w:hAnsi="Arial"/>
          <w:sz w:val="17"/>
          <w:szCs w:val="17"/>
          <w:b w:val="1"/>
          <w:bCs w:val="1"/>
          <w:color w:val="auto"/>
        </w:rPr>
      </w:pPr>
    </w:p>
    <w:p>
      <w:pPr>
        <w:ind w:right="260" w:firstLine="444"/>
        <w:spacing w:after="0" w:line="271" w:lineRule="auto"/>
        <w:tabs>
          <w:tab w:leader="none" w:pos="931"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74" w:lineRule="exact"/>
        <w:rPr>
          <w:rFonts w:ascii="Arial" w:cs="Arial" w:eastAsia="Arial" w:hAnsi="Arial"/>
          <w:sz w:val="18"/>
          <w:szCs w:val="18"/>
          <w:b w:val="1"/>
          <w:bCs w:val="1"/>
          <w:color w:val="auto"/>
        </w:rPr>
      </w:pPr>
    </w:p>
    <w:p>
      <w:pPr>
        <w:ind w:right="460" w:firstLine="444"/>
        <w:spacing w:after="0" w:line="271" w:lineRule="auto"/>
        <w:tabs>
          <w:tab w:leader="none" w:pos="931"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percent of the outstanding capital stock having ordinary voting power to elect a majority of the board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80" w:top="272" w:right="519" w:bottom="1440" w:gutter="0" w:footer="0" w:header="0"/>
        </w:sectPr>
      </w:pPr>
    </w:p>
    <w:bookmarkStart w:id="337" w:name="page338"/>
    <w:bookmarkEnd w:id="33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percent.</w:t>
      </w:r>
    </w:p>
    <w:p>
      <w:pPr>
        <w:spacing w:after="0" w:line="190" w:lineRule="exact"/>
        <w:rPr>
          <w:sz w:val="20"/>
          <w:szCs w:val="20"/>
          <w:color w:val="auto"/>
        </w:rPr>
      </w:pPr>
    </w:p>
    <w:p>
      <w:pPr>
        <w:ind w:right="280" w:firstLine="444"/>
        <w:spacing w:after="0" w:line="271" w:lineRule="auto"/>
        <w:tabs>
          <w:tab w:leader="none" w:pos="892"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percent of the total combined voting power of all classes of stock of the Company or any Affiliate.</w:t>
      </w:r>
    </w:p>
    <w:p>
      <w:pPr>
        <w:spacing w:after="0" w:line="174" w:lineRule="exact"/>
        <w:rPr>
          <w:rFonts w:ascii="Arial" w:cs="Arial" w:eastAsia="Arial" w:hAnsi="Arial"/>
          <w:sz w:val="18"/>
          <w:szCs w:val="18"/>
          <w:b w:val="1"/>
          <w:bCs w:val="1"/>
          <w:color w:val="auto"/>
        </w:rPr>
      </w:pPr>
    </w:p>
    <w:p>
      <w:pPr>
        <w:ind w:left="880" w:hanging="436"/>
        <w:spacing w:after="0"/>
        <w:tabs>
          <w:tab w:leader="none" w:pos="88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a Change in Control.</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00"/>
          </w:cols>
          <w:pgMar w:left="480" w:top="272" w:right="61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10.3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4" w:lineRule="exact"/>
        <w:rPr>
          <w:sz w:val="20"/>
          <w:szCs w:val="20"/>
          <w:color w:val="auto"/>
        </w:rPr>
      </w:pPr>
    </w:p>
    <w:p>
      <w:pPr>
        <w:ind w:right="120" w:firstLine="444"/>
        <w:spacing w:after="0" w:line="275" w:lineRule="auto"/>
        <w:tabs>
          <w:tab w:leader="none" w:pos="788"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820" w:hanging="376"/>
        <w:spacing w:after="0"/>
        <w:tabs>
          <w:tab w:leader="none" w:pos="820"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The Plan currently provides for 1,634,926 shares of Common Stock to be reserved for issuance under the Plan; and</w:t>
      </w:r>
    </w:p>
    <w:p>
      <w:pPr>
        <w:spacing w:after="0" w:line="220" w:lineRule="exact"/>
        <w:rPr>
          <w:rFonts w:ascii="Arial" w:cs="Arial" w:eastAsia="Arial" w:hAnsi="Arial"/>
          <w:sz w:val="18"/>
          <w:szCs w:val="18"/>
          <w:b w:val="1"/>
          <w:bCs w:val="1"/>
          <w:color w:val="auto"/>
        </w:rPr>
      </w:pPr>
    </w:p>
    <w:p>
      <w:pPr>
        <w:ind w:right="180" w:firstLine="444"/>
        <w:spacing w:after="0" w:line="271" w:lineRule="auto"/>
        <w:tabs>
          <w:tab w:leader="none" w:pos="785"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1,953,236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hanging="316"/>
        <w:spacing w:after="0"/>
        <w:tabs>
          <w:tab w:leader="none" w:pos="7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reference to “1,634,926 shares” in Section 3(a)(i) of the Plan is hereby amended to reference “1,953,236 shares”.</w:t>
      </w:r>
    </w:p>
    <w:p>
      <w:pPr>
        <w:spacing w:after="0" w:line="220" w:lineRule="exact"/>
        <w:rPr>
          <w:rFonts w:ascii="Arial" w:cs="Arial" w:eastAsia="Arial" w:hAnsi="Arial"/>
          <w:sz w:val="18"/>
          <w:szCs w:val="18"/>
          <w:color w:val="auto"/>
        </w:rPr>
      </w:pPr>
    </w:p>
    <w:p>
      <w:pPr>
        <w:ind w:left="760" w:hanging="316"/>
        <w:spacing w:after="0"/>
        <w:tabs>
          <w:tab w:leader="none" w:pos="7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all other respects the Plan will remain the same.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920"/>
          </w:cols>
          <w:pgMar w:left="480" w:top="121" w:right="499" w:bottom="1440" w:gutter="0" w:footer="0" w:header="0"/>
        </w:sectPr>
      </w:pPr>
    </w:p>
    <w:bookmarkStart w:id="339" w:name="page340"/>
    <w:bookmarkEnd w:id="3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hereby certify that the foregoing amendment to the Plan was duly adopted by the Board of Directors of the Company as of June 9, 2017.</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Laurence Zuriff</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June 9, 2017.</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Laurence Zuriff</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N</w:t>
      </w:r>
      <w:r>
        <w:rPr>
          <w:rFonts w:ascii="Arial" w:cs="Arial" w:eastAsia="Arial" w:hAnsi="Arial"/>
          <w:sz w:val="14"/>
          <w:szCs w:val="14"/>
          <w:color w:val="auto"/>
        </w:rPr>
        <w:t>O</w:t>
      </w:r>
      <w:r>
        <w:rPr>
          <w:rFonts w:ascii="Arial" w:cs="Arial" w:eastAsia="Arial" w:hAnsi="Arial"/>
          <w:sz w:val="18"/>
          <w:szCs w:val="18"/>
          <w:color w:val="auto"/>
        </w:rPr>
        <w:t xml:space="preserve">. 1 </w:t>
      </w:r>
      <w:r>
        <w:rPr>
          <w:rFonts w:ascii="Arial" w:cs="Arial" w:eastAsia="Arial" w:hAnsi="Arial"/>
          <w:sz w:val="14"/>
          <w:szCs w:val="14"/>
          <w:color w:val="auto"/>
        </w:rPr>
        <w:t>TO</w:t>
      </w:r>
      <w:r>
        <w:rPr>
          <w:rFonts w:ascii="Arial" w:cs="Arial" w:eastAsia="Arial" w:hAnsi="Arial"/>
          <w:sz w:val="18"/>
          <w:szCs w:val="18"/>
          <w:color w:val="auto"/>
        </w:rPr>
        <w:t xml:space="preserve"> 2016 E</w:t>
      </w:r>
      <w:r>
        <w:rPr>
          <w:rFonts w:ascii="Arial" w:cs="Arial" w:eastAsia="Arial" w:hAnsi="Arial"/>
          <w:sz w:val="14"/>
          <w:szCs w:val="14"/>
          <w:color w:val="auto"/>
        </w:rPr>
        <w:t>QUITY</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r>
        <w:rPr>
          <w:rFonts w:ascii="Arial" w:cs="Arial" w:eastAsia="Arial" w:hAnsi="Arial"/>
          <w:sz w:val="18"/>
          <w:szCs w:val="18"/>
          <w:color w:val="auto"/>
        </w:rPr>
        <w:t>]</w:t>
      </w:r>
    </w:p>
    <w:p>
      <w:pPr>
        <w:sectPr>
          <w:pgSz w:w="11900" w:h="16838" w:orient="portrait"/>
          <w:cols w:equalWidth="0" w:num="1">
            <w:col w:w="9820"/>
          </w:cols>
          <w:pgMar w:left="920" w:top="272" w:right="115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10.4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2 </w:t>
      </w:r>
      <w:r>
        <w:rPr>
          <w:rFonts w:ascii="Arial" w:cs="Arial" w:eastAsia="Arial" w:hAnsi="Arial"/>
          <w:sz w:val="14"/>
          <w:szCs w:val="14"/>
          <w:b w:val="1"/>
          <w:bCs w:val="1"/>
          <w:color w:val="auto"/>
        </w:rPr>
        <w:t>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4" w:lineRule="exact"/>
        <w:rPr>
          <w:sz w:val="20"/>
          <w:szCs w:val="20"/>
          <w:color w:val="auto"/>
        </w:rPr>
      </w:pPr>
    </w:p>
    <w:p>
      <w:pPr>
        <w:ind w:right="120" w:firstLine="444"/>
        <w:spacing w:after="0" w:line="275" w:lineRule="auto"/>
        <w:tabs>
          <w:tab w:leader="none" w:pos="788"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820" w:hanging="376"/>
        <w:spacing w:after="0"/>
        <w:tabs>
          <w:tab w:leader="none" w:pos="820" w:val="left"/>
        </w:tabs>
        <w:numPr>
          <w:ilvl w:val="0"/>
          <w:numId w:val="286"/>
        </w:numPr>
        <w:rPr>
          <w:rFonts w:ascii="Arial" w:cs="Arial" w:eastAsia="Arial" w:hAnsi="Arial"/>
          <w:sz w:val="17"/>
          <w:szCs w:val="17"/>
          <w:b w:val="1"/>
          <w:bCs w:val="1"/>
          <w:color w:val="auto"/>
        </w:rPr>
      </w:pPr>
      <w:r>
        <w:rPr>
          <w:rFonts w:ascii="Arial" w:cs="Arial" w:eastAsia="Arial" w:hAnsi="Arial"/>
          <w:sz w:val="17"/>
          <w:szCs w:val="17"/>
          <w:color w:val="auto"/>
        </w:rPr>
        <w:t>The Plan currently provides for an aggregate of 1,953,236 shares of Common Stock to be reserved for issuance under the Plan; and</w:t>
      </w:r>
    </w:p>
    <w:p>
      <w:pPr>
        <w:spacing w:after="0" w:line="232" w:lineRule="exact"/>
        <w:rPr>
          <w:rFonts w:ascii="Arial" w:cs="Arial" w:eastAsia="Arial" w:hAnsi="Arial"/>
          <w:sz w:val="17"/>
          <w:szCs w:val="17"/>
          <w:b w:val="1"/>
          <w:bCs w:val="1"/>
          <w:color w:val="auto"/>
        </w:rPr>
      </w:pPr>
    </w:p>
    <w:p>
      <w:pPr>
        <w:ind w:right="180" w:firstLine="444"/>
        <w:spacing w:after="0" w:line="271" w:lineRule="auto"/>
        <w:tabs>
          <w:tab w:leader="none" w:pos="785"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2,147,233 shares.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Effective immediately, Section 3(a)(i) of the Plan is amended and restated in its entirety as follows:</w:t>
      </w:r>
    </w:p>
    <w:p>
      <w:pPr>
        <w:spacing w:after="0" w:line="221" w:lineRule="exact"/>
        <w:rPr>
          <w:sz w:val="20"/>
          <w:szCs w:val="20"/>
          <w:color w:val="auto"/>
        </w:rPr>
      </w:pPr>
    </w:p>
    <w:p>
      <w:pPr>
        <w:ind w:left="760" w:hanging="316"/>
        <w:spacing w:after="0"/>
        <w:tabs>
          <w:tab w:leader="none" w:pos="7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Effective immediately, Section 3(a)(i) of the Plan is amended and restated in its entirety as follows:</w:t>
      </w:r>
    </w:p>
    <w:p>
      <w:pPr>
        <w:spacing w:after="0" w:line="114" w:lineRule="exact"/>
        <w:rPr>
          <w:sz w:val="20"/>
          <w:szCs w:val="20"/>
          <w:color w:val="auto"/>
        </w:rPr>
      </w:pPr>
    </w:p>
    <w:p>
      <w:pPr>
        <w:ind w:left="1420" w:right="100" w:firstLine="380"/>
        <w:spacing w:after="0" w:line="267" w:lineRule="auto"/>
        <w:rPr>
          <w:sz w:val="20"/>
          <w:szCs w:val="20"/>
          <w:color w:val="auto"/>
        </w:rPr>
      </w:pPr>
      <w:r>
        <w:rPr>
          <w:rFonts w:ascii="Arial" w:cs="Arial" w:eastAsia="Arial" w:hAnsi="Arial"/>
          <w:sz w:val="17"/>
          <w:szCs w:val="17"/>
          <w:color w:val="auto"/>
        </w:rPr>
        <w:t xml:space="preserve">“Subject to Section 9(a) relating to Capitalization Adjustments, the aggregate number of shares of Common Stock that may be issued pursuant to Stock Awards from and after the Effective Date will not exceed 2,147,233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which number includes the sum of (x) 1,363,826 shares available for issuance under the Prior Plan as of 12:01 a.m. Eastern time on the Effective Date plus (y) such number of shares, up to a maximum of 271,100 shares of Common Stock, subject to outstanding stock awards granted under the Prior Plan as of 12:01 a.m. Eastern time on the Effective Date that (1) expire or terminate for any reason prior to exercise or settlement or without all shares covered by such award having been issued; (2) are forfeited, cancelled or otherwise returned to the Company because of the failure to meet a contingency or condition required to vest such shares; or (3) are reacquired, repurchased or withheld (or not issued) to satisfy a tax withholding obligation in connection with an award or to satisfy the purchase price or exercise price of a stock award (such shares, the “</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as and to the extent such Returning Shares become available from time to time.”</w:t>
      </w:r>
    </w:p>
    <w:p>
      <w:pPr>
        <w:spacing w:after="0" w:line="179"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In all other respects the Plan will remain the same.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920"/>
          </w:cols>
          <w:pgMar w:left="480" w:top="121" w:right="499" w:bottom="1440" w:gutter="0" w:footer="0" w:header="0"/>
        </w:sectPr>
      </w:pPr>
    </w:p>
    <w:bookmarkStart w:id="341" w:name="page342"/>
    <w:bookmarkEnd w:id="3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hereby certify that the foregoing amendment to the Plan was duly adopted by the Board of Directors of the Company as of June 27, 2017.</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Laurence Zuriff</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June 30, 2017.</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Laurence Zuriff</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N</w:t>
      </w:r>
      <w:r>
        <w:rPr>
          <w:rFonts w:ascii="Arial" w:cs="Arial" w:eastAsia="Arial" w:hAnsi="Arial"/>
          <w:sz w:val="14"/>
          <w:szCs w:val="14"/>
          <w:color w:val="auto"/>
        </w:rPr>
        <w:t>O</w:t>
      </w:r>
      <w:r>
        <w:rPr>
          <w:rFonts w:ascii="Arial" w:cs="Arial" w:eastAsia="Arial" w:hAnsi="Arial"/>
          <w:sz w:val="18"/>
          <w:szCs w:val="18"/>
          <w:color w:val="auto"/>
        </w:rPr>
        <w:t>. 2 T</w:t>
      </w:r>
      <w:r>
        <w:rPr>
          <w:rFonts w:ascii="Arial" w:cs="Arial" w:eastAsia="Arial" w:hAnsi="Arial"/>
          <w:sz w:val="14"/>
          <w:szCs w:val="14"/>
          <w:color w:val="auto"/>
        </w:rPr>
        <w:t>O</w:t>
      </w:r>
      <w:r>
        <w:rPr>
          <w:rFonts w:ascii="Arial" w:cs="Arial" w:eastAsia="Arial" w:hAnsi="Arial"/>
          <w:sz w:val="18"/>
          <w:szCs w:val="18"/>
          <w:color w:val="auto"/>
        </w:rPr>
        <w:t xml:space="preserve"> 2016 E</w:t>
      </w:r>
      <w:r>
        <w:rPr>
          <w:rFonts w:ascii="Arial" w:cs="Arial" w:eastAsia="Arial" w:hAnsi="Arial"/>
          <w:sz w:val="14"/>
          <w:szCs w:val="14"/>
          <w:color w:val="auto"/>
        </w:rPr>
        <w:t>QUITY</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r>
        <w:rPr>
          <w:rFonts w:ascii="Arial" w:cs="Arial" w:eastAsia="Arial" w:hAnsi="Arial"/>
          <w:sz w:val="18"/>
          <w:szCs w:val="18"/>
          <w:color w:val="auto"/>
        </w:rPr>
        <w:t>]</w:t>
      </w:r>
    </w:p>
    <w:p>
      <w:pPr>
        <w:sectPr>
          <w:pgSz w:w="11900" w:h="16838" w:orient="portrait"/>
          <w:cols w:equalWidth="0" w:num="1">
            <w:col w:w="9920"/>
          </w:cols>
          <w:pgMar w:left="920" w:top="272" w:right="105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3 </w:t>
      </w:r>
      <w:r>
        <w:rPr>
          <w:rFonts w:ascii="Arial" w:cs="Arial" w:eastAsia="Arial" w:hAnsi="Arial"/>
          <w:sz w:val="14"/>
          <w:szCs w:val="14"/>
          <w:b w:val="1"/>
          <w:bCs w:val="1"/>
          <w:color w:val="auto"/>
        </w:rPr>
        <w:t>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4" w:lineRule="exact"/>
        <w:rPr>
          <w:sz w:val="20"/>
          <w:szCs w:val="20"/>
          <w:color w:val="auto"/>
        </w:rPr>
      </w:pPr>
    </w:p>
    <w:p>
      <w:pPr>
        <w:ind w:right="120" w:firstLine="444"/>
        <w:spacing w:after="0" w:line="275" w:lineRule="auto"/>
        <w:tabs>
          <w:tab w:leader="none" w:pos="788"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820" w:hanging="376"/>
        <w:spacing w:after="0"/>
        <w:tabs>
          <w:tab w:leader="none" w:pos="820"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t>The Plan currently provides for an aggregate of 2,147,233 shares of Common Stock to be reserved for issuance under the Plan; and</w:t>
      </w:r>
    </w:p>
    <w:p>
      <w:pPr>
        <w:spacing w:after="0" w:line="232" w:lineRule="exact"/>
        <w:rPr>
          <w:rFonts w:ascii="Arial" w:cs="Arial" w:eastAsia="Arial" w:hAnsi="Arial"/>
          <w:sz w:val="17"/>
          <w:szCs w:val="17"/>
          <w:b w:val="1"/>
          <w:bCs w:val="1"/>
          <w:color w:val="auto"/>
        </w:rPr>
      </w:pPr>
    </w:p>
    <w:p>
      <w:pPr>
        <w:ind w:right="180" w:firstLine="444"/>
        <w:spacing w:after="0" w:line="271" w:lineRule="auto"/>
        <w:tabs>
          <w:tab w:leader="none" w:pos="785"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3,348,816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hanging="316"/>
        <w:spacing w:after="0"/>
        <w:tabs>
          <w:tab w:leader="none" w:pos="7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reference to “2,147,233 shares” in Section 3(a)(i) of the Plan is hereby amended to reference “3,348,816 shares”.</w:t>
      </w:r>
    </w:p>
    <w:p>
      <w:pPr>
        <w:spacing w:after="0" w:line="220" w:lineRule="exact"/>
        <w:rPr>
          <w:rFonts w:ascii="Arial" w:cs="Arial" w:eastAsia="Arial" w:hAnsi="Arial"/>
          <w:sz w:val="18"/>
          <w:szCs w:val="18"/>
          <w:color w:val="auto"/>
        </w:rPr>
      </w:pPr>
    </w:p>
    <w:p>
      <w:pPr>
        <w:ind w:left="760" w:hanging="316"/>
        <w:spacing w:after="0"/>
        <w:tabs>
          <w:tab w:leader="none" w:pos="7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all other respects the Plan will remain the same.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920"/>
          </w:cols>
          <w:pgMar w:left="480" w:top="121" w:right="499" w:bottom="1440" w:gutter="0" w:footer="0" w:header="0"/>
        </w:sectPr>
      </w:pPr>
    </w:p>
    <w:bookmarkStart w:id="343" w:name="page344"/>
    <w:bookmarkEnd w:id="3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hereby certify that the foregoing amendment to the Plan was duly adopted by the Board of Directors of the Company as of June 28, 2018.</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Laurence Zuriff</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June 28, 2018.</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Laurence Zuriff</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920"/>
          </w:cols>
          <w:pgMar w:left="920" w:top="272" w:right="105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10.6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4 </w:t>
      </w:r>
      <w:r>
        <w:rPr>
          <w:rFonts w:ascii="Arial" w:cs="Arial" w:eastAsia="Arial" w:hAnsi="Arial"/>
          <w:sz w:val="14"/>
          <w:szCs w:val="14"/>
          <w:b w:val="1"/>
          <w:bCs w:val="1"/>
          <w:color w:val="auto"/>
        </w:rPr>
        <w:t>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4" w:lineRule="exact"/>
        <w:rPr>
          <w:sz w:val="20"/>
          <w:szCs w:val="20"/>
          <w:color w:val="auto"/>
        </w:rPr>
      </w:pPr>
    </w:p>
    <w:p>
      <w:pPr>
        <w:ind w:right="120" w:firstLine="444"/>
        <w:spacing w:after="0" w:line="275" w:lineRule="auto"/>
        <w:tabs>
          <w:tab w:leader="none" w:pos="788"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820" w:hanging="376"/>
        <w:spacing w:after="0"/>
        <w:tabs>
          <w:tab w:leader="none" w:pos="820" w:val="left"/>
        </w:tabs>
        <w:numPr>
          <w:ilvl w:val="0"/>
          <w:numId w:val="290"/>
        </w:numPr>
        <w:rPr>
          <w:rFonts w:ascii="Arial" w:cs="Arial" w:eastAsia="Arial" w:hAnsi="Arial"/>
          <w:sz w:val="17"/>
          <w:szCs w:val="17"/>
          <w:b w:val="1"/>
          <w:bCs w:val="1"/>
          <w:color w:val="auto"/>
        </w:rPr>
      </w:pPr>
      <w:r>
        <w:rPr>
          <w:rFonts w:ascii="Arial" w:cs="Arial" w:eastAsia="Arial" w:hAnsi="Arial"/>
          <w:sz w:val="17"/>
          <w:szCs w:val="17"/>
          <w:color w:val="auto"/>
        </w:rPr>
        <w:t>The Plan currently provides for an aggregate of 3,348,816 shares of Common Stock to be reserved for issuance under the Plan; and</w:t>
      </w:r>
    </w:p>
    <w:p>
      <w:pPr>
        <w:spacing w:after="0" w:line="232" w:lineRule="exact"/>
        <w:rPr>
          <w:rFonts w:ascii="Arial" w:cs="Arial" w:eastAsia="Arial" w:hAnsi="Arial"/>
          <w:sz w:val="17"/>
          <w:szCs w:val="17"/>
          <w:b w:val="1"/>
          <w:bCs w:val="1"/>
          <w:color w:val="auto"/>
        </w:rPr>
      </w:pPr>
    </w:p>
    <w:p>
      <w:pPr>
        <w:ind w:right="180" w:firstLine="444"/>
        <w:spacing w:after="0" w:line="271" w:lineRule="auto"/>
        <w:tabs>
          <w:tab w:leader="none" w:pos="785"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4,409,816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hanging="316"/>
        <w:spacing w:after="0"/>
        <w:tabs>
          <w:tab w:leader="none" w:pos="7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reference to “3,348,816 shares” in Section 3(a)(i) of the Plan is hereby amended to reference “4,409,816 shares”.</w:t>
      </w:r>
    </w:p>
    <w:p>
      <w:pPr>
        <w:spacing w:after="0" w:line="220" w:lineRule="exact"/>
        <w:rPr>
          <w:rFonts w:ascii="Arial" w:cs="Arial" w:eastAsia="Arial" w:hAnsi="Arial"/>
          <w:sz w:val="18"/>
          <w:szCs w:val="18"/>
          <w:color w:val="auto"/>
        </w:rPr>
      </w:pPr>
    </w:p>
    <w:p>
      <w:pPr>
        <w:ind w:left="760" w:hanging="316"/>
        <w:spacing w:after="0"/>
        <w:tabs>
          <w:tab w:leader="none" w:pos="7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all other respects the Plan will remain the same.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920"/>
          </w:cols>
          <w:pgMar w:left="480" w:top="121" w:right="499" w:bottom="1440" w:gutter="0" w:footer="0" w:header="0"/>
        </w:sectPr>
      </w:pPr>
    </w:p>
    <w:bookmarkStart w:id="345" w:name="page346"/>
    <w:bookmarkEnd w:id="3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hereby certify that the foregoing amendment to the Plan was duly adopted by the Board of Directors of the Company as of April 30, 2019.</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Laurence Zuriff</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April 30, 2019.</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Laurence Zuriff</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960"/>
          </w:cols>
          <w:pgMar w:left="920" w:top="272" w:right="101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10.7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5 </w:t>
      </w:r>
      <w:r>
        <w:rPr>
          <w:rFonts w:ascii="Arial" w:cs="Arial" w:eastAsia="Arial" w:hAnsi="Arial"/>
          <w:sz w:val="14"/>
          <w:szCs w:val="14"/>
          <w:b w:val="1"/>
          <w:bCs w:val="1"/>
          <w:color w:val="auto"/>
        </w:rPr>
        <w:t>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4" w:lineRule="exact"/>
        <w:rPr>
          <w:sz w:val="20"/>
          <w:szCs w:val="20"/>
          <w:color w:val="auto"/>
        </w:rPr>
      </w:pPr>
    </w:p>
    <w:p>
      <w:pPr>
        <w:ind w:right="120" w:firstLine="444"/>
        <w:spacing w:after="0" w:line="275" w:lineRule="auto"/>
        <w:tabs>
          <w:tab w:leader="none" w:pos="788"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820" w:hanging="376"/>
        <w:spacing w:after="0"/>
        <w:tabs>
          <w:tab w:leader="none" w:pos="820"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The Plan currently provides for an aggregate of 4,409,816 shares of Common Stock to be reserved for issuance under the Plan; and</w:t>
      </w:r>
    </w:p>
    <w:p>
      <w:pPr>
        <w:spacing w:after="0" w:line="232" w:lineRule="exact"/>
        <w:rPr>
          <w:rFonts w:ascii="Arial" w:cs="Arial" w:eastAsia="Arial" w:hAnsi="Arial"/>
          <w:sz w:val="17"/>
          <w:szCs w:val="17"/>
          <w:b w:val="1"/>
          <w:bCs w:val="1"/>
          <w:color w:val="auto"/>
        </w:rPr>
      </w:pPr>
    </w:p>
    <w:p>
      <w:pPr>
        <w:ind w:right="180" w:firstLine="444"/>
        <w:spacing w:after="0" w:line="271" w:lineRule="auto"/>
        <w:tabs>
          <w:tab w:leader="none" w:pos="785"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5,694,149 shares.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Effective immediately, Section 3(a)(i) of the Plan is amended and restated in its entirety as follows:</w:t>
      </w:r>
    </w:p>
    <w:p>
      <w:pPr>
        <w:spacing w:after="0" w:line="221" w:lineRule="exact"/>
        <w:rPr>
          <w:sz w:val="20"/>
          <w:szCs w:val="20"/>
          <w:color w:val="auto"/>
        </w:rPr>
      </w:pPr>
    </w:p>
    <w:p>
      <w:pPr>
        <w:ind w:left="760" w:hanging="316"/>
        <w:spacing w:after="0"/>
        <w:tabs>
          <w:tab w:leader="none" w:pos="7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Effective immediately, Section 3(a)(i) of the Plan is amended and restated in its entirety as follows:</w:t>
      </w:r>
    </w:p>
    <w:p>
      <w:pPr>
        <w:spacing w:after="0" w:line="114" w:lineRule="exact"/>
        <w:rPr>
          <w:sz w:val="20"/>
          <w:szCs w:val="20"/>
          <w:color w:val="auto"/>
        </w:rPr>
      </w:pPr>
    </w:p>
    <w:p>
      <w:pPr>
        <w:ind w:left="1420" w:right="100" w:firstLine="380"/>
        <w:spacing w:after="0" w:line="267" w:lineRule="auto"/>
        <w:rPr>
          <w:sz w:val="20"/>
          <w:szCs w:val="20"/>
          <w:color w:val="auto"/>
        </w:rPr>
      </w:pPr>
      <w:r>
        <w:rPr>
          <w:rFonts w:ascii="Arial" w:cs="Arial" w:eastAsia="Arial" w:hAnsi="Arial"/>
          <w:sz w:val="17"/>
          <w:szCs w:val="17"/>
          <w:color w:val="auto"/>
        </w:rPr>
        <w:t xml:space="preserve">“Subject to Section 9(a) relating to Capitalization Adjustments, the aggregate number of shares of Common Stock that may be issued pursuant to Stock Awards from and after the Effective Date will not exceed 5,694,149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which number includes the sum of (x) 1,363,826 shares available for issuance under the Prior Plan as of 12:01 a.m. Eastern time on the Effective Date plus (y) such number of shares, up to a maximum of 271,100 shares of Common Stock, subject to outstanding stock awards granted under the Prior Plan as of 12:01 a.m. Eastern time on the Effective Date that (1) expire or terminate for any reason prior to exercise or settlement or without all shares covered by such award having been issued; (2) are forfeited, cancelled or otherwise returned to the Company because of the failure to meet a contingency or condition required to vest such shares; or (3) are reacquired, repurchased or withheld (or not issued) to satisfy a tax withholding obligation in connection with an award or to satisfy the purchase price or exercise price of a stock award (such shares, the “</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as and to the extent such Returning Shares become available from time to time.”</w:t>
      </w:r>
    </w:p>
    <w:p>
      <w:pPr>
        <w:spacing w:after="0" w:line="179"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In all other respects the Plan will remain the same.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920"/>
          </w:cols>
          <w:pgMar w:left="480" w:top="121" w:right="499" w:bottom="1440" w:gutter="0" w:footer="0" w:header="0"/>
        </w:sectPr>
      </w:pPr>
    </w:p>
    <w:bookmarkStart w:id="347" w:name="page348"/>
    <w:bookmarkEnd w:id="3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hereby certify that the foregoing amendment to the Plan was duly adopted by the Board of Directors of the Company as of March 26, 2021.</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Randolph Altschuler</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March 26, 2021.</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13335</wp:posOffset>
            </wp:positionV>
            <wp:extent cx="27686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Randolph Altschuler</w:t>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060"/>
          </w:cols>
          <w:pgMar w:left="920" w:top="272" w:right="91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STOCK OPTION GRANT NOTICE</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(2016 EQUITY INCENTIVE PLAN)</w:t>
      </w:r>
    </w:p>
    <w:p>
      <w:pPr>
        <w:spacing w:after="0" w:line="20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X</w:t>
      </w:r>
      <w:r>
        <w:rPr>
          <w:rFonts w:ascii="Arial" w:cs="Arial" w:eastAsia="Arial" w:hAnsi="Arial"/>
          <w:sz w:val="12"/>
          <w:szCs w:val="12"/>
          <w:b w:val="1"/>
          <w:bCs w:val="1"/>
          <w:color w:val="auto"/>
        </w:rPr>
        <w:t>OMETRY</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2016 Equity Incentive Plan, as may be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grants to</w:t>
      </w:r>
      <w:r>
        <w:rPr>
          <w:rFonts w:ascii="Arial" w:cs="Arial" w:eastAsia="Arial" w:hAnsi="Arial"/>
          <w:sz w:val="16"/>
          <w:szCs w:val="16"/>
          <w:b w:val="1"/>
          <w:bCs w:val="1"/>
          <w:color w:val="auto"/>
        </w:rPr>
        <w:t xml:space="preserve"> </w:t>
      </w:r>
      <w:r>
        <w:rPr>
          <w:rFonts w:ascii="Arial" w:cs="Arial" w:eastAsia="Arial" w:hAnsi="Arial"/>
          <w:sz w:val="16"/>
          <w:szCs w:val="16"/>
          <w:color w:val="auto"/>
        </w:rPr>
        <w:t>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p>
      <w:pPr>
        <w:spacing w:after="0" w:line="18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13335</wp:posOffset>
            </wp:positionV>
            <wp:extent cx="217424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13335</wp:posOffset>
            </wp:positionV>
            <wp:extent cx="217424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13335</wp:posOffset>
            </wp:positionV>
            <wp:extent cx="217424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13335</wp:posOffset>
            </wp:positionV>
            <wp:extent cx="217424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13335</wp:posOffset>
            </wp:positionV>
            <wp:extent cx="217424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13335</wp:posOffset>
            </wp:positionV>
            <wp:extent cx="217424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13335</wp:posOffset>
            </wp:positionV>
            <wp:extent cx="217424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74240" cy="8255"/>
                    </a:xfrm>
                    <a:prstGeom prst="rect">
                      <a:avLst/>
                    </a:prstGeom>
                    <a:noFill/>
                  </pic:spPr>
                </pic:pic>
              </a:graphicData>
            </a:graphic>
          </wp:anchor>
        </w:drawing>
      </w:r>
    </w:p>
    <w:p>
      <w:pPr>
        <w:sectPr>
          <w:pgSz w:w="11900" w:h="16838" w:orient="portrait"/>
          <w:cols w:equalWidth="0" w:num="1">
            <w:col w:w="10920"/>
          </w:cols>
          <w:pgMar w:left="480" w:top="121" w:right="499" w:bottom="144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Grant: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104" w:lineRule="exact"/>
        <w:rPr>
          <w:sz w:val="20"/>
          <w:szCs w:val="20"/>
          <w:color w:val="auto"/>
        </w:rPr>
      </w:pPr>
    </w:p>
    <w:p>
      <w:pPr>
        <w:sectPr>
          <w:pgSz w:w="11900" w:h="16838" w:orient="portrait"/>
          <w:cols w:equalWidth="0" w:num="5">
            <w:col w:w="1140" w:space="440"/>
            <w:col w:w="160" w:space="60"/>
            <w:col w:w="1720" w:space="580"/>
            <w:col w:w="160" w:space="40"/>
            <w:col w:w="6620"/>
          </w:cols>
          <w:pgMar w:left="480" w:top="121" w:right="4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Exercise Schedule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Same as Vesting Schedule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Early Exercise Permitted</w:t>
      </w:r>
    </w:p>
    <w:p>
      <w:pPr>
        <w:spacing w:after="0" w:line="146" w:lineRule="exact"/>
        <w:rPr>
          <w:sz w:val="20"/>
          <w:szCs w:val="20"/>
          <w:color w:val="auto"/>
        </w:rPr>
      </w:pPr>
    </w:p>
    <w:p>
      <w:pPr>
        <w:sectPr>
          <w:pgSz w:w="11900" w:h="16838" w:orient="portrait"/>
          <w:cols w:equalWidth="0" w:num="5">
            <w:col w:w="1420" w:space="180"/>
            <w:col w:w="160" w:space="40"/>
            <w:col w:w="1880" w:space="400"/>
            <w:col w:w="160" w:space="40"/>
            <w:col w:w="6640"/>
          </w:cols>
          <w:pgMar w:left="480" w:top="121" w:right="499" w:bottom="1440" w:gutter="0" w:footer="0" w:header="0"/>
          <w:type w:val="continuous"/>
        </w:sectPr>
      </w:pPr>
    </w:p>
    <w:p>
      <w:pPr>
        <w:ind w:left="1540" w:right="40" w:hanging="1524"/>
        <w:spacing w:after="0" w:line="284" w:lineRule="auto"/>
        <w:tabs>
          <w:tab w:leader="none" w:pos="152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Sample of standard vesting.</w:t>
      </w:r>
      <w:r>
        <w:rPr>
          <w:rFonts w:ascii="Arial" w:cs="Arial" w:eastAsia="Arial" w:hAnsi="Arial"/>
          <w:sz w:val="17"/>
          <w:szCs w:val="17"/>
          <w:color w:val="auto"/>
        </w:rPr>
        <w:t xml:space="preserve"> One-fourth </w:t>
      </w:r>
      <w:r>
        <w:rPr>
          <w:rFonts w:ascii="Arial" w:cs="Arial" w:eastAsia="Arial" w:hAnsi="Arial"/>
          <w:sz w:val="17"/>
          <w:szCs w:val="17"/>
          <w:b w:val="1"/>
          <w:bCs w:val="1"/>
          <w:color w:val="auto"/>
        </w:rPr>
        <w:t>(</w:t>
      </w:r>
      <w:r>
        <w:rPr>
          <w:rFonts w:ascii="Arial" w:cs="Arial" w:eastAsia="Arial" w:hAnsi="Arial"/>
          <w:sz w:val="17"/>
          <w:szCs w:val="17"/>
          <w:color w:val="auto"/>
        </w:rPr>
        <w:t>1/4</w:t>
      </w:r>
      <w:r>
        <w:rPr>
          <w:rFonts w:ascii="Arial" w:cs="Arial" w:eastAsia="Arial" w:hAnsi="Arial"/>
          <w:sz w:val="14"/>
          <w:szCs w:val="14"/>
          <w:color w:val="auto"/>
        </w:rPr>
        <w:t>th</w:t>
      </w:r>
      <w:r>
        <w:rPr>
          <w:rFonts w:ascii="Arial" w:cs="Arial" w:eastAsia="Arial" w:hAnsi="Arial"/>
          <w:sz w:val="17"/>
          <w:szCs w:val="17"/>
          <w:color w:val="auto"/>
        </w:rPr>
        <w:t>) of the shares vest one year after the Vesting Commencement Date; the balance of the shares vest in a series of 36 successive equal monthly installments measured from the first anniversary of the Vesting Commencement Date, subject to Optionholder’s Continuous Service as of each such date.]</w:t>
      </w:r>
    </w:p>
    <w:p>
      <w:pPr>
        <w:spacing w:after="0" w:line="6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Payment:</w:t>
      </w:r>
      <w:r>
        <w:rPr>
          <w:sz w:val="20"/>
          <w:szCs w:val="20"/>
          <w:color w:val="auto"/>
        </w:rPr>
        <w:tab/>
      </w:r>
      <w:r>
        <w:rPr>
          <w:rFonts w:ascii="Arial" w:cs="Arial" w:eastAsia="Arial" w:hAnsi="Arial"/>
          <w:sz w:val="18"/>
          <w:szCs w:val="18"/>
          <w:color w:val="auto"/>
        </w:rPr>
        <w:t>By one or a combination of the following items (described in the Option Agreement):</w:t>
      </w:r>
    </w:p>
    <w:p>
      <w:pPr>
        <w:spacing w:after="0" w:line="118" w:lineRule="exact"/>
        <w:rPr>
          <w:sz w:val="20"/>
          <w:szCs w:val="20"/>
          <w:color w:val="auto"/>
        </w:rPr>
      </w:pPr>
    </w:p>
    <w:p>
      <w:pPr>
        <w:ind w:left="1880" w:hanging="345"/>
        <w:spacing w:after="0"/>
        <w:tabs>
          <w:tab w:leader="none" w:pos="1880" w:val="left"/>
        </w:tabs>
        <w:numPr>
          <w:ilvl w:val="0"/>
          <w:numId w:val="294"/>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22" w:lineRule="exact"/>
        <w:rPr>
          <w:rFonts w:ascii="MS PGothic" w:cs="MS PGothic" w:eastAsia="MS PGothic" w:hAnsi="MS PGothic"/>
          <w:sz w:val="18"/>
          <w:szCs w:val="18"/>
          <w:color w:val="auto"/>
        </w:rPr>
      </w:pPr>
    </w:p>
    <w:p>
      <w:pPr>
        <w:ind w:left="1880" w:hanging="345"/>
        <w:spacing w:after="0"/>
        <w:tabs>
          <w:tab w:leader="none" w:pos="1880" w:val="left"/>
        </w:tabs>
        <w:numPr>
          <w:ilvl w:val="0"/>
          <w:numId w:val="294"/>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6" w:lineRule="exact"/>
        <w:rPr>
          <w:rFonts w:ascii="MS PGothic" w:cs="MS PGothic" w:eastAsia="MS PGothic" w:hAnsi="MS PGothic"/>
          <w:sz w:val="18"/>
          <w:szCs w:val="18"/>
          <w:color w:val="auto"/>
        </w:rPr>
      </w:pPr>
    </w:p>
    <w:p>
      <w:pPr>
        <w:ind w:left="1880" w:hanging="345"/>
        <w:spacing w:after="0"/>
        <w:tabs>
          <w:tab w:leader="none" w:pos="1880" w:val="left"/>
        </w:tabs>
        <w:numPr>
          <w:ilvl w:val="0"/>
          <w:numId w:val="294"/>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ind w:left="1880" w:hanging="345"/>
        <w:spacing w:after="0"/>
        <w:tabs>
          <w:tab w:leader="none" w:pos="1880" w:val="left"/>
        </w:tabs>
        <w:numPr>
          <w:ilvl w:val="1"/>
          <w:numId w:val="295"/>
        </w:numPr>
        <w:rPr>
          <w:rFonts w:ascii="MS PGothic" w:cs="MS PGothic" w:eastAsia="MS PGothic" w:hAnsi="MS PGothic"/>
          <w:sz w:val="18"/>
          <w:szCs w:val="18"/>
          <w:color w:val="auto"/>
        </w:rPr>
      </w:pPr>
      <w:r>
        <w:rPr>
          <w:rFonts w:ascii="Arial" w:cs="Arial" w:eastAsia="Arial" w:hAnsi="Arial"/>
          <w:sz w:val="18"/>
          <w:szCs w:val="18"/>
          <w:color w:val="auto"/>
        </w:rPr>
        <w:t>By deferred payment (subject to the Company’s consent at the time of exercise)</w:t>
      </w:r>
    </w:p>
    <w:p>
      <w:pPr>
        <w:spacing w:after="0" w:line="13" w:lineRule="exact"/>
        <w:rPr>
          <w:rFonts w:ascii="MS PGothic" w:cs="MS PGothic" w:eastAsia="MS PGothic" w:hAnsi="MS PGothic"/>
          <w:sz w:val="18"/>
          <w:szCs w:val="18"/>
          <w:color w:val="auto"/>
        </w:rPr>
      </w:pPr>
    </w:p>
    <w:p>
      <w:pPr>
        <w:ind w:left="1540" w:right="500" w:hanging="5"/>
        <w:spacing w:after="0" w:line="252" w:lineRule="auto"/>
        <w:tabs>
          <w:tab w:leader="none" w:pos="1879" w:val="left"/>
        </w:tabs>
        <w:numPr>
          <w:ilvl w:val="1"/>
          <w:numId w:val="295"/>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164" w:lineRule="exact"/>
        <w:rPr>
          <w:rFonts w:ascii="MS PGothic" w:cs="MS PGothic" w:eastAsia="MS PGothic" w:hAnsi="MS PGothic"/>
          <w:sz w:val="18"/>
          <w:szCs w:val="18"/>
          <w:color w:val="auto"/>
        </w:rPr>
      </w:pPr>
    </w:p>
    <w:p>
      <w:pPr>
        <w:ind w:left="440" w:right="40" w:hanging="428"/>
        <w:spacing w:after="0" w:line="271"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76454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ectPr>
          <w:pgSz w:w="11900" w:h="16838" w:orient="portrait"/>
          <w:cols w:equalWidth="0" w:num="1">
            <w:col w:w="10920"/>
          </w:cols>
          <w:pgMar w:left="480" w:top="121" w:right="499" w:bottom="1440" w:gutter="0" w:footer="0" w:header="0"/>
          <w:type w:val="continuous"/>
        </w:sectPr>
      </w:pPr>
    </w:p>
    <w:bookmarkStart w:id="349" w:name="page350"/>
    <w:bookmarkEnd w:id="349"/>
    <w:p>
      <w:pPr>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Additional Terms/Acknowledgements: </w:t>
      </w:r>
      <w:r>
        <w:rPr>
          <w:rFonts w:ascii="Arial" w:cs="Arial" w:eastAsia="Arial" w:hAnsi="Arial"/>
          <w:sz w:val="17"/>
          <w:szCs w:val="17"/>
          <w:color w:val="auto"/>
        </w:rPr>
        <w:t>Optionholder acknowledges receipt of, and understands and agrees to, this Stock Option Grant Notice,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and (ii) the following agreements only.</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15875</wp:posOffset>
            </wp:positionV>
            <wp:extent cx="45008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500880"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168910</wp:posOffset>
            </wp:positionV>
            <wp:extent cx="45008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500880"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321945</wp:posOffset>
            </wp:positionV>
            <wp:extent cx="45008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00" w:type="dxa"/>
            <w:vAlign w:val="bottom"/>
            <w:gridSpan w:val="4"/>
          </w:tcPr>
          <w:p>
            <w:pP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16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r>
      <w:tr>
        <w:trPr>
          <w:trHeight w:val="416"/>
        </w:trPr>
        <w:tc>
          <w:tcPr>
            <w:tcW w:w="4100" w:type="dxa"/>
            <w:vAlign w:val="bottom"/>
            <w:gridSpan w:val="4"/>
          </w:tcPr>
          <w:p>
            <w:pPr>
              <w:spacing w:after="0"/>
              <w:rPr>
                <w:sz w:val="20"/>
                <w:szCs w:val="20"/>
                <w:color w:val="auto"/>
              </w:rPr>
            </w:pPr>
            <w:r>
              <w:rPr>
                <w:rFonts w:ascii="Arial" w:cs="Arial" w:eastAsia="Arial" w:hAnsi="Arial"/>
                <w:sz w:val="18"/>
                <w:szCs w:val="18"/>
                <w:color w:val="auto"/>
              </w:rPr>
              <w:t>By:</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3"/>
        </w:trPr>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gridSpan w:val="2"/>
          </w:tcPr>
          <w:p>
            <w:pPr>
              <w:ind w:left="1780"/>
              <w:spacing w:after="0"/>
              <w:rPr>
                <w:sz w:val="20"/>
                <w:szCs w:val="20"/>
                <w:color w:val="auto"/>
              </w:rPr>
            </w:pPr>
            <w:r>
              <w:rPr>
                <w:rFonts w:ascii="Arial" w:cs="Arial" w:eastAsia="Arial" w:hAnsi="Arial"/>
                <w:sz w:val="18"/>
                <w:szCs w:val="18"/>
                <w:color w:val="auto"/>
              </w:rPr>
              <w:t>Signature</w:t>
            </w:r>
          </w:p>
        </w:tc>
        <w:tc>
          <w:tcPr>
            <w:tcW w:w="16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40" w:type="dxa"/>
            <w:vAlign w:val="bottom"/>
            <w:tcBorders>
              <w:top w:val="single" w:sz="8" w:color="auto"/>
            </w:tcBorders>
          </w:tcPr>
          <w:p>
            <w:pPr>
              <w:ind w:left="162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0"/>
                <w:szCs w:val="20"/>
                <w:color w:val="auto"/>
              </w:rPr>
            </w:pPr>
          </w:p>
        </w:tc>
      </w:tr>
      <w:tr>
        <w:trPr>
          <w:trHeight w:val="416"/>
        </w:trPr>
        <w:tc>
          <w:tcPr>
            <w:tcW w:w="4100" w:type="dxa"/>
            <w:vAlign w:val="bottom"/>
            <w:gridSpan w:val="4"/>
          </w:tcPr>
          <w:p>
            <w:pPr>
              <w:spacing w:after="0"/>
              <w:rPr>
                <w:sz w:val="20"/>
                <w:szCs w:val="20"/>
                <w:color w:val="auto"/>
              </w:rPr>
            </w:pPr>
            <w:r>
              <w:rPr>
                <w:rFonts w:ascii="Arial" w:cs="Arial" w:eastAsia="Arial" w:hAnsi="Arial"/>
                <w:sz w:val="18"/>
                <w:szCs w:val="18"/>
                <w:color w:val="auto"/>
              </w:rPr>
              <w:t>Title:</w:t>
            </w:r>
          </w:p>
        </w:tc>
        <w:tc>
          <w:tcPr>
            <w:tcW w:w="160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4"/>
                <w:szCs w:val="24"/>
                <w:color w:val="auto"/>
              </w:rPr>
            </w:pPr>
          </w:p>
        </w:tc>
      </w:tr>
      <w:tr>
        <w:trPr>
          <w:trHeight w:val="20"/>
        </w:trPr>
        <w:tc>
          <w:tcPr>
            <w:tcW w:w="400" w:type="dxa"/>
            <w:vAlign w:val="bottom"/>
            <w:tcBorders>
              <w:right w:val="single" w:sz="8" w:color="auto"/>
            </w:tcBorders>
            <w:gridSpan w:val="2"/>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435"/>
        </w:trPr>
        <w:tc>
          <w:tcPr>
            <w:tcW w:w="400" w:type="dxa"/>
            <w:vAlign w:val="bottom"/>
            <w:gridSpan w:val="2"/>
          </w:tcPr>
          <w:p>
            <w:pPr>
              <w:spacing w:after="0"/>
              <w:rPr>
                <w:sz w:val="20"/>
                <w:szCs w:val="20"/>
                <w:color w:val="auto"/>
              </w:rPr>
            </w:pPr>
            <w:r>
              <w:rPr>
                <w:rFonts w:ascii="Arial" w:cs="Arial" w:eastAsia="Arial" w:hAnsi="Arial"/>
                <w:sz w:val="18"/>
                <w:szCs w:val="18"/>
                <w:color w:val="auto"/>
                <w:w w:val="83"/>
              </w:rPr>
              <w:t>Date:</w:t>
            </w:r>
          </w:p>
        </w:tc>
        <w:tc>
          <w:tcPr>
            <w:tcW w:w="3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2016 Equity Incentive Plan, Notice of Exercise and Voting Agreement</w:t>
      </w:r>
    </w:p>
    <w:p>
      <w:pPr>
        <w:sectPr>
          <w:pgSz w:w="11900" w:h="16838" w:orient="portrait"/>
          <w:cols w:equalWidth="0" w:num="1">
            <w:col w:w="10800"/>
          </w:cols>
          <w:pgMar w:left="480" w:top="268" w:right="619"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ATTACHMENT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AGREEMENT</w:t>
      </w:r>
    </w:p>
    <w:p>
      <w:pPr>
        <w:sectPr>
          <w:pgSz w:w="11900" w:h="16838" w:orient="portrait"/>
          <w:cols w:equalWidth="0" w:num="1">
            <w:col w:w="9019"/>
          </w:cols>
          <w:pgMar w:left="1440" w:top="268" w:right="1440" w:bottom="1440" w:gutter="0" w:footer="0" w:header="0"/>
        </w:sectPr>
      </w:pPr>
    </w:p>
    <w:bookmarkStart w:id="351" w:name="page352"/>
    <w:bookmarkEnd w:id="3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XOMETRY, INC.</w:t>
      </w:r>
    </w:p>
    <w:p>
      <w:pPr>
        <w:spacing w:after="0" w:line="2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2016 EQUITY INCENTIVE PLAN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AGREEMENT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(INCENTIVE STOCK OPTION OR NONSTATUTORY STOCK OPTION)</w:t>
      </w:r>
    </w:p>
    <w:p>
      <w:pPr>
        <w:spacing w:after="0" w:line="204" w:lineRule="exact"/>
        <w:rPr>
          <w:sz w:val="20"/>
          <w:szCs w:val="20"/>
          <w:color w:val="auto"/>
        </w:rPr>
      </w:pPr>
    </w:p>
    <w:p>
      <w:pPr>
        <w:ind w:right="20" w:firstLine="436"/>
        <w:spacing w:after="0" w:line="294" w:lineRule="auto"/>
        <w:rPr>
          <w:sz w:val="20"/>
          <w:szCs w:val="20"/>
          <w:color w:val="auto"/>
        </w:rPr>
      </w:pPr>
      <w:r>
        <w:rPr>
          <w:rFonts w:ascii="Arial" w:cs="Arial" w:eastAsia="Arial" w:hAnsi="Arial"/>
          <w:sz w:val="16"/>
          <w:szCs w:val="16"/>
          <w:color w:val="auto"/>
        </w:rPr>
        <w:t>Pursuant to your Stock Option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xml:space="preserve">”) and this Option Agreement, </w:t>
      </w:r>
      <w:r>
        <w:rPr>
          <w:rFonts w:ascii="Arial" w:cs="Arial" w:eastAsia="Arial" w:hAnsi="Arial"/>
          <w:sz w:val="16"/>
          <w:szCs w:val="16"/>
          <w:b w:val="1"/>
          <w:bCs w:val="1"/>
          <w:color w:val="auto"/>
        </w:rPr>
        <w:t>X</w:t>
      </w:r>
      <w:r>
        <w:rPr>
          <w:rFonts w:ascii="Arial" w:cs="Arial" w:eastAsia="Arial" w:hAnsi="Arial"/>
          <w:sz w:val="12"/>
          <w:szCs w:val="12"/>
          <w:b w:val="1"/>
          <w:bCs w:val="1"/>
          <w:color w:val="auto"/>
        </w:rPr>
        <w:t>OMETRY</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an option under its 2016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17" w:lineRule="exact"/>
        <w:rPr>
          <w:sz w:val="20"/>
          <w:szCs w:val="20"/>
          <w:color w:val="auto"/>
        </w:rPr>
      </w:pPr>
    </w:p>
    <w:p>
      <w:pPr>
        <w:ind w:left="620" w:hanging="176"/>
        <w:spacing w:after="0"/>
        <w:tabs>
          <w:tab w:leader="none" w:pos="620"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V</w:t>
      </w:r>
      <w:r>
        <w:rPr>
          <w:rFonts w:ascii="Arial" w:cs="Arial" w:eastAsia="Arial" w:hAnsi="Arial"/>
          <w:sz w:val="13"/>
          <w:szCs w:val="13"/>
          <w:b w:val="1"/>
          <w:bCs w:val="1"/>
          <w:color w:val="auto"/>
        </w:rPr>
        <w:t>ESTING</w:t>
      </w:r>
      <w:r>
        <w:rPr>
          <w:rFonts w:ascii="Arial" w:cs="Arial" w:eastAsia="Arial" w:hAnsi="Arial"/>
          <w:sz w:val="17"/>
          <w:szCs w:val="17"/>
          <w:color w:val="auto"/>
        </w:rPr>
        <w:t>. Your option will vest as provided in your Grant Notice. Vesting will cease upon the termination of your Continuous Service.</w:t>
      </w:r>
    </w:p>
    <w:p>
      <w:pPr>
        <w:spacing w:after="0" w:line="232" w:lineRule="exact"/>
        <w:rPr>
          <w:rFonts w:ascii="Arial" w:cs="Arial" w:eastAsia="Arial" w:hAnsi="Arial"/>
          <w:sz w:val="17"/>
          <w:szCs w:val="17"/>
          <w:b w:val="1"/>
          <w:bCs w:val="1"/>
          <w:color w:val="auto"/>
        </w:rPr>
      </w:pPr>
    </w:p>
    <w:p>
      <w:pPr>
        <w:ind w:firstLine="444"/>
        <w:spacing w:after="0" w:line="275" w:lineRule="auto"/>
        <w:tabs>
          <w:tab w:leader="none" w:pos="614"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color w:val="auto"/>
        </w:rPr>
        <w:t>. 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in your Grant Notice will be adjusted for Capitalization Adjustments.</w:t>
      </w:r>
    </w:p>
    <w:p>
      <w:pPr>
        <w:spacing w:after="0" w:line="167" w:lineRule="exact"/>
        <w:rPr>
          <w:rFonts w:ascii="Arial" w:cs="Arial" w:eastAsia="Arial" w:hAnsi="Arial"/>
          <w:sz w:val="18"/>
          <w:szCs w:val="18"/>
          <w:b w:val="1"/>
          <w:bCs w:val="1"/>
          <w:color w:val="auto"/>
        </w:rPr>
      </w:pPr>
    </w:p>
    <w:p>
      <w:pPr>
        <w:ind w:right="20" w:firstLine="444"/>
        <w:spacing w:after="0" w:line="252" w:lineRule="auto"/>
        <w:tabs>
          <w:tab w:leader="none" w:pos="614"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color w:val="auto"/>
        </w:rPr>
        <w:t>. If you are an Employee eligible for overtime compensation under the Fair Labor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90" w:lineRule="exact"/>
        <w:rPr>
          <w:rFonts w:ascii="Arial" w:cs="Arial" w:eastAsia="Arial" w:hAnsi="Arial"/>
          <w:sz w:val="18"/>
          <w:szCs w:val="18"/>
          <w:b w:val="1"/>
          <w:bCs w:val="1"/>
          <w:color w:val="auto"/>
        </w:rPr>
      </w:pPr>
    </w:p>
    <w:p>
      <w:pPr>
        <w:ind w:right="20" w:firstLine="444"/>
        <w:spacing w:after="0" w:line="284" w:lineRule="auto"/>
        <w:tabs>
          <w:tab w:leader="none" w:pos="614"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XERCISE PRIOR TO</w:t>
      </w:r>
      <w:r>
        <w:rPr>
          <w:rFonts w:ascii="Arial" w:cs="Arial" w:eastAsia="Arial" w:hAnsi="Arial"/>
          <w:sz w:val="17"/>
          <w:szCs w:val="17"/>
          <w:b w:val="1"/>
          <w:bCs w:val="1"/>
          <w:color w:val="auto"/>
        </w:rPr>
        <w:t xml:space="preserve"> 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ARLY</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17"/>
          <w:szCs w:val="17"/>
          <w:b w:val="1"/>
          <w:bCs w:val="1"/>
          <w:color w:val="auto"/>
        </w:rPr>
        <w:t>”)</w:t>
      </w:r>
      <w:r>
        <w:rPr>
          <w:rFonts w:ascii="Arial" w:cs="Arial" w:eastAsia="Arial" w:hAnsi="Arial"/>
          <w:sz w:val="17"/>
          <w:szCs w:val="17"/>
          <w:color w:val="auto"/>
        </w:rPr>
        <w:t>. If permitted in your Grant Notice (</w:t>
      </w:r>
      <w:r>
        <w:rPr>
          <w:rFonts w:ascii="Arial" w:cs="Arial" w:eastAsia="Arial" w:hAnsi="Arial"/>
          <w:sz w:val="17"/>
          <w:szCs w:val="17"/>
          <w:i w:val="1"/>
          <w:iCs w:val="1"/>
          <w:color w:val="auto"/>
        </w:rPr>
        <w:t>i.e.</w:t>
      </w:r>
      <w:r>
        <w:rPr>
          <w:rFonts w:ascii="Arial" w:cs="Arial" w:eastAsia="Arial" w:hAnsi="Arial"/>
          <w:sz w:val="17"/>
          <w:szCs w:val="17"/>
          <w:color w:val="auto"/>
        </w:rPr>
        <w:t>, the “Exercise Schedule” indicates “Early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59" w:lineRule="exact"/>
        <w:rPr>
          <w:rFonts w:ascii="Arial" w:cs="Arial" w:eastAsia="Arial" w:hAnsi="Arial"/>
          <w:sz w:val="17"/>
          <w:szCs w:val="17"/>
          <w:b w:val="1"/>
          <w:bCs w:val="1"/>
          <w:color w:val="auto"/>
        </w:rPr>
      </w:pPr>
    </w:p>
    <w:p>
      <w:pPr>
        <w:ind w:right="100" w:firstLine="990"/>
        <w:spacing w:after="0" w:line="271" w:lineRule="auto"/>
        <w:tabs>
          <w:tab w:leader="none" w:pos="1234"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will be deemed to cover first vested shares of Common Stock and then the earliest vesting installment of unvested shares of Common Stock;</w:t>
      </w:r>
    </w:p>
    <w:p>
      <w:pPr>
        <w:spacing w:after="0" w:line="67" w:lineRule="exact"/>
        <w:rPr>
          <w:rFonts w:ascii="Arial" w:cs="Arial" w:eastAsia="Arial" w:hAnsi="Arial"/>
          <w:sz w:val="18"/>
          <w:szCs w:val="18"/>
          <w:b w:val="1"/>
          <w:bCs w:val="1"/>
          <w:color w:val="auto"/>
        </w:rPr>
      </w:pPr>
    </w:p>
    <w:p>
      <w:pPr>
        <w:ind w:right="40" w:firstLine="990"/>
        <w:spacing w:after="0" w:line="271" w:lineRule="auto"/>
        <w:tabs>
          <w:tab w:leader="none" w:pos="1245"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t>you will enter into the Company’s form of Early Exercise Restricted Stock Purchase Agreement with a vesting schedule that will result in the same vesting as if no early exercise had occurred</w:t>
      </w:r>
    </w:p>
    <w:p>
      <w:pPr>
        <w:sectPr>
          <w:pgSz w:w="11900" w:h="16838" w:orient="portrait"/>
          <w:cols w:equalWidth="0" w:num="1">
            <w:col w:w="10920"/>
          </w:cols>
          <w:pgMar w:left="480" w:top="268" w:right="499" w:bottom="1440" w:gutter="0" w:footer="0" w:header="0"/>
        </w:sectPr>
      </w:pPr>
    </w:p>
    <w:bookmarkStart w:id="352" w:name="page353"/>
    <w:bookmarkEnd w:id="352"/>
    <w:p>
      <w:pPr>
        <w:ind w:left="-7" w:right="500" w:firstLine="990"/>
        <w:spacing w:after="0" w:line="335" w:lineRule="auto"/>
        <w:tabs>
          <w:tab w:leader="none" w:pos="1217" w:val="left"/>
        </w:tabs>
        <w:numPr>
          <w:ilvl w:val="2"/>
          <w:numId w:val="29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shares of Common Stock so purchased from installments that have not vested as of the date of exercise will be subject to the purchase option in favor of the Company as described in the Company’s form of Early Exercise Restricted Stock Purchase Agreement; and</w:t>
      </w:r>
    </w:p>
    <w:p>
      <w:pPr>
        <w:spacing w:after="0" w:line="21" w:lineRule="exact"/>
        <w:rPr>
          <w:rFonts w:ascii="Arial" w:cs="Arial" w:eastAsia="Arial" w:hAnsi="Arial"/>
          <w:sz w:val="16"/>
          <w:szCs w:val="16"/>
          <w:b w:val="1"/>
          <w:bCs w:val="1"/>
          <w:color w:val="auto"/>
        </w:rPr>
      </w:pPr>
    </w:p>
    <w:p>
      <w:pPr>
        <w:ind w:left="-7" w:right="140" w:firstLine="990"/>
        <w:spacing w:after="0" w:line="275" w:lineRule="auto"/>
        <w:tabs>
          <w:tab w:leader="none" w:pos="1237" w:val="left"/>
        </w:tabs>
        <w:numPr>
          <w:ilvl w:val="2"/>
          <w:numId w:val="297"/>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spacing w:after="0" w:line="169" w:lineRule="exact"/>
        <w:rPr>
          <w:rFonts w:ascii="Arial" w:cs="Arial" w:eastAsia="Arial" w:hAnsi="Arial"/>
          <w:sz w:val="17"/>
          <w:szCs w:val="17"/>
          <w:b w:val="1"/>
          <w:bCs w:val="1"/>
          <w:color w:val="auto"/>
        </w:rPr>
      </w:pPr>
    </w:p>
    <w:p>
      <w:pPr>
        <w:jc w:val="both"/>
        <w:ind w:left="-7" w:firstLine="444"/>
        <w:spacing w:after="0" w:line="261" w:lineRule="auto"/>
        <w:tabs>
          <w:tab w:leader="none" w:pos="607"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color w:val="auto"/>
        </w:rPr>
        <w:t>. You must pay the full amount of the exercise price for the shares you wish to exercise. You may pay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cash or by check, bank draft or money order payable to the Company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77" w:lineRule="exact"/>
        <w:rPr>
          <w:rFonts w:ascii="Arial" w:cs="Arial" w:eastAsia="Arial" w:hAnsi="Arial"/>
          <w:sz w:val="18"/>
          <w:szCs w:val="18"/>
          <w:b w:val="1"/>
          <w:bCs w:val="1"/>
          <w:color w:val="auto"/>
        </w:rPr>
      </w:pPr>
    </w:p>
    <w:p>
      <w:pPr>
        <w:ind w:left="-7" w:right="100" w:firstLine="990"/>
        <w:spacing w:after="0" w:line="255" w:lineRule="auto"/>
        <w:tabs>
          <w:tab w:leader="none" w:pos="1227" w:val="left"/>
        </w:tabs>
        <w:numPr>
          <w:ilvl w:val="2"/>
          <w:numId w:val="298"/>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83" w:lineRule="exact"/>
        <w:rPr>
          <w:rFonts w:ascii="Arial" w:cs="Arial" w:eastAsia="Arial" w:hAnsi="Arial"/>
          <w:sz w:val="18"/>
          <w:szCs w:val="18"/>
          <w:b w:val="1"/>
          <w:bCs w:val="1"/>
          <w:color w:val="auto"/>
        </w:rPr>
      </w:pPr>
    </w:p>
    <w:p>
      <w:pPr>
        <w:ind w:left="-7" w:right="220" w:firstLine="990"/>
        <w:spacing w:after="0" w:line="270" w:lineRule="auto"/>
        <w:tabs>
          <w:tab w:leader="none" w:pos="1237" w:val="left"/>
        </w:tabs>
        <w:numPr>
          <w:ilvl w:val="2"/>
          <w:numId w:val="298"/>
        </w:numPr>
        <w:rPr>
          <w:rFonts w:ascii="Arial" w:cs="Arial" w:eastAsia="Arial" w:hAnsi="Arial"/>
          <w:sz w:val="17"/>
          <w:szCs w:val="17"/>
          <w:b w:val="1"/>
          <w:bCs w:val="1"/>
          <w:color w:val="auto"/>
        </w:rPr>
      </w:pPr>
      <w:r>
        <w:rPr>
          <w:rFonts w:ascii="Arial" w:cs="Arial" w:eastAsia="Arial" w:hAnsi="Arial"/>
          <w:sz w:val="17"/>
          <w:szCs w:val="17"/>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71" w:lineRule="exact"/>
        <w:rPr>
          <w:rFonts w:ascii="Arial" w:cs="Arial" w:eastAsia="Arial" w:hAnsi="Arial"/>
          <w:sz w:val="17"/>
          <w:szCs w:val="17"/>
          <w:b w:val="1"/>
          <w:bCs w:val="1"/>
          <w:color w:val="auto"/>
        </w:rPr>
      </w:pPr>
    </w:p>
    <w:p>
      <w:pPr>
        <w:ind w:left="-7" w:right="180" w:firstLine="990"/>
        <w:spacing w:after="0" w:line="282" w:lineRule="auto"/>
        <w:tabs>
          <w:tab w:leader="none" w:pos="1217" w:val="left"/>
        </w:tabs>
        <w:numPr>
          <w:ilvl w:val="2"/>
          <w:numId w:val="298"/>
        </w:numPr>
        <w:rPr>
          <w:rFonts w:ascii="Arial" w:cs="Arial" w:eastAsia="Arial" w:hAnsi="Arial"/>
          <w:sz w:val="16"/>
          <w:szCs w:val="16"/>
          <w:b w:val="1"/>
          <w:bCs w:val="1"/>
          <w:color w:val="auto"/>
        </w:rPr>
      </w:pPr>
      <w:r>
        <w:rPr>
          <w:rFonts w:ascii="Arial" w:cs="Arial" w:eastAsia="Arial" w:hAnsi="Arial"/>
          <w:sz w:val="16"/>
          <w:szCs w:val="16"/>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w:t>
      </w:r>
    </w:p>
    <w:p>
      <w:pPr>
        <w:spacing w:after="0" w:line="1" w:lineRule="exact"/>
        <w:rPr>
          <w:rFonts w:ascii="Arial" w:cs="Arial" w:eastAsia="Arial" w:hAnsi="Arial"/>
          <w:sz w:val="16"/>
          <w:szCs w:val="16"/>
          <w:b w:val="1"/>
          <w:bCs w:val="1"/>
          <w:color w:val="auto"/>
        </w:rPr>
      </w:pPr>
    </w:p>
    <w:p>
      <w:pPr>
        <w:ind w:left="253" w:hanging="253"/>
        <w:spacing w:after="0"/>
        <w:tabs>
          <w:tab w:leader="none" w:pos="25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are delivered to you as a result of such exercise, and (iii) are withheld to satisfy your tax withholding obligations.</w:t>
      </w:r>
    </w:p>
    <w:p>
      <w:pPr>
        <w:spacing w:after="0" w:line="101" w:lineRule="exact"/>
        <w:rPr>
          <w:rFonts w:ascii="Arial" w:cs="Arial" w:eastAsia="Arial" w:hAnsi="Arial"/>
          <w:sz w:val="18"/>
          <w:szCs w:val="18"/>
          <w:color w:val="auto"/>
        </w:rPr>
      </w:pPr>
    </w:p>
    <w:p>
      <w:pPr>
        <w:ind w:left="1253" w:hanging="270"/>
        <w:spacing w:after="0"/>
        <w:tabs>
          <w:tab w:leader="none" w:pos="1253" w:val="left"/>
        </w:tabs>
        <w:numPr>
          <w:ilvl w:val="2"/>
          <w:numId w:val="299"/>
        </w:numPr>
        <w:rPr>
          <w:rFonts w:ascii="Arial" w:cs="Arial" w:eastAsia="Arial" w:hAnsi="Arial"/>
          <w:sz w:val="18"/>
          <w:szCs w:val="18"/>
          <w:b w:val="1"/>
          <w:bCs w:val="1"/>
          <w:color w:val="auto"/>
        </w:rPr>
      </w:pPr>
      <w:r>
        <w:rPr>
          <w:rFonts w:ascii="Arial" w:cs="Arial" w:eastAsia="Arial" w:hAnsi="Arial"/>
          <w:sz w:val="18"/>
          <w:szCs w:val="18"/>
          <w:color w:val="auto"/>
        </w:rPr>
        <w:t>Pursuant to the following deferred payment alternative:</w:t>
      </w:r>
    </w:p>
    <w:p>
      <w:pPr>
        <w:spacing w:after="0" w:line="113" w:lineRule="exact"/>
        <w:rPr>
          <w:rFonts w:ascii="Arial" w:cs="Arial" w:eastAsia="Arial" w:hAnsi="Arial"/>
          <w:sz w:val="18"/>
          <w:szCs w:val="18"/>
          <w:b w:val="1"/>
          <w:bCs w:val="1"/>
          <w:color w:val="auto"/>
        </w:rPr>
      </w:pPr>
    </w:p>
    <w:p>
      <w:pPr>
        <w:ind w:left="-7" w:right="180" w:firstLine="1426"/>
        <w:spacing w:after="0" w:line="271" w:lineRule="auto"/>
        <w:tabs>
          <w:tab w:leader="none" w:pos="1624" w:val="left"/>
        </w:tabs>
        <w:numPr>
          <w:ilvl w:val="3"/>
          <w:numId w:val="299"/>
        </w:numPr>
        <w:rPr>
          <w:rFonts w:ascii="Arial" w:cs="Arial" w:eastAsia="Arial" w:hAnsi="Arial"/>
          <w:sz w:val="18"/>
          <w:szCs w:val="18"/>
          <w:b w:val="1"/>
          <w:bCs w:val="1"/>
          <w:color w:val="auto"/>
        </w:rPr>
      </w:pPr>
      <w:r>
        <w:rPr>
          <w:rFonts w:ascii="Arial" w:cs="Arial" w:eastAsia="Arial" w:hAnsi="Arial"/>
          <w:sz w:val="18"/>
          <w:szCs w:val="18"/>
          <w:color w:val="auto"/>
        </w:rPr>
        <w:t>Not less than 100% of the aggregate exercise price, plus accrued interest, shall be due four years from date of exercise or, at the Company’s election, upon termination of your Continuous Service.</w:t>
      </w:r>
    </w:p>
    <w:p>
      <w:pPr>
        <w:spacing w:after="0" w:line="67" w:lineRule="exact"/>
        <w:rPr>
          <w:rFonts w:ascii="Arial" w:cs="Arial" w:eastAsia="Arial" w:hAnsi="Arial"/>
          <w:sz w:val="18"/>
          <w:szCs w:val="18"/>
          <w:b w:val="1"/>
          <w:bCs w:val="1"/>
          <w:color w:val="auto"/>
        </w:rPr>
      </w:pPr>
    </w:p>
    <w:p>
      <w:pPr>
        <w:ind w:left="-7" w:right="180" w:firstLine="1426"/>
        <w:spacing w:after="0" w:line="281" w:lineRule="auto"/>
        <w:tabs>
          <w:tab w:leader="none" w:pos="1674" w:val="left"/>
        </w:tabs>
        <w:numPr>
          <w:ilvl w:val="3"/>
          <w:numId w:val="299"/>
        </w:numPr>
        <w:rPr>
          <w:rFonts w:ascii="Arial" w:cs="Arial" w:eastAsia="Arial" w:hAnsi="Arial"/>
          <w:sz w:val="17"/>
          <w:szCs w:val="17"/>
          <w:b w:val="1"/>
          <w:bCs w:val="1"/>
          <w:color w:val="auto"/>
        </w:rPr>
      </w:pPr>
      <w:r>
        <w:rPr>
          <w:rFonts w:ascii="Arial" w:cs="Arial" w:eastAsia="Arial" w:hAnsi="Arial"/>
          <w:sz w:val="17"/>
          <w:szCs w:val="17"/>
          <w:color w:val="auto"/>
        </w:rPr>
        <w:t>Interest shall be compounded at least annually and shall be charged at the minimum rate of interest necessary to avoid (1) the treatment as interest, under any applicable provisions of the Code, of any amounts other than amounts stated to be interest under the deferred payment arrangement and (2) the classification of your option as a liability for financial accounting purposes.</w:t>
      </w:r>
    </w:p>
    <w:p>
      <w:pPr>
        <w:sectPr>
          <w:pgSz w:w="11900" w:h="16838" w:orient="portrait"/>
          <w:cols w:equalWidth="0" w:num="1">
            <w:col w:w="10893"/>
          </w:cols>
          <w:pgMar w:left="487" w:top="272" w:right="519" w:bottom="1440" w:gutter="0" w:footer="0" w:header="0"/>
        </w:sectPr>
      </w:pPr>
    </w:p>
    <w:bookmarkStart w:id="353" w:name="page354"/>
    <w:bookmarkEnd w:id="353"/>
    <w:p>
      <w:pPr>
        <w:ind w:right="120" w:firstLine="990"/>
        <w:spacing w:after="0" w:line="275" w:lineRule="auto"/>
        <w:tabs>
          <w:tab w:leader="none" w:pos="1224" w:val="left"/>
        </w:tabs>
        <w:numPr>
          <w:ilvl w:val="1"/>
          <w:numId w:val="30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elect the deferred payment alternative, you must, as a part of your written notice of exercise, give notice of the election of this payment alternative and, in order to secure the payment of the deferred exercise price to the Company hereunder, if the Company so requests, you must tender to the Company a promissory note and a pledge agreement covering the purchased shares of Common Stock, both in form and substance satisfactory to the Company, or such other or additional documentation as the Company may request.</w:t>
      </w:r>
    </w:p>
    <w:p>
      <w:pPr>
        <w:spacing w:after="0" w:line="169" w:lineRule="exact"/>
        <w:rPr>
          <w:rFonts w:ascii="Arial" w:cs="Arial" w:eastAsia="Arial" w:hAnsi="Arial"/>
          <w:sz w:val="17"/>
          <w:szCs w:val="17"/>
          <w:b w:val="1"/>
          <w:bCs w:val="1"/>
          <w:color w:val="auto"/>
        </w:rPr>
      </w:pPr>
    </w:p>
    <w:p>
      <w:pPr>
        <w:ind w:left="620" w:hanging="176"/>
        <w:spacing w:after="0"/>
        <w:tabs>
          <w:tab w:leader="none" w:pos="62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color w:val="auto"/>
        </w:rPr>
        <w:t>. You may exercise your option only for whole shares of Common Stock.</w:t>
      </w:r>
    </w:p>
    <w:p>
      <w:pPr>
        <w:spacing w:after="0" w:line="220" w:lineRule="exact"/>
        <w:rPr>
          <w:rFonts w:ascii="Arial" w:cs="Arial" w:eastAsia="Arial" w:hAnsi="Arial"/>
          <w:sz w:val="18"/>
          <w:szCs w:val="18"/>
          <w:b w:val="1"/>
          <w:bCs w:val="1"/>
          <w:color w:val="auto"/>
        </w:rPr>
      </w:pPr>
    </w:p>
    <w:p>
      <w:pPr>
        <w:ind w:right="320" w:firstLine="444"/>
        <w:spacing w:after="0" w:line="253" w:lineRule="auto"/>
        <w:tabs>
          <w:tab w:leader="none" w:pos="614"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color w:val="auto"/>
        </w:rPr>
        <w:t>. In no event may you exercise your option unless the shares of Common Stock issuable upon exercise are</w:t>
      </w:r>
      <w:r>
        <w:rPr>
          <w:rFonts w:ascii="Arial" w:cs="Arial" w:eastAsia="Arial" w:hAnsi="Arial"/>
          <w:sz w:val="18"/>
          <w:szCs w:val="18"/>
          <w:b w:val="1"/>
          <w:bCs w:val="1"/>
          <w:color w:val="auto"/>
        </w:rPr>
        <w:t xml:space="preserve"> </w:t>
      </w:r>
      <w:r>
        <w:rPr>
          <w:rFonts w:ascii="Arial" w:cs="Arial" w:eastAsia="Arial" w:hAnsi="Arial"/>
          <w:sz w:val="18"/>
          <w:szCs w:val="18"/>
          <w:color w:val="auto"/>
        </w:rPr>
        <w:t>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88" w:lineRule="exact"/>
        <w:rPr>
          <w:rFonts w:ascii="Arial" w:cs="Arial" w:eastAsia="Arial" w:hAnsi="Arial"/>
          <w:sz w:val="18"/>
          <w:szCs w:val="18"/>
          <w:b w:val="1"/>
          <w:bCs w:val="1"/>
          <w:color w:val="auto"/>
        </w:rPr>
      </w:pPr>
    </w:p>
    <w:p>
      <w:pPr>
        <w:ind w:right="100" w:firstLine="444"/>
        <w:spacing w:after="0" w:line="275" w:lineRule="auto"/>
        <w:tabs>
          <w:tab w:leader="none" w:pos="614"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color w:val="auto"/>
        </w:rPr>
        <w:t>. You may not exercise your option before the Date of Grant or after the expiration of the option’s term. The term of your option expires,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5(h) of the Plan, upon the earliest of the following:</w:t>
      </w:r>
    </w:p>
    <w:p>
      <w:pPr>
        <w:spacing w:after="0" w:line="64" w:lineRule="exact"/>
        <w:rPr>
          <w:rFonts w:ascii="Arial" w:cs="Arial" w:eastAsia="Arial" w:hAnsi="Arial"/>
          <w:sz w:val="18"/>
          <w:szCs w:val="18"/>
          <w:b w:val="1"/>
          <w:bCs w:val="1"/>
          <w:color w:val="auto"/>
        </w:rPr>
      </w:pPr>
    </w:p>
    <w:p>
      <w:pPr>
        <w:ind w:left="1240" w:hanging="250"/>
        <w:spacing w:after="0"/>
        <w:tabs>
          <w:tab w:leader="none" w:pos="1240"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113" w:lineRule="exact"/>
        <w:rPr>
          <w:rFonts w:ascii="Arial" w:cs="Arial" w:eastAsia="Arial" w:hAnsi="Arial"/>
          <w:sz w:val="18"/>
          <w:szCs w:val="18"/>
          <w:b w:val="1"/>
          <w:bCs w:val="1"/>
          <w:color w:val="auto"/>
        </w:rPr>
      </w:pPr>
    </w:p>
    <w:p>
      <w:pPr>
        <w:ind w:firstLine="990"/>
        <w:spacing w:after="0" w:line="282" w:lineRule="auto"/>
        <w:tabs>
          <w:tab w:leader="none" w:pos="1245" w:val="left"/>
        </w:tabs>
        <w:numPr>
          <w:ilvl w:val="1"/>
          <w:numId w:val="301"/>
        </w:numPr>
        <w:rPr>
          <w:rFonts w:ascii="Arial" w:cs="Arial" w:eastAsia="Arial" w:hAnsi="Arial"/>
          <w:sz w:val="16"/>
          <w:szCs w:val="16"/>
          <w:b w:val="1"/>
          <w:bCs w:val="1"/>
          <w:color w:val="auto"/>
        </w:rPr>
      </w:pPr>
      <w:r>
        <w:rPr>
          <w:rFonts w:ascii="Arial" w:cs="Arial" w:eastAsia="Arial" w:hAnsi="Arial"/>
          <w:sz w:val="16"/>
          <w:szCs w:val="16"/>
          <w:color w:val="auto"/>
        </w:rPr>
        <w:t xml:space="preserve">three months after the termination of your Continuous Service for any reason other than Cause, your Disability or your death (except as otherwise provided in Section 8(d)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if (i) you are a Non-Exempt Employee, (ii) your Continuous Service terminates within six months after the Date of Grant, and (iii) you have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vested in a portion of your option at the time of your termination of Continuous Service, your option will not expire until the earlier of (x) the later of</w:t>
      </w:r>
    </w:p>
    <w:p>
      <w:pPr>
        <w:spacing w:after="0" w:line="30" w:lineRule="exact"/>
        <w:rPr>
          <w:sz w:val="20"/>
          <w:szCs w:val="20"/>
          <w:color w:val="auto"/>
        </w:rPr>
      </w:pPr>
    </w:p>
    <w:p>
      <w:pPr>
        <w:ind w:left="300" w:hanging="293"/>
        <w:spacing w:after="0"/>
        <w:tabs>
          <w:tab w:leader="none" w:pos="3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date that is seven months after the Date of Grant, and (B) the date that is three months after the termination of your Continuous Service, and</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 the Expiration Date;</w:t>
      </w:r>
    </w:p>
    <w:p>
      <w:pPr>
        <w:spacing w:after="0" w:line="101" w:lineRule="exact"/>
        <w:rPr>
          <w:rFonts w:ascii="Arial" w:cs="Arial" w:eastAsia="Arial" w:hAnsi="Arial"/>
          <w:sz w:val="16"/>
          <w:szCs w:val="16"/>
          <w:color w:val="auto"/>
        </w:rPr>
      </w:pPr>
    </w:p>
    <w:p>
      <w:pPr>
        <w:ind w:left="1240" w:hanging="250"/>
        <w:spacing w:after="0"/>
        <w:tabs>
          <w:tab w:leader="none" w:pos="1240" w:val="left"/>
        </w:tabs>
        <w:numPr>
          <w:ilvl w:val="1"/>
          <w:numId w:val="302"/>
        </w:numPr>
        <w:rPr>
          <w:rFonts w:ascii="Arial" w:cs="Arial" w:eastAsia="Arial" w:hAnsi="Arial"/>
          <w:sz w:val="17"/>
          <w:szCs w:val="17"/>
          <w:b w:val="1"/>
          <w:bCs w:val="1"/>
          <w:color w:val="auto"/>
        </w:rPr>
      </w:pPr>
      <w:r>
        <w:rPr>
          <w:rFonts w:ascii="Arial" w:cs="Arial" w:eastAsia="Arial" w:hAnsi="Arial"/>
          <w:sz w:val="17"/>
          <w:szCs w:val="17"/>
          <w:color w:val="auto"/>
        </w:rPr>
        <w:t>12 months after the termination of your Continuous Service due to your Disability (except as otherwise provided in Section 8(d))</w:t>
      </w:r>
    </w:p>
    <w:p>
      <w:pPr>
        <w:spacing w:after="0" w:line="3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below;</w:t>
      </w:r>
    </w:p>
    <w:p>
      <w:pPr>
        <w:spacing w:after="0" w:line="101" w:lineRule="exact"/>
        <w:rPr>
          <w:rFonts w:ascii="Arial" w:cs="Arial" w:eastAsia="Arial" w:hAnsi="Arial"/>
          <w:sz w:val="17"/>
          <w:szCs w:val="17"/>
          <w:b w:val="1"/>
          <w:bCs w:val="1"/>
          <w:color w:val="auto"/>
        </w:rPr>
      </w:pPr>
    </w:p>
    <w:p>
      <w:pPr>
        <w:ind w:right="140" w:firstLine="990"/>
        <w:spacing w:after="0" w:line="271" w:lineRule="auto"/>
        <w:tabs>
          <w:tab w:leader="none" w:pos="1245"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either during your Continuous Service or within three (3) months after your Continuous Service terminates for any reason other than Cause;</w:t>
      </w:r>
    </w:p>
    <w:p>
      <w:pPr>
        <w:spacing w:after="0" w:line="67" w:lineRule="exact"/>
        <w:rPr>
          <w:rFonts w:ascii="Arial" w:cs="Arial" w:eastAsia="Arial" w:hAnsi="Arial"/>
          <w:sz w:val="18"/>
          <w:szCs w:val="18"/>
          <w:b w:val="1"/>
          <w:bCs w:val="1"/>
          <w:color w:val="auto"/>
        </w:rPr>
      </w:pPr>
    </w:p>
    <w:p>
      <w:pPr>
        <w:ind w:left="1240" w:hanging="250"/>
        <w:spacing w:after="0"/>
        <w:tabs>
          <w:tab w:leader="none" w:pos="1240"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3" w:lineRule="exact"/>
        <w:rPr>
          <w:rFonts w:ascii="Arial" w:cs="Arial" w:eastAsia="Arial" w:hAnsi="Arial"/>
          <w:sz w:val="18"/>
          <w:szCs w:val="18"/>
          <w:b w:val="1"/>
          <w:bCs w:val="1"/>
          <w:color w:val="auto"/>
        </w:rPr>
      </w:pPr>
    </w:p>
    <w:p>
      <w:pPr>
        <w:ind w:left="1220" w:hanging="230"/>
        <w:spacing w:after="0"/>
        <w:tabs>
          <w:tab w:leader="none" w:pos="1220"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the day before the 10th anniversary of the Date of Grant.</w:t>
      </w:r>
    </w:p>
    <w:p>
      <w:pPr>
        <w:sectPr>
          <w:pgSz w:w="11900" w:h="16838" w:orient="portrait"/>
          <w:cols w:equalWidth="0" w:num="1">
            <w:col w:w="10920"/>
          </w:cols>
          <w:pgMar w:left="480" w:top="272" w:right="499" w:bottom="1440" w:gutter="0" w:footer="0" w:header="0"/>
        </w:sectPr>
      </w:pPr>
    </w:p>
    <w:bookmarkStart w:id="354" w:name="page355"/>
    <w:bookmarkEnd w:id="354"/>
    <w:p>
      <w:pPr>
        <w:ind w:firstLine="43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160" w:lineRule="exact"/>
        <w:rPr>
          <w:sz w:val="20"/>
          <w:szCs w:val="20"/>
          <w:color w:val="auto"/>
        </w:rPr>
      </w:pPr>
    </w:p>
    <w:p>
      <w:pPr>
        <w:ind w:left="620" w:hanging="176"/>
        <w:spacing w:after="0"/>
        <w:tabs>
          <w:tab w:leader="none" w:pos="62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right="20" w:firstLine="990"/>
        <w:spacing w:after="0" w:line="297" w:lineRule="auto"/>
        <w:tabs>
          <w:tab w:leader="none" w:pos="1234" w:val="left"/>
        </w:tabs>
        <w:numPr>
          <w:ilvl w:val="1"/>
          <w:numId w:val="303"/>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52" w:lineRule="exact"/>
        <w:rPr>
          <w:rFonts w:ascii="Arial" w:cs="Arial" w:eastAsia="Arial" w:hAnsi="Arial"/>
          <w:sz w:val="16"/>
          <w:szCs w:val="16"/>
          <w:b w:val="1"/>
          <w:bCs w:val="1"/>
          <w:color w:val="auto"/>
        </w:rPr>
      </w:pPr>
    </w:p>
    <w:p>
      <w:pPr>
        <w:ind w:firstLine="990"/>
        <w:spacing w:after="0" w:line="255" w:lineRule="auto"/>
        <w:tabs>
          <w:tab w:leader="none" w:pos="1245" w:val="left"/>
        </w:tabs>
        <w:numPr>
          <w:ilvl w:val="1"/>
          <w:numId w:val="303"/>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and you hereby agree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83" w:lineRule="exact"/>
        <w:rPr>
          <w:rFonts w:ascii="Arial" w:cs="Arial" w:eastAsia="Arial" w:hAnsi="Arial"/>
          <w:sz w:val="18"/>
          <w:szCs w:val="18"/>
          <w:b w:val="1"/>
          <w:bCs w:val="1"/>
          <w:color w:val="auto"/>
        </w:rPr>
      </w:pPr>
    </w:p>
    <w:p>
      <w:pPr>
        <w:ind w:right="60" w:firstLine="990"/>
        <w:spacing w:after="0" w:line="281" w:lineRule="auto"/>
        <w:tabs>
          <w:tab w:leader="none" w:pos="1224" w:val="left"/>
        </w:tabs>
        <w:numPr>
          <w:ilvl w:val="1"/>
          <w:numId w:val="303"/>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62" w:lineRule="exact"/>
        <w:rPr>
          <w:rFonts w:ascii="Arial" w:cs="Arial" w:eastAsia="Arial" w:hAnsi="Arial"/>
          <w:sz w:val="17"/>
          <w:szCs w:val="17"/>
          <w:b w:val="1"/>
          <w:bCs w:val="1"/>
          <w:color w:val="auto"/>
        </w:rPr>
      </w:pPr>
    </w:p>
    <w:p>
      <w:pPr>
        <w:ind w:right="20" w:firstLine="990"/>
        <w:spacing w:after="0" w:line="284" w:lineRule="auto"/>
        <w:tabs>
          <w:tab w:leader="none" w:pos="1245" w:val="left"/>
        </w:tabs>
        <w:numPr>
          <w:ilvl w:val="1"/>
          <w:numId w:val="303"/>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p>
    <w:p>
      <w:pPr>
        <w:spacing w:after="0" w:line="65" w:lineRule="exact"/>
        <w:rPr>
          <w:rFonts w:ascii="Arial" w:cs="Arial" w:eastAsia="Arial" w:hAnsi="Arial"/>
          <w:sz w:val="16"/>
          <w:szCs w:val="16"/>
          <w:b w:val="1"/>
          <w:bCs w:val="1"/>
          <w:color w:val="auto"/>
        </w:rPr>
      </w:pPr>
    </w:p>
    <w:p>
      <w:pPr>
        <w:ind w:right="120" w:firstLine="990"/>
        <w:spacing w:after="0" w:line="293" w:lineRule="auto"/>
        <w:tabs>
          <w:tab w:leader="none" w:pos="1224" w:val="left"/>
        </w:tabs>
        <w:numPr>
          <w:ilvl w:val="1"/>
          <w:numId w:val="303"/>
        </w:numPr>
        <w:rPr>
          <w:rFonts w:ascii="Arial" w:cs="Arial" w:eastAsia="Arial" w:hAnsi="Arial"/>
          <w:sz w:val="16"/>
          <w:szCs w:val="16"/>
          <w:b w:val="1"/>
          <w:bCs w:val="1"/>
          <w:color w:val="auto"/>
        </w:rPr>
      </w:pPr>
      <w:r>
        <w:rPr>
          <w:rFonts w:ascii="Arial" w:cs="Arial" w:eastAsia="Arial" w:hAnsi="Arial"/>
          <w:sz w:val="16"/>
          <w:szCs w:val="16"/>
          <w:color w:val="auto"/>
        </w:rPr>
        <w:t>Without limiting the generality of the foregoing, you agree that at the request of the Company at any time and/or as a condition to any exercise of your option, you shall execute and deliver any applicable securityholders’ agreement, investor rights agreement, voting agreement, drag-along agreement, right of first refusal and co-sale agreement or similar agreement (or a joinder thereto) that the Company and/or the holders of its capital securities or options may enter into or that otherwise that may be in effect from time to time (and which may contain, among other provisions, additional restrictions on transfer rights of repurchase in favor of the Company) (collectively, the “</w:t>
      </w:r>
      <w:r>
        <w:rPr>
          <w:rFonts w:ascii="Arial" w:cs="Arial" w:eastAsia="Arial" w:hAnsi="Arial"/>
          <w:sz w:val="16"/>
          <w:szCs w:val="16"/>
          <w:b w:val="1"/>
          <w:bCs w:val="1"/>
          <w:i w:val="1"/>
          <w:iCs w:val="1"/>
          <w:color w:val="auto"/>
        </w:rPr>
        <w:t>Securityholders’ Documents</w:t>
      </w:r>
      <w:r>
        <w:rPr>
          <w:rFonts w:ascii="Arial" w:cs="Arial" w:eastAsia="Arial" w:hAnsi="Arial"/>
          <w:sz w:val="16"/>
          <w:szCs w:val="16"/>
          <w:color w:val="auto"/>
        </w:rPr>
        <w:t>”).</w:t>
      </w:r>
    </w:p>
    <w:p>
      <w:pPr>
        <w:sectPr>
          <w:pgSz w:w="11900" w:h="16838" w:orient="portrait"/>
          <w:cols w:equalWidth="0" w:num="1">
            <w:col w:w="10900"/>
          </w:cols>
          <w:pgMar w:left="480" w:top="272" w:right="519" w:bottom="1440" w:gutter="0" w:footer="0" w:header="0"/>
        </w:sectPr>
      </w:pPr>
    </w:p>
    <w:bookmarkStart w:id="355" w:name="page356"/>
    <w:bookmarkEnd w:id="355"/>
    <w:p>
      <w:pPr>
        <w:ind w:right="100" w:firstLine="444"/>
        <w:spacing w:after="0" w:line="275" w:lineRule="auto"/>
        <w:tabs>
          <w:tab w:leader="none" w:pos="704"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Arial" w:cs="Arial" w:eastAsia="Arial" w:hAnsi="Arial"/>
          <w:sz w:val="14"/>
          <w:szCs w:val="14"/>
          <w:b w:val="1"/>
          <w:bCs w:val="1"/>
          <w:color w:val="auto"/>
        </w:rPr>
        <w:t>RANSFERABILITY</w:t>
      </w:r>
      <w:r>
        <w:rPr>
          <w:rFonts w:ascii="Arial" w:cs="Arial" w:eastAsia="Arial" w:hAnsi="Arial"/>
          <w:sz w:val="18"/>
          <w:szCs w:val="18"/>
          <w:color w:val="auto"/>
        </w:rPr>
        <w:t>. Except as otherwise provided in this Section 10, your option is not transferable, except by will or by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and is exercisable during your life only by you.</w:t>
      </w:r>
    </w:p>
    <w:p>
      <w:pPr>
        <w:spacing w:after="0" w:line="60" w:lineRule="exact"/>
        <w:rPr>
          <w:rFonts w:ascii="Arial" w:cs="Arial" w:eastAsia="Arial" w:hAnsi="Arial"/>
          <w:sz w:val="18"/>
          <w:szCs w:val="18"/>
          <w:b w:val="1"/>
          <w:bCs w:val="1"/>
          <w:color w:val="auto"/>
        </w:rPr>
      </w:pPr>
    </w:p>
    <w:p>
      <w:pPr>
        <w:jc w:val="both"/>
        <w:ind w:right="140" w:firstLine="990"/>
        <w:spacing w:after="0" w:line="284" w:lineRule="auto"/>
        <w:tabs>
          <w:tab w:leader="none" w:pos="1234" w:val="left"/>
        </w:tabs>
        <w:numPr>
          <w:ilvl w:val="1"/>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Certain Trusts</w:t>
      </w:r>
      <w:r>
        <w:rPr>
          <w:rFonts w:ascii="Arial" w:cs="Arial" w:eastAsia="Arial" w:hAnsi="Arial"/>
          <w:sz w:val="17"/>
          <w:szCs w:val="17"/>
          <w:color w:val="auto"/>
        </w:rPr>
        <w:t>. Upon receiving written permission from the Board or its duly authorized designee, you may transfer your option to a</w:t>
      </w:r>
      <w:r>
        <w:rPr>
          <w:rFonts w:ascii="Arial" w:cs="Arial" w:eastAsia="Arial" w:hAnsi="Arial"/>
          <w:sz w:val="17"/>
          <w:szCs w:val="17"/>
          <w:b w:val="1"/>
          <w:bCs w:val="1"/>
          <w:color w:val="auto"/>
        </w:rPr>
        <w:t xml:space="preserve"> </w:t>
      </w:r>
      <w:r>
        <w:rPr>
          <w:rFonts w:ascii="Arial" w:cs="Arial" w:eastAsia="Arial" w:hAnsi="Arial"/>
          <w:sz w:val="17"/>
          <w:szCs w:val="17"/>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55" w:lineRule="exact"/>
        <w:rPr>
          <w:rFonts w:ascii="Arial" w:cs="Arial" w:eastAsia="Arial" w:hAnsi="Arial"/>
          <w:sz w:val="17"/>
          <w:szCs w:val="17"/>
          <w:b w:val="1"/>
          <w:bCs w:val="1"/>
          <w:color w:val="auto"/>
        </w:rPr>
      </w:pPr>
    </w:p>
    <w:p>
      <w:pPr>
        <w:jc w:val="both"/>
        <w:ind w:right="20" w:firstLine="990"/>
        <w:spacing w:after="0" w:line="286" w:lineRule="auto"/>
        <w:tabs>
          <w:tab w:leader="none" w:pos="1244" w:val="left"/>
        </w:tabs>
        <w:numPr>
          <w:ilvl w:val="1"/>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Domestic Relations Orders</w:t>
      </w:r>
      <w:r>
        <w:rPr>
          <w:rFonts w:ascii="Arial" w:cs="Arial" w:eastAsia="Arial" w:hAnsi="Arial"/>
          <w:sz w:val="16"/>
          <w:szCs w:val="16"/>
          <w:color w:val="auto"/>
        </w:rPr>
        <w:t>. Upon receiving written permission from the Board or its duly authorized designee, and provided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spacing w:after="0" w:line="1" w:lineRule="exact"/>
        <w:rPr>
          <w:rFonts w:ascii="Arial" w:cs="Arial" w:eastAsia="Arial" w:hAnsi="Arial"/>
          <w:sz w:val="16"/>
          <w:szCs w:val="16"/>
          <w:b w:val="1"/>
          <w:bCs w:val="1"/>
          <w:color w:val="auto"/>
        </w:rPr>
      </w:pPr>
    </w:p>
    <w:p>
      <w:pPr>
        <w:ind w:right="40"/>
        <w:spacing w:after="0" w:line="250" w:lineRule="auto"/>
        <w:rPr>
          <w:rFonts w:ascii="Arial" w:cs="Arial" w:eastAsia="Arial" w:hAnsi="Arial"/>
          <w:sz w:val="16"/>
          <w:szCs w:val="16"/>
          <w:b w:val="1"/>
          <w:bCs w:val="1"/>
          <w:color w:val="auto"/>
        </w:rPr>
      </w:pPr>
      <w:r>
        <w:rPr>
          <w:rFonts w:ascii="Arial" w:cs="Arial" w:eastAsia="Arial" w:hAnsi="Arial"/>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83" w:lineRule="exact"/>
        <w:rPr>
          <w:rFonts w:ascii="Arial" w:cs="Arial" w:eastAsia="Arial" w:hAnsi="Arial"/>
          <w:sz w:val="16"/>
          <w:szCs w:val="16"/>
          <w:b w:val="1"/>
          <w:bCs w:val="1"/>
          <w:color w:val="auto"/>
        </w:rPr>
      </w:pPr>
    </w:p>
    <w:p>
      <w:pPr>
        <w:ind w:right="140" w:firstLine="990"/>
        <w:spacing w:after="0" w:line="273" w:lineRule="auto"/>
        <w:tabs>
          <w:tab w:leader="none" w:pos="1224" w:val="left"/>
        </w:tabs>
        <w:numPr>
          <w:ilvl w:val="1"/>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 Designation</w:t>
      </w:r>
      <w:r>
        <w:rPr>
          <w:rFonts w:ascii="Arial" w:cs="Arial" w:eastAsia="Arial" w:hAnsi="Arial"/>
          <w:sz w:val="17"/>
          <w:szCs w:val="17"/>
          <w:color w:val="auto"/>
        </w:rPr>
        <w:t>. Upon receiving written permission from the Board or its duly authorized designee, you may,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2" w:lineRule="exact"/>
        <w:rPr>
          <w:rFonts w:ascii="Arial" w:cs="Arial" w:eastAsia="Arial" w:hAnsi="Arial"/>
          <w:sz w:val="17"/>
          <w:szCs w:val="17"/>
          <w:b w:val="1"/>
          <w:bCs w:val="1"/>
          <w:color w:val="auto"/>
        </w:rPr>
      </w:pPr>
    </w:p>
    <w:p>
      <w:pPr>
        <w:ind w:right="80" w:firstLine="444"/>
        <w:spacing w:after="0" w:line="284" w:lineRule="auto"/>
        <w:tabs>
          <w:tab w:leader="none" w:pos="694"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IGHT OF</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EPURCHASE</w:t>
      </w:r>
      <w:r>
        <w:rPr>
          <w:rFonts w:ascii="Arial" w:cs="Arial" w:eastAsia="Arial" w:hAnsi="Arial"/>
          <w:sz w:val="17"/>
          <w:szCs w:val="17"/>
          <w:color w:val="auto"/>
        </w:rPr>
        <w:t>. To the extent provided in the Company’s bylaws and/or Securityholders’ Documents in effect at such time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elects to exercise its right, the Company will have the right to repurchase all or any part of the shares of Common Stock you acquire pursuant to the exercise of your option.</w:t>
      </w:r>
    </w:p>
    <w:p>
      <w:pPr>
        <w:spacing w:after="0" w:line="161" w:lineRule="exact"/>
        <w:rPr>
          <w:rFonts w:ascii="Arial" w:cs="Arial" w:eastAsia="Arial" w:hAnsi="Arial"/>
          <w:sz w:val="17"/>
          <w:szCs w:val="17"/>
          <w:b w:val="1"/>
          <w:bCs w:val="1"/>
          <w:color w:val="auto"/>
        </w:rPr>
      </w:pPr>
    </w:p>
    <w:p>
      <w:pPr>
        <w:ind w:right="20" w:firstLine="444"/>
        <w:spacing w:after="0" w:line="299" w:lineRule="auto"/>
        <w:tabs>
          <w:tab w:leader="none" w:pos="704" w:val="left"/>
        </w:tabs>
        <w:numPr>
          <w:ilvl w:val="0"/>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PTION NOT A</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ERVICE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6"/>
          <w:szCs w:val="16"/>
          <w:color w:val="auto"/>
        </w:rPr>
        <w:t>. Your option is not an employment or service contract, and nothing in your option will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53" w:lineRule="exact"/>
        <w:rPr>
          <w:rFonts w:ascii="Arial" w:cs="Arial" w:eastAsia="Arial" w:hAnsi="Arial"/>
          <w:sz w:val="16"/>
          <w:szCs w:val="16"/>
          <w:b w:val="1"/>
          <w:bCs w:val="1"/>
          <w:color w:val="auto"/>
        </w:rPr>
      </w:pPr>
    </w:p>
    <w:p>
      <w:pPr>
        <w:ind w:left="720" w:hanging="276"/>
        <w:spacing w:after="0"/>
        <w:tabs>
          <w:tab w:leader="none" w:pos="72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990"/>
        <w:spacing w:after="0" w:line="253" w:lineRule="auto"/>
        <w:tabs>
          <w:tab w:leader="none" w:pos="1234" w:val="left"/>
        </w:tabs>
        <w:numPr>
          <w:ilvl w:val="1"/>
          <w:numId w:val="304"/>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ectPr>
          <w:pgSz w:w="11900" w:h="16838" w:orient="portrait"/>
          <w:cols w:equalWidth="0" w:num="1">
            <w:col w:w="10900"/>
          </w:cols>
          <w:pgMar w:left="480" w:top="268" w:right="519" w:bottom="1440" w:gutter="0" w:footer="0" w:header="0"/>
        </w:sectPr>
      </w:pPr>
    </w:p>
    <w:bookmarkStart w:id="356" w:name="page357"/>
    <w:bookmarkEnd w:id="356"/>
    <w:p>
      <w:pPr>
        <w:ind w:left="-444" w:firstLine="990"/>
        <w:spacing w:after="0" w:line="284" w:lineRule="auto"/>
        <w:tabs>
          <w:tab w:leader="none" w:pos="801" w:val="left"/>
        </w:tabs>
        <w:numPr>
          <w:ilvl w:val="1"/>
          <w:numId w:val="30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65" w:lineRule="exact"/>
        <w:rPr>
          <w:rFonts w:ascii="Arial" w:cs="Arial" w:eastAsia="Arial" w:hAnsi="Arial"/>
          <w:sz w:val="16"/>
          <w:szCs w:val="16"/>
          <w:b w:val="1"/>
          <w:bCs w:val="1"/>
          <w:color w:val="auto"/>
        </w:rPr>
      </w:pPr>
    </w:p>
    <w:p>
      <w:pPr>
        <w:ind w:left="-444" w:right="80" w:firstLine="990"/>
        <w:spacing w:after="0" w:line="255" w:lineRule="auto"/>
        <w:tabs>
          <w:tab w:leader="none" w:pos="781" w:val="left"/>
        </w:tabs>
        <w:numPr>
          <w:ilvl w:val="1"/>
          <w:numId w:val="305"/>
        </w:numPr>
        <w:rPr>
          <w:rFonts w:ascii="Arial" w:cs="Arial" w:eastAsia="Arial" w:hAnsi="Arial"/>
          <w:sz w:val="18"/>
          <w:szCs w:val="18"/>
          <w:b w:val="1"/>
          <w:bCs w:val="1"/>
          <w:color w:val="auto"/>
        </w:rPr>
      </w:pPr>
      <w:r>
        <w:rPr>
          <w:rFonts w:ascii="Arial" w:cs="Arial" w:eastAsia="Arial" w:hAnsi="Arial"/>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86" w:lineRule="exact"/>
        <w:rPr>
          <w:rFonts w:ascii="Arial" w:cs="Arial" w:eastAsia="Arial" w:hAnsi="Arial"/>
          <w:sz w:val="18"/>
          <w:szCs w:val="18"/>
          <w:b w:val="1"/>
          <w:bCs w:val="1"/>
          <w:color w:val="auto"/>
        </w:rPr>
      </w:pPr>
    </w:p>
    <w:p>
      <w:pPr>
        <w:ind w:left="-444" w:firstLine="444"/>
        <w:spacing w:after="0" w:line="267" w:lineRule="auto"/>
        <w:tabs>
          <w:tab w:leader="none" w:pos="260"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color w:val="auto"/>
        </w:rPr>
        <w:t>. You hereby agree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79" w:lineRule="exact"/>
        <w:rPr>
          <w:rFonts w:ascii="Arial" w:cs="Arial" w:eastAsia="Arial" w:hAnsi="Arial"/>
          <w:sz w:val="17"/>
          <w:szCs w:val="17"/>
          <w:b w:val="1"/>
          <w:bCs w:val="1"/>
          <w:color w:val="auto"/>
        </w:rPr>
      </w:pPr>
    </w:p>
    <w:p>
      <w:pPr>
        <w:ind w:left="-444" w:right="420" w:firstLine="444"/>
        <w:spacing w:after="0" w:line="291" w:lineRule="auto"/>
        <w:tabs>
          <w:tab w:leader="none" w:pos="260"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OTICES</w:t>
      </w:r>
      <w:r>
        <w:rPr>
          <w:rFonts w:ascii="Arial" w:cs="Arial" w:eastAsia="Arial" w:hAnsi="Arial"/>
          <w:sz w:val="16"/>
          <w:szCs w:val="16"/>
          <w:color w:val="auto"/>
        </w:rPr>
        <w:t>. Any notices provided for in your option or the Plan will be given in writing (including electronically) and will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0456"/>
          </w:cols>
          <w:pgMar w:left="924" w:top="272" w:right="519" w:bottom="1440" w:gutter="0" w:footer="0" w:header="0"/>
        </w:sectPr>
      </w:pPr>
    </w:p>
    <w:bookmarkStart w:id="357" w:name="page358"/>
    <w:bookmarkEnd w:id="357"/>
    <w:p>
      <w:pPr>
        <w:ind w:left="-444" w:firstLine="444"/>
        <w:spacing w:after="0" w:line="309" w:lineRule="auto"/>
        <w:tabs>
          <w:tab w:leader="none" w:pos="260" w:val="left"/>
        </w:tabs>
        <w:numPr>
          <w:ilvl w:val="0"/>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G</w:t>
      </w:r>
      <w:r>
        <w:rPr>
          <w:rFonts w:ascii="Arial" w:cs="Arial" w:eastAsia="Arial" w:hAnsi="Arial"/>
          <w:sz w:val="12"/>
          <w:szCs w:val="12"/>
          <w:b w:val="1"/>
          <w:bCs w:val="1"/>
          <w:color w:val="auto"/>
        </w:rPr>
        <w:t>OVERNING</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w:t>
      </w:r>
      <w:r>
        <w:rPr>
          <w:rFonts w:ascii="Arial" w:cs="Arial" w:eastAsia="Arial" w:hAnsi="Arial"/>
          <w:sz w:val="16"/>
          <w:szCs w:val="16"/>
          <w:color w:val="auto"/>
        </w:rPr>
        <w:t>. Your option is subject to all the provisions of the Plan, the provisions of which are hereby made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ectPr>
          <w:pgSz w:w="11900" w:h="16838" w:orient="portrait"/>
          <w:cols w:equalWidth="0" w:num="1">
            <w:col w:w="10256"/>
          </w:cols>
          <w:pgMar w:left="924" w:top="267" w:right="719" w:bottom="1440" w:gutter="0" w:footer="0" w:header="0"/>
        </w:sectPr>
      </w:pPr>
    </w:p>
    <w:bookmarkStart w:id="358" w:name="page359"/>
    <w:bookmarkEnd w:id="3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ATTACHMENT 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EQUITY INCENTIVE PLAN</w:t>
      </w:r>
    </w:p>
    <w:p>
      <w:pPr>
        <w:sectPr>
          <w:pgSz w:w="11900" w:h="16838" w:orient="portrait"/>
          <w:cols w:equalWidth="0" w:num="1">
            <w:col w:w="9019"/>
          </w:cols>
          <w:pgMar w:left="1440" w:top="268" w:right="1440" w:bottom="1440" w:gutter="0" w:footer="0" w:header="0"/>
        </w:sectPr>
      </w:pPr>
    </w:p>
    <w:bookmarkStart w:id="359" w:name="page360"/>
    <w:bookmarkEnd w:id="3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ATTACHMENT 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9019"/>
          </w:cols>
          <w:pgMar w:left="1440" w:top="268" w:right="1440"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XOMETRY,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Xometry,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7951 Cessna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Gaithersburg, MD 20879</w:t>
      </w:r>
    </w:p>
    <w:p>
      <w:pPr>
        <w:spacing w:after="0" w:line="208"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Date of Exercise: _______________</w:t>
      </w:r>
    </w:p>
    <w:p>
      <w:pPr>
        <w:spacing w:after="0" w:line="240" w:lineRule="exact"/>
        <w:rPr>
          <w:sz w:val="20"/>
          <w:szCs w:val="20"/>
          <w:color w:val="auto"/>
        </w:rPr>
      </w:pPr>
    </w:p>
    <w:p>
      <w:pPr>
        <w:ind w:right="640" w:firstLine="436"/>
        <w:spacing w:after="0" w:line="275" w:lineRule="auto"/>
        <w:rPr>
          <w:sz w:val="20"/>
          <w:szCs w:val="20"/>
          <w:color w:val="auto"/>
        </w:rPr>
      </w:pPr>
      <w:r>
        <w:rPr>
          <w:rFonts w:ascii="Arial" w:cs="Arial" w:eastAsia="Arial" w:hAnsi="Arial"/>
          <w:sz w:val="18"/>
          <w:szCs w:val="18"/>
          <w:color w:val="auto"/>
        </w:rPr>
        <w:t xml:space="preserve">This constitutes notice to </w:t>
      </w: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w:t>
      </w:r>
    </w:p>
    <w:p>
      <w:pPr>
        <w:spacing w:after="0" w:line="166" w:lineRule="exact"/>
        <w:rPr>
          <w:sz w:val="20"/>
          <w:szCs w:val="20"/>
          <w:color w:val="auto"/>
        </w:rPr>
      </w:pPr>
    </w:p>
    <w:tbl>
      <w:tblPr>
        <w:tblLayout w:type="fixed"/>
        <w:tblInd w:w="720" w:type="dxa"/>
        <w:tblCellMar>
          <w:top w:w="0" w:type="dxa"/>
          <w:left w:w="0" w:type="dxa"/>
          <w:bottom w:w="0" w:type="dxa"/>
          <w:right w:w="0" w:type="dxa"/>
        </w:tblCellMar>
      </w:tblPr>
      <w:tr>
        <w:trPr>
          <w:trHeight w:val="279"/>
        </w:trPr>
        <w:tc>
          <w:tcPr>
            <w:tcW w:w="4500" w:type="dxa"/>
            <w:vAlign w:val="bottom"/>
          </w:tcPr>
          <w:p>
            <w:pPr>
              <w:spacing w:after="0"/>
              <w:rPr>
                <w:sz w:val="20"/>
                <w:szCs w:val="20"/>
                <w:color w:val="auto"/>
              </w:rPr>
            </w:pPr>
            <w:r>
              <w:rPr>
                <w:rFonts w:ascii="Arial" w:cs="Arial" w:eastAsia="Arial" w:hAnsi="Arial"/>
                <w:sz w:val="18"/>
                <w:szCs w:val="18"/>
                <w:color w:val="auto"/>
              </w:rPr>
              <w:t>Type of option (check one):</w:t>
            </w:r>
          </w:p>
        </w:tc>
        <w:tc>
          <w:tcPr>
            <w:tcW w:w="2620" w:type="dxa"/>
            <w:vAlign w:val="bottom"/>
            <w:gridSpan w:val="3"/>
          </w:tcPr>
          <w:p>
            <w:pPr>
              <w:ind w:left="102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60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Nonstatutory </w:t>
            </w:r>
            <w:r>
              <w:rPr>
                <w:rFonts w:ascii="MS PGothic" w:cs="MS PGothic" w:eastAsia="MS PGothic" w:hAnsi="MS PGothic"/>
                <w:sz w:val="18"/>
                <w:szCs w:val="18"/>
                <w:color w:val="auto"/>
              </w:rPr>
              <w:t>☐</w:t>
            </w:r>
          </w:p>
        </w:tc>
      </w:tr>
      <w:tr>
        <w:trPr>
          <w:trHeight w:val="262"/>
        </w:trPr>
        <w:tc>
          <w:tcPr>
            <w:tcW w:w="4500" w:type="dxa"/>
            <w:vAlign w:val="bottom"/>
          </w:tcPr>
          <w:p>
            <w:pPr>
              <w:spacing w:after="0"/>
              <w:rPr>
                <w:sz w:val="20"/>
                <w:szCs w:val="20"/>
                <w:color w:val="auto"/>
              </w:rPr>
            </w:pPr>
            <w:r>
              <w:rPr>
                <w:rFonts w:ascii="Arial" w:cs="Arial" w:eastAsia="Arial" w:hAnsi="Arial"/>
                <w:sz w:val="18"/>
                <w:szCs w:val="18"/>
                <w:color w:val="auto"/>
              </w:rPr>
              <w:t>Stock option dated:</w:t>
            </w:r>
          </w:p>
        </w:tc>
        <w:tc>
          <w:tcPr>
            <w:tcW w:w="11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327"/>
        </w:trPr>
        <w:tc>
          <w:tcPr>
            <w:tcW w:w="4500" w:type="dxa"/>
            <w:vAlign w:val="bottom"/>
          </w:tcPr>
          <w:p>
            <w:pPr>
              <w:spacing w:after="0"/>
              <w:rPr>
                <w:sz w:val="20"/>
                <w:szCs w:val="20"/>
                <w:color w:val="auto"/>
              </w:rPr>
            </w:pPr>
            <w:r>
              <w:rPr>
                <w:rFonts w:ascii="Arial" w:cs="Arial" w:eastAsia="Arial" w:hAnsi="Arial"/>
                <w:sz w:val="18"/>
                <w:szCs w:val="18"/>
                <w:color w:val="auto"/>
              </w:rPr>
              <w:t>Number of Shares as</w:t>
            </w: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4500" w:type="dxa"/>
            <w:vAlign w:val="bottom"/>
          </w:tcPr>
          <w:p>
            <w:pPr>
              <w:spacing w:after="0" w:line="189" w:lineRule="exact"/>
              <w:rPr>
                <w:sz w:val="20"/>
                <w:szCs w:val="20"/>
                <w:color w:val="auto"/>
              </w:rPr>
            </w:pPr>
            <w:r>
              <w:rPr>
                <w:rFonts w:ascii="Arial" w:cs="Arial" w:eastAsia="Arial" w:hAnsi="Arial"/>
                <w:sz w:val="18"/>
                <w:szCs w:val="18"/>
                <w:color w:val="auto"/>
              </w:rPr>
              <w:t>to which option is</w:t>
            </w:r>
          </w:p>
        </w:tc>
        <w:tc>
          <w:tcPr>
            <w:tcW w:w="1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33"/>
        </w:trPr>
        <w:tc>
          <w:tcPr>
            <w:tcW w:w="450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6"/>
        </w:trPr>
        <w:tc>
          <w:tcPr>
            <w:tcW w:w="4500" w:type="dxa"/>
            <w:vAlign w:val="bottom"/>
          </w:tcPr>
          <w:p>
            <w:pPr>
              <w:spacing w:after="0"/>
              <w:rPr>
                <w:sz w:val="20"/>
                <w:szCs w:val="20"/>
                <w:color w:val="auto"/>
              </w:rPr>
            </w:pPr>
            <w:r>
              <w:rPr>
                <w:rFonts w:ascii="Arial" w:cs="Arial" w:eastAsia="Arial" w:hAnsi="Arial"/>
                <w:sz w:val="18"/>
                <w:szCs w:val="18"/>
                <w:color w:val="auto"/>
              </w:rPr>
              <w:t>Certificates to be issued in name of:</w:t>
            </w:r>
          </w:p>
        </w:tc>
        <w:tc>
          <w:tcPr>
            <w:tcW w:w="1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340"/>
        </w:trPr>
        <w:tc>
          <w:tcPr>
            <w:tcW w:w="4500" w:type="dxa"/>
            <w:vAlign w:val="bottom"/>
          </w:tcPr>
          <w:p>
            <w:pPr>
              <w:spacing w:after="0"/>
              <w:rPr>
                <w:sz w:val="20"/>
                <w:szCs w:val="20"/>
                <w:color w:val="auto"/>
              </w:rPr>
            </w:pPr>
            <w:r>
              <w:rPr>
                <w:rFonts w:ascii="Arial" w:cs="Arial" w:eastAsia="Arial" w:hAnsi="Arial"/>
                <w:sz w:val="18"/>
                <w:szCs w:val="18"/>
                <w:color w:val="auto"/>
              </w:rPr>
              <w:t>Total exercise price:</w:t>
            </w:r>
          </w:p>
        </w:tc>
        <w:tc>
          <w:tcPr>
            <w:tcW w:w="262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00" w:type="dxa"/>
            <w:vAlign w:val="bottom"/>
            <w:gridSpan w:val="2"/>
          </w:tcPr>
          <w:p>
            <w:pPr>
              <w:ind w:left="260"/>
              <w:spacing w:after="0"/>
              <w:rPr>
                <w:sz w:val="20"/>
                <w:szCs w:val="20"/>
                <w:color w:val="auto"/>
              </w:rPr>
            </w:pPr>
            <w:r>
              <w:rPr>
                <w:rFonts w:ascii="Arial" w:cs="Arial" w:eastAsia="Arial" w:hAnsi="Arial"/>
                <w:sz w:val="18"/>
                <w:szCs w:val="18"/>
                <w:color w:val="auto"/>
                <w:w w:val="87"/>
              </w:rPr>
              <w:t>$______________</w:t>
            </w:r>
          </w:p>
        </w:tc>
      </w:tr>
      <w:tr>
        <w:trPr>
          <w:trHeight w:val="308"/>
        </w:trPr>
        <w:tc>
          <w:tcPr>
            <w:tcW w:w="4500" w:type="dxa"/>
            <w:vAlign w:val="bottom"/>
          </w:tcPr>
          <w:p>
            <w:pPr>
              <w:spacing w:after="0"/>
              <w:rPr>
                <w:sz w:val="20"/>
                <w:szCs w:val="20"/>
                <w:color w:val="auto"/>
              </w:rPr>
            </w:pPr>
            <w:r>
              <w:rPr>
                <w:rFonts w:ascii="Arial" w:cs="Arial" w:eastAsia="Arial" w:hAnsi="Arial"/>
                <w:sz w:val="18"/>
                <w:szCs w:val="18"/>
                <w:color w:val="auto"/>
              </w:rPr>
              <w:t>Cash payment delivered</w:t>
            </w:r>
          </w:p>
        </w:tc>
        <w:tc>
          <w:tcPr>
            <w:tcW w:w="262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00" w:type="dxa"/>
            <w:vAlign w:val="bottom"/>
            <w:gridSpan w:val="2"/>
          </w:tcPr>
          <w:p>
            <w:pPr>
              <w:ind w:left="260"/>
              <w:spacing w:after="0"/>
              <w:rPr>
                <w:sz w:val="20"/>
                <w:szCs w:val="20"/>
                <w:color w:val="auto"/>
              </w:rPr>
            </w:pPr>
            <w:r>
              <w:rPr>
                <w:rFonts w:ascii="Arial" w:cs="Arial" w:eastAsia="Arial" w:hAnsi="Arial"/>
                <w:sz w:val="18"/>
                <w:szCs w:val="18"/>
                <w:color w:val="auto"/>
                <w:w w:val="87"/>
              </w:rPr>
              <w:t>$______________</w:t>
            </w:r>
          </w:p>
        </w:tc>
      </w:tr>
      <w:tr>
        <w:trPr>
          <w:trHeight w:val="227"/>
        </w:trPr>
        <w:tc>
          <w:tcPr>
            <w:tcW w:w="4500" w:type="dxa"/>
            <w:vAlign w:val="bottom"/>
          </w:tcPr>
          <w:p>
            <w:pPr>
              <w:spacing w:after="0"/>
              <w:rPr>
                <w:sz w:val="20"/>
                <w:szCs w:val="20"/>
                <w:color w:val="auto"/>
              </w:rPr>
            </w:pPr>
            <w:r>
              <w:rPr>
                <w:rFonts w:ascii="Arial" w:cs="Arial" w:eastAsia="Arial" w:hAnsi="Arial"/>
                <w:sz w:val="18"/>
                <w:szCs w:val="18"/>
                <w:color w:val="auto"/>
              </w:rPr>
              <w:t>herewith:</w:t>
            </w: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4"/>
        </w:trPr>
        <w:tc>
          <w:tcPr>
            <w:tcW w:w="4500" w:type="dxa"/>
            <w:vAlign w:val="bottom"/>
          </w:tcPr>
          <w:p>
            <w:pPr>
              <w:spacing w:after="0"/>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5"/>
                <w:szCs w:val="15"/>
                <w:color w:val="auto"/>
              </w:rPr>
              <w:t>2</w:t>
            </w:r>
            <w:r>
              <w:rPr>
                <w:rFonts w:ascii="Arial" w:cs="Arial" w:eastAsia="Arial" w:hAnsi="Arial"/>
                <w:sz w:val="18"/>
                <w:szCs w:val="18"/>
                <w:color w:val="auto"/>
              </w:rPr>
              <w:t>)</w:t>
            </w:r>
          </w:p>
        </w:tc>
        <w:tc>
          <w:tcPr>
            <w:tcW w:w="262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00" w:type="dxa"/>
            <w:vAlign w:val="bottom"/>
            <w:gridSpan w:val="2"/>
          </w:tcPr>
          <w:p>
            <w:pPr>
              <w:ind w:left="260"/>
              <w:spacing w:after="0"/>
              <w:rPr>
                <w:sz w:val="20"/>
                <w:szCs w:val="20"/>
                <w:color w:val="auto"/>
              </w:rPr>
            </w:pPr>
            <w:r>
              <w:rPr>
                <w:rFonts w:ascii="Arial" w:cs="Arial" w:eastAsia="Arial" w:hAnsi="Arial"/>
                <w:sz w:val="18"/>
                <w:szCs w:val="18"/>
                <w:color w:val="auto"/>
                <w:w w:val="87"/>
              </w:rPr>
              <w:t>$______________</w:t>
            </w:r>
          </w:p>
        </w:tc>
      </w:tr>
      <w:tr>
        <w:trPr>
          <w:trHeight w:val="321"/>
        </w:trPr>
        <w:tc>
          <w:tcPr>
            <w:tcW w:w="4500" w:type="dxa"/>
            <w:vAlign w:val="bottom"/>
          </w:tcPr>
          <w:p>
            <w:pPr>
              <w:spacing w:after="0"/>
              <w:rPr>
                <w:sz w:val="20"/>
                <w:szCs w:val="20"/>
                <w:color w:val="auto"/>
              </w:rPr>
            </w:pPr>
            <w:r>
              <w:rPr>
                <w:rFonts w:ascii="Arial" w:cs="Arial" w:eastAsia="Arial" w:hAnsi="Arial"/>
                <w:sz w:val="18"/>
                <w:szCs w:val="18"/>
                <w:color w:val="auto"/>
              </w:rPr>
              <w:t>Value of _________ Shares delivered herewith</w:t>
            </w:r>
            <w:r>
              <w:rPr>
                <w:rFonts w:ascii="Arial" w:cs="Arial" w:eastAsia="Arial" w:hAnsi="Arial"/>
                <w:sz w:val="15"/>
                <w:szCs w:val="15"/>
                <w:color w:val="auto"/>
              </w:rPr>
              <w:t>3</w:t>
            </w:r>
            <w:r>
              <w:rPr>
                <w:rFonts w:ascii="Arial" w:cs="Arial" w:eastAsia="Arial" w:hAnsi="Arial"/>
                <w:sz w:val="18"/>
                <w:szCs w:val="18"/>
                <w:color w:val="auto"/>
              </w:rPr>
              <w:t>:</w:t>
            </w:r>
          </w:p>
        </w:tc>
        <w:tc>
          <w:tcPr>
            <w:tcW w:w="262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00" w:type="dxa"/>
            <w:vAlign w:val="bottom"/>
            <w:gridSpan w:val="2"/>
          </w:tcPr>
          <w:p>
            <w:pPr>
              <w:ind w:left="260"/>
              <w:spacing w:after="0"/>
              <w:rPr>
                <w:sz w:val="20"/>
                <w:szCs w:val="20"/>
                <w:color w:val="auto"/>
              </w:rPr>
            </w:pPr>
            <w:r>
              <w:rPr>
                <w:rFonts w:ascii="Arial" w:cs="Arial" w:eastAsia="Arial" w:hAnsi="Arial"/>
                <w:sz w:val="18"/>
                <w:szCs w:val="18"/>
                <w:color w:val="auto"/>
                <w:w w:val="87"/>
              </w:rPr>
              <w:t>$______________</w:t>
            </w:r>
          </w:p>
        </w:tc>
      </w:tr>
      <w:tr>
        <w:trPr>
          <w:trHeight w:val="321"/>
        </w:trPr>
        <w:tc>
          <w:tcPr>
            <w:tcW w:w="4500" w:type="dxa"/>
            <w:vAlign w:val="bottom"/>
          </w:tcPr>
          <w:p>
            <w:pPr>
              <w:spacing w:after="0"/>
              <w:rPr>
                <w:sz w:val="20"/>
                <w:szCs w:val="20"/>
                <w:color w:val="auto"/>
              </w:rPr>
            </w:pPr>
            <w:r>
              <w:rPr>
                <w:rFonts w:ascii="Arial" w:cs="Arial" w:eastAsia="Arial" w:hAnsi="Arial"/>
                <w:sz w:val="18"/>
                <w:szCs w:val="18"/>
                <w:color w:val="auto"/>
              </w:rPr>
              <w:t>[Promissory note delivered herewith]:</w:t>
            </w:r>
          </w:p>
        </w:tc>
        <w:tc>
          <w:tcPr>
            <w:tcW w:w="262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00" w:type="dxa"/>
            <w:vAlign w:val="bottom"/>
            <w:gridSpan w:val="2"/>
          </w:tcPr>
          <w:p>
            <w:pPr>
              <w:ind w:left="260"/>
              <w:spacing w:after="0"/>
              <w:rPr>
                <w:sz w:val="20"/>
                <w:szCs w:val="20"/>
                <w:color w:val="auto"/>
              </w:rPr>
            </w:pPr>
            <w:r>
              <w:rPr>
                <w:rFonts w:ascii="Arial" w:cs="Arial" w:eastAsia="Arial" w:hAnsi="Arial"/>
                <w:sz w:val="18"/>
                <w:szCs w:val="18"/>
                <w:color w:val="auto"/>
                <w:w w:val="87"/>
              </w:rPr>
              <w:t>$______________</w:t>
            </w: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this exercise, I agree (i) to provide such additional documents as you may require pursuant to the terms of the 2016 Equity Incentive Plan,</w:t>
      </w:r>
    </w:p>
    <w:p>
      <w:pPr>
        <w:spacing w:after="0" w:line="43" w:lineRule="exact"/>
        <w:rPr>
          <w:sz w:val="20"/>
          <w:szCs w:val="20"/>
          <w:color w:val="auto"/>
        </w:rPr>
      </w:pPr>
    </w:p>
    <w:p>
      <w:pPr>
        <w:ind w:left="260" w:hanging="253"/>
        <w:spacing w:after="0"/>
        <w:tabs>
          <w:tab w:leader="none" w:pos="26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to provide for the payment by me to you (in the manner designated by you) of your withholding obligation, if any, relating to the exercise of this</w:t>
      </w:r>
    </w:p>
    <w:p>
      <w:pPr>
        <w:spacing w:after="0" w:line="29" w:lineRule="exact"/>
        <w:rPr>
          <w:rFonts w:ascii="Arial" w:cs="Arial" w:eastAsia="Arial" w:hAnsi="Arial"/>
          <w:sz w:val="16"/>
          <w:szCs w:val="16"/>
          <w:color w:val="auto"/>
        </w:rPr>
      </w:pPr>
    </w:p>
    <w:p>
      <w:pPr>
        <w:ind w:right="100"/>
        <w:spacing w:after="0" w:line="252" w:lineRule="auto"/>
        <w:rPr>
          <w:rFonts w:ascii="Arial" w:cs="Arial" w:eastAsia="Arial" w:hAnsi="Arial"/>
          <w:sz w:val="16"/>
          <w:szCs w:val="16"/>
          <w:color w:val="auto"/>
        </w:rPr>
      </w:pPr>
      <w:r>
        <w:rPr>
          <w:rFonts w:ascii="Arial" w:cs="Arial" w:eastAsia="Arial" w:hAnsi="Arial"/>
          <w:sz w:val="18"/>
          <w:szCs w:val="18"/>
          <w:color w:val="auto"/>
        </w:rPr>
        <w:t>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w:t>
      </w:r>
    </w:p>
    <w:p>
      <w:pPr>
        <w:spacing w:after="0" w:line="191"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I hereby make the following certifications and representations with respect to the number of Shares listed above, which are being acquired by me for my own account upon exercise of the option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6454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68" w:lineRule="exact"/>
        <w:rPr>
          <w:sz w:val="20"/>
          <w:szCs w:val="20"/>
          <w:color w:val="auto"/>
        </w:rPr>
      </w:pPr>
    </w:p>
    <w:p>
      <w:pPr>
        <w:ind w:left="440" w:hanging="433"/>
        <w:spacing w:after="0"/>
        <w:tabs>
          <w:tab w:leader="none" w:pos="440" w:val="left"/>
        </w:tabs>
        <w:numPr>
          <w:ilvl w:val="0"/>
          <w:numId w:val="309"/>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agreement.</w:t>
      </w:r>
    </w:p>
    <w:p>
      <w:pPr>
        <w:spacing w:after="0" w:line="20" w:lineRule="exact"/>
        <w:rPr>
          <w:sz w:val="20"/>
          <w:szCs w:val="20"/>
          <w:color w:val="auto"/>
        </w:rPr>
      </w:pPr>
    </w:p>
    <w:p>
      <w:pPr>
        <w:ind w:left="440" w:right="200" w:hanging="433"/>
        <w:spacing w:after="0" w:line="252" w:lineRule="auto"/>
        <w:tabs>
          <w:tab w:leader="none" w:pos="440" w:val="left"/>
        </w:tabs>
        <w:numPr>
          <w:ilvl w:val="0"/>
          <w:numId w:val="310"/>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ectPr>
          <w:pgSz w:w="11900" w:h="16838" w:orient="portrait"/>
          <w:cols w:equalWidth="0" w:num="1">
            <w:col w:w="10920"/>
          </w:cols>
          <w:pgMar w:left="480" w:top="268" w:right="499" w:bottom="1440" w:gutter="0" w:footer="0" w:header="0"/>
        </w:sectPr>
      </w:pPr>
    </w:p>
    <w:bookmarkStart w:id="361" w:name="page362"/>
    <w:bookmarkEnd w:id="361"/>
    <w:p>
      <w:pPr>
        <w:ind w:right="80" w:firstLine="436"/>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acknowledge that the Shares have not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50"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I further acknowledge that I will not be able to resell the Shares for at least 90 days after the stock of the Company becomes publicly traded (</w:t>
      </w:r>
      <w:r>
        <w:rPr>
          <w:rFonts w:ascii="Arial" w:cs="Arial" w:eastAsia="Arial" w:hAnsi="Arial"/>
          <w:sz w:val="18"/>
          <w:szCs w:val="18"/>
          <w:i w:val="1"/>
          <w:iCs w:val="1"/>
          <w:color w:val="auto"/>
        </w:rPr>
        <w:t>i.e.,</w:t>
      </w:r>
      <w:r>
        <w:rPr>
          <w:rFonts w:ascii="Arial" w:cs="Arial" w:eastAsia="Arial" w:hAnsi="Arial"/>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86" w:lineRule="exact"/>
        <w:rPr>
          <w:sz w:val="20"/>
          <w:szCs w:val="20"/>
          <w:color w:val="auto"/>
        </w:rPr>
      </w:pPr>
    </w:p>
    <w:p>
      <w:pPr>
        <w:ind w:right="580" w:firstLine="436"/>
        <w:spacing w:after="0" w:line="259"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Articles of Incorporation, Bylaws and/or applicable securities laws.</w:t>
      </w:r>
    </w:p>
    <w:p>
      <w:pPr>
        <w:spacing w:after="0" w:line="186"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180 days following the effective date of a registration statement of the Company filed under the Securities Act (or such longer period as the underwriters or the Company shall request to facilitate compliance with FINRA Rule 2711 or NYSE Member Rule 472 or any successor or similar rule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174625</wp:posOffset>
            </wp:positionV>
            <wp:extent cx="213995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39950" cy="8255"/>
                    </a:xfrm>
                    <a:prstGeom prst="rect">
                      <a:avLst/>
                    </a:prstGeom>
                    <a:noFill/>
                  </pic:spPr>
                </pic:pic>
              </a:graphicData>
            </a:graphic>
          </wp:anchor>
        </w:drawing>
      </w:r>
    </w:p>
    <w:p>
      <w:pPr>
        <w:spacing w:after="0" w:line="295"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149225</wp:posOffset>
            </wp:positionV>
            <wp:extent cx="213995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39950" cy="8255"/>
                    </a:xfrm>
                    <a:prstGeom prst="rect">
                      <a:avLst/>
                    </a:prstGeom>
                    <a:noFill/>
                  </pic:spPr>
                </pic:pic>
              </a:graphicData>
            </a:graphic>
          </wp:anchor>
        </w:drawing>
      </w:r>
    </w:p>
    <w:p>
      <w:pPr>
        <w:spacing w:after="0" w:line="228"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Name (Please Print)</w:t>
      </w:r>
    </w:p>
    <w:p>
      <w:pPr>
        <w:spacing w:after="0" w:line="27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4794250</wp:posOffset>
            </wp:positionH>
            <wp:positionV relativeFrom="paragraph">
              <wp:posOffset>-7620</wp:posOffset>
            </wp:positionV>
            <wp:extent cx="213995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3995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144780</wp:posOffset>
            </wp:positionV>
            <wp:extent cx="21399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39950" cy="825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297815</wp:posOffset>
            </wp:positionV>
            <wp:extent cx="213995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39950" cy="8255"/>
                    </a:xfrm>
                    <a:prstGeom prst="rect">
                      <a:avLst/>
                    </a:prstGeom>
                    <a:noFill/>
                  </pic:spPr>
                </pic:pic>
              </a:graphicData>
            </a:graphic>
          </wp:anchor>
        </w:drawing>
      </w:r>
    </w:p>
    <w:p>
      <w:pPr>
        <w:sectPr>
          <w:pgSz w:w="11900" w:h="16838" w:orient="portrait"/>
          <w:cols w:equalWidth="0" w:num="1">
            <w:col w:w="10920"/>
          </w:cols>
          <w:pgMar w:left="480" w:top="272" w:right="49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10.12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1" w:lineRule="exact"/>
        <w:rPr>
          <w:sz w:val="20"/>
          <w:szCs w:val="20"/>
          <w:color w:val="auto"/>
        </w:rPr>
      </w:pPr>
    </w:p>
    <w:p>
      <w:pPr>
        <w:ind w:right="420" w:firstLine="436"/>
        <w:spacing w:after="0" w:line="27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between James Rallo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effective as of April 13,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72"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The Company desires to employ the Executive and, in connection therewith, to compensate the Executive for Executive’s personal services to the Company; and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Executive wishes to be employed by the Company and provide personal services to the Company in return for certain compensation.</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mutual promises and covenants contained herein, the parties agree to the following:</w:t>
      </w:r>
    </w:p>
    <w:p>
      <w:pPr>
        <w:spacing w:after="0" w:line="364" w:lineRule="exact"/>
        <w:rPr>
          <w:sz w:val="20"/>
          <w:szCs w:val="20"/>
          <w:color w:val="auto"/>
        </w:rPr>
      </w:pPr>
    </w:p>
    <w:p>
      <w:pPr>
        <w:ind w:left="980" w:hanging="545"/>
        <w:spacing w:after="0"/>
        <w:tabs>
          <w:tab w:leader="none" w:pos="98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 BY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OMPANY</w:t>
      </w:r>
      <w:r>
        <w:rPr>
          <w:rFonts w:ascii="Arial" w:cs="Arial" w:eastAsia="Arial" w:hAnsi="Arial"/>
          <w:sz w:val="18"/>
          <w:szCs w:val="18"/>
          <w:b w:val="1"/>
          <w:bCs w:val="1"/>
          <w:color w:val="auto"/>
        </w:rPr>
        <w:t>.</w:t>
      </w:r>
    </w:p>
    <w:p>
      <w:pPr>
        <w:spacing w:after="0" w:line="114" w:lineRule="exact"/>
        <w:rPr>
          <w:sz w:val="20"/>
          <w:szCs w:val="20"/>
          <w:color w:val="auto"/>
        </w:rPr>
      </w:pPr>
    </w:p>
    <w:p>
      <w:pPr>
        <w:ind w:right="260" w:firstLine="982"/>
        <w:spacing w:after="0" w:line="257"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Position; Board Role</w:t>
      </w:r>
      <w:r>
        <w:rPr>
          <w:rFonts w:ascii="Arial" w:cs="Arial" w:eastAsia="Arial" w:hAnsi="Arial"/>
          <w:sz w:val="18"/>
          <w:szCs w:val="18"/>
          <w:color w:val="auto"/>
        </w:rPr>
        <w:t>. Subject to the terms set forth herein, the Company agrees to employ Executive in the position of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Executive hereby accepts such employment. The Parties agree that Executive’s start date of employment will be on or about April 13, 2020. During the term of Executive’s employment with the Company, Executive will devote Executive’s best efforts and substantially all of Executive’s business time and attention to the business of the Company.</w:t>
      </w:r>
    </w:p>
    <w:p>
      <w:pPr>
        <w:spacing w:after="0" w:line="183" w:lineRule="exact"/>
        <w:rPr>
          <w:sz w:val="20"/>
          <w:szCs w:val="20"/>
          <w:color w:val="auto"/>
        </w:rPr>
      </w:pPr>
    </w:p>
    <w:p>
      <w:pPr>
        <w:ind w:right="100" w:firstLine="982"/>
        <w:spacing w:after="0" w:line="257"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 Executive will report to the Company’s Chief Executive Officer (“</w:t>
      </w:r>
      <w:r>
        <w:rPr>
          <w:rFonts w:ascii="Arial" w:cs="Arial" w:eastAsia="Arial" w:hAnsi="Arial"/>
          <w:sz w:val="18"/>
          <w:szCs w:val="18"/>
          <w:b w:val="1"/>
          <w:bCs w:val="1"/>
          <w:i w:val="1"/>
          <w:iCs w:val="1"/>
          <w:color w:val="auto"/>
        </w:rPr>
        <w:t>CEO</w:t>
      </w:r>
      <w:r>
        <w:rPr>
          <w:rFonts w:ascii="Arial" w:cs="Arial" w:eastAsia="Arial" w:hAnsi="Arial"/>
          <w:sz w:val="18"/>
          <w:szCs w:val="18"/>
          <w:color w:val="auto"/>
        </w:rPr>
        <w:t>”). Executive will perform such duties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normally associated with his position, as assigned from time to time by the CEO. Executive shall perform his duties under this Agreement principally out of the Company’s headquarters office, or such other location as assigned. In addition, the Executive shall make such business trips to such places as may be necessary or advisable for the efficient operations of the Company.</w:t>
      </w:r>
    </w:p>
    <w:p>
      <w:pPr>
        <w:spacing w:after="0" w:line="183" w:lineRule="exact"/>
        <w:rPr>
          <w:sz w:val="20"/>
          <w:szCs w:val="20"/>
          <w:color w:val="auto"/>
        </w:rPr>
      </w:pPr>
    </w:p>
    <w:p>
      <w:pPr>
        <w:ind w:right="60" w:firstLine="982"/>
        <w:spacing w:after="0" w:line="25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Company Policies and Benefits</w:t>
      </w:r>
      <w:r>
        <w:rPr>
          <w:rFonts w:ascii="Arial" w:cs="Arial" w:eastAsia="Arial" w:hAnsi="Arial"/>
          <w:sz w:val="18"/>
          <w:szCs w:val="18"/>
          <w:color w:val="auto"/>
        </w:rPr>
        <w:t>. The employment relationship between the parties shall also be subject to the Company’s personnel</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his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338" w:lineRule="exact"/>
        <w:rPr>
          <w:sz w:val="20"/>
          <w:szCs w:val="20"/>
          <w:color w:val="auto"/>
        </w:rPr>
      </w:pPr>
    </w:p>
    <w:p>
      <w:pPr>
        <w:ind w:left="980" w:hanging="545"/>
        <w:spacing w:after="0"/>
        <w:tabs>
          <w:tab w:leader="none" w:pos="98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OMPENSATION</w:t>
      </w:r>
      <w:r>
        <w:rPr>
          <w:rFonts w:ascii="Arial" w:cs="Arial" w:eastAsia="Arial" w:hAnsi="Arial"/>
          <w:sz w:val="18"/>
          <w:szCs w:val="18"/>
          <w:b w:val="1"/>
          <w:bCs w:val="1"/>
          <w:color w:val="auto"/>
        </w:rPr>
        <w:t>.</w:t>
      </w:r>
    </w:p>
    <w:p>
      <w:pPr>
        <w:spacing w:after="0" w:line="114" w:lineRule="exact"/>
        <w:rPr>
          <w:sz w:val="20"/>
          <w:szCs w:val="20"/>
          <w:color w:val="auto"/>
        </w:rPr>
      </w:pPr>
    </w:p>
    <w:p>
      <w:pPr>
        <w:ind w:right="240" w:firstLine="982"/>
        <w:spacing w:after="0" w:line="257"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Salary</w:t>
      </w:r>
      <w:r>
        <w:rPr>
          <w:rFonts w:ascii="Arial" w:cs="Arial" w:eastAsia="Arial" w:hAnsi="Arial"/>
          <w:sz w:val="18"/>
          <w:szCs w:val="18"/>
          <w:color w:val="auto"/>
        </w:rPr>
        <w:t>. Executive shall receive for Executive’s services to be rendered hereunder an initial annualized base salary of $315,000,</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annual review and increase by the Company in its sole discretion, and subject to decrease but only pursuant to a salary reduction program applicable generally to the Company’s similarly situated employees, payable subject to standard federal and state payroll withholding requirements in accordance with Company’s standard payroll practices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w:t>
      </w:r>
    </w:p>
    <w:p>
      <w:pPr>
        <w:sectPr>
          <w:pgSz w:w="11900" w:h="16838" w:orient="portrait"/>
          <w:cols w:equalWidth="0" w:num="1">
            <w:col w:w="10920"/>
          </w:cols>
          <w:pgMar w:left="480" w:top="121" w:right="499" w:bottom="1440" w:gutter="0" w:footer="0" w:header="0"/>
        </w:sectPr>
      </w:pPr>
    </w:p>
    <w:bookmarkStart w:id="363" w:name="page364"/>
    <w:bookmarkEnd w:id="363"/>
    <w:p>
      <w:pPr>
        <w:ind w:left="980"/>
        <w:spacing w:after="0"/>
        <w:tabs>
          <w:tab w:leader="none" w:pos="1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2.2</w:t>
      </w:r>
      <w:r>
        <w:rPr>
          <w:sz w:val="20"/>
          <w:szCs w:val="20"/>
          <w:color w:val="auto"/>
        </w:rPr>
        <w:tab/>
      </w:r>
      <w:r>
        <w:rPr>
          <w:rFonts w:ascii="Arial" w:cs="Arial" w:eastAsia="Arial" w:hAnsi="Arial"/>
          <w:sz w:val="14"/>
          <w:szCs w:val="14"/>
          <w:b w:val="1"/>
          <w:bCs w:val="1"/>
          <w:u w:val="single" w:color="auto"/>
          <w:color w:val="auto"/>
        </w:rPr>
        <w:t>Annual Bonus.</w:t>
      </w:r>
    </w:p>
    <w:p>
      <w:pPr>
        <w:spacing w:after="0" w:line="118" w:lineRule="exact"/>
        <w:rPr>
          <w:sz w:val="20"/>
          <w:szCs w:val="20"/>
          <w:color w:val="auto"/>
        </w:rPr>
      </w:pPr>
    </w:p>
    <w:p>
      <w:pPr>
        <w:ind w:right="40" w:firstLine="1426"/>
        <w:spacing w:after="0" w:line="266" w:lineRule="auto"/>
        <w:tabs>
          <w:tab w:leader="none" w:pos="1805"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During Employment. Executive shall be eligible to earn an annual calendar year performance bonus (the “</w:t>
      </w:r>
      <w:r>
        <w:rPr>
          <w:rFonts w:ascii="Arial" w:cs="Arial" w:eastAsia="Arial" w:hAnsi="Arial"/>
          <w:sz w:val="17"/>
          <w:szCs w:val="17"/>
          <w:b w:val="1"/>
          <w:bCs w:val="1"/>
          <w:i w:val="1"/>
          <w:iCs w:val="1"/>
          <w:color w:val="auto"/>
        </w:rPr>
        <w:t>Annual Bonus</w:t>
      </w:r>
      <w:r>
        <w:rPr>
          <w:rFonts w:ascii="Arial" w:cs="Arial" w:eastAsia="Arial" w:hAnsi="Arial"/>
          <w:sz w:val="17"/>
          <w:szCs w:val="17"/>
          <w:color w:val="auto"/>
        </w:rPr>
        <w:t>”) with an annual target of 33% of Executive’s then-current Base Salary (the “</w:t>
      </w:r>
      <w:r>
        <w:rPr>
          <w:rFonts w:ascii="Arial" w:cs="Arial" w:eastAsia="Arial" w:hAnsi="Arial"/>
          <w:sz w:val="17"/>
          <w:szCs w:val="17"/>
          <w:b w:val="1"/>
          <w:bCs w:val="1"/>
          <w:i w:val="1"/>
          <w:iCs w:val="1"/>
          <w:color w:val="auto"/>
        </w:rPr>
        <w:t>Target Bonus</w:t>
      </w:r>
      <w:r>
        <w:rPr>
          <w:rFonts w:ascii="Arial" w:cs="Arial" w:eastAsia="Arial" w:hAnsi="Arial"/>
          <w:sz w:val="17"/>
          <w:szCs w:val="17"/>
          <w:color w:val="auto"/>
        </w:rPr>
        <w:t>”). The Annual Bonus will be based on the bonus plan formula used for the Company’s senior executives (as set by the Company and confirmed by the Board in its reasonable good faith discretion). The Annual Bonus, if any, will be subject to applicable payroll deductions and withholdings. For calendar year 2020, so long as Executive remains employed pursuant to this Agreement through December 31, 2020, Executive is guaranteed his Target Bonus, prorated for the number of days of the calendar year he is employed. Beginning in 2021, no amount of any Annual Bonus is guaranteed at any time, and, except as otherwise stated in Section 6.2(b), Executive must be an employee in good standing through the December 31 of the applicable calendar year (the “</w:t>
      </w:r>
      <w:r>
        <w:rPr>
          <w:rFonts w:ascii="Arial" w:cs="Arial" w:eastAsia="Arial" w:hAnsi="Arial"/>
          <w:sz w:val="17"/>
          <w:szCs w:val="17"/>
          <w:b w:val="1"/>
          <w:bCs w:val="1"/>
          <w:i w:val="1"/>
          <w:iCs w:val="1"/>
          <w:color w:val="auto"/>
        </w:rPr>
        <w:t>Bonus Year</w:t>
      </w:r>
      <w:r>
        <w:rPr>
          <w:rFonts w:ascii="Arial" w:cs="Arial" w:eastAsia="Arial" w:hAnsi="Arial"/>
          <w:sz w:val="17"/>
          <w:szCs w:val="17"/>
          <w:color w:val="auto"/>
        </w:rPr>
        <w:t>”) to be eligible to receive an Annual Bonus for that Bonus Year. With the exception of the Annual Bonus for calendar year 2020, which shall be prorated from Executive’s start date of employment, no partial or prorated bonuses will be provided. Subject to Section 6.2, any Annual Bonus, if earned, will be paid at the same time annual bonuses are generally paid to other similarly-situated employees of the Company, but not later than March 15</w:t>
      </w:r>
      <w:r>
        <w:rPr>
          <w:rFonts w:ascii="Arial" w:cs="Arial" w:eastAsia="Arial" w:hAnsi="Arial"/>
          <w:sz w:val="14"/>
          <w:szCs w:val="14"/>
          <w:color w:val="auto"/>
        </w:rPr>
        <w:t>th</w:t>
      </w:r>
      <w:r>
        <w:rPr>
          <w:rFonts w:ascii="Arial" w:cs="Arial" w:eastAsia="Arial" w:hAnsi="Arial"/>
          <w:sz w:val="17"/>
          <w:szCs w:val="17"/>
          <w:color w:val="auto"/>
        </w:rPr>
        <w:t xml:space="preserve"> of the year following the applicable Bonus Year. Executive’s eligibility for an Annual Bonus is subject to change in the discretion of the Board (or any authorized committee thereof).</w:t>
      </w:r>
    </w:p>
    <w:p>
      <w:pPr>
        <w:spacing w:after="0" w:line="181" w:lineRule="exact"/>
        <w:rPr>
          <w:rFonts w:ascii="Arial" w:cs="Arial" w:eastAsia="Arial" w:hAnsi="Arial"/>
          <w:sz w:val="17"/>
          <w:szCs w:val="17"/>
          <w:b w:val="1"/>
          <w:bCs w:val="1"/>
          <w:color w:val="auto"/>
        </w:rPr>
      </w:pPr>
    </w:p>
    <w:p>
      <w:pPr>
        <w:jc w:val="both"/>
        <w:ind w:right="240" w:firstLine="1426"/>
        <w:spacing w:after="0" w:line="335" w:lineRule="auto"/>
        <w:tabs>
          <w:tab w:leader="none" w:pos="1815" w:val="left"/>
        </w:tabs>
        <w:numPr>
          <w:ilvl w:val="0"/>
          <w:numId w:val="313"/>
        </w:numPr>
        <w:rPr>
          <w:rFonts w:ascii="Arial" w:cs="Arial" w:eastAsia="Arial" w:hAnsi="Arial"/>
          <w:sz w:val="16"/>
          <w:szCs w:val="16"/>
          <w:b w:val="1"/>
          <w:bCs w:val="1"/>
          <w:color w:val="auto"/>
        </w:rPr>
      </w:pPr>
      <w:r>
        <w:rPr>
          <w:rFonts w:ascii="Arial" w:cs="Arial" w:eastAsia="Arial" w:hAnsi="Arial"/>
          <w:sz w:val="16"/>
          <w:szCs w:val="16"/>
          <w:color w:val="auto"/>
        </w:rPr>
        <w:t>Upon Termination. Subject to the provisions of Section 6, in the event Executive leaves the employ of the Company for any reason prior to December 31 of the applicable Bonus Year, Executive is not eligible for an Annual Bonus, prorated or otherwise, for that Bonus Year.</w:t>
      </w:r>
    </w:p>
    <w:p>
      <w:pPr>
        <w:spacing w:after="0" w:line="12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Stock Option</w:t>
      </w:r>
      <w:r>
        <w:rPr>
          <w:rFonts w:ascii="Arial" w:cs="Arial" w:eastAsia="Arial" w:hAnsi="Arial"/>
          <w:sz w:val="16"/>
          <w:szCs w:val="16"/>
          <w:color w:val="auto"/>
        </w:rPr>
        <w:t>. Subject to approval by the Board at the first regularly scheduled Board meeting following the date Executive begins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employment with the Company (the “</w:t>
      </w:r>
      <w:r>
        <w:rPr>
          <w:rFonts w:ascii="Arial" w:cs="Arial" w:eastAsia="Arial" w:hAnsi="Arial"/>
          <w:sz w:val="16"/>
          <w:szCs w:val="16"/>
          <w:b w:val="1"/>
          <w:bCs w:val="1"/>
          <w:i w:val="1"/>
          <w:iCs w:val="1"/>
          <w:color w:val="auto"/>
        </w:rPr>
        <w:t>Start Date</w:t>
      </w:r>
      <w:r>
        <w:rPr>
          <w:rFonts w:ascii="Arial" w:cs="Arial" w:eastAsia="Arial" w:hAnsi="Arial"/>
          <w:sz w:val="16"/>
          <w:szCs w:val="16"/>
          <w:color w:val="auto"/>
        </w:rPr>
        <w:t>“) the Company shall grant Executive an option to purchase 458,822 shares of the Company’s common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stock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with an exercise price equal to the fair market value of a share of common stock as determined by the Board as of the date of grant,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Company’s 2016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individual stock option grant notice and agreements as applicable.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Option will be subject to the terms and conditions of the Plan and the Executive’s grant agreement and will vest twenty-five percent (25%) on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one-year anniversary of the Start Date, and thereafter over the ensuing three (3) years in a series of thirty-six (36) successive equal monthly installments,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subject to Executive’s continuous service as of each such date. The Option shall begin vesting effective on the Start Date. The Option shall be an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incentive stock option, under Section 422 of the Code (as defined in Section 2.4 below), to the maximum extent permissible. As set forth in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Section 6.2 of this Agreement, the Option will include double-trigger accelerated vesting in the event of 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as defined in the Plan.</w:t>
      </w:r>
    </w:p>
    <w:p>
      <w:pPr>
        <w:spacing w:after="0" w:line="227" w:lineRule="exact"/>
        <w:rPr>
          <w:sz w:val="20"/>
          <w:szCs w:val="20"/>
          <w:color w:val="auto"/>
        </w:rPr>
      </w:pPr>
    </w:p>
    <w:p>
      <w:pPr>
        <w:ind w:firstLine="982"/>
        <w:spacing w:after="0" w:line="340"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Expense Reimbursement</w:t>
      </w:r>
      <w:r>
        <w:rPr>
          <w:rFonts w:ascii="Arial" w:cs="Arial" w:eastAsia="Arial" w:hAnsi="Arial"/>
          <w:sz w:val="16"/>
          <w:szCs w:val="16"/>
          <w:color w:val="auto"/>
        </w:rPr>
        <w:t>. The Company will reimburse Executive for reasonable business expenses with proper documentation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 Company’s standard expense reimbursement policy. For the avoidance of doubt, to the extent that any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68" w:right="519" w:bottom="1440" w:gutter="0" w:footer="0" w:header="0"/>
        </w:sectPr>
      </w:pPr>
    </w:p>
    <w:bookmarkStart w:id="364" w:name="page365"/>
    <w:bookmarkEnd w:id="364"/>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reimbursements payable to Executive are subject to the provisions of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70" w:lineRule="exact"/>
        <w:rPr>
          <w:sz w:val="20"/>
          <w:szCs w:val="20"/>
          <w:color w:val="auto"/>
        </w:rPr>
      </w:pPr>
    </w:p>
    <w:p>
      <w:pPr>
        <w:ind w:left="760" w:hanging="316"/>
        <w:spacing w:after="0"/>
        <w:tabs>
          <w:tab w:leader="none" w:pos="7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ONFIDENTIAL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NFORMATION</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NVENTIONS</w:t>
      </w:r>
      <w:r>
        <w:rPr>
          <w:rFonts w:ascii="Arial" w:cs="Arial" w:eastAsia="Arial" w:hAnsi="Arial"/>
          <w:sz w:val="18"/>
          <w:szCs w:val="18"/>
          <w:b w:val="1"/>
          <w:bCs w:val="1"/>
          <w:u w:val="single" w:color="auto"/>
          <w:color w:val="auto"/>
        </w:rPr>
        <w:t>, 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OLICITATION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OMPETITION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are</w:t>
      </w:r>
    </w:p>
    <w:p>
      <w:pPr>
        <w:spacing w:after="0" w:line="2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entering into an Employee Confidentiality Information, Inventions, Non-Solicitation and Non-Competition Agreement (the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which may be amended by the parties from time to time without regard to this Agreement. The Confidential Information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contains provisions that are intended by the parties to survive and do survive termination or expiration of this Agreement.</w:t>
      </w:r>
    </w:p>
    <w:p>
      <w:pPr>
        <w:spacing w:after="0" w:line="154" w:lineRule="exact"/>
        <w:rPr>
          <w:sz w:val="20"/>
          <w:szCs w:val="20"/>
          <w:color w:val="auto"/>
        </w:rPr>
      </w:pPr>
    </w:p>
    <w:p>
      <w:pPr>
        <w:ind w:firstLine="444"/>
        <w:spacing w:after="0" w:line="268" w:lineRule="auto"/>
        <w:tabs>
          <w:tab w:leader="none" w:pos="748"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UTSIDE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3"/>
          <w:szCs w:val="13"/>
          <w:b w:val="1"/>
          <w:bCs w:val="1"/>
          <w:u w:val="single" w:color="auto"/>
          <w:color w:val="auto"/>
        </w:rPr>
        <w:t>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will not, while employed by the Company, undertake or engage in any other employment, occupation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enterprise, including accepting any appointment to the board of directors of another company, that would interfere or conflict, either directly or indirectly,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the Executive (x) from owning less than one percent (1%) of the total outstanding shares of a publicly traded company, or (y) from employment or service in any capacity with Affiliates of the Company. As used in this Agreement, “</w:t>
      </w:r>
      <w:r>
        <w:rPr>
          <w:rFonts w:ascii="Arial" w:cs="Arial" w:eastAsia="Arial" w:hAnsi="Arial"/>
          <w:sz w:val="17"/>
          <w:szCs w:val="17"/>
          <w:b w:val="1"/>
          <w:bCs w:val="1"/>
          <w:i w:val="1"/>
          <w:iCs w:val="1"/>
          <w:color w:val="auto"/>
        </w:rPr>
        <w:t>Affiliates</w:t>
      </w:r>
      <w:r>
        <w:rPr>
          <w:rFonts w:ascii="Arial" w:cs="Arial" w:eastAsia="Arial" w:hAnsi="Arial"/>
          <w:sz w:val="17"/>
          <w:szCs w:val="17"/>
          <w:color w:val="auto"/>
        </w:rPr>
        <w:t>” means an entity under common management or control with the Company.</w:t>
      </w:r>
    </w:p>
    <w:p>
      <w:pPr>
        <w:spacing w:after="0" w:line="179" w:lineRule="exact"/>
        <w:rPr>
          <w:rFonts w:ascii="Arial" w:cs="Arial" w:eastAsia="Arial" w:hAnsi="Arial"/>
          <w:sz w:val="17"/>
          <w:szCs w:val="17"/>
          <w:b w:val="1"/>
          <w:bCs w:val="1"/>
          <w:color w:val="auto"/>
        </w:rPr>
      </w:pPr>
    </w:p>
    <w:p>
      <w:pPr>
        <w:ind w:firstLine="444"/>
        <w:spacing w:after="0" w:line="255" w:lineRule="auto"/>
        <w:tabs>
          <w:tab w:leader="none" w:pos="748"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represents that Executive’s performance of all the terms of this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4" w:lineRule="exact"/>
        <w:rPr>
          <w:rFonts w:ascii="Arial" w:cs="Arial" w:eastAsia="Arial" w:hAnsi="Arial"/>
          <w:sz w:val="18"/>
          <w:szCs w:val="18"/>
          <w:b w:val="1"/>
          <w:bCs w:val="1"/>
          <w:color w:val="auto"/>
        </w:rPr>
      </w:pPr>
    </w:p>
    <w:p>
      <w:pPr>
        <w:ind w:right="120" w:firstLine="444"/>
        <w:spacing w:after="0" w:line="284" w:lineRule="auto"/>
        <w:tabs>
          <w:tab w:leader="none" w:pos="748"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w:t>
      </w:r>
      <w:r>
        <w:rPr>
          <w:rFonts w:ascii="Arial" w:cs="Arial" w:eastAsia="Arial" w:hAnsi="Arial"/>
          <w:sz w:val="13"/>
          <w:szCs w:val="13"/>
          <w:b w:val="1"/>
          <w:bCs w:val="1"/>
          <w:u w:val="single" w:color="auto"/>
          <w:color w:val="auto"/>
        </w:rPr>
        <w:t>ERMINATION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w:t>
      </w:r>
      <w:r>
        <w:rPr>
          <w:rFonts w:ascii="Arial" w:cs="Arial" w:eastAsia="Arial" w:hAnsi="Arial"/>
          <w:sz w:val="13"/>
          <w:szCs w:val="13"/>
          <w:b w:val="1"/>
          <w:bCs w:val="1"/>
          <w:u w:val="single" w:color="auto"/>
          <w:color w:val="auto"/>
        </w:rPr>
        <w:t>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that Executive’s employment relationship with the Company is at-will. Either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spacing w:after="0" w:line="269"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Termination by the Company without Cause or by the Executive for Good Reason Not in Connection with a Change in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w:t>
      </w:r>
    </w:p>
    <w:p>
      <w:pPr>
        <w:spacing w:after="0" w:line="101" w:lineRule="exact"/>
        <w:rPr>
          <w:sz w:val="20"/>
          <w:szCs w:val="20"/>
          <w:color w:val="auto"/>
        </w:rPr>
      </w:pPr>
    </w:p>
    <w:p>
      <w:pPr>
        <w:ind w:right="100" w:firstLine="1426"/>
        <w:spacing w:after="0" w:line="255" w:lineRule="auto"/>
        <w:tabs>
          <w:tab w:leader="none" w:pos="1801"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The Company shall have the right to terminate Executive’s employment with the Company pursuant to this Section 6.1 at any time, in accordance with Section 6.7, without “Cause” (as defined in Section 6.3(b) below) by giving notice as described in Section 7.1 of this Agreement. A termination pursuant to Section 6.5 or 6.6 below is not a termination without Cause for purposes of receiving the benefits described in this Section 6.1.</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80" w:top="272" w:right="559" w:bottom="1440" w:gutter="0" w:footer="0" w:header="0"/>
        </w:sectPr>
      </w:pPr>
    </w:p>
    <w:bookmarkStart w:id="365" w:name="page366"/>
    <w:bookmarkEnd w:id="365"/>
    <w:p>
      <w:pPr>
        <w:ind w:left="-80" w:firstLine="1426"/>
        <w:spacing w:after="0" w:line="290" w:lineRule="auto"/>
        <w:tabs>
          <w:tab w:leader="none" w:pos="1735" w:val="left"/>
        </w:tabs>
        <w:numPr>
          <w:ilvl w:val="1"/>
          <w:numId w:val="31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Company terminates Executive’s employment at any time, not in connection with a Change in Control, without Cause or Executive terminates his employment with the Company for “Good Reason” (as defined in Section 6.1(h) below), then Executive shall be entitled to receive the Accrued Obligations (defined in 6.1(e) below). In addition, if Executive is terminated pursuant to this Section 6.1, and provided that such termination constitutes a “separation from service” (as defined under Treasury Regulation Section 1.409A-1(h), without regard to any alternative definition thereunder, a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and further provided that Executive complies with the obligations in Section 6.1(c) below (including but not limited to the Release requirement), then Executive shall also be eligible to receive the following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w:t>
      </w:r>
    </w:p>
    <w:p>
      <w:pPr>
        <w:spacing w:after="0" w:line="56" w:lineRule="exact"/>
        <w:rPr>
          <w:rFonts w:ascii="Arial" w:cs="Arial" w:eastAsia="Arial" w:hAnsi="Arial"/>
          <w:sz w:val="16"/>
          <w:szCs w:val="16"/>
          <w:b w:val="1"/>
          <w:bCs w:val="1"/>
          <w:color w:val="auto"/>
        </w:rPr>
      </w:pPr>
    </w:p>
    <w:p>
      <w:pPr>
        <w:jc w:val="both"/>
        <w:ind w:left="360" w:right="180" w:firstLine="1890"/>
        <w:spacing w:after="0" w:line="255" w:lineRule="auto"/>
        <w:tabs>
          <w:tab w:leader="none" w:pos="2589" w:val="left"/>
        </w:tabs>
        <w:numPr>
          <w:ilvl w:val="2"/>
          <w:numId w:val="317"/>
        </w:numPr>
        <w:rPr>
          <w:rFonts w:ascii="Arial" w:cs="Arial" w:eastAsia="Arial" w:hAnsi="Arial"/>
          <w:sz w:val="18"/>
          <w:szCs w:val="18"/>
          <w:b w:val="1"/>
          <w:bCs w:val="1"/>
          <w:color w:val="auto"/>
        </w:rPr>
      </w:pPr>
      <w:r>
        <w:rPr>
          <w:rFonts w:ascii="Arial" w:cs="Arial" w:eastAsia="Arial" w:hAnsi="Arial"/>
          <w:sz w:val="18"/>
          <w:szCs w:val="18"/>
          <w:color w:val="auto"/>
        </w:rPr>
        <w:t>The Company will pay Executive an amount equal to Executive’s then current Base Salary for nine (9) months, less all applicable withholdings and deductions (“</w:t>
      </w:r>
      <w:r>
        <w:rPr>
          <w:rFonts w:ascii="Arial" w:cs="Arial" w:eastAsia="Arial" w:hAnsi="Arial"/>
          <w:sz w:val="18"/>
          <w:szCs w:val="18"/>
          <w:b w:val="1"/>
          <w:bCs w:val="1"/>
          <w:i w:val="1"/>
          <w:iCs w:val="1"/>
          <w:color w:val="auto"/>
        </w:rPr>
        <w:t>Severance</w:t>
      </w:r>
      <w:r>
        <w:rPr>
          <w:rFonts w:ascii="Arial" w:cs="Arial" w:eastAsia="Arial" w:hAnsi="Arial"/>
          <w:sz w:val="18"/>
          <w:szCs w:val="18"/>
          <w:color w:val="auto"/>
        </w:rPr>
        <w:t>”), paid in equal installments beginning on the Company’s first regularly scheduled payroll date following the Release Effective Date (as defined in Section 6.1(c) below), with the remaining installments occurring on the Company’s regularly scheduled payroll dates thereafter.</w:t>
      </w:r>
    </w:p>
    <w:p>
      <w:pPr>
        <w:spacing w:after="0" w:line="83" w:lineRule="exact"/>
        <w:rPr>
          <w:rFonts w:ascii="Arial" w:cs="Arial" w:eastAsia="Arial" w:hAnsi="Arial"/>
          <w:sz w:val="18"/>
          <w:szCs w:val="18"/>
          <w:b w:val="1"/>
          <w:bCs w:val="1"/>
          <w:color w:val="auto"/>
        </w:rPr>
      </w:pPr>
    </w:p>
    <w:p>
      <w:pPr>
        <w:ind w:left="360" w:right="20" w:firstLine="1890"/>
        <w:spacing w:after="0" w:line="283" w:lineRule="auto"/>
        <w:tabs>
          <w:tab w:leader="none" w:pos="2642" w:val="left"/>
        </w:tabs>
        <w:numPr>
          <w:ilvl w:val="2"/>
          <w:numId w:val="317"/>
        </w:numPr>
        <w:rPr>
          <w:rFonts w:ascii="Arial" w:cs="Arial" w:eastAsia="Arial" w:hAnsi="Arial"/>
          <w:sz w:val="16"/>
          <w:szCs w:val="16"/>
          <w:b w:val="1"/>
          <w:bCs w:val="1"/>
          <w:color w:val="auto"/>
        </w:rPr>
      </w:pPr>
      <w:r>
        <w:rPr>
          <w:rFonts w:ascii="Arial" w:cs="Arial" w:eastAsia="Arial" w:hAnsi="Arial"/>
          <w:sz w:val="16"/>
          <w:szCs w:val="16"/>
          <w:color w:val="auto"/>
        </w:rPr>
        <w:t>Provided Executive timely elects continued coverage under COBRA under the Company’s group health plans following such termination, the Company will pay Executive’s COBRA premiums, to continue Executive’s health insurance coverage in effect on the termination date until the earliest of: (1) nine (9) months following the termination date (the “</w:t>
      </w:r>
      <w:r>
        <w:rPr>
          <w:rFonts w:ascii="Arial" w:cs="Arial" w:eastAsia="Arial" w:hAnsi="Arial"/>
          <w:sz w:val="16"/>
          <w:szCs w:val="16"/>
          <w:b w:val="1"/>
          <w:bCs w:val="1"/>
          <w:i w:val="1"/>
          <w:iCs w:val="1"/>
          <w:color w:val="auto"/>
        </w:rPr>
        <w:t>COBRA Severance Period</w:t>
      </w:r>
      <w:r>
        <w:rPr>
          <w:rFonts w:ascii="Arial" w:cs="Arial" w:eastAsia="Arial" w:hAnsi="Arial"/>
          <w:sz w:val="16"/>
          <w:szCs w:val="16"/>
          <w:color w:val="auto"/>
        </w:rPr>
        <w:t>”); (2) the date when Executive becomes eligible for substantially equivalent health insurance coverage in connection with new employment or self-employment; or</w:t>
      </w:r>
    </w:p>
    <w:p>
      <w:pPr>
        <w:ind w:left="360" w:right="40" w:firstLine="4"/>
        <w:spacing w:after="0" w:line="284" w:lineRule="auto"/>
        <w:tabs>
          <w:tab w:leader="none" w:pos="61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date Executive ceases to be eligible for COBRA continuation coverage for any reason, including plan termination (such period from the termination date through the earlier of (1)-(3), (the “</w:t>
      </w:r>
      <w:r>
        <w:rPr>
          <w:rFonts w:ascii="Arial" w:cs="Arial" w:eastAsia="Arial" w:hAnsi="Arial"/>
          <w:sz w:val="16"/>
          <w:szCs w:val="16"/>
          <w:b w:val="1"/>
          <w:bCs w:val="1"/>
          <w:i w:val="1"/>
          <w:iCs w:val="1"/>
          <w:color w:val="auto"/>
        </w:rPr>
        <w:t>COBRA Payment Period</w:t>
      </w:r>
      <w:r>
        <w:rPr>
          <w:rFonts w:ascii="Arial" w:cs="Arial" w:eastAsia="Arial" w:hAnsi="Arial"/>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Arial" w:cs="Arial" w:eastAsia="Arial" w:hAnsi="Arial"/>
          <w:sz w:val="16"/>
          <w:szCs w:val="16"/>
          <w:b w:val="1"/>
          <w:bCs w:val="1"/>
          <w:i w:val="1"/>
          <w:iCs w:val="1"/>
          <w:color w:val="auto"/>
        </w:rPr>
        <w:t>Special Severance Payment</w:t>
      </w:r>
      <w:r>
        <w:rPr>
          <w:rFonts w:ascii="Arial" w:cs="Arial" w:eastAsia="Arial" w:hAnsi="Arial"/>
          <w:sz w:val="16"/>
          <w:szCs w:val="16"/>
          <w:color w:val="auto"/>
        </w:rPr>
        <w:t>”), for the remainder of the COBRA Payment Period. Nothing in this Agreement shall deprive Executive of his rights under COBRA or ERISA for benefits under plans and policies arising under his employment by the Company.</w:t>
      </w:r>
    </w:p>
    <w:p>
      <w:pPr>
        <w:spacing w:after="0" w:line="171" w:lineRule="exact"/>
        <w:rPr>
          <w:rFonts w:ascii="Arial" w:cs="Arial" w:eastAsia="Arial" w:hAnsi="Arial"/>
          <w:sz w:val="16"/>
          <w:szCs w:val="16"/>
          <w:color w:val="auto"/>
        </w:rPr>
      </w:pPr>
    </w:p>
    <w:p>
      <w:pPr>
        <w:ind w:left="-80" w:right="20" w:firstLine="1426"/>
        <w:spacing w:after="0" w:line="297" w:lineRule="auto"/>
        <w:tabs>
          <w:tab w:leader="none" w:pos="1715" w:val="left"/>
        </w:tabs>
        <w:numPr>
          <w:ilvl w:val="1"/>
          <w:numId w:val="318"/>
        </w:numPr>
        <w:rPr>
          <w:rFonts w:ascii="Arial" w:cs="Arial" w:eastAsia="Arial" w:hAnsi="Arial"/>
          <w:sz w:val="16"/>
          <w:szCs w:val="16"/>
          <w:b w:val="1"/>
          <w:bCs w:val="1"/>
          <w:color w:val="auto"/>
        </w:rPr>
      </w:pPr>
      <w:r>
        <w:rPr>
          <w:rFonts w:ascii="Arial" w:cs="Arial" w:eastAsia="Arial" w:hAnsi="Arial"/>
          <w:sz w:val="16"/>
          <w:szCs w:val="16"/>
          <w:color w:val="auto"/>
        </w:rPr>
        <w:t>Executive shall receive the Severance pursuant to Section 6.1(b) of this Agreement if: (i) within the timeframe provided by the Company, which shall be no later than the 60th day following the date of Executive’s Separation from Service, he has signed and delivered to the Company a separation agreement containing an effective, general release of claims in favor of the Company and its affiliates and representatives, in the form presented by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cannot be revoked in whole or part by such date (the date that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560" w:top="272" w:right="559" w:bottom="1440" w:gutter="0" w:footer="0" w:header="0"/>
        </w:sectPr>
      </w:pPr>
    </w:p>
    <w:bookmarkStart w:id="366" w:name="page367"/>
    <w:bookmarkEnd w:id="366"/>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Release can no longer be revoked is referred to as the “</w:t>
      </w:r>
      <w:r>
        <w:rPr>
          <w:rFonts w:ascii="Arial" w:cs="Arial" w:eastAsia="Arial" w:hAnsi="Arial"/>
          <w:sz w:val="16"/>
          <w:szCs w:val="16"/>
          <w:b w:val="1"/>
          <w:bCs w:val="1"/>
          <w:i w:val="1"/>
          <w:iCs w:val="1"/>
          <w:color w:val="auto"/>
        </w:rPr>
        <w:t>Release Effective Date</w:t>
      </w:r>
      <w:r>
        <w:rPr>
          <w:rFonts w:ascii="Arial" w:cs="Arial" w:eastAsia="Arial" w:hAnsi="Arial"/>
          <w:sz w:val="16"/>
          <w:szCs w:val="16"/>
          <w:color w:val="auto"/>
        </w:rPr>
        <w:t>”); (ii) if he holds any other positions with the Company or any Affiliate, including a position on the Board, he resigns such position(s) to be effective no later than the date of Executive’s termination date (or such other date as requested by the Board); (iii) he returns all Company property; (iv) he complies with his post-termination obligations under this Agreement and the Confidential Information Agreement; and (v) he complies with the terms of the Release, including without limitation any non-disparagement and confidentiality provisions contained in the Release. To the extent that any severance payments are deferred compensation under Section 409A of the Code, and are not otherwise exempt from the application of Section 409A, then, if the period during which Executive may consider and sign the Release spans two calendar years, the payment of Severance will not be made or begin until the later calendar year.</w:t>
      </w:r>
    </w:p>
    <w:p>
      <w:pPr>
        <w:spacing w:after="0" w:line="166" w:lineRule="exact"/>
        <w:rPr>
          <w:sz w:val="20"/>
          <w:szCs w:val="20"/>
          <w:color w:val="auto"/>
        </w:rPr>
      </w:pPr>
    </w:p>
    <w:p>
      <w:pPr>
        <w:jc w:val="both"/>
        <w:ind w:right="80" w:firstLine="1426"/>
        <w:spacing w:after="0" w:line="297" w:lineRule="auto"/>
        <w:tabs>
          <w:tab w:leader="none" w:pos="1815"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Provided that Executive complies with the obligations in Section 6.1(c), on the first regularly scheduled payroll date following the Release Effective Date the Company will (i) make the first payment to Executive under Section 6.1(b)(i) and, in a lump sum, an amount equal to the aggregate amount of payments that the Company would have paid Executive through such date had the payments commenced on Executive’s date of termination through such 60th day, with the balance of the payments paid thereafter on the schedule described above.</w:t>
      </w:r>
    </w:p>
    <w:p>
      <w:pPr>
        <w:spacing w:after="0" w:line="159" w:lineRule="exact"/>
        <w:rPr>
          <w:rFonts w:ascii="Arial" w:cs="Arial" w:eastAsia="Arial" w:hAnsi="Arial"/>
          <w:sz w:val="16"/>
          <w:szCs w:val="16"/>
          <w:b w:val="1"/>
          <w:bCs w:val="1"/>
          <w:color w:val="auto"/>
        </w:rPr>
      </w:pPr>
    </w:p>
    <w:p>
      <w:pPr>
        <w:ind w:right="300" w:firstLine="1426"/>
        <w:spacing w:after="0" w:line="293" w:lineRule="auto"/>
        <w:tabs>
          <w:tab w:leader="none" w:pos="1795"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Accrued Obligations</w:t>
      </w:r>
      <w:r>
        <w:rPr>
          <w:rFonts w:ascii="Arial" w:cs="Arial" w:eastAsia="Arial" w:hAnsi="Arial"/>
          <w:sz w:val="16"/>
          <w:szCs w:val="16"/>
          <w:color w:val="auto"/>
        </w:rPr>
        <w:t>” are (i) Executive’s accrued but unpaid salary and all accrued and unused vacation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 Executive will be paid all of the Accrued Obligations on the Company’s first payroll date after Executive’s date of termination from employment or earlier if required by law.</w:t>
      </w:r>
    </w:p>
    <w:p>
      <w:pPr>
        <w:spacing w:after="0" w:line="160" w:lineRule="exact"/>
        <w:rPr>
          <w:rFonts w:ascii="Arial" w:cs="Arial" w:eastAsia="Arial" w:hAnsi="Arial"/>
          <w:sz w:val="16"/>
          <w:szCs w:val="16"/>
          <w:b w:val="1"/>
          <w:bCs w:val="1"/>
          <w:color w:val="auto"/>
        </w:rPr>
      </w:pPr>
    </w:p>
    <w:p>
      <w:pPr>
        <w:ind w:right="160" w:firstLine="1426"/>
        <w:spacing w:after="0" w:line="259" w:lineRule="auto"/>
        <w:tabs>
          <w:tab w:leader="none" w:pos="1772"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The Severance or Change in Control Severance Benefits (as defined below) provided to Executive pursuant to Section 6.1 or Section 6.2 are in lieu of, and not in addition to, any benefits to which Executive may otherwise be entitled under any Company severance plan, policy or program.</w:t>
      </w:r>
    </w:p>
    <w:p>
      <w:pPr>
        <w:spacing w:after="0" w:line="185" w:lineRule="exact"/>
        <w:rPr>
          <w:rFonts w:ascii="Arial" w:cs="Arial" w:eastAsia="Arial" w:hAnsi="Arial"/>
          <w:sz w:val="18"/>
          <w:szCs w:val="18"/>
          <w:b w:val="1"/>
          <w:bCs w:val="1"/>
          <w:color w:val="auto"/>
        </w:rPr>
      </w:pPr>
    </w:p>
    <w:p>
      <w:pPr>
        <w:ind w:firstLine="1426"/>
        <w:spacing w:after="0" w:line="307" w:lineRule="auto"/>
        <w:tabs>
          <w:tab w:leader="none" w:pos="1795"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Any damages caused by the termination of Executive’s employment without Cause or by the Executive for Good Reason would be difficult to ascertain; therefore, the Severance or Change in Control Severance Benefits for which Executive is eligible pursuant to Section 6.1(b) or 6.2 in exchange for the Release is agreed to by the parties as liquidated damages, to serve as full compensation, and not a penalty.</w:t>
      </w:r>
    </w:p>
    <w:p>
      <w:pPr>
        <w:spacing w:after="0" w:line="149" w:lineRule="exact"/>
        <w:rPr>
          <w:rFonts w:ascii="Arial" w:cs="Arial" w:eastAsia="Arial" w:hAnsi="Arial"/>
          <w:sz w:val="16"/>
          <w:szCs w:val="16"/>
          <w:b w:val="1"/>
          <w:bCs w:val="1"/>
          <w:color w:val="auto"/>
        </w:rPr>
      </w:pPr>
    </w:p>
    <w:p>
      <w:pPr>
        <w:ind w:right="60" w:firstLine="1426"/>
        <w:spacing w:after="0" w:line="252" w:lineRule="auto"/>
        <w:tabs>
          <w:tab w:leader="none" w:pos="1815"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shall mean the occurrence of any of the following events without Executive’s consent: (i) a material reduction in Executive’s Base Salary, which the parties agree is a reduction of at least ten percent (10%) of Executive’s Base Salary (unless pursuant to a salary reduction program applicable generally to the Company’s similarly situated employees); (ii) a material reduction in Executive’s duties (including responsibilities and/or authorities),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reduction in duties (including responsibilities and/or authorities) in connection with a conversion of the Company to a subsidiary, division or unit of an acquiring entity in connection with a Change in Control cannot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3" w:right="499" w:bottom="1440" w:gutter="0" w:footer="0" w:header="0"/>
        </w:sectPr>
      </w:pPr>
    </w:p>
    <w:bookmarkStart w:id="367" w:name="page368"/>
    <w:bookmarkEnd w:id="36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be considered Good Reason for the first six (6) months following the Change in Control; (iii) a material breach by the Company or any successor entity of any employment-related contract between the Company and Executive; or (iv) the relocation of Executive’s principal place of employment, without Executive’s consent, in a manner that lengthens his one-way commute distance by fifty (50) or more miles from his then-current principal place of employment immediately prior to such relocation;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termination by Executive shall only be deemed for Good Reason pursuant to this definition if: (1) Executive gives the Company written notice of his intent to terminate for Good Reason within thirty (30) days following the first occurrence of the condition(s) that he believes constitute(s) Good Reason, which notice shall describe such condition(s); (2) the Company fails to remedy such condition(s) within thirty (30) days following receipt of the written notice (the “</w:t>
      </w:r>
      <w:r>
        <w:rPr>
          <w:rFonts w:ascii="Arial" w:cs="Arial" w:eastAsia="Arial" w:hAnsi="Arial"/>
          <w:sz w:val="16"/>
          <w:szCs w:val="16"/>
          <w:b w:val="1"/>
          <w:bCs w:val="1"/>
          <w:i w:val="1"/>
          <w:iCs w:val="1"/>
          <w:color w:val="auto"/>
        </w:rPr>
        <w:t>Cure Period</w:t>
      </w:r>
      <w:r>
        <w:rPr>
          <w:rFonts w:ascii="Arial" w:cs="Arial" w:eastAsia="Arial" w:hAnsi="Arial"/>
          <w:sz w:val="16"/>
          <w:szCs w:val="16"/>
          <w:color w:val="auto"/>
        </w:rPr>
        <w:t>”); (3) the Company has not, prior to receiving such notice from Executive, already informed Executive that his employment with the Company is being terminated; and (4) Executive voluntarily terminates his employment within thirty (30) days following the end of the Cure Period.</w:t>
      </w:r>
    </w:p>
    <w:p>
      <w:pPr>
        <w:spacing w:after="0" w:line="163" w:lineRule="exact"/>
        <w:rPr>
          <w:sz w:val="20"/>
          <w:szCs w:val="20"/>
          <w:color w:val="auto"/>
        </w:rPr>
      </w:pPr>
    </w:p>
    <w:p>
      <w:pPr>
        <w:ind w:right="160" w:firstLine="982"/>
        <w:spacing w:after="0" w:line="290"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Termination by the Company without Cause or Resignation by Executive for Good Reason (in connection with a Change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In the event that the Company terminates Executive’s employment without Cause or Executive resigns for Good Reason within three</w:t>
      </w:r>
    </w:p>
    <w:p>
      <w:pPr>
        <w:ind w:right="40" w:firstLine="7"/>
        <w:spacing w:after="0" w:line="250" w:lineRule="auto"/>
        <w:tabs>
          <w:tab w:leader="none" w:pos="25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months prior to or twelve (12) months following the effective date of a Change in Control (“</w:t>
      </w:r>
      <w:r>
        <w:rPr>
          <w:rFonts w:ascii="Arial" w:cs="Arial" w:eastAsia="Arial" w:hAnsi="Arial"/>
          <w:sz w:val="18"/>
          <w:szCs w:val="18"/>
          <w:b w:val="1"/>
          <w:bCs w:val="1"/>
          <w:i w:val="1"/>
          <w:iCs w:val="1"/>
          <w:color w:val="auto"/>
        </w:rPr>
        <w:t>Change in Control Termination Date</w:t>
      </w:r>
      <w:r>
        <w:rPr>
          <w:rFonts w:ascii="Arial" w:cs="Arial" w:eastAsia="Arial" w:hAnsi="Arial"/>
          <w:sz w:val="18"/>
          <w:szCs w:val="18"/>
          <w:color w:val="auto"/>
        </w:rPr>
        <w:t>”), then Executive shall be entitled to the Accrued Obligations and, subject to Executive’s compliance with Section 6.1(b) and (c) above, including but not limited to the Release requirement and Executive’s continued compliance with his obligations to the Company under his Confidential Information Agreement, then Executive will be eligible for the following “</w:t>
      </w:r>
      <w:r>
        <w:rPr>
          <w:rFonts w:ascii="Arial" w:cs="Arial" w:eastAsia="Arial" w:hAnsi="Arial"/>
          <w:sz w:val="18"/>
          <w:szCs w:val="18"/>
          <w:b w:val="1"/>
          <w:bCs w:val="1"/>
          <w:i w:val="1"/>
          <w:iCs w:val="1"/>
          <w:color w:val="auto"/>
        </w:rPr>
        <w:t>Change in Control Severance Benefits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1820" w:hanging="394"/>
        <w:spacing w:after="0"/>
        <w:tabs>
          <w:tab w:leader="none" w:pos="1820"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Executive shall be eligible to receive the Severance under the terms and conditions described in Section 6.1;</w:t>
      </w:r>
    </w:p>
    <w:p>
      <w:pPr>
        <w:spacing w:after="0" w:line="220" w:lineRule="exact"/>
        <w:rPr>
          <w:rFonts w:ascii="Arial" w:cs="Arial" w:eastAsia="Arial" w:hAnsi="Arial"/>
          <w:sz w:val="18"/>
          <w:szCs w:val="18"/>
          <w:b w:val="1"/>
          <w:bCs w:val="1"/>
          <w:color w:val="auto"/>
        </w:rPr>
      </w:pPr>
    </w:p>
    <w:p>
      <w:pPr>
        <w:ind w:firstLine="1426"/>
        <w:spacing w:after="0" w:line="253" w:lineRule="auto"/>
        <w:tabs>
          <w:tab w:leader="none" w:pos="1812"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The Company shall pay Executive an amount equal to Executive’s full Target Bonus for the calendar year in which Executive’s termination occurs, pro-rated for the number of days of the calendar year he is employed and, if the termination occurs between January 1 and March 15 and Executive has not yet been paid an Annual Bonus for the preceding Bonus Year, then Executive shall also receive an amount equal to his unpaid Annual Bonus for the preceding Bonus Year, payable subject to standard federal and state payroll withholding requirements on the Company’s first regularly scheduled payroll date following the Release Effective Date; and</w:t>
      </w:r>
    </w:p>
    <w:p>
      <w:pPr>
        <w:spacing w:after="0" w:line="192" w:lineRule="exact"/>
        <w:rPr>
          <w:rFonts w:ascii="Arial" w:cs="Arial" w:eastAsia="Arial" w:hAnsi="Arial"/>
          <w:sz w:val="18"/>
          <w:szCs w:val="18"/>
          <w:b w:val="1"/>
          <w:bCs w:val="1"/>
          <w:color w:val="auto"/>
        </w:rPr>
      </w:pPr>
    </w:p>
    <w:p>
      <w:pPr>
        <w:ind w:right="20" w:firstLine="1426"/>
        <w:spacing w:after="0" w:line="252" w:lineRule="auto"/>
        <w:tabs>
          <w:tab w:leader="none" w:pos="1795"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Effective as of the later of Executive’s Change in Control Termination Date or the effective date of the Change in Control, the vesting and exercisability of all outstanding equity awards that are held by Executive as of immediately prior to the Change in Control Termination Date shall be accelerated (and lapse, in the case of reacquisition or repurchase rights) in full. Executive’s equity awards shall remain outstanding following Executive’s Change in Control Termination Date if and to the extent necessary to give effect to this Section 6.2(c), subject to earlier termination under the terms of the equity plan under which such awards were granted and the original maximum term of the award (without regard to Executive’s termination).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368" w:name="page369"/>
    <w:bookmarkEnd w:id="368"/>
    <w:p>
      <w:pPr>
        <w:ind w:left="980"/>
        <w:spacing w:after="0"/>
        <w:tabs>
          <w:tab w:leader="none" w:pos="1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6.3</w:t>
      </w:r>
      <w:r>
        <w:rPr>
          <w:sz w:val="20"/>
          <w:szCs w:val="20"/>
          <w:color w:val="auto"/>
        </w:rPr>
        <w:tab/>
      </w:r>
      <w:r>
        <w:rPr>
          <w:rFonts w:ascii="Arial" w:cs="Arial" w:eastAsia="Arial" w:hAnsi="Arial"/>
          <w:sz w:val="16"/>
          <w:szCs w:val="16"/>
          <w:b w:val="1"/>
          <w:bCs w:val="1"/>
          <w:u w:val="single" w:color="auto"/>
          <w:color w:val="auto"/>
        </w:rPr>
        <w:t>Termination by the Company for Cause</w:t>
      </w:r>
      <w:r>
        <w:rPr>
          <w:rFonts w:ascii="Arial" w:cs="Arial" w:eastAsia="Arial" w:hAnsi="Arial"/>
          <w:sz w:val="16"/>
          <w:szCs w:val="16"/>
          <w:color w:val="auto"/>
        </w:rPr>
        <w:t>.</w:t>
      </w:r>
    </w:p>
    <w:p>
      <w:pPr>
        <w:spacing w:after="0" w:line="118" w:lineRule="exact"/>
        <w:rPr>
          <w:sz w:val="20"/>
          <w:szCs w:val="20"/>
          <w:color w:val="auto"/>
        </w:rPr>
      </w:pPr>
    </w:p>
    <w:p>
      <w:pPr>
        <w:ind w:right="280" w:firstLine="1426"/>
        <w:spacing w:after="0" w:line="271" w:lineRule="auto"/>
        <w:tabs>
          <w:tab w:leader="none" w:pos="1801"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The Company shall have the right to terminate Executive’s employment with the Company at any time for Cause by giving notice as described in Section 6.7 of this Agreement.</w:t>
      </w:r>
    </w:p>
    <w:p>
      <w:pPr>
        <w:spacing w:after="0" w:line="174" w:lineRule="exact"/>
        <w:rPr>
          <w:rFonts w:ascii="Arial" w:cs="Arial" w:eastAsia="Arial" w:hAnsi="Arial"/>
          <w:sz w:val="18"/>
          <w:szCs w:val="18"/>
          <w:b w:val="1"/>
          <w:bCs w:val="1"/>
          <w:color w:val="auto"/>
        </w:rPr>
      </w:pPr>
    </w:p>
    <w:p>
      <w:pPr>
        <w:ind w:right="40" w:firstLine="1426"/>
        <w:spacing w:after="0" w:line="290" w:lineRule="auto"/>
        <w:tabs>
          <w:tab w:leader="none" w:pos="1815" w:val="left"/>
        </w:tabs>
        <w:numPr>
          <w:ilvl w:val="0"/>
          <w:numId w:val="32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for termination shall mean that the Company has determined in its reasonable sole discretion, after the expiration of 10 days after written notice without a cure (to the extent curable), that the Executive has engaged in any of the following: (i) a material breach of any covenant or condition under this Agreement or any other agreement between the parties; (ii) any act constituting fraud, immoral or disreputable conduct that has a material injurious impact on the Company; (iii) any conduct which constitutes a felony under applicable law; (iv) violation of any Company policy or any act of misconduct that has a material injurious impact on the Company; (v) repeated refusal to follow or implement a clear and reasonable directive of Company; (vi) gross negligence or incompetence in the performance of Executive’s duties; or (vii) breach of fiduciary duty.</w:t>
      </w:r>
    </w:p>
    <w:p>
      <w:pPr>
        <w:spacing w:after="0" w:line="163" w:lineRule="exact"/>
        <w:rPr>
          <w:rFonts w:ascii="Arial" w:cs="Arial" w:eastAsia="Arial" w:hAnsi="Arial"/>
          <w:sz w:val="16"/>
          <w:szCs w:val="16"/>
          <w:b w:val="1"/>
          <w:bCs w:val="1"/>
          <w:color w:val="auto"/>
        </w:rPr>
      </w:pPr>
    </w:p>
    <w:p>
      <w:pPr>
        <w:ind w:right="20" w:firstLine="1426"/>
        <w:spacing w:after="0" w:line="259" w:lineRule="auto"/>
        <w:tabs>
          <w:tab w:leader="none" w:pos="1839"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In the event Executive’s employment is terminated at any time for Cause, Executive will not receive the Severance, Change in Control Severance Benefits, or any other severance compensation or benefit, except that, consistent with the Company’s standard payroll policies, the Company shall provide to Executive the Accrued Obligations.</w:t>
      </w:r>
    </w:p>
    <w:p>
      <w:pPr>
        <w:spacing w:after="0" w:line="289"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4"/>
          <w:szCs w:val="14"/>
          <w:b w:val="1"/>
          <w:bCs w:val="1"/>
          <w:u w:val="single" w:color="auto"/>
          <w:color w:val="auto"/>
        </w:rPr>
        <w:t>Resignation by Executive (other than for Good Reason)</w:t>
      </w:r>
      <w:r>
        <w:rPr>
          <w:rFonts w:ascii="Arial" w:cs="Arial" w:eastAsia="Arial" w:hAnsi="Arial"/>
          <w:sz w:val="14"/>
          <w:szCs w:val="14"/>
          <w:color w:val="auto"/>
        </w:rPr>
        <w:t>.</w:t>
      </w:r>
    </w:p>
    <w:p>
      <w:pPr>
        <w:spacing w:after="0" w:line="118" w:lineRule="exact"/>
        <w:rPr>
          <w:sz w:val="20"/>
          <w:szCs w:val="20"/>
          <w:color w:val="auto"/>
        </w:rPr>
      </w:pPr>
    </w:p>
    <w:p>
      <w:pPr>
        <w:ind w:left="1820" w:hanging="394"/>
        <w:spacing w:after="0"/>
        <w:tabs>
          <w:tab w:leader="none" w:pos="1820" w:val="left"/>
        </w:tabs>
        <w:numPr>
          <w:ilvl w:val="0"/>
          <w:numId w:val="322"/>
        </w:numPr>
        <w:rPr>
          <w:rFonts w:ascii="Arial" w:cs="Arial" w:eastAsia="Arial" w:hAnsi="Arial"/>
          <w:sz w:val="17"/>
          <w:szCs w:val="17"/>
          <w:b w:val="1"/>
          <w:bCs w:val="1"/>
          <w:color w:val="auto"/>
        </w:rPr>
      </w:pPr>
      <w:r>
        <w:rPr>
          <w:rFonts w:ascii="Arial" w:cs="Arial" w:eastAsia="Arial" w:hAnsi="Arial"/>
          <w:sz w:val="17"/>
          <w:szCs w:val="17"/>
          <w:color w:val="auto"/>
        </w:rPr>
        <w:t>Executive may resign from Executive’s employment with the Company at any time by giving notice as described 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Section 6.7.</w:t>
      </w:r>
    </w:p>
    <w:p>
      <w:pPr>
        <w:spacing w:after="0" w:line="208" w:lineRule="exact"/>
        <w:rPr>
          <w:sz w:val="20"/>
          <w:szCs w:val="20"/>
          <w:color w:val="auto"/>
        </w:rPr>
      </w:pPr>
    </w:p>
    <w:p>
      <w:pPr>
        <w:ind w:right="80" w:firstLine="1426"/>
        <w:spacing w:after="0" w:line="259" w:lineRule="auto"/>
        <w:tabs>
          <w:tab w:leader="none" w:pos="1815"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In the event Executive resigns from Executive’s employment with the Company (other than for Good Reason), Executive will not receive the Severance, Change in Control Severance Benefits, or any other severance compensation or benefit, except that, pursuant to the Company’s standard payroll policies, the Company shall provide to Executive the Accrued Obligations.</w:t>
      </w:r>
    </w:p>
    <w:p>
      <w:pPr>
        <w:spacing w:after="0" w:line="289"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u w:val="single" w:color="auto"/>
          <w:color w:val="auto"/>
        </w:rPr>
        <w:t>Termination by Virtue of Death or Disability of Executive</w:t>
      </w:r>
      <w:r>
        <w:rPr>
          <w:rFonts w:ascii="Arial" w:cs="Arial" w:eastAsia="Arial" w:hAnsi="Arial"/>
          <w:sz w:val="16"/>
          <w:szCs w:val="16"/>
          <w:color w:val="auto"/>
        </w:rPr>
        <w:t>.</w:t>
      </w:r>
    </w:p>
    <w:p>
      <w:pPr>
        <w:spacing w:after="0" w:line="118" w:lineRule="exact"/>
        <w:rPr>
          <w:sz w:val="20"/>
          <w:szCs w:val="20"/>
          <w:color w:val="auto"/>
        </w:rPr>
      </w:pPr>
    </w:p>
    <w:p>
      <w:pPr>
        <w:ind w:right="160" w:firstLine="1426"/>
        <w:spacing w:after="0" w:line="255" w:lineRule="auto"/>
        <w:tabs>
          <w:tab w:leader="none" w:pos="1805"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In the event of Executive’s death while employed pursuant to this Agreement, all obligations of the parties hereunder shall terminate immediately, and the Company shall, pursuant to the Company’s standard payroll policies, provide to the Executive’s legal representatives Executive’s Accrued Obligations, and, if the termination occurs between January 1 and March 15, Executive shall be eligible to be awarded an unpaid Annual Bonus for the preceding Bonus Year.</w:t>
      </w:r>
    </w:p>
    <w:p>
      <w:pPr>
        <w:spacing w:after="0" w:line="190" w:lineRule="exact"/>
        <w:rPr>
          <w:rFonts w:ascii="Arial" w:cs="Arial" w:eastAsia="Arial" w:hAnsi="Arial"/>
          <w:sz w:val="18"/>
          <w:szCs w:val="18"/>
          <w:b w:val="1"/>
          <w:bCs w:val="1"/>
          <w:color w:val="auto"/>
        </w:rPr>
      </w:pPr>
    </w:p>
    <w:p>
      <w:pPr>
        <w:ind w:firstLine="1426"/>
        <w:spacing w:after="0" w:line="253" w:lineRule="auto"/>
        <w:tabs>
          <w:tab w:leader="none" w:pos="1815"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Subject to applicable state and federal law, the Company shall at all times have the right, upon written notice to Executive, to terminate this Agreement based on the Executive’s Disability (as defined below). Termination by the Company of the Executive’s employment based on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termination because the Executive is unable due to a physical or mental condition to perform the essential functions of his position with or without reasonable accommodation for six (6) months in the aggregate during any twelve (12) month period or based on the written certification by two licensed physicians of the likely continuation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480" w:top="268" w:right="539" w:bottom="1440" w:gutter="0" w:footer="0" w:header="0"/>
        </w:sectPr>
      </w:pPr>
    </w:p>
    <w:bookmarkStart w:id="369" w:name="page370"/>
    <w:bookmarkEnd w:id="369"/>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such condition for such period. This definition shall be interpreted and applied consistent with the Americans with Disabilities Act, the Family and Medical Leave Act, and other applicable law. In the event Executive’s employment is terminated based on the Executive’s Disability, Executive will not receive the Severance, or any other severance compensation or benefit, except that, pursuant to the Company’s standard payroll policies, the Company shall provide to Executive the Accrued Obligations and, if the termination occurs between January 1 and March 15, Executive shall be eligible to be awarded an unpaid Annual Bonus for the preceding Bonus Year.</w:t>
      </w:r>
    </w:p>
    <w:p>
      <w:pPr>
        <w:spacing w:after="0" w:line="189" w:lineRule="exact"/>
        <w:rPr>
          <w:sz w:val="20"/>
          <w:szCs w:val="20"/>
          <w:color w:val="auto"/>
        </w:rPr>
      </w:pPr>
    </w:p>
    <w:p>
      <w:pPr>
        <w:ind w:right="20" w:firstLine="982"/>
        <w:spacing w:after="0" w:line="252"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Termination Due to Discontinuance of Business</w:t>
      </w:r>
      <w:r>
        <w:rPr>
          <w:rFonts w:ascii="Arial" w:cs="Arial" w:eastAsia="Arial" w:hAnsi="Arial"/>
          <w:sz w:val="18"/>
          <w:szCs w:val="18"/>
          <w:color w:val="auto"/>
        </w:rPr>
        <w:t>. Anything in this Agreement to the contrary notwithstanding, in the event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business is discontinued because rendered impracticable by substantial financial losses, lack of funding, legal decisions, administrative rulings, declaration of war, dissolution, national or local economic depression or crisis or any reasons beyond the control of the Company, then this Agreement shall terminate as of the day the Company determines to cease operation with the same force and effect as if such day of the month were originally set as the termination date hereof. In the event this Agreement is terminated pursuant to this Section 6.6, Executive will not receive any of the Severance, or any other compensation or benefits, except that, pursuant to the Company’s standard payroll policies, the Company shall pay to Executive the Accrued Obligations.</w:t>
      </w:r>
    </w:p>
    <w:p>
      <w:pPr>
        <w:spacing w:after="0" w:line="29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u w:val="single" w:color="auto"/>
          <w:color w:val="auto"/>
        </w:rPr>
        <w:t>Notice; Effective Date of Termination</w:t>
      </w:r>
      <w:r>
        <w:rPr>
          <w:rFonts w:ascii="Arial" w:cs="Arial" w:eastAsia="Arial" w:hAnsi="Arial"/>
          <w:sz w:val="16"/>
          <w:szCs w:val="16"/>
          <w:color w:val="auto"/>
        </w:rPr>
        <w:t>.</w:t>
      </w:r>
    </w:p>
    <w:p>
      <w:pPr>
        <w:spacing w:after="0" w:line="118" w:lineRule="exact"/>
        <w:rPr>
          <w:sz w:val="20"/>
          <w:szCs w:val="20"/>
          <w:color w:val="auto"/>
        </w:rPr>
      </w:pPr>
    </w:p>
    <w:p>
      <w:pPr>
        <w:ind w:left="1800" w:hanging="374"/>
        <w:spacing w:after="0"/>
        <w:tabs>
          <w:tab w:leader="none" w:pos="180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Termination of Executive’s employment pursuant to this Agreement shall be effective on the earliest of:</w:t>
      </w:r>
    </w:p>
    <w:p>
      <w:pPr>
        <w:spacing w:after="0" w:line="113" w:lineRule="exact"/>
        <w:rPr>
          <w:rFonts w:ascii="Arial" w:cs="Arial" w:eastAsia="Arial" w:hAnsi="Arial"/>
          <w:sz w:val="18"/>
          <w:szCs w:val="18"/>
          <w:b w:val="1"/>
          <w:bCs w:val="1"/>
          <w:color w:val="auto"/>
        </w:rPr>
      </w:pPr>
    </w:p>
    <w:p>
      <w:pPr>
        <w:ind w:left="980" w:firstLine="1797"/>
        <w:spacing w:after="0" w:line="259" w:lineRule="auto"/>
        <w:tabs>
          <w:tab w:leader="none" w:pos="3114"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immediately after the Company gives notice to Executive of Executive’s termination, with or without Cause, unless pursuant to Section 6.3(b) in which case ten (10) days after notice if not cured or unless the Company specifies a later date, in which case, termination shall be effective as of such later date;</w:t>
      </w:r>
    </w:p>
    <w:p>
      <w:pPr>
        <w:spacing w:after="0" w:line="78" w:lineRule="exact"/>
        <w:rPr>
          <w:rFonts w:ascii="Arial" w:cs="Arial" w:eastAsia="Arial" w:hAnsi="Arial"/>
          <w:sz w:val="18"/>
          <w:szCs w:val="18"/>
          <w:b w:val="1"/>
          <w:bCs w:val="1"/>
          <w:color w:val="auto"/>
        </w:rPr>
      </w:pPr>
    </w:p>
    <w:p>
      <w:pPr>
        <w:ind w:left="3180" w:hanging="403"/>
        <w:spacing w:after="0"/>
        <w:tabs>
          <w:tab w:leader="none" w:pos="3180"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immediately upon the Executive’s death;</w:t>
      </w:r>
    </w:p>
    <w:p>
      <w:pPr>
        <w:spacing w:after="0" w:line="113" w:lineRule="exact"/>
        <w:rPr>
          <w:rFonts w:ascii="Arial" w:cs="Arial" w:eastAsia="Arial" w:hAnsi="Arial"/>
          <w:sz w:val="18"/>
          <w:szCs w:val="18"/>
          <w:b w:val="1"/>
          <w:bCs w:val="1"/>
          <w:color w:val="auto"/>
        </w:rPr>
      </w:pPr>
    </w:p>
    <w:p>
      <w:pPr>
        <w:jc w:val="both"/>
        <w:ind w:left="980" w:right="560" w:firstLine="1797"/>
        <w:spacing w:after="0" w:line="307" w:lineRule="auto"/>
        <w:tabs>
          <w:tab w:leader="none" w:pos="3213" w:val="left"/>
        </w:tabs>
        <w:numPr>
          <w:ilvl w:val="1"/>
          <w:numId w:val="325"/>
        </w:numPr>
        <w:rPr>
          <w:rFonts w:ascii="Arial" w:cs="Arial" w:eastAsia="Arial" w:hAnsi="Arial"/>
          <w:sz w:val="16"/>
          <w:szCs w:val="16"/>
          <w:b w:val="1"/>
          <w:bCs w:val="1"/>
          <w:color w:val="auto"/>
        </w:rPr>
      </w:pPr>
      <w:r>
        <w:rPr>
          <w:rFonts w:ascii="Arial" w:cs="Arial" w:eastAsia="Arial" w:hAnsi="Arial"/>
          <w:sz w:val="16"/>
          <w:szCs w:val="16"/>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Executive has not returned to the full time performance of Executive’s duties prior to such date;</w:t>
      </w:r>
    </w:p>
    <w:p>
      <w:pPr>
        <w:spacing w:after="0" w:line="42" w:lineRule="exact"/>
        <w:rPr>
          <w:rFonts w:ascii="Arial" w:cs="Arial" w:eastAsia="Arial" w:hAnsi="Arial"/>
          <w:sz w:val="16"/>
          <w:szCs w:val="16"/>
          <w:b w:val="1"/>
          <w:bCs w:val="1"/>
          <w:color w:val="auto"/>
        </w:rPr>
      </w:pPr>
    </w:p>
    <w:p>
      <w:pPr>
        <w:ind w:left="980" w:right="60" w:firstLine="1797"/>
        <w:spacing w:after="0" w:line="255" w:lineRule="auto"/>
        <w:tabs>
          <w:tab w:leader="none" w:pos="3203"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 xml:space="preserve">ten (10) days after the Executive gives written notice to the Company of Executive’s resignation not for Good Reason,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83" w:lineRule="exact"/>
        <w:rPr>
          <w:rFonts w:ascii="Arial" w:cs="Arial" w:eastAsia="Arial" w:hAnsi="Arial"/>
          <w:sz w:val="18"/>
          <w:szCs w:val="18"/>
          <w:b w:val="1"/>
          <w:bCs w:val="1"/>
          <w:color w:val="auto"/>
        </w:rPr>
      </w:pPr>
    </w:p>
    <w:p>
      <w:pPr>
        <w:ind w:left="3160" w:hanging="383"/>
        <w:spacing w:after="0"/>
        <w:tabs>
          <w:tab w:leader="none" w:pos="3160" w:val="left"/>
        </w:tabs>
        <w:numPr>
          <w:ilvl w:val="1"/>
          <w:numId w:val="325"/>
        </w:numPr>
        <w:rPr>
          <w:rFonts w:ascii="Arial" w:cs="Arial" w:eastAsia="Arial" w:hAnsi="Arial"/>
          <w:sz w:val="16"/>
          <w:szCs w:val="16"/>
          <w:b w:val="1"/>
          <w:bCs w:val="1"/>
          <w:color w:val="auto"/>
        </w:rPr>
      </w:pPr>
      <w:r>
        <w:rPr>
          <w:rFonts w:ascii="Arial" w:cs="Arial" w:eastAsia="Arial" w:hAnsi="Arial"/>
          <w:sz w:val="16"/>
          <w:szCs w:val="16"/>
          <w:color w:val="auto"/>
        </w:rPr>
        <w:t>for a termination for Good Reason, immediately upon Executive’s full satisfaction of the requirements of</w:t>
      </w:r>
    </w:p>
    <w:p>
      <w:pPr>
        <w:spacing w:after="0" w:line="4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color w:val="auto"/>
        </w:rPr>
        <w:t>Section 6.1(h).</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80" w:top="272" w:right="539" w:bottom="1440" w:gutter="0" w:footer="0" w:header="0"/>
        </w:sectPr>
      </w:pPr>
    </w:p>
    <w:bookmarkStart w:id="370" w:name="page371"/>
    <w:bookmarkEnd w:id="370"/>
    <w:p>
      <w:pPr>
        <w:ind w:firstLine="1426"/>
        <w:spacing w:after="0" w:line="255" w:lineRule="auto"/>
        <w:tabs>
          <w:tab w:leader="none" w:pos="1815"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86" w:lineRule="exact"/>
        <w:rPr>
          <w:sz w:val="20"/>
          <w:szCs w:val="20"/>
          <w:color w:val="auto"/>
        </w:rPr>
      </w:pPr>
    </w:p>
    <w:p>
      <w:pPr>
        <w:ind w:right="240" w:firstLine="982"/>
        <w:spacing w:after="0" w:line="271" w:lineRule="auto"/>
        <w:rPr>
          <w:sz w:val="20"/>
          <w:szCs w:val="20"/>
          <w:color w:val="auto"/>
        </w:rPr>
      </w:pPr>
      <w:r>
        <w:rPr>
          <w:rFonts w:ascii="Arial" w:cs="Arial" w:eastAsia="Arial" w:hAnsi="Arial"/>
          <w:sz w:val="17"/>
          <w:szCs w:val="17"/>
          <w:b w:val="1"/>
          <w:bCs w:val="1"/>
          <w:color w:val="auto"/>
        </w:rPr>
        <w:t xml:space="preserve">6.8 </w:t>
      </w:r>
      <w:r>
        <w:rPr>
          <w:rFonts w:ascii="Arial" w:cs="Arial" w:eastAsia="Arial" w:hAnsi="Arial"/>
          <w:sz w:val="17"/>
          <w:szCs w:val="17"/>
          <w:b w:val="1"/>
          <w:bCs w:val="1"/>
          <w:u w:val="single" w:color="auto"/>
          <w:color w:val="auto"/>
        </w:rPr>
        <w:t>Cooperation With Company After Termination of Employment</w:t>
      </w:r>
      <w:r>
        <w:rPr>
          <w:rFonts w:ascii="Arial" w:cs="Arial" w:eastAsia="Arial" w:hAnsi="Arial"/>
          <w:sz w:val="17"/>
          <w:szCs w:val="17"/>
          <w:color w:val="auto"/>
        </w:rPr>
        <w:t>. Following termination of Executive’s employment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Executive shall fully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 Company will reimburse Executive, consistent with Section 2.4 of this Agreement, for any reasonable business expenses incurred and, if Executive is not receiving severance at the time cooperation is requested and if the required cooperation exceeds 10 hours per month, Executive will be compensated at an hourly rated determined by dividing his most recent Base Salary by 2,080.</w:t>
      </w:r>
    </w:p>
    <w:p>
      <w:pPr>
        <w:spacing w:after="0" w:line="28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18" w:lineRule="exact"/>
        <w:rPr>
          <w:sz w:val="20"/>
          <w:szCs w:val="20"/>
          <w:color w:val="auto"/>
        </w:rPr>
      </w:pPr>
    </w:p>
    <w:p>
      <w:pPr>
        <w:ind w:right="60" w:firstLine="1426"/>
        <w:spacing w:after="0" w:line="285" w:lineRule="auto"/>
        <w:tabs>
          <w:tab w:leader="none" w:pos="1805" w:val="left"/>
        </w:tabs>
        <w:numPr>
          <w:ilvl w:val="1"/>
          <w:numId w:val="327"/>
        </w:numPr>
        <w:rPr>
          <w:rFonts w:ascii="Arial" w:cs="Arial" w:eastAsia="Arial" w:hAnsi="Arial"/>
          <w:sz w:val="16"/>
          <w:szCs w:val="16"/>
          <w:b w:val="1"/>
          <w:bCs w:val="1"/>
          <w:color w:val="auto"/>
        </w:rPr>
      </w:pPr>
      <w:r>
        <w:rPr>
          <w:rFonts w:ascii="Arial" w:cs="Arial" w:eastAsia="Arial" w:hAnsi="Arial"/>
          <w:sz w:val="16"/>
          <w:szCs w:val="16"/>
          <w:color w:val="auto"/>
        </w:rPr>
        <w:t>Notwithstanding anything to the contrary herein, the following provisions apply to the extent severance benefits provided herein are subject to the Code and the regulations and other guidance thereunder and any state law of similar effect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Severance shall not commence until the Executive has a Separation from Service. Each installment of severance is a separate “payment” for purposes of Treas. Reg. Section 1.409A-2(b)(2)(i), and the severance is intended to satisfy the exemptions from application of Section 409A provided under Treasury Regulations Sections 1.409A-1(b)(4), 1.409A-1(b)(5) and 1.409A-1(b)(9). However, if such exemptions are not available and the Executive is, upon separation from service, a “specified employee” for purposes of Section 409A, then, solely to the extent necessary to avoid adverse personal tax consequences under Section 409A, the timing of the severance payments shall be delayed until the earlier of (i) six (6) months and one day after the Executive’s separation from service, or (ii) the Executive’s death. The parties acknowledge that the exemptions from application of Section 409A to severance benefits are fact specific, and any later amendment of this Agreement to alter the timing, amount or conditions that will trigger payment of severance benefits may preclude the ability of severance benefits provided under this Agreement to qualify for an exemption.</w:t>
      </w:r>
    </w:p>
    <w:p>
      <w:pPr>
        <w:spacing w:after="0" w:line="168" w:lineRule="exact"/>
        <w:rPr>
          <w:rFonts w:ascii="Arial" w:cs="Arial" w:eastAsia="Arial" w:hAnsi="Arial"/>
          <w:sz w:val="16"/>
          <w:szCs w:val="16"/>
          <w:b w:val="1"/>
          <w:bCs w:val="1"/>
          <w:color w:val="auto"/>
        </w:rPr>
      </w:pPr>
    </w:p>
    <w:p>
      <w:pPr>
        <w:ind w:right="80" w:firstLine="1426"/>
        <w:spacing w:after="0" w:line="255" w:lineRule="auto"/>
        <w:tabs>
          <w:tab w:leader="none" w:pos="1815" w:val="left"/>
        </w:tabs>
        <w:numPr>
          <w:ilvl w:val="1"/>
          <w:numId w:val="327"/>
        </w:numPr>
        <w:rPr>
          <w:rFonts w:ascii="Arial" w:cs="Arial" w:eastAsia="Arial" w:hAnsi="Arial"/>
          <w:sz w:val="18"/>
          <w:szCs w:val="18"/>
          <w:b w:val="1"/>
          <w:bCs w:val="1"/>
          <w:color w:val="auto"/>
        </w:rPr>
      </w:pPr>
      <w:r>
        <w:rPr>
          <w:rFonts w:ascii="Arial" w:cs="Arial" w:eastAsia="Arial" w:hAnsi="Arial"/>
          <w:sz w:val="18"/>
          <w:szCs w:val="18"/>
          <w:color w:val="auto"/>
        </w:rPr>
        <w:t>It is intended that this Agreement shall comply with the requirements of Section 409A, and any ambiguity contained herein shall be interpreted in such manner so as to avoid adverse personal tax consequences under Section 409A. Notwithstanding the foregoing, the Company shall in no event be obligated to indemnify the Executive for any taxes or interest that may be assessed by the Internal Revenue Service pursuant to Section 409A of the Code to payments made pursuant to this Agreement.</w:t>
      </w:r>
    </w:p>
    <w:p>
      <w:pPr>
        <w:spacing w:after="0" w:line="333" w:lineRule="exact"/>
        <w:rPr>
          <w:rFonts w:ascii="Arial" w:cs="Arial" w:eastAsia="Arial" w:hAnsi="Arial"/>
          <w:sz w:val="18"/>
          <w:szCs w:val="18"/>
          <w:b w:val="1"/>
          <w:bCs w:val="1"/>
          <w:color w:val="auto"/>
        </w:rPr>
      </w:pPr>
    </w:p>
    <w:p>
      <w:pPr>
        <w:ind w:left="980" w:hanging="545"/>
        <w:spacing w:after="0"/>
        <w:tabs>
          <w:tab w:leader="none" w:pos="98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color w:val="auto"/>
        </w:rPr>
        <w:t>.</w:t>
      </w:r>
    </w:p>
    <w:p>
      <w:pPr>
        <w:spacing w:after="0" w:line="114" w:lineRule="exact"/>
        <w:rPr>
          <w:sz w:val="20"/>
          <w:szCs w:val="20"/>
          <w:color w:val="auto"/>
        </w:rPr>
      </w:pPr>
    </w:p>
    <w:p>
      <w:pPr>
        <w:ind w:right="40" w:firstLine="982"/>
        <w:spacing w:after="0" w:line="306"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notices required hereunder to be in writing shall be deemed effectively given: (a) upon personal delivery to the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be notified, (b) when sent by electronic mail or confirmed facsimile if sent during normal business hours of the recipient, and if not, then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371" w:name="page372"/>
    <w:bookmarkEnd w:id="371"/>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the Executive may designate by ten (10) days advance written notice to the other.</w:t>
      </w:r>
    </w:p>
    <w:p>
      <w:pPr>
        <w:spacing w:after="0" w:line="189" w:lineRule="exact"/>
        <w:rPr>
          <w:sz w:val="20"/>
          <w:szCs w:val="20"/>
          <w:color w:val="auto"/>
        </w:rPr>
      </w:pPr>
    </w:p>
    <w:p>
      <w:pPr>
        <w:ind w:firstLine="982"/>
        <w:spacing w:after="0" w:line="299"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will be interpreted in such manner as to be effective and valid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53" w:lineRule="exact"/>
        <w:rPr>
          <w:sz w:val="20"/>
          <w:szCs w:val="20"/>
          <w:color w:val="auto"/>
        </w:rPr>
      </w:pPr>
    </w:p>
    <w:p>
      <w:pPr>
        <w:ind w:right="120" w:firstLine="982"/>
        <w:spacing w:after="0" w:line="275"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If either party should waive any breach of any provisions of this Agreement, Executive or it shall not thereby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waived any preceding or succeeding breach of the same or any other provision of this Agreement.</w:t>
      </w:r>
    </w:p>
    <w:p>
      <w:pPr>
        <w:spacing w:after="0" w:line="168" w:lineRule="exact"/>
        <w:rPr>
          <w:sz w:val="20"/>
          <w:szCs w:val="20"/>
          <w:color w:val="auto"/>
        </w:rPr>
      </w:pPr>
    </w:p>
    <w:p>
      <w:pPr>
        <w:ind w:right="240" w:firstLine="982"/>
        <w:spacing w:after="0" w:line="287" w:lineRule="auto"/>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This Agreement constitutes the entire agreement between Executive and the Company with regard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Confidential Information Agreement and may also enter into an Option Agreement. Any such separate agreements govern other aspects of the relationship between the parties, have or may have provisions that survive termination of the Executive’s employment under this Agreement, may be amended or superseded by the parties without regard to this agreement and are enforceable according to their terms without regard to the enforcement provision of this Agreement.</w:t>
      </w:r>
    </w:p>
    <w:p>
      <w:pPr>
        <w:spacing w:after="0" w:line="166" w:lineRule="exact"/>
        <w:rPr>
          <w:sz w:val="20"/>
          <w:szCs w:val="20"/>
          <w:color w:val="auto"/>
        </w:rPr>
      </w:pPr>
    </w:p>
    <w:p>
      <w:pPr>
        <w:ind w:right="20" w:firstLine="982"/>
        <w:spacing w:after="0" w:line="275"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any one of which need not contain signatures of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party, but all of which taken together will constitute one and the same Agreement.</w:t>
      </w:r>
    </w:p>
    <w:p>
      <w:pPr>
        <w:spacing w:after="0" w:line="168" w:lineRule="exact"/>
        <w:rPr>
          <w:sz w:val="20"/>
          <w:szCs w:val="20"/>
          <w:color w:val="auto"/>
        </w:rPr>
      </w:pPr>
    </w:p>
    <w:p>
      <w:pPr>
        <w:ind w:right="140" w:firstLine="982"/>
        <w:spacing w:after="0" w:line="275"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hereof are inserted for convenience only and shall not be deemed to constitute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nor to affect the meaning thereof.</w:t>
      </w:r>
    </w:p>
    <w:p>
      <w:pPr>
        <w:spacing w:after="0" w:line="168" w:lineRule="exact"/>
        <w:rPr>
          <w:sz w:val="20"/>
          <w:szCs w:val="20"/>
          <w:color w:val="auto"/>
        </w:rPr>
      </w:pPr>
    </w:p>
    <w:p>
      <w:pPr>
        <w:ind w:right="100" w:firstLine="982"/>
        <w:spacing w:after="0" w:line="253"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shall assign this Agreement and its rights and obligations hereunder in whole,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The Executive may not assign or transfer this Agreement or any rights or obligations hereunder, other than to his estate upon his death.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2" w:right="499" w:bottom="1440" w:gutter="0" w:footer="0" w:header="0"/>
        </w:sectPr>
      </w:pPr>
    </w:p>
    <w:bookmarkStart w:id="372" w:name="page373"/>
    <w:bookmarkEnd w:id="372"/>
    <w:p>
      <w:pPr>
        <w:ind w:right="40" w:firstLine="982"/>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7.8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Maryland.</w:t>
      </w:r>
    </w:p>
    <w:p>
      <w:pPr>
        <w:spacing w:after="0" w:line="168" w:lineRule="exact"/>
        <w:rPr>
          <w:sz w:val="20"/>
          <w:szCs w:val="20"/>
          <w:color w:val="auto"/>
        </w:rPr>
      </w:pPr>
    </w:p>
    <w:p>
      <w:pPr>
        <w:ind w:firstLine="982"/>
        <w:spacing w:after="0" w:line="282" w:lineRule="auto"/>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b w:val="1"/>
          <w:bCs w:val="1"/>
          <w:u w:val="single" w:color="auto"/>
          <w:color w:val="auto"/>
        </w:rPr>
        <w:t>Resolution of Disputes</w:t>
      </w:r>
      <w:r>
        <w:rPr>
          <w:rFonts w:ascii="Arial" w:cs="Arial" w:eastAsia="Arial" w:hAnsi="Arial"/>
          <w:sz w:val="16"/>
          <w:szCs w:val="16"/>
          <w:color w:val="auto"/>
        </w:rPr>
        <w:t>. The parties recognize that litigation in federal or state courts or before federal or state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agencies of 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Gaithersburg, Maryland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Arial" w:cs="Arial" w:eastAsia="Arial" w:hAnsi="Arial"/>
          <w:sz w:val="16"/>
          <w:szCs w:val="16"/>
          <w:b w:val="1"/>
          <w:bCs w:val="1"/>
          <w:color w:val="auto"/>
        </w:rPr>
        <w:t>exclusive remedy</w:t>
      </w:r>
      <w:r>
        <w:rPr>
          <w:rFonts w:ascii="Arial" w:cs="Arial" w:eastAsia="Arial" w:hAnsi="Arial"/>
          <w:sz w:val="16"/>
          <w:szCs w:val="16"/>
          <w:color w:val="auto"/>
        </w:rPr>
        <w:t xml:space="preserve">, and each party expressly waives any right it might have to seek redress in any other forum, except as otherwise expressly provided in this Agreement. By election arbitration as the means for final settlement of all claims,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80" w:top="268" w:right="519" w:bottom="1440" w:gutter="0" w:footer="0" w:header="0"/>
        </w:sectPr>
      </w:pPr>
    </w:p>
    <w:bookmarkStart w:id="373" w:name="page374"/>
    <w:bookmarkEnd w:id="37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have executed this Employment Agreement on the day and year first written above.</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13335</wp:posOffset>
            </wp:positionV>
            <wp:extent cx="253936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Randolph Altschuler</w:t>
      </w:r>
    </w:p>
    <w:p>
      <w:pPr>
        <w:spacing w:after="0" w:line="2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CEO</w:t>
      </w:r>
    </w:p>
    <w:p>
      <w:pPr>
        <w:spacing w:after="0" w:line="2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w:t>
      </w:r>
    </w:p>
    <w:p>
      <w:pPr>
        <w:spacing w:after="0" w:line="2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13335</wp:posOffset>
            </wp:positionV>
            <wp:extent cx="253936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James Rallo</w:t>
      </w:r>
    </w:p>
    <w:p>
      <w:pPr>
        <w:spacing w:after="0" w:line="15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539"/>
          </w:cols>
          <w:pgMar w:left="920" w:top="268" w:right="1440"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I</w:t>
      </w:r>
      <w:r>
        <w:rPr>
          <w:rFonts w:ascii="Arial" w:cs="Arial" w:eastAsia="Arial" w:hAnsi="Arial"/>
          <w:sz w:val="14"/>
          <w:szCs w:val="14"/>
          <w:b w:val="1"/>
          <w:bCs w:val="1"/>
          <w:color w:val="auto"/>
        </w:rPr>
        <w:t>NVENTIONS</w:t>
      </w:r>
      <w:r>
        <w:rPr>
          <w:rFonts w:ascii="Arial" w:cs="Arial" w:eastAsia="Arial" w:hAnsi="Arial"/>
          <w:sz w:val="18"/>
          <w:szCs w:val="18"/>
          <w:b w:val="1"/>
          <w:bCs w:val="1"/>
          <w:color w:val="auto"/>
        </w:rPr>
        <w:t>, N</w:t>
      </w:r>
      <w:r>
        <w:rPr>
          <w:rFonts w:ascii="Arial" w:cs="Arial" w:eastAsia="Arial" w:hAnsi="Arial"/>
          <w:sz w:val="14"/>
          <w:szCs w:val="14"/>
          <w:b w:val="1"/>
          <w:bCs w:val="1"/>
          <w:color w:val="auto"/>
        </w:rPr>
        <w:t>ON</w:t>
      </w:r>
      <w:r>
        <w:rPr>
          <w:rFonts w:ascii="Arial" w:cs="Arial" w:eastAsia="Arial" w:hAnsi="Arial"/>
          <w:sz w:val="18"/>
          <w:szCs w:val="18"/>
          <w:b w:val="1"/>
          <w:bCs w:val="1"/>
          <w:color w:val="auto"/>
        </w:rPr>
        <w:t>-S</w:t>
      </w:r>
      <w:r>
        <w:rPr>
          <w:rFonts w:ascii="Arial" w:cs="Arial" w:eastAsia="Arial" w:hAnsi="Arial"/>
          <w:sz w:val="14"/>
          <w:szCs w:val="14"/>
          <w:b w:val="1"/>
          <w:bCs w:val="1"/>
          <w:color w:val="auto"/>
        </w:rPr>
        <w:t>OLICITATION AND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68" w:right="1440"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b w:val="1"/>
          <w:bCs w:val="1"/>
          <w:color w:val="auto"/>
        </w:rPr>
        <w:t>Exhibit 21.1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Xometry, Inc. Subsidiaries</w:t>
      </w:r>
    </w:p>
    <w:p>
      <w:pPr>
        <w:spacing w:after="0" w:line="131" w:lineRule="exact"/>
        <w:rPr>
          <w:sz w:val="20"/>
          <w:szCs w:val="20"/>
          <w:color w:val="auto"/>
        </w:rPr>
      </w:pPr>
    </w:p>
    <w:p>
      <w:pPr>
        <w:ind w:left="980" w:hanging="545"/>
        <w:spacing w:after="0"/>
        <w:tabs>
          <w:tab w:leader="none" w:pos="9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MakeTime, Inc., a Delaware corporation.</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Gesellschaftsvertrag Shift GmbH, a German company</w:t>
      </w:r>
    </w:p>
    <w:p>
      <w:pPr>
        <w:sectPr>
          <w:pgSz w:w="11900" w:h="16838" w:orient="portrait"/>
          <w:cols w:equalWidth="0" w:num="1">
            <w:col w:w="10920"/>
          </w:cols>
          <w:pgMar w:left="480" w:top="121" w:right="49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color w:val="auto"/>
        </w:rPr>
        <w:t>We consent to the use of our report dated April 13, 2021, with respect to the consolidated financial statements and financial statement schedule of Xometry, Inc., included herein and to the reference to our firm under the heading “Experts” in the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June 3, 2021</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85850"/>
    <w:multiLevelType w:val="hybridMultilevel"/>
    <w:lvl w:ilvl="0">
      <w:lvlJc w:val="left"/>
      <w:lvlText w:val="(%1)"/>
      <w:numFmt w:val="decimal"/>
      <w:start w:val="1"/>
    </w:lvl>
  </w:abstractNum>
  <w:abstractNum w:abstractNumId="1">
    <w:nsid w:val="744939A3"/>
    <w:multiLevelType w:val="hybridMultilevel"/>
    <w:lvl w:ilvl="0">
      <w:lvlJc w:val="left"/>
      <w:lvlText w:val="(%1)"/>
      <w:numFmt w:val="decimal"/>
      <w:start w:val="1"/>
    </w:lvl>
  </w:abstractNum>
  <w:abstractNum w:abstractNumId="2">
    <w:nsid w:val="4FA0D2E3"/>
    <w:multiLevelType w:val="hybridMultilevel"/>
    <w:lvl w:ilvl="0">
      <w:lvlJc w:val="left"/>
      <w:lvlText w:val="•"/>
      <w:numFmt w:val="bullet"/>
      <w:start w:val="1"/>
    </w:lvl>
  </w:abstractNum>
  <w:abstractNum w:abstractNumId="3">
    <w:nsid w:val="6B1D2C14"/>
    <w:multiLevelType w:val="hybridMultilevel"/>
    <w:lvl w:ilvl="0">
      <w:lvlJc w:val="left"/>
      <w:lvlText w:val="•"/>
      <w:numFmt w:val="bullet"/>
      <w:start w:val="1"/>
    </w:lvl>
  </w:abstractNum>
  <w:abstractNum w:abstractNumId="4">
    <w:nsid w:val="68B867D3"/>
    <w:multiLevelType w:val="hybridMultilevel"/>
    <w:lvl w:ilvl="0">
      <w:lvlJc w:val="left"/>
      <w:lvlText w:val="•"/>
      <w:numFmt w:val="bullet"/>
      <w:start w:val="1"/>
    </w:lvl>
  </w:abstractNum>
  <w:abstractNum w:abstractNumId="5">
    <w:nsid w:val="3F7F5DD9"/>
    <w:multiLevelType w:val="hybridMultilevel"/>
    <w:lvl w:ilvl="0">
      <w:lvlJc w:val="left"/>
      <w:lvlText w:val="•"/>
      <w:numFmt w:val="bullet"/>
      <w:start w:val="1"/>
    </w:lvl>
  </w:abstractNum>
  <w:abstractNum w:abstractNumId="6">
    <w:nsid w:val="2AE05A34"/>
    <w:multiLevelType w:val="hybridMultilevel"/>
    <w:lvl w:ilvl="0">
      <w:lvlJc w:val="left"/>
      <w:lvlText w:val="•"/>
      <w:numFmt w:val="bullet"/>
      <w:start w:val="1"/>
    </w:lvl>
  </w:abstractNum>
  <w:abstractNum w:abstractNumId="7">
    <w:nsid w:val="32794FF7"/>
    <w:multiLevelType w:val="hybridMultilevel"/>
    <w:lvl w:ilvl="0">
      <w:lvlJc w:val="left"/>
      <w:lvlText w:val="•"/>
      <w:numFmt w:val="bullet"/>
      <w:start w:val="1"/>
    </w:lvl>
  </w:abstractNum>
  <w:abstractNum w:abstractNumId="8">
    <w:nsid w:val="5454945E"/>
    <w:multiLevelType w:val="hybridMultilevel"/>
    <w:lvl w:ilvl="0">
      <w:lvlJc w:val="left"/>
      <w:lvlText w:val="•"/>
      <w:numFmt w:val="bullet"/>
      <w:start w:val="1"/>
    </w:lvl>
  </w:abstractNum>
  <w:abstractNum w:abstractNumId="9">
    <w:nsid w:val="4DEFDFA0"/>
    <w:multiLevelType w:val="hybridMultilevel"/>
    <w:lvl w:ilvl="0">
      <w:lvlJc w:val="left"/>
      <w:lvlText w:val="•"/>
      <w:numFmt w:val="bullet"/>
      <w:start w:val="1"/>
    </w:lvl>
  </w:abstractNum>
  <w:abstractNum w:abstractNumId="10">
    <w:nsid w:val="2123D5F2"/>
    <w:multiLevelType w:val="hybridMultilevel"/>
    <w:lvl w:ilvl="0">
      <w:lvlJc w:val="left"/>
      <w:lvlText w:val="•"/>
      <w:numFmt w:val="bullet"/>
      <w:start w:val="1"/>
    </w:lvl>
  </w:abstractNum>
  <w:abstractNum w:abstractNumId="11">
    <w:nsid w:val="135B8110"/>
    <w:multiLevelType w:val="hybridMultilevel"/>
    <w:lvl w:ilvl="0">
      <w:lvlJc w:val="left"/>
      <w:lvlText w:val="•"/>
      <w:numFmt w:val="bullet"/>
      <w:start w:val="1"/>
    </w:lvl>
  </w:abstractNum>
  <w:abstractNum w:abstractNumId="12">
    <w:nsid w:val="94927A8"/>
    <w:multiLevelType w:val="hybridMultilevel"/>
    <w:lvl w:ilvl="0">
      <w:lvlJc w:val="left"/>
      <w:lvlText w:val="•"/>
      <w:numFmt w:val="bullet"/>
      <w:start w:val="1"/>
    </w:lvl>
  </w:abstractNum>
  <w:abstractNum w:abstractNumId="13">
    <w:nsid w:val="DCDF8F6"/>
    <w:multiLevelType w:val="hybridMultilevel"/>
    <w:lvl w:ilvl="0">
      <w:lvlJc w:val="left"/>
      <w:lvlText w:val="•"/>
      <w:numFmt w:val="bullet"/>
      <w:start w:val="1"/>
    </w:lvl>
  </w:abstractNum>
  <w:abstractNum w:abstractNumId="14">
    <w:nsid w:val="52D7B105"/>
    <w:multiLevelType w:val="hybridMultilevel"/>
    <w:lvl w:ilvl="0">
      <w:lvlJc w:val="left"/>
      <w:lvlText w:val="•"/>
      <w:numFmt w:val="bullet"/>
      <w:start w:val="1"/>
    </w:lvl>
  </w:abstractNum>
  <w:abstractNum w:abstractNumId="15">
    <w:nsid w:val="2E8A6394"/>
    <w:multiLevelType w:val="hybridMultilevel"/>
    <w:lvl w:ilvl="0">
      <w:lvlJc w:val="left"/>
      <w:lvlText w:val="•"/>
      <w:numFmt w:val="bullet"/>
      <w:start w:val="1"/>
    </w:lvl>
  </w:abstractNum>
  <w:abstractNum w:abstractNumId="16">
    <w:nsid w:val="24E60401"/>
    <w:multiLevelType w:val="hybridMultilevel"/>
    <w:lvl w:ilvl="0">
      <w:lvlJc w:val="left"/>
      <w:lvlText w:val="(%1)"/>
      <w:numFmt w:val="decimal"/>
      <w:start w:val="1"/>
    </w:lvl>
  </w:abstractNum>
  <w:abstractNum w:abstractNumId="17">
    <w:nsid w:val="2A6AD9BE"/>
    <w:multiLevelType w:val="hybridMultilevel"/>
    <w:lvl w:ilvl="0">
      <w:lvlJc w:val="left"/>
      <w:lvlText w:val="(%1)"/>
      <w:numFmt w:val="decimal"/>
      <w:start w:val="1"/>
    </w:lvl>
  </w:abstractNum>
  <w:abstractNum w:abstractNumId="18">
    <w:nsid w:val="BAAC1B4"/>
    <w:multiLevelType w:val="hybridMultilevel"/>
    <w:lvl w:ilvl="0">
      <w:lvlJc w:val="left"/>
      <w:lvlText w:val="(%1)"/>
      <w:numFmt w:val="decimal"/>
      <w:start w:val="4"/>
    </w:lvl>
  </w:abstractNum>
  <w:abstractNum w:abstractNumId="19">
    <w:nsid w:val="36B2ACBC"/>
    <w:multiLevelType w:val="hybridMultilevel"/>
    <w:lvl w:ilvl="0">
      <w:lvlJc w:val="left"/>
      <w:lvlText w:val="(%1)"/>
      <w:numFmt w:val="decimal"/>
      <w:start w:val="1"/>
    </w:lvl>
  </w:abstractNum>
  <w:abstractNum w:abstractNumId="20">
    <w:nsid w:val="779D8544"/>
    <w:multiLevelType w:val="hybridMultilevel"/>
    <w:lvl w:ilvl="0">
      <w:lvlJc w:val="left"/>
      <w:lvlText w:val="•"/>
      <w:numFmt w:val="bullet"/>
      <w:start w:val="1"/>
    </w:lvl>
  </w:abstractNum>
  <w:abstractNum w:abstractNumId="21">
    <w:nsid w:val="4AB26E78"/>
    <w:multiLevelType w:val="hybridMultilevel"/>
    <w:lvl w:ilvl="0">
      <w:lvlJc w:val="left"/>
      <w:lvlText w:val="•"/>
      <w:numFmt w:val="bullet"/>
      <w:start w:val="1"/>
    </w:lvl>
  </w:abstractNum>
  <w:abstractNum w:abstractNumId="22">
    <w:nsid w:val="21FAA2FA"/>
    <w:multiLevelType w:val="hybridMultilevel"/>
    <w:lvl w:ilvl="0">
      <w:lvlJc w:val="left"/>
      <w:lvlText w:val="•"/>
      <w:numFmt w:val="bullet"/>
      <w:start w:val="1"/>
    </w:lvl>
  </w:abstractNum>
  <w:abstractNum w:abstractNumId="23">
    <w:nsid w:val="5451CF49"/>
    <w:multiLevelType w:val="hybridMultilevel"/>
    <w:lvl w:ilvl="0">
      <w:lvlJc w:val="left"/>
      <w:lvlText w:val="•"/>
      <w:numFmt w:val="bullet"/>
      <w:start w:val="1"/>
    </w:lvl>
  </w:abstractNum>
  <w:abstractNum w:abstractNumId="24">
    <w:nsid w:val="6181EF69"/>
    <w:multiLevelType w:val="hybridMultilevel"/>
    <w:lvl w:ilvl="0">
      <w:lvlJc w:val="left"/>
      <w:lvlText w:val="•"/>
      <w:numFmt w:val="bullet"/>
      <w:start w:val="1"/>
    </w:lvl>
  </w:abstractNum>
  <w:abstractNum w:abstractNumId="25">
    <w:nsid w:val="3E6400E6"/>
    <w:multiLevelType w:val="hybridMultilevel"/>
    <w:lvl w:ilvl="0">
      <w:lvlJc w:val="left"/>
      <w:lvlText w:val="•"/>
      <w:numFmt w:val="bullet"/>
      <w:start w:val="1"/>
    </w:lvl>
  </w:abstractNum>
  <w:abstractNum w:abstractNumId="26">
    <w:nsid w:val="14217E23"/>
    <w:multiLevelType w:val="hybridMultilevel"/>
    <w:lvl w:ilvl="0">
      <w:lvlJc w:val="left"/>
      <w:lvlText w:val="•"/>
      <w:numFmt w:val="bullet"/>
      <w:start w:val="1"/>
    </w:lvl>
  </w:abstractNum>
  <w:abstractNum w:abstractNumId="27">
    <w:nsid w:val="710757D0"/>
    <w:multiLevelType w:val="hybridMultilevel"/>
    <w:lvl w:ilvl="0">
      <w:lvlJc w:val="left"/>
      <w:lvlText w:val="•"/>
      <w:numFmt w:val="bullet"/>
      <w:start w:val="1"/>
    </w:lvl>
  </w:abstractNum>
  <w:abstractNum w:abstractNumId="28">
    <w:nsid w:val="5015CD1A"/>
    <w:multiLevelType w:val="hybridMultilevel"/>
    <w:lvl w:ilvl="0">
      <w:lvlJc w:val="left"/>
      <w:lvlText w:val="•"/>
      <w:numFmt w:val="bullet"/>
      <w:start w:val="1"/>
    </w:lvl>
  </w:abstractNum>
  <w:abstractNum w:abstractNumId="29">
    <w:nsid w:val="424479DA"/>
    <w:multiLevelType w:val="hybridMultilevel"/>
    <w:lvl w:ilvl="0">
      <w:lvlJc w:val="left"/>
      <w:lvlText w:val="•"/>
      <w:numFmt w:val="bullet"/>
      <w:start w:val="1"/>
    </w:lvl>
  </w:abstractNum>
  <w:abstractNum w:abstractNumId="30">
    <w:nsid w:val="1A9A9E69"/>
    <w:multiLevelType w:val="hybridMultilevel"/>
    <w:lvl w:ilvl="0">
      <w:lvlJc w:val="left"/>
      <w:lvlText w:val="$"/>
      <w:numFmt w:val="bullet"/>
      <w:start w:val="1"/>
    </w:lvl>
  </w:abstractNum>
  <w:abstractNum w:abstractNumId="31">
    <w:nsid w:val="475E256A"/>
    <w:multiLevelType w:val="hybridMultilevel"/>
    <w:lvl w:ilvl="0">
      <w:lvlJc w:val="left"/>
      <w:lvlText w:val="•"/>
      <w:numFmt w:val="bullet"/>
      <w:start w:val="1"/>
    </w:lvl>
  </w:abstractNum>
  <w:abstractNum w:abstractNumId="32">
    <w:nsid w:val="368DB37E"/>
    <w:multiLevelType w:val="hybridMultilevel"/>
    <w:lvl w:ilvl="0">
      <w:lvlJc w:val="left"/>
      <w:lvlText w:val="(%1)"/>
      <w:numFmt w:val="lowerRoman"/>
      <w:start w:val="4"/>
    </w:lvl>
  </w:abstractNum>
  <w:abstractNum w:abstractNumId="33">
    <w:nsid w:val="6A3B714C"/>
    <w:multiLevelType w:val="hybridMultilevel"/>
    <w:lvl w:ilvl="0">
      <w:lvlJc w:val="left"/>
      <w:lvlText w:val="•"/>
      <w:numFmt w:val="bullet"/>
      <w:start w:val="1"/>
    </w:lvl>
  </w:abstractNum>
  <w:abstractNum w:abstractNumId="34">
    <w:nsid w:val="327B517E"/>
    <w:multiLevelType w:val="hybridMultilevel"/>
    <w:lvl w:ilvl="0">
      <w:lvlJc w:val="left"/>
      <w:lvlText w:val="$"/>
      <w:numFmt w:val="bullet"/>
      <w:start w:val="1"/>
    </w:lvl>
  </w:abstractNum>
  <w:abstractNum w:abstractNumId="35">
    <w:nsid w:val="1F461B51"/>
    <w:multiLevelType w:val="hybridMultilevel"/>
    <w:lvl w:ilvl="0">
      <w:lvlJc w:val="left"/>
      <w:lvlText w:val="•"/>
      <w:numFmt w:val="bullet"/>
      <w:start w:val="1"/>
    </w:lvl>
  </w:abstractNum>
  <w:abstractNum w:abstractNumId="36">
    <w:nsid w:val="29BACF25"/>
    <w:multiLevelType w:val="hybridMultilevel"/>
    <w:lvl w:ilvl="0">
      <w:lvlJc w:val="left"/>
      <w:lvlText w:val="$"/>
      <w:numFmt w:val="bullet"/>
      <w:start w:val="1"/>
    </w:lvl>
  </w:abstractNum>
  <w:abstractNum w:abstractNumId="37">
    <w:nsid w:val="5D5BABB3"/>
    <w:multiLevelType w:val="hybridMultilevel"/>
    <w:lvl w:ilvl="0">
      <w:lvlJc w:val="left"/>
      <w:lvlText w:val="$"/>
      <w:numFmt w:val="bullet"/>
      <w:start w:val="1"/>
    </w:lvl>
  </w:abstractNum>
  <w:abstractNum w:abstractNumId="38">
    <w:nsid w:val="51BF6B48"/>
    <w:multiLevelType w:val="hybridMultilevel"/>
    <w:lvl w:ilvl="0">
      <w:lvlJc w:val="left"/>
      <w:lvlText w:val="•"/>
      <w:numFmt w:val="bullet"/>
      <w:start w:val="1"/>
    </w:lvl>
  </w:abstractNum>
  <w:abstractNum w:abstractNumId="39">
    <w:nsid w:val="7E0F6384"/>
    <w:multiLevelType w:val="hybridMultilevel"/>
    <w:lvl w:ilvl="0">
      <w:lvlJc w:val="left"/>
      <w:lvlText w:val="•"/>
      <w:numFmt w:val="bullet"/>
      <w:start w:val="1"/>
    </w:lvl>
    <w:lvl w:ilvl="1">
      <w:lvlJc w:val="left"/>
      <w:lvlText w:val=","/>
      <w:numFmt w:val="bullet"/>
      <w:start w:val="1"/>
    </w:lvl>
  </w:abstractNum>
  <w:abstractNum w:abstractNumId="40">
    <w:nsid w:val="2B4B8B53"/>
    <w:multiLevelType w:val="hybridMultilevel"/>
    <w:lvl w:ilvl="0">
      <w:lvlJc w:val="left"/>
      <w:lvlText w:val="$"/>
      <w:numFmt w:val="bullet"/>
      <w:start w:val="1"/>
    </w:lvl>
  </w:abstractNum>
  <w:abstractNum w:abstractNumId="41">
    <w:nsid w:val="72E3413A"/>
    <w:multiLevelType w:val="hybridMultilevel"/>
    <w:lvl w:ilvl="0">
      <w:lvlJc w:val="left"/>
      <w:lvlText w:val="•"/>
      <w:numFmt w:val="bullet"/>
      <w:start w:val="1"/>
    </w:lvl>
  </w:abstractNum>
  <w:abstractNum w:abstractNumId="42">
    <w:nsid w:val="116AE494"/>
    <w:multiLevelType w:val="hybridMultilevel"/>
    <w:lvl w:ilvl="0">
      <w:lvlJc w:val="left"/>
      <w:lvlText w:val="•"/>
      <w:numFmt w:val="bullet"/>
      <w:start w:val="1"/>
    </w:lvl>
    <w:lvl w:ilvl="1">
      <w:lvlJc w:val="left"/>
      <w:lvlText w:val=","/>
      <w:numFmt w:val="bullet"/>
      <w:start w:val="1"/>
    </w:lvl>
  </w:abstractNum>
  <w:abstractNum w:abstractNumId="43">
    <w:nsid w:val="3494B2FB"/>
    <w:multiLevelType w:val="hybridMultilevel"/>
    <w:lvl w:ilvl="0">
      <w:lvlJc w:val="left"/>
      <w:lvlText w:val="•"/>
      <w:numFmt w:val="bullet"/>
      <w:start w:val="1"/>
    </w:lvl>
  </w:abstractNum>
  <w:abstractNum w:abstractNumId="44">
    <w:nsid w:val="B13A31"/>
    <w:multiLevelType w:val="hybridMultilevel"/>
    <w:lvl w:ilvl="0">
      <w:lvlJc w:val="left"/>
      <w:lvlText w:val="•"/>
      <w:numFmt w:val="bullet"/>
      <w:start w:val="1"/>
    </w:lvl>
  </w:abstractNum>
  <w:abstractNum w:abstractNumId="45">
    <w:nsid w:val="64429599"/>
    <w:multiLevelType w:val="hybridMultilevel"/>
    <w:lvl w:ilvl="0">
      <w:lvlJc w:val="left"/>
      <w:lvlText w:val="•"/>
      <w:numFmt w:val="bullet"/>
      <w:start w:val="1"/>
    </w:lvl>
  </w:abstractNum>
  <w:abstractNum w:abstractNumId="46">
    <w:nsid w:val="631F1690"/>
    <w:multiLevelType w:val="hybridMultilevel"/>
    <w:lvl w:ilvl="0">
      <w:lvlJc w:val="left"/>
      <w:lvlText w:val="•"/>
      <w:numFmt w:val="bullet"/>
      <w:start w:val="1"/>
    </w:lvl>
  </w:abstractNum>
  <w:abstractNum w:abstractNumId="47">
    <w:nsid w:val="25973E32"/>
    <w:multiLevelType w:val="hybridMultilevel"/>
    <w:lvl w:ilvl="0">
      <w:lvlJc w:val="left"/>
      <w:lvlText w:val="•"/>
      <w:numFmt w:val="bullet"/>
      <w:start w:val="1"/>
    </w:lvl>
  </w:abstractNum>
  <w:abstractNum w:abstractNumId="48">
    <w:nsid w:val="EAD6F57"/>
    <w:multiLevelType w:val="hybridMultilevel"/>
    <w:lvl w:ilvl="0">
      <w:lvlJc w:val="left"/>
      <w:lvlText w:val="(%1)"/>
      <w:numFmt w:val="lowerRoman"/>
      <w:start w:val="2"/>
    </w:lvl>
  </w:abstractNum>
  <w:abstractNum w:abstractNumId="49">
    <w:nsid w:val="6EC9D844"/>
    <w:multiLevelType w:val="hybridMultilevel"/>
    <w:lvl w:ilvl="0">
      <w:lvlJc w:val="left"/>
      <w:lvlText w:val="•"/>
      <w:numFmt w:val="bullet"/>
      <w:start w:val="1"/>
    </w:lvl>
  </w:abstractNum>
  <w:abstractNum w:abstractNumId="50">
    <w:nsid w:val="5C49EAEE"/>
    <w:multiLevelType w:val="hybridMultilevel"/>
    <w:lvl w:ilvl="0">
      <w:lvlJc w:val="left"/>
      <w:lvlText w:val="•"/>
      <w:numFmt w:val="bullet"/>
      <w:start w:val="1"/>
    </w:lvl>
  </w:abstractNum>
  <w:abstractNum w:abstractNumId="51">
    <w:nsid w:val="64AF49B"/>
    <w:multiLevelType w:val="hybridMultilevel"/>
    <w:lvl w:ilvl="0">
      <w:lvlJc w:val="left"/>
      <w:lvlText w:val="•"/>
      <w:numFmt w:val="bullet"/>
      <w:start w:val="1"/>
    </w:lvl>
  </w:abstractNum>
  <w:abstractNum w:abstractNumId="52">
    <w:nsid w:val="397C46BC"/>
    <w:multiLevelType w:val="hybridMultilevel"/>
    <w:lvl w:ilvl="0">
      <w:lvlJc w:val="left"/>
      <w:lvlText w:val="•"/>
      <w:numFmt w:val="bullet"/>
      <w:start w:val="1"/>
    </w:lvl>
  </w:abstractNum>
  <w:abstractNum w:abstractNumId="53">
    <w:nsid w:val="7E448DE9"/>
    <w:multiLevelType w:val="hybridMultilevel"/>
    <w:lvl w:ilvl="0">
      <w:lvlJc w:val="left"/>
      <w:lvlText w:val="•"/>
      <w:numFmt w:val="bullet"/>
      <w:start w:val="1"/>
    </w:lvl>
  </w:abstractNum>
  <w:abstractNum w:abstractNumId="54">
    <w:nsid w:val="5A9CC3E5"/>
    <w:multiLevelType w:val="hybridMultilevel"/>
    <w:lvl w:ilvl="0">
      <w:lvlJc w:val="left"/>
      <w:lvlText w:val="(%1)"/>
      <w:numFmt w:val="decimal"/>
      <w:start w:val="1"/>
    </w:lvl>
  </w:abstractNum>
  <w:abstractNum w:abstractNumId="55">
    <w:nsid w:val="1AFE3625"/>
    <w:multiLevelType w:val="hybridMultilevel"/>
    <w:lvl w:ilvl="0">
      <w:lvlJc w:val="left"/>
      <w:lvlText w:val="•"/>
      <w:numFmt w:val="bullet"/>
      <w:start w:val="1"/>
    </w:lvl>
  </w:abstractNum>
  <w:abstractNum w:abstractNumId="56">
    <w:nsid w:val="3CA88ECF"/>
    <w:multiLevelType w:val="hybridMultilevel"/>
    <w:lvl w:ilvl="0">
      <w:lvlJc w:val="left"/>
      <w:lvlText w:val="•"/>
      <w:numFmt w:val="bullet"/>
      <w:start w:val="1"/>
    </w:lvl>
  </w:abstractNum>
  <w:abstractNum w:abstractNumId="57">
    <w:nsid w:val="6EBE4208"/>
    <w:multiLevelType w:val="hybridMultilevel"/>
    <w:lvl w:ilvl="0">
      <w:lvlJc w:val="left"/>
      <w:lvlText w:val="•"/>
      <w:numFmt w:val="bullet"/>
      <w:start w:val="1"/>
    </w:lvl>
  </w:abstractNum>
  <w:abstractNum w:abstractNumId="58">
    <w:nsid w:val="C058DF5"/>
    <w:multiLevelType w:val="hybridMultilevel"/>
    <w:lvl w:ilvl="0">
      <w:lvlJc w:val="left"/>
      <w:lvlText w:val="•"/>
      <w:numFmt w:val="bullet"/>
      <w:start w:val="1"/>
    </w:lvl>
  </w:abstractNum>
  <w:abstractNum w:abstractNumId="59">
    <w:nsid w:val="CBE5BE9"/>
    <w:multiLevelType w:val="hybridMultilevel"/>
    <w:lvl w:ilvl="0">
      <w:lvlJc w:val="left"/>
      <w:lvlText w:val="(%1)"/>
      <w:numFmt w:val="decimal"/>
      <w:start w:val="1"/>
    </w:lvl>
  </w:abstractNum>
  <w:abstractNum w:abstractNumId="60">
    <w:nsid w:val="3102BBE2"/>
    <w:multiLevelType w:val="hybridMultilevel"/>
    <w:lvl w:ilvl="0">
      <w:lvlJc w:val="left"/>
      <w:lvlText w:val="(%1)"/>
      <w:numFmt w:val="decimal"/>
      <w:start w:val="3"/>
    </w:lvl>
  </w:abstractNum>
  <w:abstractNum w:abstractNumId="61">
    <w:nsid w:val="26A02C5E"/>
    <w:multiLevelType w:val="hybridMultilevel"/>
    <w:lvl w:ilvl="0">
      <w:lvlJc w:val="left"/>
      <w:lvlText w:val="•"/>
      <w:numFmt w:val="bullet"/>
      <w:start w:val="1"/>
    </w:lvl>
  </w:abstractNum>
  <w:abstractNum w:abstractNumId="62">
    <w:nsid w:val="541C8153"/>
    <w:multiLevelType w:val="hybridMultilevel"/>
    <w:lvl w:ilvl="0">
      <w:lvlJc w:val="left"/>
      <w:lvlText w:val="(%1)"/>
      <w:numFmt w:val="decimal"/>
      <w:start w:val="1"/>
    </w:lvl>
  </w:abstractNum>
  <w:abstractNum w:abstractNumId="63">
    <w:nsid w:val="67906F60"/>
    <w:multiLevelType w:val="hybridMultilevel"/>
    <w:lvl w:ilvl="0">
      <w:lvlJc w:val="left"/>
      <w:lvlText w:val="(%1)"/>
      <w:numFmt w:val="decimal"/>
      <w:start w:val="1"/>
    </w:lvl>
  </w:abstractNum>
  <w:abstractNum w:abstractNumId="64">
    <w:nsid w:val="10DB9DAA"/>
    <w:multiLevelType w:val="hybridMultilevel"/>
    <w:lvl w:ilvl="0">
      <w:lvlJc w:val="left"/>
      <w:lvlText w:val="(%1)"/>
      <w:numFmt w:val="decimal"/>
      <w:start w:val="1"/>
    </w:lvl>
  </w:abstractNum>
  <w:abstractNum w:abstractNumId="65">
    <w:nsid w:val="697D2D2"/>
    <w:multiLevelType w:val="hybridMultilevel"/>
    <w:lvl w:ilvl="0">
      <w:lvlJc w:val="left"/>
      <w:lvlText w:val="•"/>
      <w:numFmt w:val="bullet"/>
      <w:start w:val="1"/>
    </w:lvl>
  </w:abstractNum>
  <w:abstractNum w:abstractNumId="66">
    <w:nsid w:val="6D68AB2"/>
    <w:multiLevelType w:val="hybridMultilevel"/>
    <w:lvl w:ilvl="0">
      <w:lvlJc w:val="left"/>
      <w:lvlText w:val="•"/>
      <w:numFmt w:val="bullet"/>
      <w:start w:val="1"/>
    </w:lvl>
  </w:abstractNum>
  <w:abstractNum w:abstractNumId="67">
    <w:nsid w:val="3A966CD0"/>
    <w:multiLevelType w:val="hybridMultilevel"/>
    <w:lvl w:ilvl="0">
      <w:lvlJc w:val="left"/>
      <w:lvlText w:val="•"/>
      <w:numFmt w:val="bullet"/>
      <w:start w:val="1"/>
    </w:lvl>
  </w:abstractNum>
  <w:abstractNum w:abstractNumId="68">
    <w:nsid w:val="63F37E85"/>
    <w:multiLevelType w:val="hybridMultilevel"/>
    <w:lvl w:ilvl="0">
      <w:lvlJc w:val="left"/>
      <w:lvlText w:val="•"/>
      <w:numFmt w:val="bullet"/>
      <w:start w:val="1"/>
    </w:lvl>
  </w:abstractNum>
  <w:abstractNum w:abstractNumId="69">
    <w:nsid w:val="5895F5FA"/>
    <w:multiLevelType w:val="hybridMultilevel"/>
    <w:lvl w:ilvl="0">
      <w:lvlJc w:val="left"/>
      <w:lvlText w:val="*"/>
      <w:numFmt w:val="bullet"/>
      <w:start w:val="1"/>
    </w:lvl>
  </w:abstractNum>
  <w:abstractNum w:abstractNumId="70">
    <w:nsid w:val="38A5D054"/>
    <w:multiLevelType w:val="hybridMultilevel"/>
    <w:lvl w:ilvl="0">
      <w:lvlJc w:val="left"/>
      <w:lvlText w:val="(%1)"/>
      <w:numFmt w:val="decimal"/>
      <w:start w:val="1"/>
    </w:lvl>
  </w:abstractNum>
  <w:abstractNum w:abstractNumId="71">
    <w:nsid w:val="F3F09D8"/>
    <w:multiLevelType w:val="hybridMultilevel"/>
    <w:lvl w:ilvl="0">
      <w:lvlJc w:val="left"/>
      <w:lvlText w:val="(%1)"/>
      <w:numFmt w:val="decimal"/>
      <w:start w:val="3"/>
    </w:lvl>
    <w:lvl w:ilvl="1">
      <w:lvlJc w:val="left"/>
      <w:lvlText w:val="(%2)"/>
      <w:numFmt w:val="lowerLetter"/>
      <w:start w:val="4"/>
    </w:lvl>
  </w:abstractNum>
  <w:abstractNum w:abstractNumId="72">
    <w:nsid w:val="4B793735"/>
    <w:multiLevelType w:val="hybridMultilevel"/>
    <w:lvl w:ilvl="0">
      <w:lvlJc w:val="left"/>
      <w:lvlText w:val="%1"/>
      <w:numFmt w:val="decimal"/>
      <w:start w:val="1"/>
    </w:lvl>
    <w:lvl w:ilvl="1">
      <w:lvlJc w:val="left"/>
      <w:lvlText w:val="(%2)"/>
      <w:numFmt w:val="lowerLetter"/>
      <w:start w:val="8"/>
    </w:lvl>
  </w:abstractNum>
  <w:abstractNum w:abstractNumId="73">
    <w:nsid w:val="4A10B4E8"/>
    <w:multiLevelType w:val="hybridMultilevel"/>
    <w:lvl w:ilvl="0">
      <w:lvlJc w:val="left"/>
      <w:lvlText w:val="(%1)"/>
      <w:numFmt w:val="decimal"/>
      <w:start w:val="4"/>
    </w:lvl>
    <w:lvl w:ilvl="1">
      <w:lvlJc w:val="left"/>
      <w:lvlText w:val="(%2)"/>
      <w:numFmt w:val="lowerLetter"/>
      <w:start w:val="4"/>
    </w:lvl>
  </w:abstractNum>
  <w:abstractNum w:abstractNumId="74">
    <w:nsid w:val="43D3BCD4"/>
    <w:multiLevelType w:val="hybridMultilevel"/>
    <w:lvl w:ilvl="0">
      <w:lvlJc w:val="left"/>
      <w:lvlText w:val="(%1)"/>
      <w:numFmt w:val="decimal"/>
      <w:start w:val="9"/>
    </w:lvl>
  </w:abstractNum>
  <w:abstractNum w:abstractNumId="75">
    <w:nsid w:val="4C2A7166"/>
    <w:multiLevelType w:val="hybridMultilevel"/>
    <w:lvl w:ilvl="0">
      <w:lvlJc w:val="left"/>
      <w:lvlText w:val="•"/>
      <w:numFmt w:val="bullet"/>
      <w:start w:val="1"/>
    </w:lvl>
  </w:abstractNum>
  <w:abstractNum w:abstractNumId="76">
    <w:nsid w:val="2E534A82"/>
    <w:multiLevelType w:val="hybridMultilevel"/>
    <w:lvl w:ilvl="0">
      <w:lvlJc w:val="left"/>
      <w:lvlText w:val="(%1)"/>
      <w:numFmt w:val="lowerLetter"/>
      <w:start w:val="2"/>
    </w:lvl>
  </w:abstractNum>
  <w:abstractNum w:abstractNumId="77">
    <w:nsid w:val="26F2D364"/>
    <w:multiLevelType w:val="hybridMultilevel"/>
    <w:lvl w:ilvl="0">
      <w:lvlJc w:val="left"/>
      <w:lvlText w:val="(%1)"/>
      <w:numFmt w:val="decimal"/>
      <w:start w:val="1"/>
    </w:lvl>
  </w:abstractNum>
  <w:abstractNum w:abstractNumId="78">
    <w:nsid w:val="71C1AF98"/>
    <w:multiLevelType w:val="hybridMultilevel"/>
    <w:lvl w:ilvl="0">
      <w:lvlJc w:val="left"/>
      <w:lvlText w:val="•"/>
      <w:numFmt w:val="bullet"/>
      <w:start w:val="1"/>
    </w:lvl>
  </w:abstractNum>
  <w:abstractNum w:abstractNumId="79">
    <w:nsid w:val="3D00B9D9"/>
    <w:multiLevelType w:val="hybridMultilevel"/>
    <w:lvl w:ilvl="0">
      <w:lvlJc w:val="left"/>
      <w:lvlText w:val="•"/>
      <w:numFmt w:val="bullet"/>
      <w:start w:val="1"/>
    </w:lvl>
  </w:abstractNum>
  <w:abstractNum w:abstractNumId="80">
    <w:nsid w:val="15BCABA8"/>
    <w:multiLevelType w:val="hybridMultilevel"/>
    <w:lvl w:ilvl="0">
      <w:lvlJc w:val="left"/>
      <w:lvlText w:val="•"/>
      <w:numFmt w:val="bullet"/>
      <w:start w:val="1"/>
    </w:lvl>
  </w:abstractNum>
  <w:abstractNum w:abstractNumId="81">
    <w:nsid w:val="4E0B9A87"/>
    <w:multiLevelType w:val="hybridMultilevel"/>
    <w:lvl w:ilvl="0">
      <w:lvlJc w:val="left"/>
      <w:lvlText w:val="$"/>
      <w:numFmt w:val="bullet"/>
      <w:start w:val="1"/>
    </w:lvl>
  </w:abstractNum>
  <w:abstractNum w:abstractNumId="82">
    <w:nsid w:val="434BAE75"/>
    <w:multiLevelType w:val="hybridMultilevel"/>
    <w:lvl w:ilvl="0">
      <w:lvlJc w:val="left"/>
      <w:lvlText w:val="(%1)"/>
      <w:numFmt w:val="lowerRoman"/>
      <w:start w:val="1"/>
    </w:lvl>
  </w:abstractNum>
  <w:abstractNum w:abstractNumId="83">
    <w:nsid w:val="4F38F265"/>
    <w:multiLevelType w:val="hybridMultilevel"/>
    <w:lvl w:ilvl="0">
      <w:lvlJc w:val="left"/>
      <w:lvlText w:val="•"/>
      <w:numFmt w:val="bullet"/>
      <w:start w:val="1"/>
    </w:lvl>
  </w:abstractNum>
  <w:abstractNum w:abstractNumId="84">
    <w:nsid w:val="4C502870"/>
    <w:multiLevelType w:val="hybridMultilevel"/>
    <w:lvl w:ilvl="0">
      <w:lvlJc w:val="left"/>
      <w:lvlText w:val="•"/>
      <w:numFmt w:val="bullet"/>
      <w:start w:val="1"/>
    </w:lvl>
  </w:abstractNum>
  <w:abstractNum w:abstractNumId="85">
    <w:nsid w:val="1DE8725A"/>
    <w:multiLevelType w:val="hybridMultilevel"/>
    <w:lvl w:ilvl="0">
      <w:lvlJc w:val="left"/>
      <w:lvlText w:val="•"/>
      <w:numFmt w:val="bullet"/>
      <w:start w:val="1"/>
    </w:lvl>
  </w:abstractNum>
  <w:abstractNum w:abstractNumId="86">
    <w:nsid w:val="6A37288A"/>
    <w:multiLevelType w:val="hybridMultilevel"/>
    <w:lvl w:ilvl="0">
      <w:lvlJc w:val="left"/>
      <w:lvlText w:val="(%1)"/>
      <w:numFmt w:val="lowerLetter"/>
      <w:start w:val="1"/>
    </w:lvl>
  </w:abstractNum>
  <w:abstractNum w:abstractNumId="87">
    <w:nsid w:val="8F8B73F"/>
    <w:multiLevelType w:val="hybridMultilevel"/>
    <w:lvl w:ilvl="0">
      <w:lvlJc w:val="left"/>
      <w:lvlText w:val="•"/>
      <w:numFmt w:val="bullet"/>
      <w:start w:val="1"/>
    </w:lvl>
  </w:abstractNum>
  <w:abstractNum w:abstractNumId="88">
    <w:nsid w:val="CA6B462"/>
    <w:multiLevelType w:val="hybridMultilevel"/>
    <w:lvl w:ilvl="0">
      <w:lvlJc w:val="left"/>
      <w:lvlText w:val="(%1)"/>
      <w:numFmt w:val="lowerRoman"/>
      <w:start w:val="1"/>
    </w:lvl>
  </w:abstractNum>
  <w:abstractNum w:abstractNumId="89">
    <w:nsid w:val="763CB680"/>
    <w:multiLevelType w:val="hybridMultilevel"/>
    <w:lvl w:ilvl="0">
      <w:lvlJc w:val="left"/>
      <w:lvlText w:val="•"/>
      <w:numFmt w:val="bullet"/>
      <w:start w:val="1"/>
    </w:lvl>
  </w:abstractNum>
  <w:abstractNum w:abstractNumId="90">
    <w:nsid w:val="15B71329"/>
    <w:multiLevelType w:val="hybridMultilevel"/>
    <w:lvl w:ilvl="0">
      <w:lvlJc w:val="left"/>
      <w:lvlText w:val="(%1)"/>
      <w:numFmt w:val="decimal"/>
      <w:start w:val="1"/>
    </w:lvl>
  </w:abstractNum>
  <w:abstractNum w:abstractNumId="91">
    <w:nsid w:val="3DA97044"/>
    <w:multiLevelType w:val="hybridMultilevel"/>
    <w:lvl w:ilvl="0">
      <w:lvlJc w:val="left"/>
      <w:lvlText w:val="(%1)"/>
      <w:numFmt w:val="lowerLetter"/>
      <w:start w:val="1"/>
    </w:lvl>
  </w:abstractNum>
  <w:abstractNum w:abstractNumId="92">
    <w:nsid w:val="1CDCE2DE"/>
    <w:multiLevelType w:val="hybridMultilevel"/>
    <w:lvl w:ilvl="0">
      <w:lvlJc w:val="left"/>
      <w:lvlText w:val="(%1)"/>
      <w:numFmt w:val="lowerLetter"/>
      <w:start w:val="2"/>
    </w:lvl>
  </w:abstractNum>
  <w:abstractNum w:abstractNumId="93">
    <w:nsid w:val="69D3947C"/>
    <w:multiLevelType w:val="hybridMultilevel"/>
    <w:lvl w:ilvl="0">
      <w:lvlJc w:val="left"/>
      <w:lvlText w:val="(%1)"/>
      <w:numFmt w:val="lowerLetter"/>
      <w:start w:val="3"/>
    </w:lvl>
  </w:abstractNum>
  <w:abstractNum w:abstractNumId="94">
    <w:nsid w:val="2539DFA5"/>
    <w:multiLevelType w:val="hybridMultilevel"/>
    <w:lvl w:ilvl="0">
      <w:lvlJc w:val="left"/>
      <w:lvlText w:val="(%1)"/>
      <w:numFmt w:val="lowerLetter"/>
      <w:start w:val="4"/>
    </w:lvl>
  </w:abstractNum>
  <w:abstractNum w:abstractNumId="95">
    <w:nsid w:val="2DB88089"/>
    <w:multiLevelType w:val="hybridMultilevel"/>
    <w:lvl w:ilvl="0">
      <w:lvlJc w:val="left"/>
      <w:lvlText w:val="(%1)"/>
      <w:numFmt w:val="lowerLetter"/>
      <w:start w:val="5"/>
    </w:lvl>
  </w:abstractNum>
  <w:abstractNum w:abstractNumId="96">
    <w:nsid w:val="706B674E"/>
    <w:multiLevelType w:val="hybridMultilevel"/>
    <w:lvl w:ilvl="0">
      <w:lvlJc w:val="left"/>
      <w:lvlText w:val="(%1)"/>
      <w:numFmt w:val="lowerLetter"/>
      <w:start w:val="6"/>
    </w:lvl>
  </w:abstractNum>
  <w:abstractNum w:abstractNumId="97">
    <w:nsid w:val="2C106A57"/>
    <w:multiLevelType w:val="hybridMultilevel"/>
    <w:lvl w:ilvl="0">
      <w:lvlJc w:val="left"/>
      <w:lvlText w:val="(%1)"/>
      <w:numFmt w:val="lowerLetter"/>
      <w:start w:val="7"/>
    </w:lvl>
  </w:abstractNum>
  <w:abstractNum w:abstractNumId="98">
    <w:nsid w:val="684EED59"/>
    <w:multiLevelType w:val="hybridMultilevel"/>
    <w:lvl w:ilvl="0">
      <w:lvlJc w:val="left"/>
      <w:lvlText w:val="(%1)"/>
      <w:numFmt w:val="lowerLetter"/>
      <w:start w:val="8"/>
    </w:lvl>
  </w:abstractNum>
  <w:abstractNum w:abstractNumId="99">
    <w:nsid w:val="545EE5D3"/>
    <w:multiLevelType w:val="hybridMultilevel"/>
    <w:lvl w:ilvl="0">
      <w:lvlJc w:val="left"/>
      <w:lvlText w:val="(%1)"/>
      <w:numFmt w:val="lowerRoman"/>
      <w:start w:val="1"/>
    </w:lvl>
  </w:abstractNum>
  <w:abstractNum w:abstractNumId="100">
    <w:nsid w:val="4A66051"/>
    <w:multiLevelType w:val="hybridMultilevel"/>
    <w:lvl w:ilvl="0">
      <w:lvlJc w:val="left"/>
      <w:lvlText w:val="(%1)"/>
      <w:numFmt w:val="lowerLetter"/>
      <w:start w:val="10"/>
    </w:lvl>
  </w:abstractNum>
  <w:abstractNum w:abstractNumId="101">
    <w:nsid w:val="20F4BDAD"/>
    <w:multiLevelType w:val="hybridMultilevel"/>
    <w:lvl w:ilvl="0">
      <w:lvlJc w:val="left"/>
      <w:lvlText w:val="(%1)"/>
      <w:numFmt w:val="lowerLetter"/>
      <w:start w:val="11"/>
    </w:lvl>
  </w:abstractNum>
  <w:abstractNum w:abstractNumId="102">
    <w:nsid w:val="639DEFAC"/>
    <w:multiLevelType w:val="hybridMultilevel"/>
    <w:lvl w:ilvl="0">
      <w:lvlJc w:val="left"/>
      <w:lvlText w:val="(%1)"/>
      <w:numFmt w:val="lowerLetter"/>
      <w:start w:val="12"/>
    </w:lvl>
  </w:abstractNum>
  <w:abstractNum w:abstractNumId="103">
    <w:nsid w:val="501F9786"/>
    <w:multiLevelType w:val="hybridMultilevel"/>
    <w:lvl w:ilvl="0">
      <w:lvlJc w:val="left"/>
      <w:lvlText w:val="(%1)"/>
      <w:numFmt w:val="lowerLetter"/>
      <w:start w:val="13"/>
    </w:lvl>
  </w:abstractNum>
  <w:abstractNum w:abstractNumId="104">
    <w:nsid w:val="6B057295"/>
    <w:multiLevelType w:val="hybridMultilevel"/>
    <w:lvl w:ilvl="0">
      <w:lvlJc w:val="left"/>
      <w:lvlText w:val="(%1)"/>
      <w:numFmt w:val="lowerLetter"/>
      <w:start w:val="14"/>
    </w:lvl>
  </w:abstractNum>
  <w:abstractNum w:abstractNumId="105">
    <w:nsid w:val="2771AC80"/>
    <w:multiLevelType w:val="hybridMultilevel"/>
    <w:lvl w:ilvl="0">
      <w:lvlJc w:val="left"/>
      <w:lvlText w:val="(%1)"/>
      <w:numFmt w:val="lowerLetter"/>
      <w:start w:val="15"/>
    </w:lvl>
  </w:abstractNum>
  <w:abstractNum w:abstractNumId="106">
    <w:nsid w:val="1C4A08EC"/>
    <w:multiLevelType w:val="hybridMultilevel"/>
    <w:lvl w:ilvl="0">
      <w:lvlJc w:val="left"/>
      <w:lvlText w:val="(%1)"/>
      <w:numFmt w:val="lowerLetter"/>
      <w:start w:val="16"/>
    </w:lvl>
  </w:abstractNum>
  <w:abstractNum w:abstractNumId="107">
    <w:nsid w:val="1958BD17"/>
    <w:multiLevelType w:val="hybridMultilevel"/>
    <w:lvl w:ilvl="0">
      <w:lvlJc w:val="left"/>
      <w:lvlText w:val="(%1)"/>
      <w:numFmt w:val="lowerLetter"/>
      <w:start w:val="17"/>
    </w:lvl>
  </w:abstractNum>
  <w:abstractNum w:abstractNumId="108">
    <w:nsid w:val="4E647FE4"/>
    <w:multiLevelType w:val="hybridMultilevel"/>
    <w:lvl w:ilvl="0">
      <w:lvlJc w:val="left"/>
      <w:lvlText w:val="(%1)"/>
      <w:numFmt w:val="lowerLetter"/>
      <w:start w:val="18"/>
    </w:lvl>
  </w:abstractNum>
  <w:abstractNum w:abstractNumId="109">
    <w:nsid w:val="E0BB885"/>
    <w:multiLevelType w:val="hybridMultilevel"/>
    <w:lvl w:ilvl="0">
      <w:lvlJc w:val="left"/>
      <w:lvlText w:val="(%1)"/>
      <w:numFmt w:val="lowerLetter"/>
      <w:start w:val="19"/>
    </w:lvl>
  </w:abstractNum>
  <w:abstractNum w:abstractNumId="110">
    <w:nsid w:val="565976F1"/>
    <w:multiLevelType w:val="hybridMultilevel"/>
    <w:lvl w:ilvl="0">
      <w:lvlJc w:val="left"/>
      <w:lvlText w:val="•"/>
      <w:numFmt w:val="bullet"/>
      <w:start w:val="1"/>
    </w:lvl>
  </w:abstractNum>
  <w:abstractNum w:abstractNumId="111">
    <w:nsid w:val="64212B8C"/>
    <w:multiLevelType w:val="hybridMultilevel"/>
    <w:lvl w:ilvl="0">
      <w:lvlJc w:val="left"/>
      <w:lvlText w:val="(%1)"/>
      <w:numFmt w:val="lowerLetter"/>
      <w:start w:val="20"/>
    </w:lvl>
  </w:abstractNum>
  <w:abstractNum w:abstractNumId="112">
    <w:nsid w:val="5C17530C"/>
    <w:multiLevelType w:val="hybridMultilevel"/>
    <w:lvl w:ilvl="0">
      <w:lvlJc w:val="left"/>
      <w:lvlText w:val="(%1)"/>
      <w:numFmt w:val="lowerLetter"/>
      <w:start w:val="21"/>
    </w:lvl>
  </w:abstractNum>
  <w:abstractNum w:abstractNumId="113">
    <w:nsid w:val="19A52566"/>
    <w:multiLevelType w:val="hybridMultilevel"/>
    <w:lvl w:ilvl="0">
      <w:lvlJc w:val="left"/>
      <w:lvlText w:val="(%1)"/>
      <w:numFmt w:val="lowerRoman"/>
      <w:start w:val="5"/>
    </w:lvl>
  </w:abstractNum>
  <w:abstractNum w:abstractNumId="114">
    <w:nsid w:val="335A1DF1"/>
    <w:multiLevelType w:val="hybridMultilevel"/>
    <w:lvl w:ilvl="0">
      <w:lvlJc w:val="left"/>
      <w:lvlText w:val="(%1)"/>
      <w:numFmt w:val="lowerLetter"/>
      <w:start w:val="23"/>
    </w:lvl>
  </w:abstractNum>
  <w:abstractNum w:abstractNumId="115">
    <w:nsid w:val="28677B7C"/>
    <w:multiLevelType w:val="hybridMultilevel"/>
    <w:lvl w:ilvl="0">
      <w:lvlJc w:val="left"/>
      <w:lvlText w:val="(%1)"/>
      <w:numFmt w:val="lowerRoman"/>
      <w:start w:val="10"/>
    </w:lvl>
  </w:abstractNum>
  <w:abstractNum w:abstractNumId="116">
    <w:nsid w:val="378D97C0"/>
    <w:multiLevelType w:val="hybridMultilevel"/>
    <w:lvl w:ilvl="0">
      <w:lvlJc w:val="left"/>
      <w:lvlText w:val="(%1)"/>
      <w:numFmt w:val="lowerLetter"/>
      <w:start w:val="25"/>
    </w:lvl>
  </w:abstractNum>
  <w:abstractNum w:abstractNumId="117">
    <w:nsid w:val="1D91467C"/>
    <w:multiLevelType w:val="hybridMultilevel"/>
    <w:lvl w:ilvl="0">
      <w:lvlJc w:val="left"/>
      <w:lvlText w:val="(%1)"/>
      <w:numFmt w:val="decimal"/>
      <w:start w:val="3"/>
    </w:lvl>
  </w:abstractNum>
  <w:abstractNum w:abstractNumId="118">
    <w:nsid w:val="316032BB"/>
    <w:multiLevelType w:val="hybridMultilevel"/>
    <w:lvl w:ilvl="0">
      <w:lvlJc w:val="left"/>
      <w:lvlText w:val="(%1)"/>
      <w:numFmt w:val="decimal"/>
      <w:start w:val="4"/>
    </w:lvl>
  </w:abstractNum>
  <w:abstractNum w:abstractNumId="119">
    <w:nsid w:val="44344C22"/>
    <w:multiLevelType w:val="hybridMultilevel"/>
    <w:lvl w:ilvl="0">
      <w:lvlJc w:val="left"/>
      <w:lvlText w:val="(%1)"/>
      <w:numFmt w:val="decimal"/>
      <w:start w:val="5"/>
    </w:lvl>
  </w:abstractNum>
  <w:abstractNum w:abstractNumId="120">
    <w:nsid w:val="13CDFCFC"/>
    <w:multiLevelType w:val="hybridMultilevel"/>
    <w:lvl w:ilvl="0">
      <w:lvlJc w:val="left"/>
      <w:lvlText w:val="(%1)"/>
      <w:numFmt w:val="decimal"/>
      <w:start w:val="6"/>
    </w:lvl>
  </w:abstractNum>
  <w:abstractNum w:abstractNumId="121">
    <w:nsid w:val="471745E4"/>
    <w:multiLevelType w:val="hybridMultilevel"/>
    <w:lvl w:ilvl="0">
      <w:lvlJc w:val="left"/>
      <w:lvlText w:val="(%1)"/>
      <w:numFmt w:val="decimal"/>
      <w:start w:val="7"/>
    </w:lvl>
  </w:abstractNum>
  <w:abstractNum w:abstractNumId="122">
    <w:nsid w:val="1DDBC66"/>
    <w:multiLevelType w:val="hybridMultilevel"/>
    <w:lvl w:ilvl="0">
      <w:lvlJc w:val="left"/>
      <w:lvlText w:val="(%1)"/>
      <w:numFmt w:val="decimal"/>
      <w:start w:val="8"/>
    </w:lvl>
  </w:abstractNum>
  <w:abstractNum w:abstractNumId="123">
    <w:nsid w:val="30AADFDA"/>
    <w:multiLevelType w:val="hybridMultilevel"/>
    <w:lvl w:ilvl="0">
      <w:lvlJc w:val="left"/>
      <w:lvlText w:val="(%1)"/>
      <w:numFmt w:val="decimal"/>
      <w:start w:val="1"/>
    </w:lvl>
  </w:abstractNum>
  <w:abstractNum w:abstractNumId="124">
    <w:nsid w:val="30EADA61"/>
    <w:multiLevelType w:val="hybridMultilevel"/>
    <w:lvl w:ilvl="0">
      <w:lvlJc w:val="left"/>
      <w:lvlText w:val="(%1)"/>
      <w:numFmt w:val="lowerLetter"/>
      <w:start w:val="1"/>
    </w:lvl>
  </w:abstractNum>
  <w:abstractNum w:abstractNumId="125">
    <w:nsid w:val="27179C0B"/>
    <w:multiLevelType w:val="hybridMultilevel"/>
    <w:lvl w:ilvl="0">
      <w:lvlJc w:val="left"/>
      <w:lvlText w:val="(%1)"/>
      <w:numFmt w:val="lowerLetter"/>
      <w:start w:val="2"/>
    </w:lvl>
  </w:abstractNum>
  <w:abstractNum w:abstractNumId="126">
    <w:nsid w:val="5E636063"/>
    <w:multiLevelType w:val="hybridMultilevel"/>
    <w:lvl w:ilvl="0">
      <w:lvlJc w:val="left"/>
      <w:lvlText w:val="(%1)"/>
      <w:numFmt w:val="lowerLetter"/>
      <w:start w:val="3"/>
    </w:lvl>
  </w:abstractNum>
  <w:abstractNum w:abstractNumId="127">
    <w:nsid w:val="215641AF"/>
    <w:multiLevelType w:val="hybridMultilevel"/>
    <w:lvl w:ilvl="0">
      <w:lvlJc w:val="left"/>
      <w:lvlText w:val="(%1)"/>
      <w:numFmt w:val="lowerLetter"/>
      <w:start w:val="4"/>
    </w:lvl>
  </w:abstractNum>
  <w:abstractNum w:abstractNumId="128">
    <w:nsid w:val="53280662"/>
    <w:multiLevelType w:val="hybridMultilevel"/>
    <w:lvl w:ilvl="0">
      <w:lvlJc w:val="left"/>
      <w:lvlText w:val="(%1)"/>
      <w:numFmt w:val="lowerLetter"/>
      <w:start w:val="5"/>
    </w:lvl>
  </w:abstractNum>
  <w:abstractNum w:abstractNumId="129">
    <w:nsid w:val="46B24DBC"/>
    <w:multiLevelType w:val="hybridMultilevel"/>
    <w:lvl w:ilvl="0">
      <w:lvlJc w:val="left"/>
      <w:lvlText w:val="(%1)"/>
      <w:numFmt w:val="decimal"/>
      <w:start w:val="9"/>
    </w:lvl>
  </w:abstractNum>
  <w:abstractNum w:abstractNumId="130">
    <w:nsid w:val="75B52783"/>
    <w:multiLevelType w:val="hybridMultilevel"/>
    <w:lvl w:ilvl="0">
      <w:lvlJc w:val="left"/>
      <w:lvlText w:val="(%1)"/>
      <w:numFmt w:val="decimal"/>
      <w:start w:val="10"/>
    </w:lvl>
  </w:abstractNum>
  <w:abstractNum w:abstractNumId="131">
    <w:nsid w:val="57CE66B4"/>
    <w:multiLevelType w:val="hybridMultilevel"/>
    <w:lvl w:ilvl="0">
      <w:lvlJc w:val="left"/>
      <w:lvlText w:val="(%1)"/>
      <w:numFmt w:val="decimal"/>
      <w:start w:val="11"/>
    </w:lvl>
  </w:abstractNum>
  <w:abstractNum w:abstractNumId="132">
    <w:nsid w:val="67A70B69"/>
    <w:multiLevelType w:val="hybridMultilevel"/>
    <w:lvl w:ilvl="0">
      <w:lvlJc w:val="left"/>
      <w:lvlText w:val="(%1)"/>
      <w:numFmt w:val="decimal"/>
      <w:start w:val="12"/>
    </w:lvl>
  </w:abstractNum>
  <w:abstractNum w:abstractNumId="133">
    <w:nsid w:val="5953172F"/>
    <w:multiLevelType w:val="hybridMultilevel"/>
    <w:lvl w:ilvl="0">
      <w:lvlJc w:val="left"/>
      <w:lvlText w:val="(%1)"/>
      <w:numFmt w:val="decimal"/>
      <w:start w:val="13"/>
    </w:lvl>
  </w:abstractNum>
  <w:abstractNum w:abstractNumId="134">
    <w:nsid w:val="27EDFE3A"/>
    <w:multiLevelType w:val="hybridMultilevel"/>
    <w:lvl w:ilvl="0">
      <w:lvlJc w:val="left"/>
      <w:lvlText w:val="(%1)"/>
      <w:numFmt w:val="decimal"/>
      <w:start w:val="14"/>
    </w:lvl>
  </w:abstractNum>
  <w:abstractNum w:abstractNumId="135">
    <w:nsid w:val="52AC7DFF"/>
    <w:multiLevelType w:val="hybridMultilevel"/>
    <w:lvl w:ilvl="0">
      <w:lvlJc w:val="left"/>
      <w:lvlText w:val="(%1)"/>
      <w:numFmt w:val="decimal"/>
      <w:start w:val="15"/>
    </w:lvl>
  </w:abstractNum>
  <w:abstractNum w:abstractNumId="136">
    <w:nsid w:val="C4C3AF"/>
    <w:multiLevelType w:val="hybridMultilevel"/>
    <w:lvl w:ilvl="0">
      <w:lvlJc w:val="left"/>
      <w:lvlText w:val="(%1)"/>
      <w:numFmt w:val="decimal"/>
      <w:start w:val="16"/>
    </w:lvl>
  </w:abstractNum>
  <w:abstractNum w:abstractNumId="137">
    <w:nsid w:val="44380727"/>
    <w:multiLevelType w:val="hybridMultilevel"/>
    <w:lvl w:ilvl="0">
      <w:lvlJc w:val="left"/>
      <w:lvlText w:val="(%1)"/>
      <w:numFmt w:val="decimal"/>
      <w:start w:val="17"/>
    </w:lvl>
  </w:abstractNum>
  <w:abstractNum w:abstractNumId="138">
    <w:nsid w:val="6C053B16"/>
    <w:multiLevelType w:val="hybridMultilevel"/>
    <w:lvl w:ilvl="0">
      <w:lvlJc w:val="left"/>
      <w:lvlText w:val="(%1)"/>
      <w:numFmt w:val="decimal"/>
      <w:start w:val="18"/>
    </w:lvl>
  </w:abstractNum>
  <w:abstractNum w:abstractNumId="139">
    <w:nsid w:val="4F294393"/>
    <w:multiLevelType w:val="hybridMultilevel"/>
    <w:lvl w:ilvl="0">
      <w:lvlJc w:val="left"/>
      <w:lvlText w:val="*"/>
      <w:numFmt w:val="bullet"/>
      <w:start w:val="1"/>
    </w:lvl>
  </w:abstractNum>
  <w:abstractNum w:abstractNumId="140">
    <w:nsid w:val="5243BFAC"/>
    <w:multiLevelType w:val="hybridMultilevel"/>
    <w:lvl w:ilvl="0">
      <w:lvlJc w:val="left"/>
      <w:lvlText w:val="$"/>
      <w:numFmt w:val="bullet"/>
      <w:start w:val="1"/>
    </w:lvl>
  </w:abstractNum>
  <w:abstractNum w:abstractNumId="141">
    <w:nsid w:val="425EB207"/>
    <w:multiLevelType w:val="hybridMultilevel"/>
    <w:lvl w:ilvl="0">
      <w:lvlJc w:val="left"/>
      <w:lvlText w:val="$"/>
      <w:numFmt w:val="bullet"/>
      <w:start w:val="1"/>
    </w:lvl>
  </w:abstractNum>
  <w:abstractNum w:abstractNumId="142">
    <w:nsid w:val="334A6F1F"/>
    <w:multiLevelType w:val="hybridMultilevel"/>
    <w:lvl w:ilvl="0">
      <w:lvlJc w:val="left"/>
      <w:lvlText w:val="(%1)"/>
      <w:numFmt w:val="decimal"/>
      <w:start w:val="1"/>
    </w:lvl>
  </w:abstractNum>
  <w:abstractNum w:abstractNumId="143">
    <w:nsid w:val="2E5B12B8"/>
    <w:multiLevelType w:val="hybridMultilevel"/>
    <w:lvl w:ilvl="0">
      <w:lvlJc w:val="left"/>
      <w:lvlText w:val="(%1)"/>
      <w:numFmt w:val="decimal"/>
      <w:start w:val="2"/>
    </w:lvl>
  </w:abstractNum>
  <w:abstractNum w:abstractNumId="144">
    <w:nsid w:val="5C03D76D"/>
    <w:multiLevelType w:val="hybridMultilevel"/>
    <w:lvl w:ilvl="0">
      <w:lvlJc w:val="left"/>
      <w:lvlText w:val="%1"/>
      <w:numFmt w:val="decimal"/>
      <w:start w:val="1"/>
    </w:lvl>
    <w:lvl w:ilvl="1">
      <w:lvlJc w:val="left"/>
      <w:lvlText w:val="(%2)"/>
      <w:numFmt w:val="decimal"/>
      <w:start w:val="1"/>
    </w:lvl>
  </w:abstractNum>
  <w:abstractNum w:abstractNumId="145">
    <w:nsid w:val="66A48D11"/>
    <w:multiLevelType w:val="hybridMultilevel"/>
    <w:lvl w:ilvl="0">
      <w:lvlJc w:val="left"/>
      <w:lvlText w:val="(%1)"/>
      <w:numFmt w:val="decimal"/>
      <w:start w:val="1"/>
    </w:lvl>
    <w:lvl w:ilvl="1">
      <w:lvlJc w:val="left"/>
      <w:lvlText w:val="(%2)"/>
      <w:numFmt w:val="decimal"/>
      <w:start w:val="2"/>
    </w:lvl>
  </w:abstractNum>
  <w:abstractNum w:abstractNumId="146">
    <w:nsid w:val="56C28E34"/>
    <w:multiLevelType w:val="hybridMultilevel"/>
    <w:lvl w:ilvl="0">
      <w:lvlJc w:val="left"/>
      <w:lvlText w:val="*"/>
      <w:numFmt w:val="bullet"/>
      <w:start w:val="1"/>
    </w:lvl>
  </w:abstractNum>
  <w:abstractNum w:abstractNumId="147">
    <w:nsid w:val="13916F2D"/>
    <w:multiLevelType w:val="hybridMultilevel"/>
    <w:lvl w:ilvl="0">
      <w:lvlJc w:val="left"/>
      <w:lvlText w:val="+"/>
      <w:numFmt w:val="bullet"/>
      <w:start w:val="1"/>
    </w:lvl>
  </w:abstractNum>
  <w:abstractNum w:abstractNumId="148">
    <w:nsid w:val="435D38D"/>
    <w:multiLevelType w:val="hybridMultilevel"/>
    <w:lvl w:ilvl="0">
      <w:lvlJc w:val="left"/>
      <w:lvlText w:val="%1."/>
      <w:numFmt w:val="decimal"/>
      <w:start w:val="1"/>
    </w:lvl>
  </w:abstractNum>
  <w:abstractNum w:abstractNumId="149">
    <w:nsid w:val="822C0EF"/>
    <w:multiLevelType w:val="hybridMultilevel"/>
    <w:lvl w:ilvl="0">
      <w:lvlJc w:val="left"/>
      <w:lvlText w:val="%1."/>
      <w:numFmt w:val="upperLetter"/>
      <w:start w:val="1"/>
    </w:lvl>
    <w:lvl w:ilvl="1">
      <w:lvlJc w:val="left"/>
      <w:lvlText w:val="%2."/>
      <w:numFmt w:val="decimal"/>
      <w:start w:val="1"/>
    </w:lvl>
  </w:abstractNum>
  <w:abstractNum w:abstractNumId="150">
    <w:nsid w:val="57C5BB4F"/>
    <w:multiLevelType w:val="hybridMultilevel"/>
    <w:lvl w:ilvl="0">
      <w:lvlJc w:val="left"/>
      <w:lvlText w:val="%1"/>
      <w:numFmt w:val="upperLetter"/>
      <w:start w:val="1"/>
    </w:lvl>
    <w:lvl w:ilvl="1">
      <w:lvlJc w:val="left"/>
      <w:lvlText w:val="%2."/>
      <w:numFmt w:val="decimal"/>
      <w:start w:val="2"/>
    </w:lvl>
  </w:abstractNum>
  <w:abstractNum w:abstractNumId="151">
    <w:nsid w:val="1803D089"/>
    <w:multiLevelType w:val="hybridMultilevel"/>
    <w:lvl w:ilvl="0">
      <w:lvlJc w:val="left"/>
      <w:lvlText w:val="%1."/>
      <w:numFmt w:val="upperLetter"/>
      <w:start w:val="2"/>
    </w:lvl>
    <w:lvl w:ilvl="1">
      <w:lvlJc w:val="left"/>
      <w:lvlText w:val="%2"/>
      <w:numFmt w:val="decimal"/>
      <w:start w:val="1"/>
    </w:lvl>
  </w:abstractNum>
  <w:abstractNum w:abstractNumId="152">
    <w:nsid w:val="4F3A06D4"/>
    <w:multiLevelType w:val="hybridMultilevel"/>
    <w:lvl w:ilvl="0">
      <w:lvlJc w:val="left"/>
      <w:lvlText w:val="(%1)"/>
      <w:numFmt w:val="lowerRoman"/>
      <w:start w:val="2"/>
    </w:lvl>
    <w:lvl w:ilvl="1">
      <w:lvlJc w:val="left"/>
      <w:lvlText w:val="%2"/>
      <w:numFmt w:val="decimal"/>
      <w:start w:val="1"/>
    </w:lvl>
  </w:abstractNum>
  <w:abstractNum w:abstractNumId="153">
    <w:nsid w:val="59A377B6"/>
    <w:multiLevelType w:val="hybridMultilevel"/>
    <w:lvl w:ilvl="0">
      <w:lvlJc w:val="left"/>
      <w:lvlText w:val="(%1)"/>
      <w:numFmt w:val="lowerRoman"/>
      <w:start w:val="5"/>
    </w:lvl>
    <w:lvl w:ilvl="1">
      <w:lvlJc w:val="left"/>
      <w:lvlText w:val="%2."/>
      <w:numFmt w:val="decimal"/>
      <w:start w:val="1"/>
    </w:lvl>
  </w:abstractNum>
  <w:abstractNum w:abstractNumId="154">
    <w:nsid w:val="48AEB063"/>
    <w:multiLevelType w:val="hybridMultilevel"/>
    <w:lvl w:ilvl="0">
      <w:lvlJc w:val="left"/>
      <w:lvlText w:val="%1."/>
      <w:numFmt w:val="decimal"/>
      <w:start w:val="2"/>
    </w:lvl>
  </w:abstractNum>
  <w:abstractNum w:abstractNumId="155">
    <w:nsid w:val="24E135"/>
    <w:multiLevelType w:val="hybridMultilevel"/>
    <w:lvl w:ilvl="0">
      <w:lvlJc w:val="left"/>
      <w:lvlText w:val="(%1)"/>
      <w:numFmt w:val="lowerLetter"/>
      <w:start w:val="1"/>
    </w:lvl>
    <w:lvl w:ilvl="1">
      <w:lvlJc w:val="left"/>
      <w:lvlText w:val="(%2)"/>
      <w:numFmt w:val="lowerRoman"/>
      <w:start w:val="1"/>
    </w:lvl>
  </w:abstractNum>
  <w:abstractNum w:abstractNumId="156">
    <w:nsid w:val="BB13C1"/>
    <w:multiLevelType w:val="hybridMultilevel"/>
    <w:lvl w:ilvl="0">
      <w:lvlJc w:val="left"/>
      <w:lvlText w:val="%1"/>
      <w:numFmt w:val="lowerLetter"/>
      <w:start w:val="1"/>
    </w:lvl>
    <w:lvl w:ilvl="1">
      <w:lvlJc w:val="left"/>
      <w:lvlText w:val="(%2)"/>
      <w:numFmt w:val="lowerLetter"/>
      <w:start w:val="1"/>
    </w:lvl>
  </w:abstractNum>
  <w:abstractNum w:abstractNumId="157">
    <w:nsid w:val="271210C7"/>
    <w:multiLevelType w:val="hybridMultilevel"/>
    <w:lvl w:ilvl="0">
      <w:lvlJc w:val="left"/>
      <w:lvlText w:val="(%1)"/>
      <w:numFmt w:val="lowerLetter"/>
      <w:start w:val="9"/>
    </w:lvl>
    <w:lvl w:ilvl="1">
      <w:lvlJc w:val="left"/>
      <w:lvlText w:val="%2"/>
      <w:numFmt w:val="lowerLetter"/>
      <w:start w:val="1"/>
    </w:lvl>
  </w:abstractNum>
  <w:abstractNum w:abstractNumId="158">
    <w:nsid w:val="217B22E4"/>
    <w:multiLevelType w:val="hybridMultilevel"/>
    <w:lvl w:ilvl="0">
      <w:lvlJc w:val="left"/>
      <w:lvlText w:val="%1."/>
      <w:numFmt w:val="decimal"/>
      <w:start w:val="3"/>
    </w:lvl>
  </w:abstractNum>
  <w:abstractNum w:abstractNumId="159">
    <w:nsid w:val="53E31A24"/>
    <w:multiLevelType w:val="hybridMultilevel"/>
    <w:lvl w:ilvl="0">
      <w:lvlJc w:val="left"/>
      <w:lvlText w:val="(%1)"/>
      <w:numFmt w:val="decimal"/>
      <w:start w:val="1"/>
    </w:lvl>
  </w:abstractNum>
  <w:abstractNum w:abstractNumId="160">
    <w:nsid w:val="6DC45E83"/>
    <w:multiLevelType w:val="hybridMultilevel"/>
    <w:lvl w:ilvl="0">
      <w:lvlJc w:val="left"/>
      <w:lvlText w:val="(%1)"/>
      <w:numFmt w:val="decimal"/>
      <w:start w:val="1"/>
    </w:lvl>
  </w:abstractNum>
  <w:abstractNum w:abstractNumId="161">
    <w:nsid w:val="17304A67"/>
    <w:multiLevelType w:val="hybridMultilevel"/>
    <w:lvl w:ilvl="0">
      <w:lvlJc w:val="left"/>
      <w:lvlText w:val="%1."/>
      <w:numFmt w:val="decimal"/>
      <w:start w:val="4"/>
    </w:lvl>
  </w:abstractNum>
  <w:abstractNum w:abstractNumId="162">
    <w:nsid w:val="2BB180D8"/>
    <w:multiLevelType w:val="hybridMultilevel"/>
    <w:lvl w:ilvl="0">
      <w:lvlJc w:val="left"/>
      <w:lvlText w:val="(%1)"/>
      <w:numFmt w:val="lowerLetter"/>
      <w:start w:val="1"/>
    </w:lvl>
  </w:abstractNum>
  <w:abstractNum w:abstractNumId="163">
    <w:nsid w:val="556B69ED"/>
    <w:multiLevelType w:val="hybridMultilevel"/>
    <w:lvl w:ilvl="0">
      <w:lvlJc w:val="left"/>
      <w:lvlText w:val="(%1)"/>
      <w:numFmt w:val="lowerLetter"/>
      <w:start w:val="2"/>
    </w:lvl>
    <w:lvl w:ilvl="1">
      <w:lvlJc w:val="left"/>
      <w:lvlText w:val="(%2)"/>
      <w:numFmt w:val="lowerRoman"/>
      <w:start w:val="1"/>
    </w:lvl>
  </w:abstractNum>
  <w:abstractNum w:abstractNumId="164">
    <w:nsid w:val="70836196"/>
    <w:multiLevelType w:val="hybridMultilevel"/>
    <w:lvl w:ilvl="0">
      <w:lvlJc w:val="left"/>
      <w:lvlText w:val="(%1)"/>
      <w:numFmt w:val="lowerRoman"/>
      <w:start w:val="3"/>
    </w:lvl>
  </w:abstractNum>
  <w:abstractNum w:abstractNumId="165">
    <w:nsid w:val="539F7F12"/>
    <w:multiLevelType w:val="hybridMultilevel"/>
    <w:lvl w:ilvl="0">
      <w:lvlJc w:val="left"/>
      <w:lvlText w:val="%1"/>
      <w:numFmt w:val="decimal"/>
      <w:start w:val="1"/>
    </w:lvl>
    <w:lvl w:ilvl="1">
      <w:lvlJc w:val="left"/>
      <w:lvlText w:val="(%2)"/>
      <w:numFmt w:val="lowerLetter"/>
      <w:start w:val="1"/>
    </w:lvl>
  </w:abstractNum>
  <w:abstractNum w:abstractNumId="166">
    <w:nsid w:val="2817E7EC"/>
    <w:multiLevelType w:val="hybridMultilevel"/>
    <w:lvl w:ilvl="0">
      <w:lvlJc w:val="left"/>
      <w:lvlText w:val="(%1)"/>
      <w:numFmt w:val="decimal"/>
      <w:start w:val="2"/>
    </w:lvl>
    <w:lvl w:ilvl="1">
      <w:lvlJc w:val="left"/>
      <w:lvlText w:val="(%2)"/>
      <w:numFmt w:val="lowerLetter"/>
      <w:start w:val="3"/>
    </w:lvl>
  </w:abstractNum>
  <w:abstractNum w:abstractNumId="167">
    <w:nsid w:val="71482545"/>
    <w:multiLevelType w:val="hybridMultilevel"/>
    <w:lvl w:ilvl="0">
      <w:lvlJc w:val="left"/>
      <w:lvlText w:val="(%1)"/>
      <w:numFmt w:val="lowerLetter"/>
      <w:start w:val="4"/>
    </w:lvl>
  </w:abstractNum>
  <w:abstractNum w:abstractNumId="168">
    <w:nsid w:val="17D78639"/>
    <w:multiLevelType w:val="hybridMultilevel"/>
    <w:lvl w:ilvl="0">
      <w:lvlJc w:val="left"/>
      <w:lvlText w:val="(%1)"/>
      <w:numFmt w:val="lowerLetter"/>
      <w:start w:val="1"/>
    </w:lvl>
  </w:abstractNum>
  <w:abstractNum w:abstractNumId="169">
    <w:nsid w:val="141D2302"/>
    <w:multiLevelType w:val="hybridMultilevel"/>
    <w:lvl w:ilvl="0">
      <w:lvlJc w:val="left"/>
      <w:lvlText w:val="(%1)"/>
      <w:numFmt w:val="lowerLetter"/>
      <w:start w:val="2"/>
    </w:lvl>
  </w:abstractNum>
  <w:abstractNum w:abstractNumId="170">
    <w:nsid w:val="407168D8"/>
    <w:multiLevelType w:val="hybridMultilevel"/>
    <w:lvl w:ilvl="0">
      <w:lvlJc w:val="left"/>
      <w:lvlText w:val="(%1)"/>
      <w:numFmt w:val="lowerLetter"/>
      <w:start w:val="3"/>
    </w:lvl>
  </w:abstractNum>
  <w:abstractNum w:abstractNumId="171">
    <w:nsid w:val="6A1B45E5"/>
    <w:multiLevelType w:val="hybridMultilevel"/>
    <w:lvl w:ilvl="0">
      <w:lvlJc w:val="left"/>
      <w:lvlText w:val="(%1)"/>
      <w:numFmt w:val="lowerLetter"/>
      <w:start w:val="1"/>
    </w:lvl>
    <w:lvl w:ilvl="1">
      <w:lvlJc w:val="left"/>
      <w:lvlText w:val="(%2)"/>
      <w:numFmt w:val="lowerRoman"/>
      <w:start w:val="1"/>
    </w:lvl>
  </w:abstractNum>
  <w:abstractNum w:abstractNumId="172">
    <w:nsid w:val="567BD50A"/>
    <w:multiLevelType w:val="hybridMultilevel"/>
    <w:lvl w:ilvl="0">
      <w:lvlJc w:val="left"/>
      <w:lvlText w:val="(%1)"/>
      <w:numFmt w:val="lowerLetter"/>
      <w:start w:val="2"/>
    </w:lvl>
    <w:lvl w:ilvl="1">
      <w:lvlJc w:val="left"/>
      <w:lvlText w:val="(%2)"/>
      <w:numFmt w:val="lowerRoman"/>
      <w:start w:val="1"/>
    </w:lvl>
  </w:abstractNum>
  <w:abstractNum w:abstractNumId="173">
    <w:nsid w:val="73BBD7F8"/>
    <w:multiLevelType w:val="hybridMultilevel"/>
    <w:lvl w:ilvl="0">
      <w:lvlJc w:val="left"/>
      <w:lvlText w:val="(%1)"/>
      <w:numFmt w:val="lowerRoman"/>
      <w:start w:val="1"/>
    </w:lvl>
  </w:abstractNum>
  <w:abstractNum w:abstractNumId="174">
    <w:nsid w:val="1876589D"/>
    <w:multiLevelType w:val="hybridMultilevel"/>
    <w:lvl w:ilvl="0">
      <w:lvlJc w:val="left"/>
      <w:lvlText w:val="(%1)"/>
      <w:numFmt w:val="lowerLetter"/>
      <w:start w:val="1"/>
    </w:lvl>
  </w:abstractNum>
  <w:abstractNum w:abstractNumId="175">
    <w:nsid w:val="327FAC77"/>
    <w:multiLevelType w:val="hybridMultilevel"/>
    <w:lvl w:ilvl="0">
      <w:lvlJc w:val="left"/>
      <w:lvlText w:val="(%1)"/>
      <w:numFmt w:val="lowerLetter"/>
      <w:start w:val="2"/>
    </w:lvl>
  </w:abstractNum>
  <w:abstractNum w:abstractNumId="176">
    <w:nsid w:val="5A606509"/>
    <w:multiLevelType w:val="hybridMultilevel"/>
    <w:lvl w:ilvl="0">
      <w:lvlJc w:val="left"/>
      <w:lvlText w:val="(%1)"/>
      <w:numFmt w:val="lowerRoman"/>
      <w:start w:val="1"/>
    </w:lvl>
  </w:abstractNum>
  <w:abstractNum w:abstractNumId="177">
    <w:nsid w:val="6F38E6D1"/>
    <w:multiLevelType w:val="hybridMultilevel"/>
    <w:lvl w:ilvl="0">
      <w:lvlJc w:val="left"/>
      <w:lvlText w:val="%1."/>
      <w:numFmt w:val="decimal"/>
      <w:start w:val="5"/>
    </w:lvl>
  </w:abstractNum>
  <w:abstractNum w:abstractNumId="178">
    <w:nsid w:val="46111BA5"/>
    <w:multiLevelType w:val="hybridMultilevel"/>
    <w:lvl w:ilvl="0">
      <w:lvlJc w:val="left"/>
      <w:lvlText w:val="%1."/>
      <w:numFmt w:val="decimal"/>
      <w:start w:val="6"/>
    </w:lvl>
  </w:abstractNum>
  <w:abstractNum w:abstractNumId="179">
    <w:nsid w:val="5E963896"/>
    <w:multiLevelType w:val="hybridMultilevel"/>
    <w:lvl w:ilvl="0">
      <w:lvlJc w:val="left"/>
      <w:lvlText w:val="%1."/>
      <w:numFmt w:val="decimal"/>
      <w:start w:val="3"/>
    </w:lvl>
  </w:abstractNum>
  <w:abstractNum w:abstractNumId="180">
    <w:nsid w:val="775BA7C1"/>
    <w:multiLevelType w:val="hybridMultilevel"/>
    <w:lvl w:ilvl="0">
      <w:lvlJc w:val="left"/>
      <w:lvlText w:val="(%1)"/>
      <w:numFmt w:val="lowerLetter"/>
      <w:start w:val="1"/>
    </w:lvl>
  </w:abstractNum>
  <w:abstractNum w:abstractNumId="181">
    <w:nsid w:val="1DD6D6F4"/>
    <w:multiLevelType w:val="hybridMultilevel"/>
    <w:lvl w:ilvl="0">
      <w:lvlJc w:val="left"/>
      <w:lvlText w:val="(%1)"/>
      <w:numFmt w:val="lowerLetter"/>
      <w:start w:val="3"/>
    </w:lvl>
  </w:abstractNum>
  <w:abstractNum w:abstractNumId="182">
    <w:nsid w:val="769A091F"/>
    <w:multiLevelType w:val="hybridMultilevel"/>
    <w:lvl w:ilvl="0">
      <w:lvlJc w:val="left"/>
      <w:lvlText w:val="(%1)"/>
      <w:numFmt w:val="lowerLetter"/>
      <w:start w:val="5"/>
    </w:lvl>
  </w:abstractNum>
  <w:abstractNum w:abstractNumId="183">
    <w:nsid w:val="4695AE95"/>
    <w:multiLevelType w:val="hybridMultilevel"/>
    <w:lvl w:ilvl="0">
      <w:lvlJc w:val="left"/>
      <w:lvlText w:val="(%1)"/>
      <w:numFmt w:val="lowerLetter"/>
      <w:start w:val="1"/>
    </w:lvl>
  </w:abstractNum>
  <w:abstractNum w:abstractNumId="184">
    <w:nsid w:val="777A4EAA"/>
    <w:multiLevelType w:val="hybridMultilevel"/>
    <w:lvl w:ilvl="0">
      <w:lvlJc w:val="left"/>
      <w:lvlText w:val="(%1)"/>
      <w:numFmt w:val="lowerLetter"/>
      <w:start w:val="1"/>
    </w:lvl>
  </w:abstractNum>
  <w:abstractNum w:abstractNumId="185">
    <w:nsid w:val="3F48B982"/>
    <w:multiLevelType w:val="hybridMultilevel"/>
    <w:lvl w:ilvl="0">
      <w:lvlJc w:val="left"/>
      <w:lvlText w:val="%1"/>
      <w:numFmt w:val="lowerLetter"/>
      <w:start w:val="1"/>
    </w:lvl>
    <w:lvl w:ilvl="1">
      <w:lvlJc w:val="left"/>
      <w:lvlText w:val="(%2)"/>
      <w:numFmt w:val="lowerLetter"/>
      <w:start w:val="4"/>
    </w:lvl>
  </w:abstractNum>
  <w:abstractNum w:abstractNumId="186">
    <w:nsid w:val="46BA8FCA"/>
    <w:multiLevelType w:val="hybridMultilevel"/>
    <w:lvl w:ilvl="0">
      <w:lvlJc w:val="left"/>
      <w:lvlText w:val="(%1)"/>
      <w:numFmt w:val="lowerLetter"/>
      <w:start w:val="35"/>
    </w:lvl>
    <w:lvl w:ilvl="1">
      <w:lvlJc w:val="left"/>
      <w:lvlText w:val="%2"/>
      <w:numFmt w:val="lowerLetter"/>
      <w:start w:val="1"/>
    </w:lvl>
  </w:abstractNum>
  <w:abstractNum w:abstractNumId="187">
    <w:nsid w:val="7835626C"/>
    <w:multiLevelType w:val="hybridMultilevel"/>
    <w:lvl w:ilvl="0">
      <w:lvlJc w:val="left"/>
      <w:lvlText w:val="(%1)"/>
      <w:numFmt w:val="lowerLetter"/>
      <w:start w:val="1"/>
    </w:lvl>
  </w:abstractNum>
  <w:abstractNum w:abstractNumId="188">
    <w:nsid w:val="665ACA49"/>
    <w:multiLevelType w:val="hybridMultilevel"/>
    <w:lvl w:ilvl="0">
      <w:lvlJc w:val="left"/>
      <w:lvlText w:val="(%1)"/>
      <w:numFmt w:val="lowerLetter"/>
      <w:start w:val="1"/>
    </w:lvl>
  </w:abstractNum>
  <w:abstractNum w:abstractNumId="189">
    <w:nsid w:val="6835B2AE"/>
    <w:multiLevelType w:val="hybridMultilevel"/>
    <w:lvl w:ilvl="0">
      <w:lvlJc w:val="left"/>
      <w:lvlText w:val="(%1)"/>
      <w:numFmt w:val="lowerLetter"/>
      <w:start w:val="1"/>
    </w:lvl>
  </w:abstractNum>
  <w:abstractNum w:abstractNumId="190">
    <w:nsid w:val="4C187C90"/>
    <w:multiLevelType w:val="hybridMultilevel"/>
    <w:lvl w:ilvl="0">
      <w:lvlJc w:val="left"/>
      <w:lvlText w:val="(%1)"/>
      <w:numFmt w:val="lowerLetter"/>
      <w:start w:val="2"/>
    </w:lvl>
  </w:abstractNum>
  <w:abstractNum w:abstractNumId="191">
    <w:nsid w:val="541F28CD"/>
    <w:multiLevelType w:val="hybridMultilevel"/>
    <w:lvl w:ilvl="0">
      <w:lvlJc w:val="left"/>
      <w:lvlText w:val="%1"/>
      <w:numFmt w:val="lowerLetter"/>
      <w:start w:val="1"/>
    </w:lvl>
    <w:lvl w:ilvl="1">
      <w:lvlJc w:val="left"/>
      <w:lvlText w:val="(%2)"/>
      <w:numFmt w:val="lowerLetter"/>
      <w:start w:val="1"/>
    </w:lvl>
  </w:abstractNum>
  <w:abstractNum w:abstractNumId="192">
    <w:nsid w:val="7F65FD16"/>
    <w:multiLevelType w:val="hybridMultilevel"/>
    <w:lvl w:ilvl="0">
      <w:lvlJc w:val="left"/>
      <w:lvlText w:val="(%1)"/>
      <w:numFmt w:val="lowerLetter"/>
      <w:start w:val="9"/>
    </w:lvl>
    <w:lvl w:ilvl="1">
      <w:lvlJc w:val="left"/>
      <w:lvlText w:val="(%2)"/>
      <w:numFmt w:val="lowerLetter"/>
      <w:start w:val="2"/>
    </w:lvl>
  </w:abstractNum>
  <w:abstractNum w:abstractNumId="193">
    <w:nsid w:val="77C9FD68"/>
    <w:multiLevelType w:val="hybridMultilevel"/>
    <w:lvl w:ilvl="0">
      <w:lvlJc w:val="left"/>
      <w:lvlText w:val="(%1)"/>
      <w:numFmt w:val="lowerLetter"/>
      <w:start w:val="4"/>
    </w:lvl>
  </w:abstractNum>
  <w:abstractNum w:abstractNumId="194">
    <w:nsid w:val="298A92BA"/>
    <w:multiLevelType w:val="hybridMultilevel"/>
    <w:lvl w:ilvl="0">
      <w:lvlJc w:val="left"/>
      <w:lvlText w:val="(%1)"/>
      <w:numFmt w:val="lowerLetter"/>
      <w:start w:val="1"/>
    </w:lvl>
  </w:abstractNum>
  <w:abstractNum w:abstractNumId="195">
    <w:nsid w:val="6FE95EAC"/>
    <w:multiLevelType w:val="hybridMultilevel"/>
    <w:lvl w:ilvl="0">
      <w:lvlJc w:val="left"/>
      <w:lvlText w:val="(%1)"/>
      <w:numFmt w:val="lowerLetter"/>
      <w:start w:val="2"/>
    </w:lvl>
  </w:abstractNum>
  <w:abstractNum w:abstractNumId="196">
    <w:nsid w:val="4B697C7A"/>
    <w:multiLevelType w:val="hybridMultilevel"/>
    <w:lvl w:ilvl="0">
      <w:lvlJc w:val="left"/>
      <w:lvlText w:val="(%1)"/>
      <w:numFmt w:val="lowerLetter"/>
      <w:start w:val="1"/>
    </w:lvl>
  </w:abstractNum>
  <w:abstractNum w:abstractNumId="197">
    <w:nsid w:val="51A27AA6"/>
    <w:multiLevelType w:val="hybridMultilevel"/>
    <w:lvl w:ilvl="0">
      <w:lvlJc w:val="left"/>
      <w:lvlText w:val="(%1)"/>
      <w:numFmt w:val="lowerLetter"/>
      <w:start w:val="4"/>
    </w:lvl>
  </w:abstractNum>
  <w:abstractNum w:abstractNumId="198">
    <w:nsid w:val="613183F2"/>
    <w:multiLevelType w:val="hybridMultilevel"/>
    <w:lvl w:ilvl="0">
      <w:lvlJc w:val="left"/>
      <w:lvlText w:val="(%1)"/>
      <w:numFmt w:val="lowerLetter"/>
      <w:start w:val="1"/>
    </w:lvl>
  </w:abstractNum>
  <w:abstractNum w:abstractNumId="199">
    <w:nsid w:val="634102B4"/>
    <w:multiLevelType w:val="hybridMultilevel"/>
    <w:lvl w:ilvl="0">
      <w:lvlJc w:val="left"/>
      <w:lvlText w:val="(%1)"/>
      <w:numFmt w:val="lowerLetter"/>
      <w:start w:val="3"/>
    </w:lvl>
  </w:abstractNum>
  <w:abstractNum w:abstractNumId="200">
    <w:nsid w:val="65BF9DA8"/>
    <w:multiLevelType w:val="hybridMultilevel"/>
    <w:lvl w:ilvl="0">
      <w:lvlJc w:val="left"/>
      <w:lvlText w:val="(%1)"/>
      <w:numFmt w:val="lowerLetter"/>
      <w:start w:val="1"/>
    </w:lvl>
  </w:abstractNum>
  <w:abstractNum w:abstractNumId="201">
    <w:nsid w:val="21A2ECCA"/>
    <w:multiLevelType w:val="hybridMultilevel"/>
    <w:lvl w:ilvl="0">
      <w:lvlJc w:val="left"/>
      <w:lvlText w:val="(%1)"/>
      <w:numFmt w:val="lowerLetter"/>
      <w:start w:val="4"/>
    </w:lvl>
  </w:abstractNum>
  <w:abstractNum w:abstractNumId="202">
    <w:nsid w:val="4D5C4899"/>
    <w:multiLevelType w:val="hybridMultilevel"/>
    <w:lvl w:ilvl="0">
      <w:lvlJc w:val="left"/>
      <w:lvlText w:val="(%1)"/>
      <w:numFmt w:val="lowerLetter"/>
      <w:start w:val="6"/>
    </w:lvl>
    <w:lvl w:ilvl="1">
      <w:lvlJc w:val="left"/>
      <w:lvlText w:val="(%2)"/>
      <w:numFmt w:val="decimal"/>
      <w:start w:val="1"/>
    </w:lvl>
  </w:abstractNum>
  <w:abstractNum w:abstractNumId="203">
    <w:nsid w:val="3C3B72B2"/>
    <w:multiLevelType w:val="hybridMultilevel"/>
    <w:lvl w:ilvl="0">
      <w:lvlJc w:val="left"/>
      <w:lvlText w:val="(%1)"/>
      <w:numFmt w:val="lowerLetter"/>
      <w:start w:val="1"/>
    </w:lvl>
  </w:abstractNum>
  <w:abstractNum w:abstractNumId="204">
    <w:nsid w:val="155EC4C2"/>
    <w:multiLevelType w:val="hybridMultilevel"/>
    <w:lvl w:ilvl="0">
      <w:lvlJc w:val="left"/>
      <w:lvlText w:val="(%1)"/>
      <w:numFmt w:val="lowerRoman"/>
      <w:start w:val="3"/>
    </w:lvl>
  </w:abstractNum>
  <w:abstractNum w:abstractNumId="205">
    <w:nsid w:val="65D2A137"/>
    <w:multiLevelType w:val="hybridMultilevel"/>
    <w:lvl w:ilvl="0">
      <w:lvlJc w:val="left"/>
      <w:lvlText w:val="(%1)"/>
      <w:numFmt w:val="lowerRoman"/>
      <w:start w:val="2"/>
    </w:lvl>
  </w:abstractNum>
  <w:abstractNum w:abstractNumId="206">
    <w:nsid w:val="6EBB1F2A"/>
    <w:multiLevelType w:val="hybridMultilevel"/>
    <w:lvl w:ilvl="0">
      <w:lvlJc w:val="left"/>
      <w:lvlText w:val="%1."/>
      <w:numFmt w:val="decimal"/>
      <w:start w:val="2"/>
    </w:lvl>
    <w:lvl w:ilvl="1">
      <w:lvlJc w:val="left"/>
      <w:lvlText w:val="(%2)"/>
      <w:numFmt w:val="lowerLetter"/>
      <w:start w:val="1"/>
    </w:lvl>
  </w:abstractNum>
  <w:abstractNum w:abstractNumId="207">
    <w:nsid w:val="6FBF29CB"/>
    <w:multiLevelType w:val="hybridMultilevel"/>
    <w:lvl w:ilvl="0">
      <w:lvlJc w:val="left"/>
      <w:lvlText w:val="(%1)"/>
      <w:numFmt w:val="lowerLetter"/>
      <w:start w:val="3"/>
    </w:lvl>
  </w:abstractNum>
  <w:abstractNum w:abstractNumId="208">
    <w:nsid w:val="550B8808"/>
    <w:multiLevelType w:val="hybridMultilevel"/>
    <w:lvl w:ilvl="0">
      <w:lvlJc w:val="left"/>
      <w:lvlText w:val="(%1)"/>
      <w:numFmt w:val="lowerLetter"/>
      <w:start w:val="1"/>
    </w:lvl>
  </w:abstractNum>
  <w:abstractNum w:abstractNumId="209">
    <w:nsid w:val="34CC3ACF"/>
    <w:multiLevelType w:val="hybridMultilevel"/>
    <w:lvl w:ilvl="0">
      <w:lvlJc w:val="left"/>
      <w:lvlText w:val="(%1)"/>
      <w:numFmt w:val="decimal"/>
      <w:start w:val="100"/>
    </w:lvl>
  </w:abstractNum>
  <w:abstractNum w:abstractNumId="210">
    <w:nsid w:val="4E556261"/>
    <w:multiLevelType w:val="hybridMultilevel"/>
    <w:lvl w:ilvl="0">
      <w:lvlJc w:val="left"/>
      <w:lvlText w:val="(%1)"/>
      <w:numFmt w:val="lowerLetter"/>
      <w:start w:val="1"/>
    </w:lvl>
  </w:abstractNum>
  <w:abstractNum w:abstractNumId="211">
    <w:nsid w:val="4C672FC9"/>
    <w:multiLevelType w:val="hybridMultilevel"/>
    <w:lvl w:ilvl="0">
      <w:lvlJc w:val="left"/>
      <w:lvlText w:val="(%1)"/>
      <w:numFmt w:val="lowerLetter"/>
      <w:start w:val="3"/>
    </w:lvl>
  </w:abstractNum>
  <w:abstractNum w:abstractNumId="212">
    <w:nsid w:val="52A311C3"/>
    <w:multiLevelType w:val="hybridMultilevel"/>
    <w:lvl w:ilvl="0">
      <w:lvlJc w:val="left"/>
      <w:lvlText w:val="(%1)"/>
      <w:numFmt w:val="lowerLetter"/>
      <w:start w:val="1"/>
    </w:lvl>
  </w:abstractNum>
  <w:abstractNum w:abstractNumId="213">
    <w:nsid w:val="44EF6B80"/>
    <w:multiLevelType w:val="hybridMultilevel"/>
    <w:lvl w:ilvl="0">
      <w:lvlJc w:val="left"/>
      <w:lvlText w:val="(%1)"/>
      <w:numFmt w:val="lowerLetter"/>
      <w:start w:val="2"/>
    </w:lvl>
  </w:abstractNum>
  <w:abstractNum w:abstractNumId="214">
    <w:nsid w:val="12FCDE5E"/>
    <w:multiLevelType w:val="hybridMultilevel"/>
    <w:lvl w:ilvl="0">
      <w:lvlJc w:val="left"/>
      <w:lvlText w:val="%1"/>
      <w:numFmt w:val="lowerLetter"/>
      <w:start w:val="1"/>
    </w:lvl>
    <w:lvl w:ilvl="1">
      <w:lvlJc w:val="left"/>
      <w:lvlText w:val="(%2)"/>
      <w:numFmt w:val="lowerLetter"/>
      <w:start w:val="4"/>
    </w:lvl>
  </w:abstractNum>
  <w:abstractNum w:abstractNumId="215">
    <w:nsid w:val="4A1D606E"/>
    <w:multiLevelType w:val="hybridMultilevel"/>
    <w:lvl w:ilvl="0">
      <w:lvlJc w:val="left"/>
      <w:lvlText w:val="(%1)"/>
      <w:numFmt w:val="lowerLetter"/>
      <w:start w:val="9"/>
    </w:lvl>
    <w:lvl w:ilvl="1">
      <w:lvlJc w:val="left"/>
      <w:lvlText w:val="(%2)"/>
      <w:numFmt w:val="lowerLetter"/>
      <w:start w:val="5"/>
    </w:lvl>
  </w:abstractNum>
  <w:abstractNum w:abstractNumId="216">
    <w:nsid w:val="4382503"/>
    <w:multiLevelType w:val="hybridMultilevel"/>
    <w:lvl w:ilvl="0">
      <w:lvlJc w:val="left"/>
      <w:lvlText w:val="(%1)"/>
      <w:numFmt w:val="lowerLetter"/>
      <w:start w:val="1"/>
    </w:lvl>
  </w:abstractNum>
  <w:abstractNum w:abstractNumId="217">
    <w:nsid w:val="59B76E28"/>
    <w:multiLevelType w:val="hybridMultilevel"/>
    <w:lvl w:ilvl="0">
      <w:lvlJc w:val="left"/>
      <w:lvlText w:val="%1"/>
      <w:numFmt w:val="decimal"/>
      <w:start w:val="1"/>
    </w:lvl>
    <w:lvl w:ilvl="1">
      <w:lvlJc w:val="left"/>
      <w:lvlText w:val="(%2)"/>
      <w:numFmt w:val="lowerLetter"/>
      <w:start w:val="2"/>
    </w:lvl>
  </w:abstractNum>
  <w:abstractNum w:abstractNumId="218">
    <w:nsid w:val="4252C2DA"/>
    <w:multiLevelType w:val="hybridMultilevel"/>
    <w:lvl w:ilvl="0">
      <w:lvlJc w:val="left"/>
      <w:lvlText w:val="(%1)"/>
      <w:numFmt w:val="decimal"/>
      <w:start w:val="90"/>
    </w:lvl>
    <w:lvl w:ilvl="1">
      <w:lvlJc w:val="left"/>
      <w:lvlText w:val="%2"/>
      <w:numFmt w:val="lowerLetter"/>
      <w:start w:val="1"/>
    </w:lvl>
  </w:abstractNum>
  <w:abstractNum w:abstractNumId="219">
    <w:nsid w:val="6A92EF4C"/>
    <w:multiLevelType w:val="hybridMultilevel"/>
    <w:lvl w:ilvl="0">
      <w:lvlJc w:val="left"/>
      <w:lvlText w:val="(%1)"/>
      <w:numFmt w:val="lowerLetter"/>
      <w:start w:val="1"/>
    </w:lvl>
  </w:abstractNum>
  <w:abstractNum w:abstractNumId="220">
    <w:nsid w:val="41ED20D7"/>
    <w:multiLevelType w:val="hybridMultilevel"/>
    <w:lvl w:ilvl="0">
      <w:lvlJc w:val="left"/>
      <w:lvlText w:val="(%1)"/>
      <w:numFmt w:val="lowerLetter"/>
      <w:start w:val="3"/>
    </w:lvl>
  </w:abstractNum>
  <w:abstractNum w:abstractNumId="221">
    <w:nsid w:val="E6B3F6A"/>
    <w:multiLevelType w:val="hybridMultilevel"/>
    <w:lvl w:ilvl="0">
      <w:lvlJc w:val="left"/>
      <w:lvlText w:val="%1"/>
      <w:numFmt w:val="decimal"/>
      <w:start w:val="1"/>
    </w:lvl>
    <w:lvl w:ilvl="1">
      <w:lvlJc w:val="left"/>
      <w:lvlText w:val="(%2)"/>
      <w:numFmt w:val="lowerLetter"/>
      <w:start w:val="2"/>
    </w:lvl>
  </w:abstractNum>
  <w:abstractNum w:abstractNumId="222">
    <w:nsid w:val="3EB21819"/>
    <w:multiLevelType w:val="hybridMultilevel"/>
    <w:lvl w:ilvl="0">
      <w:lvlJc w:val="left"/>
      <w:lvlText w:val="%1."/>
      <w:numFmt w:val="decimal"/>
      <w:start w:val="3"/>
    </w:lvl>
    <w:lvl w:ilvl="1">
      <w:lvlJc w:val="left"/>
      <w:lvlText w:val="%2"/>
      <w:numFmt w:val="lowerLetter"/>
      <w:start w:val="1"/>
    </w:lvl>
  </w:abstractNum>
  <w:abstractNum w:abstractNumId="223">
    <w:nsid w:val="41531DED"/>
    <w:multiLevelType w:val="hybridMultilevel"/>
    <w:lvl w:ilvl="0">
      <w:lvlJc w:val="left"/>
      <w:lvlText w:val="%1"/>
      <w:numFmt w:val="lowerLetter"/>
      <w:start w:val="1"/>
    </w:lvl>
    <w:lvl w:ilvl="1">
      <w:lvlJc w:val="left"/>
      <w:lvlText w:val="(%2)"/>
      <w:numFmt w:val="lowerLetter"/>
      <w:start w:val="1"/>
    </w:lvl>
  </w:abstractNum>
  <w:abstractNum w:abstractNumId="224">
    <w:nsid w:val="6353CD2"/>
    <w:multiLevelType w:val="hybridMultilevel"/>
    <w:lvl w:ilvl="0">
      <w:lvlJc w:val="left"/>
      <w:lvlText w:val="(%1)"/>
      <w:numFmt w:val="lowerLetter"/>
      <w:start w:val="9"/>
    </w:lvl>
    <w:lvl w:ilvl="1">
      <w:lvlJc w:val="left"/>
      <w:lvlText w:val="(%2)"/>
      <w:numFmt w:val="lowerLetter"/>
      <w:start w:val="3"/>
    </w:lvl>
  </w:abstractNum>
  <w:abstractNum w:abstractNumId="225">
    <w:nsid w:val="683CAAD3"/>
    <w:multiLevelType w:val="hybridMultilevel"/>
    <w:lvl w:ilvl="0">
      <w:lvlJc w:val="left"/>
      <w:lvlText w:val="(%1)"/>
      <w:numFmt w:val="lowerLetter"/>
      <w:start w:val="5"/>
    </w:lvl>
  </w:abstractNum>
  <w:abstractNum w:abstractNumId="226">
    <w:nsid w:val="313C7C99"/>
    <w:multiLevelType w:val="hybridMultilevel"/>
    <w:lvl w:ilvl="0">
      <w:lvlJc w:val="left"/>
      <w:lvlText w:val="(%1)"/>
      <w:numFmt w:val="upperLetter"/>
      <w:start w:val="1"/>
    </w:lvl>
  </w:abstractNum>
  <w:abstractNum w:abstractNumId="227">
    <w:nsid w:val="519EB94C"/>
    <w:multiLevelType w:val="hybridMultilevel"/>
    <w:lvl w:ilvl="0">
      <w:lvlJc w:val="left"/>
      <w:lvlText w:val="(%1)"/>
      <w:numFmt w:val="upperLetter"/>
      <w:start w:val="3"/>
    </w:lvl>
  </w:abstractNum>
  <w:abstractNum w:abstractNumId="228">
    <w:nsid w:val="39DF2579"/>
    <w:multiLevelType w:val="hybridMultilevel"/>
    <w:lvl w:ilvl="0">
      <w:lvlJc w:val="left"/>
      <w:lvlText w:val="(%1)"/>
      <w:numFmt w:val="upperLetter"/>
      <w:start w:val="4"/>
    </w:lvl>
  </w:abstractNum>
  <w:abstractNum w:abstractNumId="229">
    <w:nsid w:val="126E008B"/>
    <w:multiLevelType w:val="hybridMultilevel"/>
    <w:lvl w:ilvl="0">
      <w:lvlJc w:val="left"/>
      <w:lvlText w:val="(%1)"/>
      <w:numFmt w:val="lowerRoman"/>
      <w:start w:val="1"/>
    </w:lvl>
  </w:abstractNum>
  <w:abstractNum w:abstractNumId="230">
    <w:nsid w:val="34DFBC00"/>
    <w:multiLevelType w:val="hybridMultilevel"/>
    <w:lvl w:ilvl="0">
      <w:lvlJc w:val="left"/>
      <w:lvlText w:val="(%1)"/>
      <w:numFmt w:val="lowerLetter"/>
      <w:start w:val="1"/>
    </w:lvl>
  </w:abstractNum>
  <w:abstractNum w:abstractNumId="231">
    <w:nsid w:val="1F9EC322"/>
    <w:multiLevelType w:val="hybridMultilevel"/>
    <w:lvl w:ilvl="0">
      <w:lvlJc w:val="left"/>
      <w:lvlText w:val="(%1)"/>
      <w:numFmt w:val="lowerLetter"/>
      <w:start w:val="4"/>
    </w:lvl>
  </w:abstractNum>
  <w:abstractNum w:abstractNumId="232">
    <w:nsid w:val="3410ED56"/>
    <w:multiLevelType w:val="hybridMultilevel"/>
    <w:lvl w:ilvl="0">
      <w:lvlJc w:val="left"/>
      <w:lvlText w:val="(%1)"/>
      <w:numFmt w:val="lowerRoman"/>
      <w:start w:val="2"/>
    </w:lvl>
  </w:abstractNum>
  <w:abstractNum w:abstractNumId="233">
    <w:nsid w:val="23C049A"/>
    <w:multiLevelType w:val="hybridMultilevel"/>
    <w:lvl w:ilvl="0">
      <w:lvlJc w:val="left"/>
      <w:lvlText w:val="%1)"/>
      <w:numFmt w:val="lowerLetter"/>
      <w:start w:val="1"/>
    </w:lvl>
  </w:abstractNum>
  <w:abstractNum w:abstractNumId="234">
    <w:nsid w:val="5BDA35D4"/>
    <w:multiLevelType w:val="hybridMultilevel"/>
    <w:lvl w:ilvl="0">
      <w:lvlJc w:val="left"/>
      <w:lvlText w:val="%1."/>
      <w:numFmt w:val="decimal"/>
      <w:start w:val="4"/>
    </w:lvl>
  </w:abstractNum>
  <w:abstractNum w:abstractNumId="235">
    <w:nsid w:val="496FB218"/>
    <w:multiLevelType w:val="hybridMultilevel"/>
    <w:lvl w:ilvl="0">
      <w:lvlJc w:val="left"/>
      <w:lvlText w:val="(%1)"/>
      <w:numFmt w:val="lowerLetter"/>
      <w:start w:val="1"/>
    </w:lvl>
  </w:abstractNum>
  <w:abstractNum w:abstractNumId="236">
    <w:nsid w:val="680EA5D1"/>
    <w:multiLevelType w:val="hybridMultilevel"/>
    <w:lvl w:ilvl="0">
      <w:lvlJc w:val="left"/>
      <w:lvlText w:val="(%1)"/>
      <w:numFmt w:val="lowerLetter"/>
      <w:start w:val="4"/>
    </w:lvl>
  </w:abstractNum>
  <w:abstractNum w:abstractNumId="237">
    <w:nsid w:val="4A9554FE"/>
    <w:multiLevelType w:val="hybridMultilevel"/>
    <w:lvl w:ilvl="0">
      <w:lvlJc w:val="left"/>
      <w:lvlText w:val="%1."/>
      <w:numFmt w:val="decimal"/>
      <w:start w:val="5"/>
    </w:lvl>
  </w:abstractNum>
  <w:abstractNum w:abstractNumId="238">
    <w:nsid w:val="392EDBE4"/>
    <w:multiLevelType w:val="hybridMultilevel"/>
    <w:lvl w:ilvl="0">
      <w:lvlJc w:val="left"/>
      <w:lvlText w:val="(%1)"/>
      <w:numFmt w:val="lowerLetter"/>
      <w:start w:val="1"/>
    </w:lvl>
  </w:abstractNum>
  <w:abstractNum w:abstractNumId="239">
    <w:nsid w:val="3D1A2DD9"/>
    <w:multiLevelType w:val="hybridMultilevel"/>
    <w:lvl w:ilvl="0">
      <w:lvlJc w:val="left"/>
      <w:lvlText w:val="%1."/>
      <w:numFmt w:val="decimal"/>
      <w:start w:val="6"/>
    </w:lvl>
  </w:abstractNum>
  <w:abstractNum w:abstractNumId="240">
    <w:nsid w:val="7F618FCD"/>
    <w:multiLevelType w:val="hybridMultilevel"/>
    <w:lvl w:ilvl="0">
      <w:lvlJc w:val="left"/>
      <w:lvlText w:val="(%1)"/>
      <w:numFmt w:val="lowerRoman"/>
      <w:start w:val="4"/>
    </w:lvl>
  </w:abstractNum>
  <w:abstractNum w:abstractNumId="241">
    <w:nsid w:val="7843E45"/>
    <w:multiLevelType w:val="hybridMultilevel"/>
    <w:lvl w:ilvl="0">
      <w:lvlJc w:val="left"/>
      <w:lvlText w:val="(%1)"/>
      <w:numFmt w:val="lowerRoman"/>
      <w:start w:val="2"/>
    </w:lvl>
  </w:abstractNum>
  <w:abstractNum w:abstractNumId="242">
    <w:nsid w:val="9815DA3"/>
    <w:multiLevelType w:val="hybridMultilevel"/>
    <w:lvl w:ilvl="0">
      <w:lvlJc w:val="left"/>
      <w:lvlText w:val="%1."/>
      <w:numFmt w:val="decimal"/>
      <w:start w:val="1"/>
    </w:lvl>
    <w:lvl w:ilvl="1">
      <w:lvlJc w:val="left"/>
      <w:lvlText w:val="(%2)"/>
      <w:numFmt w:val="lowerLetter"/>
      <w:start w:val="1"/>
    </w:lvl>
  </w:abstractNum>
  <w:abstractNum w:abstractNumId="243">
    <w:nsid w:val="5204A191"/>
    <w:multiLevelType w:val="hybridMultilevel"/>
    <w:lvl w:ilvl="0">
      <w:lvlJc w:val="left"/>
      <w:lvlText w:val="(%1)"/>
      <w:numFmt w:val="lowerLetter"/>
      <w:start w:val="35"/>
    </w:lvl>
    <w:lvl w:ilvl="1">
      <w:lvlJc w:val="left"/>
      <w:lvlText w:val="(%2)"/>
      <w:numFmt w:val="lowerLetter"/>
      <w:start w:val="3"/>
    </w:lvl>
  </w:abstractNum>
  <w:abstractNum w:abstractNumId="244">
    <w:nsid w:val="4C73A9C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5">
    <w:nsid w:val="1C7E3C01"/>
    <w:multiLevelType w:val="hybridMultilevel"/>
    <w:lvl w:ilvl="0">
      <w:lvlJc w:val="left"/>
      <w:lvlText w:val="%1"/>
      <w:numFmt w:val="upperLetter"/>
      <w:start w:val="1"/>
    </w:lvl>
    <w:lvl w:ilvl="1">
      <w:lvlJc w:val="left"/>
      <w:lvlText w:val="(%2)"/>
      <w:numFmt w:val="lowerRoman"/>
      <w:start w:val="3"/>
    </w:lvl>
  </w:abstractNum>
  <w:abstractNum w:abstractNumId="246">
    <w:nsid w:val="1C2201FF"/>
    <w:multiLevelType w:val="hybridMultilevel"/>
    <w:lvl w:ilvl="0">
      <w:lvlJc w:val="left"/>
      <w:lvlText w:val="(%1)"/>
      <w:numFmt w:val="upperLetter"/>
      <w:start w:val="5"/>
    </w:lvl>
    <w:lvl w:ilvl="1">
      <w:lvlJc w:val="left"/>
      <w:lvlText w:val="(%2)"/>
      <w:numFmt w:val="lowerRoman"/>
      <w:start w:val="7"/>
    </w:lvl>
  </w:abstractNum>
  <w:abstractNum w:abstractNumId="247">
    <w:nsid w:val="50ABCE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48">
    <w:nsid w:val="7635AA2A"/>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249">
    <w:nsid w:val="5E74C4D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0">
    <w:nsid w:val="3B3EBE15"/>
    <w:multiLevelType w:val="hybridMultilevel"/>
    <w:lvl w:ilvl="0">
      <w:lvlJc w:val="left"/>
      <w:lvlText w:val="(%1)"/>
      <w:numFmt w:val="lowerLetter"/>
      <w:start w:val="2"/>
    </w:lvl>
  </w:abstractNum>
  <w:abstractNum w:abstractNumId="251">
    <w:nsid w:val="3822CB01"/>
    <w:multiLevelType w:val="hybridMultilevel"/>
    <w:lvl w:ilvl="0">
      <w:lvlJc w:val="left"/>
      <w:lvlText w:val="%1."/>
      <w:numFmt w:val="decimal"/>
      <w:start w:val="5"/>
    </w:lvl>
  </w:abstractNum>
  <w:abstractNum w:abstractNumId="252">
    <w:nsid w:val="6CE00443"/>
    <w:multiLevelType w:val="hybridMultilevel"/>
    <w:lvl w:ilvl="0">
      <w:lvlJc w:val="left"/>
      <w:lvlText w:val="(%1)"/>
      <w:numFmt w:val="lowerLetter"/>
      <w:start w:val="1"/>
    </w:lvl>
  </w:abstractNum>
  <w:abstractNum w:abstractNumId="253">
    <w:nsid w:val="79F0D62F"/>
    <w:multiLevelType w:val="hybridMultilevel"/>
    <w:lvl w:ilvl="0">
      <w:lvlJc w:val="left"/>
      <w:lvlText w:val="%1"/>
      <w:numFmt w:val="lowerLetter"/>
      <w:start w:val="1"/>
    </w:lvl>
    <w:lvl w:ilvl="1">
      <w:lvlJc w:val="left"/>
      <w:lvlText w:val="(%2)"/>
      <w:numFmt w:val="lowerRoman"/>
      <w:start w:val="1"/>
    </w:lvl>
  </w:abstractNum>
  <w:abstractNum w:abstractNumId="254">
    <w:nsid w:val="7975E8EE"/>
    <w:multiLevelType w:val="hybridMultilevel"/>
    <w:lvl w:ilvl="0">
      <w:lvlJc w:val="left"/>
      <w:lvlText w:val="(%1)"/>
      <w:numFmt w:val="lowerLetter"/>
      <w:start w:val="4"/>
    </w:lvl>
    <w:lvl w:ilvl="1">
      <w:lvlJc w:val="left"/>
      <w:lvlText w:val="%2"/>
      <w:numFmt w:val="lowerRoman"/>
      <w:start w:val="1"/>
    </w:lvl>
  </w:abstractNum>
  <w:abstractNum w:abstractNumId="255">
    <w:nsid w:val="73154115"/>
    <w:multiLevelType w:val="hybridMultilevel"/>
    <w:lvl w:ilvl="0">
      <w:lvlJc w:val="left"/>
      <w:lvlText w:val="(%1)"/>
      <w:numFmt w:val="lowerLetter"/>
      <w:start w:val="5"/>
    </w:lvl>
    <w:lvl w:ilvl="1">
      <w:lvlJc w:val="left"/>
      <w:lvlText w:val="(%2)"/>
      <w:numFmt w:val="lowerRoman"/>
      <w:start w:val="1"/>
    </w:lvl>
  </w:abstractNum>
  <w:abstractNum w:abstractNumId="256">
    <w:nsid w:val="622D8102"/>
    <w:multiLevelType w:val="hybridMultilevel"/>
    <w:lvl w:ilvl="0">
      <w:lvlJc w:val="left"/>
      <w:lvlText w:val="(%1)"/>
      <w:numFmt w:val="lowerLetter"/>
      <w:start w:val="9"/>
    </w:lvl>
  </w:abstractNum>
  <w:abstractNum w:abstractNumId="257">
    <w:nsid w:val="2AB26587"/>
    <w:multiLevelType w:val="hybridMultilevel"/>
    <w:lvl w:ilvl="0">
      <w:lvlJc w:val="left"/>
      <w:lvlText w:val="%1"/>
      <w:numFmt w:val="decimal"/>
      <w:start w:val="1"/>
    </w:lvl>
    <w:lvl w:ilvl="1">
      <w:lvlJc w:val="left"/>
      <w:lvlText w:val="(%2)"/>
      <w:numFmt w:val="lowerLetter"/>
      <w:start w:val="13"/>
    </w:lvl>
  </w:abstractNum>
  <w:abstractNum w:abstractNumId="258">
    <w:nsid w:val="44B3FA61"/>
    <w:multiLevelType w:val="hybridMultilevel"/>
    <w:lvl w:ilvl="0">
      <w:lvlJc w:val="left"/>
      <w:lvlText w:val="%1."/>
      <w:numFmt w:val="decimal"/>
      <w:start w:val="6"/>
    </w:lvl>
    <w:lvl w:ilvl="1">
      <w:lvlJc w:val="left"/>
      <w:lvlText w:val="(%2)"/>
      <w:numFmt w:val="lowerLetter"/>
      <w:start w:val="1"/>
    </w:lvl>
  </w:abstractNum>
  <w:abstractNum w:abstractNumId="259">
    <w:nsid w:val="1C0CA67C"/>
    <w:multiLevelType w:val="hybridMultilevel"/>
    <w:lvl w:ilvl="0">
      <w:lvlJc w:val="left"/>
      <w:lvlText w:val="%1"/>
      <w:numFmt w:val="lowerLetter"/>
      <w:start w:val="1"/>
    </w:lvl>
    <w:lvl w:ilvl="1">
      <w:lvlJc w:val="left"/>
      <w:lvlText w:val="(%2)"/>
      <w:numFmt w:val="lowerRoman"/>
      <w:start w:val="1"/>
    </w:lvl>
  </w:abstractNum>
  <w:abstractNum w:abstractNumId="260">
    <w:nsid w:val="3D206613"/>
    <w:multiLevelType w:val="hybridMultilevel"/>
    <w:lvl w:ilvl="0">
      <w:lvlJc w:val="left"/>
      <w:lvlText w:val="(%1)"/>
      <w:numFmt w:val="lowerLetter"/>
      <w:start w:val="2"/>
    </w:lvl>
    <w:lvl w:ilvl="1">
      <w:lvlJc w:val="left"/>
      <w:lvlText w:val="(%2)"/>
      <w:numFmt w:val="lowerRoman"/>
      <w:start w:val="1"/>
    </w:lvl>
  </w:abstractNum>
  <w:abstractNum w:abstractNumId="261">
    <w:nsid w:val="7993B66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62">
    <w:nsid w:val="3BAB699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3">
    <w:nsid w:val="7131536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4">
    <w:nsid w:val="7BCFBAFC"/>
    <w:multiLevelType w:val="hybridMultilevel"/>
    <w:lvl w:ilvl="0">
      <w:lvlJc w:val="left"/>
      <w:lvlText w:val="%1"/>
      <w:numFmt w:val="decimal"/>
      <w:start w:val="1"/>
    </w:lvl>
    <w:lvl w:ilvl="1">
      <w:lvlJc w:val="left"/>
      <w:lvlText w:val="(%2)"/>
      <w:numFmt w:val="lowerLetter"/>
      <w:start w:val="2"/>
    </w:lvl>
  </w:abstractNum>
  <w:abstractNum w:abstractNumId="265">
    <w:nsid w:val="17859F72"/>
    <w:multiLevelType w:val="hybridMultilevel"/>
    <w:lvl w:ilvl="0">
      <w:lvlJc w:val="left"/>
      <w:lvlText w:val="%1."/>
      <w:numFmt w:val="decimal"/>
      <w:start w:val="8"/>
    </w:lvl>
    <w:lvl w:ilvl="1">
      <w:lvlJc w:val="left"/>
      <w:lvlText w:val="(%2)"/>
      <w:numFmt w:val="lowerLetter"/>
      <w:start w:val="1"/>
    </w:lvl>
  </w:abstractNum>
  <w:abstractNum w:abstractNumId="266">
    <w:nsid w:val="3AA10581"/>
    <w:multiLevelType w:val="hybridMultilevel"/>
    <w:lvl w:ilvl="0">
      <w:lvlJc w:val="left"/>
      <w:lvlText w:val="(%1)"/>
      <w:numFmt w:val="lowerLetter"/>
      <w:start w:val="4"/>
    </w:lvl>
  </w:abstractNum>
  <w:abstractNum w:abstractNumId="267">
    <w:nsid w:val="63DE60CD"/>
    <w:multiLevelType w:val="hybridMultilevel"/>
    <w:lvl w:ilvl="0">
      <w:lvlJc w:val="left"/>
      <w:lvlText w:val="(%1)"/>
      <w:numFmt w:val="lowerLetter"/>
      <w:start w:val="8"/>
    </w:lvl>
  </w:abstractNum>
  <w:abstractNum w:abstractNumId="268">
    <w:nsid w:val="621AF47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69">
    <w:nsid w:val="73CFE165"/>
    <w:multiLevelType w:val="hybridMultilevel"/>
    <w:lvl w:ilvl="0">
      <w:lvlJc w:val="left"/>
      <w:lvlText w:val="(%1)"/>
      <w:numFmt w:val="lowerRoman"/>
      <w:start w:val="4"/>
    </w:lvl>
  </w:abstractNum>
  <w:abstractNum w:abstractNumId="270">
    <w:nsid w:val="20F88EA6"/>
    <w:multiLevelType w:val="hybridMultilevel"/>
    <w:lvl w:ilvl="0">
      <w:lvlJc w:val="left"/>
      <w:lvlText w:val="(%1)"/>
      <w:numFmt w:val="lowerRoman"/>
      <w:start w:val="5"/>
    </w:lvl>
  </w:abstractNum>
  <w:abstractNum w:abstractNumId="271">
    <w:nsid w:val="617C843E"/>
    <w:multiLevelType w:val="hybridMultilevel"/>
    <w:lvl w:ilvl="0">
      <w:lvlJc w:val="left"/>
      <w:lvlText w:val="%1"/>
      <w:numFmt w:val="decimal"/>
      <w:start w:val="1"/>
    </w:lvl>
    <w:lvl w:ilvl="1">
      <w:lvlJc w:val="left"/>
      <w:lvlText w:val="(%2)"/>
      <w:numFmt w:val="lowerLetter"/>
      <w:start w:val="4"/>
    </w:lvl>
  </w:abstractNum>
  <w:abstractNum w:abstractNumId="272">
    <w:nsid w:val="7B541FAB"/>
    <w:multiLevelType w:val="hybridMultilevel"/>
    <w:lvl w:ilvl="0">
      <w:lvlJc w:val="left"/>
      <w:lvlText w:val="%1."/>
      <w:numFmt w:val="decimal"/>
      <w:start w:val="10"/>
    </w:lvl>
    <w:lvl w:ilvl="1">
      <w:lvlJc w:val="left"/>
      <w:lvlText w:val="(%2)"/>
      <w:numFmt w:val="lowerLetter"/>
      <w:start w:val="1"/>
    </w:lvl>
  </w:abstractNum>
  <w:abstractNum w:abstractNumId="273">
    <w:nsid w:val="2A79EC49"/>
    <w:multiLevelType w:val="hybridMultilevel"/>
    <w:lvl w:ilvl="0">
      <w:lvlJc w:val="left"/>
      <w:lvlText w:val="%1."/>
      <w:numFmt w:val="decimal"/>
      <w:start w:val="12"/>
    </w:lvl>
  </w:abstractNum>
  <w:abstractNum w:abstractNumId="274">
    <w:nsid w:val="338125CF"/>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275">
    <w:nsid w:val="47C7C971"/>
    <w:multiLevelType w:val="hybridMultilevel"/>
    <w:lvl w:ilvl="0">
      <w:lvlJc w:val="left"/>
      <w:lvlText w:val="(%1)"/>
      <w:numFmt w:val="lowerRoman"/>
      <w:start w:val="2"/>
    </w:lvl>
  </w:abstractNum>
  <w:abstractNum w:abstractNumId="276">
    <w:nsid w:val="46F8284B"/>
    <w:multiLevelType w:val="hybridMultilevel"/>
    <w:lvl w:ilvl="0">
      <w:lvlJc w:val="left"/>
      <w:lvlText w:val="(%1)"/>
      <w:numFmt w:val="lowerLetter"/>
      <w:start w:val="6"/>
    </w:lvl>
  </w:abstractNum>
  <w:abstractNum w:abstractNumId="277">
    <w:nsid w:val="4FA327CE"/>
    <w:multiLevelType w:val="hybridMultilevel"/>
    <w:lvl w:ilvl="0">
      <w:lvlJc w:val="left"/>
      <w:lvlText w:val="(%1)"/>
      <w:numFmt w:val="lowerLetter"/>
      <w:start w:val="11"/>
    </w:lvl>
    <w:lvl w:ilvl="1">
      <w:lvlJc w:val="left"/>
      <w:lvlText w:val="(%2)"/>
      <w:numFmt w:val="lowerRoman"/>
      <w:start w:val="1"/>
    </w:lvl>
  </w:abstractNum>
  <w:abstractNum w:abstractNumId="278">
    <w:nsid w:val="1873983A"/>
    <w:multiLevelType w:val="hybridMultilevel"/>
    <w:lvl w:ilvl="0">
      <w:lvlJc w:val="left"/>
      <w:lvlText w:val="(%1)"/>
      <w:numFmt w:val="lowerLetter"/>
      <w:start w:val="16"/>
    </w:lvl>
  </w:abstractNum>
  <w:abstractNum w:abstractNumId="279">
    <w:nsid w:val="3D2DD275"/>
    <w:multiLevelType w:val="hybridMultilevel"/>
    <w:lvl w:ilvl="0">
      <w:lvlJc w:val="left"/>
      <w:lvlText w:val="(%1)"/>
      <w:numFmt w:val="lowerLetter"/>
      <w:start w:val="27"/>
    </w:lvl>
  </w:abstractNum>
  <w:abstractNum w:abstractNumId="280">
    <w:nsid w:val="2E17ECA7"/>
    <w:multiLevelType w:val="hybridMultilevel"/>
    <w:lvl w:ilvl="0">
      <w:lvlJc w:val="left"/>
      <w:lvlText w:val="(%1)"/>
      <w:numFmt w:val="lowerLetter"/>
      <w:start w:val="29"/>
    </w:lvl>
  </w:abstractNum>
  <w:abstractNum w:abstractNumId="281">
    <w:nsid w:val="53B2564F"/>
    <w:multiLevelType w:val="hybridMultilevel"/>
    <w:lvl w:ilvl="0">
      <w:lvlJc w:val="left"/>
      <w:lvlText w:val="(%1)"/>
      <w:numFmt w:val="lowerLetter"/>
      <w:start w:val="33"/>
    </w:lvl>
  </w:abstractNum>
  <w:abstractNum w:abstractNumId="282">
    <w:nsid w:val="75509D76"/>
    <w:multiLevelType w:val="hybridMultilevel"/>
    <w:lvl w:ilvl="0">
      <w:lvlJc w:val="left"/>
      <w:lvlText w:val="(%1)"/>
      <w:numFmt w:val="lowerLetter"/>
      <w:start w:val="44"/>
    </w:lvl>
  </w:abstractNum>
  <w:abstractNum w:abstractNumId="283">
    <w:nsid w:val="1AF7F0EA"/>
    <w:multiLevelType w:val="hybridMultilevel"/>
    <w:lvl w:ilvl="0">
      <w:lvlJc w:val="left"/>
      <w:lvlText w:val="%1."/>
      <w:numFmt w:val="upperLetter"/>
      <w:start w:val="1"/>
    </w:lvl>
  </w:abstractNum>
  <w:abstractNum w:abstractNumId="284">
    <w:nsid w:val="4DA32C7E"/>
    <w:multiLevelType w:val="hybridMultilevel"/>
    <w:lvl w:ilvl="0">
      <w:lvlJc w:val="left"/>
      <w:lvlText w:val="%1."/>
      <w:numFmt w:val="decimal"/>
      <w:start w:val="1"/>
    </w:lvl>
  </w:abstractNum>
  <w:abstractNum w:abstractNumId="285">
    <w:nsid w:val="6EC68664"/>
    <w:multiLevelType w:val="hybridMultilevel"/>
    <w:lvl w:ilvl="0">
      <w:lvlJc w:val="left"/>
      <w:lvlText w:val="%1."/>
      <w:numFmt w:val="upperLetter"/>
      <w:start w:val="1"/>
    </w:lvl>
  </w:abstractNum>
  <w:abstractNum w:abstractNumId="286">
    <w:nsid w:val="E0D31FF"/>
    <w:multiLevelType w:val="hybridMultilevel"/>
    <w:lvl w:ilvl="0">
      <w:lvlJc w:val="left"/>
      <w:lvlText w:val="%1."/>
      <w:numFmt w:val="decimal"/>
      <w:start w:val="1"/>
    </w:lvl>
  </w:abstractNum>
  <w:abstractNum w:abstractNumId="287">
    <w:nsid w:val="2FD0AD81"/>
    <w:multiLevelType w:val="hybridMultilevel"/>
    <w:lvl w:ilvl="0">
      <w:lvlJc w:val="left"/>
      <w:lvlText w:val="%1."/>
      <w:numFmt w:val="upperLetter"/>
      <w:start w:val="1"/>
    </w:lvl>
  </w:abstractNum>
  <w:abstractNum w:abstractNumId="288">
    <w:nsid w:val="1978EBEB"/>
    <w:multiLevelType w:val="hybridMultilevel"/>
    <w:lvl w:ilvl="0">
      <w:lvlJc w:val="left"/>
      <w:lvlText w:val="%1."/>
      <w:numFmt w:val="decimal"/>
      <w:start w:val="1"/>
    </w:lvl>
  </w:abstractNum>
  <w:abstractNum w:abstractNumId="289">
    <w:nsid w:val="52C12C61"/>
    <w:multiLevelType w:val="hybridMultilevel"/>
    <w:lvl w:ilvl="0">
      <w:lvlJc w:val="left"/>
      <w:lvlText w:val="%1."/>
      <w:numFmt w:val="upperLetter"/>
      <w:start w:val="1"/>
    </w:lvl>
  </w:abstractNum>
  <w:abstractNum w:abstractNumId="290">
    <w:nsid w:val="4BDD53FD"/>
    <w:multiLevelType w:val="hybridMultilevel"/>
    <w:lvl w:ilvl="0">
      <w:lvlJc w:val="left"/>
      <w:lvlText w:val="%1."/>
      <w:numFmt w:val="decimal"/>
      <w:start w:val="1"/>
    </w:lvl>
  </w:abstractNum>
  <w:abstractNum w:abstractNumId="291">
    <w:nsid w:val="569951FE"/>
    <w:multiLevelType w:val="hybridMultilevel"/>
    <w:lvl w:ilvl="0">
      <w:lvlJc w:val="left"/>
      <w:lvlText w:val="%1."/>
      <w:numFmt w:val="upperLetter"/>
      <w:start w:val="1"/>
    </w:lvl>
  </w:abstractNum>
  <w:abstractNum w:abstractNumId="292">
    <w:nsid w:val="4C54E2C3"/>
    <w:multiLevelType w:val="hybridMultilevel"/>
    <w:lvl w:ilvl="0">
      <w:lvlJc w:val="left"/>
      <w:lvlText w:val="%1."/>
      <w:numFmt w:val="decimal"/>
      <w:start w:val="1"/>
    </w:lvl>
  </w:abstractNum>
  <w:abstractNum w:abstractNumId="293">
    <w:nsid w:val="788BD9B"/>
    <w:multiLevelType w:val="hybridMultilevel"/>
    <w:lvl w:ilvl="0">
      <w:lvlJc w:val="left"/>
      <w:lvlText w:val="☒"/>
      <w:numFmt w:val="bullet"/>
      <w:start w:val="1"/>
    </w:lvl>
  </w:abstractNum>
  <w:abstractNum w:abstractNumId="294">
    <w:nsid w:val="47CAA567"/>
    <w:multiLevelType w:val="hybridMultilevel"/>
    <w:lvl w:ilvl="0">
      <w:lvlJc w:val="left"/>
      <w:lvlText w:val="%1"/>
      <w:numFmt w:val="decimal"/>
      <w:start w:val="1"/>
    </w:lvl>
    <w:lvl w:ilvl="1">
      <w:lvlJc w:val="left"/>
      <w:lvlText w:val="☐"/>
      <w:numFmt w:val="bullet"/>
      <w:start w:val="1"/>
    </w:lvl>
  </w:abstractNum>
  <w:abstractNum w:abstractNumId="295">
    <w:nsid w:val="48249DBF"/>
    <w:multiLevelType w:val="hybridMultilevel"/>
    <w:lvl w:ilvl="0">
      <w:lvlJc w:val="left"/>
      <w:lvlText w:val="%1."/>
      <w:numFmt w:val="decimal"/>
      <w:start w:val="1"/>
    </w:lvl>
    <w:lvl w:ilvl="1">
      <w:lvlJc w:val="left"/>
      <w:lvlText w:val="(%2)"/>
      <w:numFmt w:val="lowerLetter"/>
      <w:start w:val="1"/>
    </w:lvl>
  </w:abstractNum>
  <w:abstractNum w:abstractNumId="296">
    <w:nsid w:val="1F0E5D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97">
    <w:nsid w:val="26BAAE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98">
    <w:nsid w:val="2C02FE8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99">
    <w:nsid w:val="129517E"/>
    <w:multiLevelType w:val="hybridMultilevel"/>
    <w:lvl w:ilvl="0">
      <w:lvlJc w:val="left"/>
      <w:lvlText w:val="%1"/>
      <w:numFmt w:val="decimal"/>
      <w:start w:val="1"/>
    </w:lvl>
    <w:lvl w:ilvl="1">
      <w:lvlJc w:val="left"/>
      <w:lvlText w:val="(%2)"/>
      <w:numFmt w:val="lowerLetter"/>
      <w:start w:val="5"/>
    </w:lvl>
  </w:abstractNum>
  <w:abstractNum w:abstractNumId="300">
    <w:nsid w:val="763B8C4E"/>
    <w:multiLevelType w:val="hybridMultilevel"/>
    <w:lvl w:ilvl="0">
      <w:lvlJc w:val="left"/>
      <w:lvlText w:val="%1."/>
      <w:numFmt w:val="decimal"/>
      <w:start w:val="6"/>
    </w:lvl>
    <w:lvl w:ilvl="1">
      <w:lvlJc w:val="left"/>
      <w:lvlText w:val="(%2)"/>
      <w:numFmt w:val="lowerLetter"/>
      <w:start w:val="1"/>
    </w:lvl>
  </w:abstractNum>
  <w:abstractNum w:abstractNumId="301">
    <w:nsid w:val="4CFB8D32"/>
    <w:multiLevelType w:val="hybridMultilevel"/>
    <w:lvl w:ilvl="0">
      <w:lvlJc w:val="left"/>
      <w:lvlText w:val="(%1)"/>
      <w:numFmt w:val="upperLetter"/>
      <w:start w:val="1"/>
    </w:lvl>
    <w:lvl w:ilvl="1">
      <w:lvlJc w:val="left"/>
      <w:lvlText w:val="(%2)"/>
      <w:numFmt w:val="lowerLetter"/>
      <w:start w:val="3"/>
    </w:lvl>
  </w:abstractNum>
  <w:abstractNum w:abstractNumId="302">
    <w:nsid w:val="62A5D5BD"/>
    <w:multiLevelType w:val="hybridMultilevel"/>
    <w:lvl w:ilvl="0">
      <w:lvlJc w:val="left"/>
      <w:lvlText w:val="%1."/>
      <w:numFmt w:val="decimal"/>
      <w:start w:val="9"/>
    </w:lvl>
    <w:lvl w:ilvl="1">
      <w:lvlJc w:val="left"/>
      <w:lvlText w:val="(%2)"/>
      <w:numFmt w:val="lowerLetter"/>
      <w:start w:val="1"/>
    </w:lvl>
  </w:abstractNum>
  <w:abstractNum w:abstractNumId="303">
    <w:nsid w:val="718FABF9"/>
    <w:multiLevelType w:val="hybridMultilevel"/>
    <w:lvl w:ilvl="0">
      <w:lvlJc w:val="left"/>
      <w:lvlText w:val="%1."/>
      <w:numFmt w:val="decimal"/>
      <w:start w:val="10"/>
    </w:lvl>
    <w:lvl w:ilvl="1">
      <w:lvlJc w:val="left"/>
      <w:lvlText w:val="(%2)"/>
      <w:numFmt w:val="lowerLetter"/>
      <w:start w:val="1"/>
    </w:lvl>
  </w:abstractNum>
  <w:abstractNum w:abstractNumId="304">
    <w:nsid w:val="7775797C"/>
    <w:multiLevelType w:val="hybridMultilevel"/>
    <w:lvl w:ilvl="0">
      <w:lvlJc w:val="left"/>
      <w:lvlText w:val="%1"/>
      <w:numFmt w:val="decimal"/>
      <w:start w:val="1"/>
    </w:lvl>
    <w:lvl w:ilvl="1">
      <w:lvlJc w:val="left"/>
      <w:lvlText w:val="(%2)"/>
      <w:numFmt w:val="lowerLetter"/>
      <w:start w:val="2"/>
    </w:lvl>
  </w:abstractNum>
  <w:abstractNum w:abstractNumId="305">
    <w:nsid w:val="1626FB8C"/>
    <w:multiLevelType w:val="hybridMultilevel"/>
    <w:lvl w:ilvl="0">
      <w:lvlJc w:val="left"/>
      <w:lvlText w:val="%1."/>
      <w:numFmt w:val="decimal"/>
      <w:start w:val="14"/>
    </w:lvl>
    <w:lvl w:ilvl="1">
      <w:lvlJc w:val="left"/>
      <w:lvlText w:val="%2"/>
      <w:numFmt w:val="lowerLetter"/>
      <w:start w:val="1"/>
    </w:lvl>
  </w:abstractNum>
  <w:abstractNum w:abstractNumId="306">
    <w:nsid w:val="3957756A"/>
    <w:multiLevelType w:val="hybridMultilevel"/>
    <w:lvl w:ilvl="0">
      <w:lvlJc w:val="left"/>
      <w:lvlText w:val="%1."/>
      <w:numFmt w:val="decimal"/>
      <w:start w:val="16"/>
    </w:lvl>
  </w:abstractNum>
  <w:abstractNum w:abstractNumId="307">
    <w:nsid w:val="3E6DA1C7"/>
    <w:multiLevelType w:val="hybridMultilevel"/>
    <w:lvl w:ilvl="0">
      <w:lvlJc w:val="left"/>
      <w:lvlText w:val="(%1)"/>
      <w:numFmt w:val="lowerRoman"/>
      <w:start w:val="2"/>
    </w:lvl>
  </w:abstractNum>
  <w:abstractNum w:abstractNumId="308">
    <w:nsid w:val="65CA235B"/>
    <w:multiLevelType w:val="hybridMultilevel"/>
    <w:lvl w:ilvl="0">
      <w:lvlJc w:val="left"/>
      <w:lvlText w:val="2"/>
      <w:numFmt w:val="bullet"/>
      <w:start w:val="1"/>
    </w:lvl>
  </w:abstractNum>
  <w:abstractNum w:abstractNumId="309">
    <w:nsid w:val="51CB0DA4"/>
    <w:multiLevelType w:val="hybridMultilevel"/>
    <w:lvl w:ilvl="0">
      <w:lvlJc w:val="left"/>
      <w:lvlText w:val="3"/>
      <w:numFmt w:val="bullet"/>
      <w:start w:val="1"/>
    </w:lvl>
  </w:abstractNum>
  <w:abstractNum w:abstractNumId="310">
    <w:nsid w:val="7B9B743C"/>
    <w:multiLevelType w:val="hybridMultilevel"/>
    <w:lvl w:ilvl="0">
      <w:lvlJc w:val="left"/>
      <w:lvlText w:val="%1."/>
      <w:numFmt w:val="decimal"/>
      <w:start w:val="1"/>
    </w:lvl>
  </w:abstractNum>
  <w:abstractNum w:abstractNumId="311">
    <w:nsid w:val="13E21002"/>
    <w:multiLevelType w:val="hybridMultilevel"/>
    <w:lvl w:ilvl="0">
      <w:lvlJc w:val="left"/>
      <w:lvlText w:val="%1."/>
      <w:numFmt w:val="decimal"/>
      <w:start w:val="2"/>
    </w:lvl>
  </w:abstractNum>
  <w:abstractNum w:abstractNumId="312">
    <w:nsid w:val="257D63F4"/>
    <w:multiLevelType w:val="hybridMultilevel"/>
    <w:lvl w:ilvl="0">
      <w:lvlJc w:val="left"/>
      <w:lvlText w:val="(%1)"/>
      <w:numFmt w:val="lowerLetter"/>
      <w:start w:val="1"/>
    </w:lvl>
  </w:abstractNum>
  <w:abstractNum w:abstractNumId="313">
    <w:nsid w:val="70EC11B2"/>
    <w:multiLevelType w:val="hybridMultilevel"/>
    <w:lvl w:ilvl="0">
      <w:lvlJc w:val="left"/>
      <w:lvlText w:val="%1."/>
      <w:numFmt w:val="decimal"/>
      <w:start w:val="3"/>
    </w:lvl>
  </w:abstractNum>
  <w:abstractNum w:abstractNumId="314">
    <w:nsid w:val="2EDA00ED"/>
    <w:multiLevelType w:val="hybridMultilevel"/>
    <w:lvl w:ilvl="0">
      <w:lvlJc w:val="left"/>
      <w:lvlText w:val="%1."/>
      <w:numFmt w:val="decimal"/>
      <w:start w:val="4"/>
    </w:lvl>
  </w:abstractNum>
  <w:abstractNum w:abstractNumId="315">
    <w:nsid w:val="73209072"/>
    <w:multiLevelType w:val="hybridMultilevel"/>
    <w:lvl w:ilvl="0">
      <w:lvlJc w:val="left"/>
      <w:lvlText w:val="(%1)"/>
      <w:numFmt w:val="lowerLetter"/>
      <w:start w:val="1"/>
    </w:lvl>
  </w:abstractNum>
  <w:abstractNum w:abstractNumId="316">
    <w:nsid w:val="5FB2981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7">
    <w:nsid w:val="3CE732EC"/>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318">
    <w:nsid w:val="22F13DF3"/>
    <w:multiLevelType w:val="hybridMultilevel"/>
    <w:lvl w:ilvl="0">
      <w:lvlJc w:val="left"/>
      <w:lvlText w:val="(%1)"/>
      <w:numFmt w:val="lowerLetter"/>
      <w:start w:val="4"/>
    </w:lvl>
  </w:abstractNum>
  <w:abstractNum w:abstractNumId="319">
    <w:nsid w:val="792B8401"/>
    <w:multiLevelType w:val="hybridMultilevel"/>
    <w:lvl w:ilvl="0">
      <w:lvlJc w:val="left"/>
      <w:lvlText w:val="(%1)"/>
      <w:numFmt w:val="decimal"/>
      <w:start w:val="3"/>
    </w:lvl>
    <w:lvl w:ilvl="1">
      <w:lvlJc w:val="left"/>
      <w:lvlText w:val="(%2)"/>
      <w:numFmt w:val="lowerLetter"/>
      <w:start w:val="1"/>
    </w:lvl>
  </w:abstractNum>
  <w:abstractNum w:abstractNumId="320">
    <w:nsid w:val="FA85F4D"/>
    <w:multiLevelType w:val="hybridMultilevel"/>
    <w:lvl w:ilvl="0">
      <w:lvlJc w:val="left"/>
      <w:lvlText w:val="(%1)"/>
      <w:numFmt w:val="lowerLetter"/>
      <w:start w:val="1"/>
    </w:lvl>
  </w:abstractNum>
  <w:abstractNum w:abstractNumId="321">
    <w:nsid w:val="6ECE91F0"/>
    <w:multiLevelType w:val="hybridMultilevel"/>
    <w:lvl w:ilvl="0">
      <w:lvlJc w:val="left"/>
      <w:lvlText w:val="(%1)"/>
      <w:numFmt w:val="lowerLetter"/>
      <w:start w:val="1"/>
    </w:lvl>
  </w:abstractNum>
  <w:abstractNum w:abstractNumId="322">
    <w:nsid w:val="4FC4D600"/>
    <w:multiLevelType w:val="hybridMultilevel"/>
    <w:lvl w:ilvl="0">
      <w:lvlJc w:val="left"/>
      <w:lvlText w:val="(%1)"/>
      <w:numFmt w:val="lowerLetter"/>
      <w:start w:val="2"/>
    </w:lvl>
  </w:abstractNum>
  <w:abstractNum w:abstractNumId="323">
    <w:nsid w:val="5BFD4210"/>
    <w:multiLevelType w:val="hybridMultilevel"/>
    <w:lvl w:ilvl="0">
      <w:lvlJc w:val="left"/>
      <w:lvlText w:val="(%1)"/>
      <w:numFmt w:val="lowerLetter"/>
      <w:start w:val="1"/>
    </w:lvl>
  </w:abstractNum>
  <w:abstractNum w:abstractNumId="324">
    <w:nsid w:val="76574F8B"/>
    <w:multiLevelType w:val="hybridMultilevel"/>
    <w:lvl w:ilvl="0">
      <w:lvlJc w:val="left"/>
      <w:lvlText w:val="(%1)"/>
      <w:numFmt w:val="lowerLetter"/>
      <w:start w:val="1"/>
    </w:lvl>
    <w:lvl w:ilvl="1">
      <w:lvlJc w:val="left"/>
      <w:lvlText w:val="(%2)"/>
      <w:numFmt w:val="lowerRoman"/>
      <w:start w:val="1"/>
    </w:lvl>
  </w:abstractNum>
  <w:abstractNum w:abstractNumId="325">
    <w:nsid w:val="178F7B67"/>
    <w:multiLevelType w:val="hybridMultilevel"/>
    <w:lvl w:ilvl="0">
      <w:lvlJc w:val="left"/>
      <w:lvlText w:val="(%1)"/>
      <w:numFmt w:val="lowerLetter"/>
      <w:start w:val="2"/>
    </w:lvl>
  </w:abstractNum>
  <w:abstractNum w:abstractNumId="326">
    <w:nsid w:val="2421DFCF"/>
    <w:multiLevelType w:val="hybridMultilevel"/>
    <w:lvl w:ilvl="0">
      <w:lvlJc w:val="left"/>
      <w:lvlText w:val="%1"/>
      <w:numFmt w:val="decimal"/>
      <w:start w:val="1"/>
    </w:lvl>
    <w:lvl w:ilvl="1">
      <w:lvlJc w:val="left"/>
      <w:lvlText w:val="(%2)"/>
      <w:numFmt w:val="lowerLetter"/>
      <w:start w:val="1"/>
    </w:lvl>
  </w:abstractNum>
  <w:abstractNum w:abstractNumId="327">
    <w:nsid w:val="1565AC99"/>
    <w:multiLevelType w:val="hybridMultilevel"/>
    <w:lvl w:ilvl="0">
      <w:lvlJc w:val="left"/>
      <w:lvlText w:val="%1."/>
      <w:numFmt w:val="decimal"/>
      <w:start w:val="7"/>
    </w:lvl>
    <w:lvl w:ilvl="1">
      <w:lvlJc w:val="left"/>
      <w:lvlText w:val="%2"/>
      <w:numFmt w:val="lowerLetter"/>
      <w:start w:val="1"/>
    </w:lvl>
  </w:abstractNum>
  <w:abstractNum w:abstractNumId="328">
    <w:nsid w:val="19FB26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2021-06-04T05:23:01Z</dcterms:created>
  <dcterms:modified xsi:type="dcterms:W3CDTF">2021-06-04T05:23:01Z</dcterms:modified>
</cp:coreProperties>
</file>