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confidentially submitted to the Securities and Exchange Commission on April 14, 2021.</w:t>
      </w:r>
    </w:p>
    <w:p>
      <w:pPr>
        <w:spacing w:after="0" w:line="15" w:lineRule="exact"/>
        <w:rPr>
          <w:sz w:val="24"/>
          <w:szCs w:val="24"/>
          <w:color w:val="auto"/>
        </w:rPr>
      </w:pPr>
    </w:p>
    <w:p>
      <w:pPr>
        <w:ind w:left="9340" w:right="320" w:hanging="8902"/>
        <w:spacing w:after="0" w:line="258" w:lineRule="auto"/>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Xometry, Inc.</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111125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4" w:lineRule="exact"/>
        <w:rPr>
          <w:sz w:val="24"/>
          <w:szCs w:val="24"/>
          <w:color w:val="auto"/>
        </w:rPr>
      </w:pPr>
    </w:p>
    <w:tbl>
      <w:tblPr>
        <w:tblLayout w:type="fixed"/>
        <w:tblInd w:w="1080" w:type="dxa"/>
        <w:tblCellMar>
          <w:top w:w="0" w:type="dxa"/>
          <w:left w:w="0" w:type="dxa"/>
          <w:bottom w:w="0" w:type="dxa"/>
          <w:right w:w="0" w:type="dxa"/>
        </w:tblCellMar>
      </w:tblPr>
      <w:tr>
        <w:trPr>
          <w:trHeight w:val="149"/>
        </w:trPr>
        <w:tc>
          <w:tcPr>
            <w:tcW w:w="2800" w:type="dxa"/>
            <w:vAlign w:val="bottom"/>
          </w:tcPr>
          <w:p>
            <w:pPr>
              <w:jc w:val="center"/>
              <w:ind w:right="936"/>
              <w:spacing w:after="0"/>
              <w:rPr>
                <w:sz w:val="20"/>
                <w:szCs w:val="20"/>
                <w:color w:val="auto"/>
              </w:rPr>
            </w:pPr>
            <w:r>
              <w:rPr>
                <w:rFonts w:ascii="Arial" w:cs="Arial" w:eastAsia="Arial" w:hAnsi="Arial"/>
                <w:sz w:val="13"/>
                <w:szCs w:val="13"/>
                <w:b w:val="1"/>
                <w:bCs w:val="1"/>
                <w:color w:val="auto"/>
              </w:rPr>
              <w:t>Delaware</w:t>
            </w:r>
          </w:p>
        </w:tc>
        <w:tc>
          <w:tcPr>
            <w:tcW w:w="3780" w:type="dxa"/>
            <w:vAlign w:val="bottom"/>
          </w:tcPr>
          <w:p>
            <w:pPr>
              <w:jc w:val="center"/>
              <w:ind w:right="16"/>
              <w:spacing w:after="0"/>
              <w:rPr>
                <w:sz w:val="20"/>
                <w:szCs w:val="20"/>
                <w:color w:val="auto"/>
              </w:rPr>
            </w:pPr>
            <w:r>
              <w:rPr>
                <w:rFonts w:ascii="Arial" w:cs="Arial" w:eastAsia="Arial" w:hAnsi="Arial"/>
                <w:sz w:val="13"/>
                <w:szCs w:val="13"/>
                <w:b w:val="1"/>
                <w:bCs w:val="1"/>
                <w:color w:val="auto"/>
              </w:rPr>
              <w:t>7389</w:t>
            </w:r>
          </w:p>
        </w:tc>
        <w:tc>
          <w:tcPr>
            <w:tcW w:w="2380" w:type="dxa"/>
            <w:vAlign w:val="bottom"/>
          </w:tcPr>
          <w:p>
            <w:pPr>
              <w:jc w:val="center"/>
              <w:ind w:left="996"/>
              <w:spacing w:after="0"/>
              <w:rPr>
                <w:sz w:val="20"/>
                <w:szCs w:val="20"/>
                <w:color w:val="auto"/>
              </w:rPr>
            </w:pPr>
            <w:r>
              <w:rPr>
                <w:rFonts w:ascii="Arial" w:cs="Arial" w:eastAsia="Arial" w:hAnsi="Arial"/>
                <w:sz w:val="13"/>
                <w:szCs w:val="13"/>
                <w:b w:val="1"/>
                <w:bCs w:val="1"/>
                <w:color w:val="auto"/>
              </w:rPr>
              <w:t>32-0415449</w:t>
            </w:r>
          </w:p>
        </w:tc>
      </w:tr>
      <w:tr>
        <w:trPr>
          <w:trHeight w:val="135"/>
        </w:trPr>
        <w:tc>
          <w:tcPr>
            <w:tcW w:w="2800" w:type="dxa"/>
            <w:vAlign w:val="bottom"/>
          </w:tcPr>
          <w:p>
            <w:pPr>
              <w:jc w:val="center"/>
              <w:ind w:right="936"/>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6"/>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2800" w:type="dxa"/>
            <w:vAlign w:val="bottom"/>
          </w:tcPr>
          <w:p>
            <w:pPr>
              <w:jc w:val="center"/>
              <w:ind w:right="936"/>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6"/>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7529 Standish Place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Suite 200</w:t>
      </w:r>
    </w:p>
    <w:p>
      <w:pPr>
        <w:jc w:val="center"/>
        <w:ind w:right="-99"/>
        <w:spacing w:after="0"/>
        <w:rPr>
          <w:sz w:val="20"/>
          <w:szCs w:val="20"/>
          <w:color w:val="auto"/>
        </w:rPr>
      </w:pPr>
      <w:r>
        <w:rPr>
          <w:rFonts w:ascii="Arial" w:cs="Arial" w:eastAsia="Arial" w:hAnsi="Arial"/>
          <w:sz w:val="13"/>
          <w:szCs w:val="13"/>
          <w:b w:val="1"/>
          <w:bCs w:val="1"/>
          <w:color w:val="auto"/>
        </w:rPr>
        <w:t>Derwood, MD 20855</w:t>
      </w:r>
    </w:p>
    <w:p>
      <w:pPr>
        <w:jc w:val="center"/>
        <w:ind w:right="-99"/>
        <w:spacing w:after="0" w:line="229" w:lineRule="auto"/>
        <w:rPr>
          <w:sz w:val="20"/>
          <w:szCs w:val="20"/>
          <w:color w:val="auto"/>
        </w:rPr>
      </w:pPr>
      <w:r>
        <w:rPr>
          <w:rFonts w:ascii="Arial" w:cs="Arial" w:eastAsia="Arial" w:hAnsi="Arial"/>
          <w:sz w:val="13"/>
          <w:szCs w:val="13"/>
          <w:b w:val="1"/>
          <w:bCs w:val="1"/>
          <w:color w:val="auto"/>
        </w:rPr>
        <w:t>(240) 335-7914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Randolph Altschuler</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Chief Executive Officer</w:t>
      </w:r>
    </w:p>
    <w:p>
      <w:pPr>
        <w:jc w:val="center"/>
        <w:ind w:right="-99"/>
        <w:spacing w:after="0"/>
        <w:rPr>
          <w:sz w:val="20"/>
          <w:szCs w:val="20"/>
          <w:color w:val="auto"/>
        </w:rPr>
      </w:pPr>
      <w:r>
        <w:rPr>
          <w:rFonts w:ascii="Arial" w:cs="Arial" w:eastAsia="Arial" w:hAnsi="Arial"/>
          <w:sz w:val="13"/>
          <w:szCs w:val="13"/>
          <w:b w:val="1"/>
          <w:bCs w:val="1"/>
          <w:color w:val="auto"/>
        </w:rPr>
        <w:t>Xometry, Inc.</w:t>
      </w:r>
    </w:p>
    <w:p>
      <w:pPr>
        <w:jc w:val="center"/>
        <w:ind w:right="-99"/>
        <w:spacing w:after="0"/>
        <w:rPr>
          <w:sz w:val="20"/>
          <w:szCs w:val="20"/>
          <w:color w:val="auto"/>
        </w:rPr>
      </w:pPr>
      <w:r>
        <w:rPr>
          <w:rFonts w:ascii="Arial" w:cs="Arial" w:eastAsia="Arial" w:hAnsi="Arial"/>
          <w:sz w:val="13"/>
          <w:szCs w:val="13"/>
          <w:b w:val="1"/>
          <w:bCs w:val="1"/>
          <w:color w:val="auto"/>
        </w:rPr>
        <w:t>7529 Standish Place</w:t>
      </w:r>
    </w:p>
    <w:p>
      <w:pPr>
        <w:jc w:val="center"/>
        <w:ind w:right="-99"/>
        <w:spacing w:after="0"/>
        <w:rPr>
          <w:sz w:val="20"/>
          <w:szCs w:val="20"/>
          <w:color w:val="auto"/>
        </w:rPr>
      </w:pPr>
      <w:r>
        <w:rPr>
          <w:rFonts w:ascii="Arial" w:cs="Arial" w:eastAsia="Arial" w:hAnsi="Arial"/>
          <w:sz w:val="13"/>
          <w:szCs w:val="13"/>
          <w:b w:val="1"/>
          <w:bCs w:val="1"/>
          <w:color w:val="auto"/>
        </w:rPr>
        <w:t>Suite 200</w:t>
      </w:r>
    </w:p>
    <w:p>
      <w:pPr>
        <w:jc w:val="center"/>
        <w:ind w:right="-99"/>
        <w:spacing w:after="0"/>
        <w:rPr>
          <w:sz w:val="20"/>
          <w:szCs w:val="20"/>
          <w:color w:val="auto"/>
        </w:rPr>
      </w:pPr>
      <w:r>
        <w:rPr>
          <w:rFonts w:ascii="Arial" w:cs="Arial" w:eastAsia="Arial" w:hAnsi="Arial"/>
          <w:sz w:val="13"/>
          <w:szCs w:val="13"/>
          <w:b w:val="1"/>
          <w:bCs w:val="1"/>
          <w:color w:val="auto"/>
        </w:rPr>
        <w:t>Derwood, MD 20855</w:t>
      </w:r>
    </w:p>
    <w:p>
      <w:pPr>
        <w:jc w:val="center"/>
        <w:ind w:right="-99"/>
        <w:spacing w:after="0" w:line="229" w:lineRule="auto"/>
        <w:rPr>
          <w:sz w:val="20"/>
          <w:szCs w:val="20"/>
          <w:color w:val="auto"/>
        </w:rPr>
      </w:pPr>
      <w:r>
        <w:rPr>
          <w:rFonts w:ascii="Arial" w:cs="Arial" w:eastAsia="Arial" w:hAnsi="Arial"/>
          <w:sz w:val="13"/>
          <w:szCs w:val="13"/>
          <w:b w:val="1"/>
          <w:bCs w:val="1"/>
          <w:color w:val="auto"/>
        </w:rPr>
        <w:t>(240) 335-7914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spacing w:after="0" w:line="62" w:lineRule="exact"/>
        <w:rPr>
          <w:sz w:val="24"/>
          <w:szCs w:val="24"/>
          <w:color w:val="auto"/>
        </w:rPr>
      </w:pPr>
    </w:p>
    <w:tbl>
      <w:tblPr>
        <w:tblLayout w:type="fixed"/>
        <w:tblInd w:w="1080" w:type="dxa"/>
        <w:tblCellMar>
          <w:top w:w="0" w:type="dxa"/>
          <w:left w:w="0" w:type="dxa"/>
          <w:bottom w:w="0" w:type="dxa"/>
          <w:right w:w="0" w:type="dxa"/>
        </w:tblCellMar>
      </w:tblPr>
      <w:tr>
        <w:trPr>
          <w:trHeight w:val="149"/>
        </w:trPr>
        <w:tc>
          <w:tcPr>
            <w:tcW w:w="2900" w:type="dxa"/>
            <w:vAlign w:val="bottom"/>
          </w:tcPr>
          <w:p>
            <w:pPr>
              <w:jc w:val="center"/>
              <w:ind w:right="1033"/>
              <w:spacing w:after="0"/>
              <w:rPr>
                <w:sz w:val="20"/>
                <w:szCs w:val="20"/>
                <w:color w:val="auto"/>
              </w:rPr>
            </w:pPr>
            <w:r>
              <w:rPr>
                <w:rFonts w:ascii="Arial" w:cs="Arial" w:eastAsia="Arial" w:hAnsi="Arial"/>
                <w:sz w:val="13"/>
                <w:szCs w:val="13"/>
                <w:b w:val="1"/>
                <w:bCs w:val="1"/>
                <w:color w:val="auto"/>
              </w:rPr>
              <w:t>David Peinsipp</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James Rallo</w:t>
            </w:r>
          </w:p>
        </w:tc>
        <w:tc>
          <w:tcPr>
            <w:tcW w:w="2800" w:type="dxa"/>
            <w:vAlign w:val="bottom"/>
          </w:tcPr>
          <w:p>
            <w:pPr>
              <w:jc w:val="center"/>
              <w:ind w:left="993"/>
              <w:spacing w:after="0"/>
              <w:rPr>
                <w:sz w:val="20"/>
                <w:szCs w:val="20"/>
                <w:color w:val="auto"/>
              </w:rPr>
            </w:pPr>
            <w:r>
              <w:rPr>
                <w:rFonts w:ascii="Arial" w:cs="Arial" w:eastAsia="Arial" w:hAnsi="Arial"/>
                <w:sz w:val="13"/>
                <w:szCs w:val="13"/>
                <w:b w:val="1"/>
                <w:bCs w:val="1"/>
                <w:color w:val="auto"/>
              </w:rPr>
              <w:t>Alan F. Denenberg</w:t>
            </w:r>
          </w:p>
        </w:tc>
      </w:tr>
      <w:tr>
        <w:trPr>
          <w:trHeight w:val="148"/>
        </w:trPr>
        <w:tc>
          <w:tcPr>
            <w:tcW w:w="2900" w:type="dxa"/>
            <w:vAlign w:val="bottom"/>
          </w:tcPr>
          <w:p>
            <w:pPr>
              <w:jc w:val="center"/>
              <w:ind w:right="1033"/>
              <w:spacing w:after="0"/>
              <w:rPr>
                <w:sz w:val="20"/>
                <w:szCs w:val="20"/>
                <w:color w:val="auto"/>
              </w:rPr>
            </w:pPr>
            <w:r>
              <w:rPr>
                <w:rFonts w:ascii="Arial" w:cs="Arial" w:eastAsia="Arial" w:hAnsi="Arial"/>
                <w:sz w:val="13"/>
                <w:szCs w:val="13"/>
                <w:b w:val="1"/>
                <w:bCs w:val="1"/>
                <w:color w:val="auto"/>
              </w:rPr>
              <w:t>Eric Blanchard</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Laurence Zuriff</w:t>
            </w:r>
          </w:p>
        </w:tc>
        <w:tc>
          <w:tcPr>
            <w:tcW w:w="2800" w:type="dxa"/>
            <w:vAlign w:val="bottom"/>
          </w:tcPr>
          <w:p>
            <w:pPr>
              <w:jc w:val="center"/>
              <w:ind w:left="993"/>
              <w:spacing w:after="0"/>
              <w:rPr>
                <w:sz w:val="20"/>
                <w:szCs w:val="20"/>
                <w:color w:val="auto"/>
              </w:rPr>
            </w:pPr>
            <w:r>
              <w:rPr>
                <w:rFonts w:ascii="Arial" w:cs="Arial" w:eastAsia="Arial" w:hAnsi="Arial"/>
                <w:sz w:val="13"/>
                <w:szCs w:val="13"/>
                <w:b w:val="1"/>
                <w:bCs w:val="1"/>
                <w:color w:val="auto"/>
              </w:rPr>
              <w:t>Stephen Salmon</w:t>
            </w:r>
          </w:p>
        </w:tc>
      </w:tr>
      <w:tr>
        <w:trPr>
          <w:trHeight w:val="148"/>
        </w:trPr>
        <w:tc>
          <w:tcPr>
            <w:tcW w:w="2900" w:type="dxa"/>
            <w:vAlign w:val="bottom"/>
          </w:tcPr>
          <w:p>
            <w:pPr>
              <w:jc w:val="center"/>
              <w:ind w:right="1013"/>
              <w:spacing w:after="0"/>
              <w:rPr>
                <w:sz w:val="20"/>
                <w:szCs w:val="20"/>
                <w:color w:val="auto"/>
              </w:rPr>
            </w:pPr>
            <w:r>
              <w:rPr>
                <w:rFonts w:ascii="Arial" w:cs="Arial" w:eastAsia="Arial" w:hAnsi="Arial"/>
                <w:sz w:val="13"/>
                <w:szCs w:val="13"/>
                <w:b w:val="1"/>
                <w:bCs w:val="1"/>
                <w:color w:val="auto"/>
              </w:rPr>
              <w:t>Michael R. Lincoln</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Kristie Scott</w:t>
            </w:r>
          </w:p>
        </w:tc>
        <w:tc>
          <w:tcPr>
            <w:tcW w:w="2800" w:type="dxa"/>
            <w:vAlign w:val="bottom"/>
          </w:tcPr>
          <w:p>
            <w:pPr>
              <w:jc w:val="center"/>
              <w:ind w:left="993"/>
              <w:spacing w:after="0"/>
              <w:rPr>
                <w:sz w:val="20"/>
                <w:szCs w:val="20"/>
                <w:color w:val="auto"/>
              </w:rPr>
            </w:pPr>
            <w:r>
              <w:rPr>
                <w:rFonts w:ascii="Arial" w:cs="Arial" w:eastAsia="Arial" w:hAnsi="Arial"/>
                <w:sz w:val="13"/>
                <w:szCs w:val="13"/>
                <w:b w:val="1"/>
                <w:bCs w:val="1"/>
                <w:color w:val="auto"/>
              </w:rPr>
              <w:t>Davis Polk &amp; Wardwell LLP</w:t>
            </w:r>
          </w:p>
        </w:tc>
      </w:tr>
      <w:tr>
        <w:trPr>
          <w:trHeight w:val="149"/>
        </w:trPr>
        <w:tc>
          <w:tcPr>
            <w:tcW w:w="2900" w:type="dxa"/>
            <w:vAlign w:val="bottom"/>
          </w:tcPr>
          <w:p>
            <w:pPr>
              <w:jc w:val="center"/>
              <w:ind w:right="1033"/>
              <w:spacing w:after="0"/>
              <w:rPr>
                <w:sz w:val="20"/>
                <w:szCs w:val="20"/>
                <w:color w:val="auto"/>
              </w:rPr>
            </w:pPr>
            <w:r>
              <w:rPr>
                <w:rFonts w:ascii="Arial" w:cs="Arial" w:eastAsia="Arial" w:hAnsi="Arial"/>
                <w:sz w:val="13"/>
                <w:szCs w:val="13"/>
                <w:b w:val="1"/>
                <w:bCs w:val="1"/>
                <w:color w:val="auto"/>
              </w:rPr>
              <w:t>Derek O. Colla</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Xometry, Inc.</w:t>
            </w:r>
          </w:p>
        </w:tc>
        <w:tc>
          <w:tcPr>
            <w:tcW w:w="2800" w:type="dxa"/>
            <w:vAlign w:val="bottom"/>
          </w:tcPr>
          <w:p>
            <w:pPr>
              <w:jc w:val="center"/>
              <w:ind w:left="1013"/>
              <w:spacing w:after="0"/>
              <w:rPr>
                <w:sz w:val="20"/>
                <w:szCs w:val="20"/>
                <w:color w:val="auto"/>
              </w:rPr>
            </w:pPr>
            <w:r>
              <w:rPr>
                <w:rFonts w:ascii="Arial" w:cs="Arial" w:eastAsia="Arial" w:hAnsi="Arial"/>
                <w:sz w:val="13"/>
                <w:szCs w:val="13"/>
                <w:b w:val="1"/>
                <w:bCs w:val="1"/>
                <w:color w:val="auto"/>
              </w:rPr>
              <w:t>1600 El Camino Real</w:t>
            </w:r>
          </w:p>
        </w:tc>
      </w:tr>
      <w:tr>
        <w:trPr>
          <w:trHeight w:val="148"/>
        </w:trPr>
        <w:tc>
          <w:tcPr>
            <w:tcW w:w="2900" w:type="dxa"/>
            <w:vAlign w:val="bottom"/>
          </w:tcPr>
          <w:p>
            <w:pPr>
              <w:jc w:val="center"/>
              <w:ind w:right="1013"/>
              <w:spacing w:after="0"/>
              <w:rPr>
                <w:sz w:val="20"/>
                <w:szCs w:val="20"/>
                <w:color w:val="auto"/>
              </w:rPr>
            </w:pPr>
            <w:r>
              <w:rPr>
                <w:rFonts w:ascii="Arial" w:cs="Arial" w:eastAsia="Arial" w:hAnsi="Arial"/>
                <w:sz w:val="13"/>
                <w:szCs w:val="13"/>
                <w:b w:val="1"/>
                <w:bCs w:val="1"/>
                <w:color w:val="auto"/>
              </w:rPr>
              <w:t>Cooley LLP</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7529 Standish Place</w:t>
            </w:r>
          </w:p>
        </w:tc>
        <w:tc>
          <w:tcPr>
            <w:tcW w:w="2800" w:type="dxa"/>
            <w:vAlign w:val="bottom"/>
          </w:tcPr>
          <w:p>
            <w:pPr>
              <w:jc w:val="center"/>
              <w:ind w:left="993"/>
              <w:spacing w:after="0"/>
              <w:rPr>
                <w:sz w:val="20"/>
                <w:szCs w:val="20"/>
                <w:color w:val="auto"/>
              </w:rPr>
            </w:pPr>
            <w:r>
              <w:rPr>
                <w:rFonts w:ascii="Arial" w:cs="Arial" w:eastAsia="Arial" w:hAnsi="Arial"/>
                <w:sz w:val="13"/>
                <w:szCs w:val="13"/>
                <w:b w:val="1"/>
                <w:bCs w:val="1"/>
                <w:color w:val="auto"/>
              </w:rPr>
              <w:t>Menlo Park, CA 94025</w:t>
            </w:r>
          </w:p>
        </w:tc>
      </w:tr>
      <w:tr>
        <w:trPr>
          <w:trHeight w:val="148"/>
        </w:trPr>
        <w:tc>
          <w:tcPr>
            <w:tcW w:w="2900" w:type="dxa"/>
            <w:vAlign w:val="bottom"/>
          </w:tcPr>
          <w:p>
            <w:pPr>
              <w:jc w:val="center"/>
              <w:ind w:right="1013"/>
              <w:spacing w:after="0"/>
              <w:rPr>
                <w:sz w:val="20"/>
                <w:szCs w:val="20"/>
                <w:color w:val="auto"/>
              </w:rPr>
            </w:pPr>
            <w:r>
              <w:rPr>
                <w:rFonts w:ascii="Arial" w:cs="Arial" w:eastAsia="Arial" w:hAnsi="Arial"/>
                <w:sz w:val="13"/>
                <w:szCs w:val="13"/>
                <w:b w:val="1"/>
                <w:bCs w:val="1"/>
                <w:color w:val="auto"/>
              </w:rPr>
              <w:t>1299 Pennsylvania Ave. NW</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Suite 200</w:t>
            </w:r>
          </w:p>
        </w:tc>
        <w:tc>
          <w:tcPr>
            <w:tcW w:w="2800" w:type="dxa"/>
            <w:vAlign w:val="bottom"/>
          </w:tcPr>
          <w:p>
            <w:pPr>
              <w:jc w:val="center"/>
              <w:ind w:left="993"/>
              <w:spacing w:after="0"/>
              <w:rPr>
                <w:sz w:val="20"/>
                <w:szCs w:val="20"/>
                <w:color w:val="auto"/>
              </w:rPr>
            </w:pPr>
            <w:r>
              <w:rPr>
                <w:rFonts w:ascii="Arial" w:cs="Arial" w:eastAsia="Arial" w:hAnsi="Arial"/>
                <w:sz w:val="13"/>
                <w:szCs w:val="13"/>
                <w:b w:val="1"/>
                <w:bCs w:val="1"/>
                <w:color w:val="auto"/>
              </w:rPr>
              <w:t>(650) 752-2000</w:t>
            </w:r>
          </w:p>
        </w:tc>
      </w:tr>
      <w:tr>
        <w:trPr>
          <w:trHeight w:val="149"/>
        </w:trPr>
        <w:tc>
          <w:tcPr>
            <w:tcW w:w="2900" w:type="dxa"/>
            <w:vAlign w:val="bottom"/>
          </w:tcPr>
          <w:p>
            <w:pPr>
              <w:jc w:val="center"/>
              <w:ind w:right="1033"/>
              <w:spacing w:after="0"/>
              <w:rPr>
                <w:sz w:val="20"/>
                <w:szCs w:val="20"/>
                <w:color w:val="auto"/>
              </w:rPr>
            </w:pPr>
            <w:r>
              <w:rPr>
                <w:rFonts w:ascii="Arial" w:cs="Arial" w:eastAsia="Arial" w:hAnsi="Arial"/>
                <w:sz w:val="13"/>
                <w:szCs w:val="13"/>
                <w:b w:val="1"/>
                <w:bCs w:val="1"/>
                <w:color w:val="auto"/>
              </w:rPr>
              <w:t>Suite 700</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Derwood, MD 20855</w:t>
            </w:r>
          </w:p>
        </w:tc>
        <w:tc>
          <w:tcPr>
            <w:tcW w:w="2800" w:type="dxa"/>
            <w:vAlign w:val="bottom"/>
          </w:tcPr>
          <w:p>
            <w:pPr>
              <w:spacing w:after="0"/>
              <w:rPr>
                <w:sz w:val="12"/>
                <w:szCs w:val="12"/>
                <w:color w:val="auto"/>
              </w:rPr>
            </w:pPr>
          </w:p>
        </w:tc>
      </w:tr>
      <w:tr>
        <w:trPr>
          <w:trHeight w:val="148"/>
        </w:trPr>
        <w:tc>
          <w:tcPr>
            <w:tcW w:w="2900" w:type="dxa"/>
            <w:vAlign w:val="bottom"/>
          </w:tcPr>
          <w:p>
            <w:pPr>
              <w:jc w:val="center"/>
              <w:ind w:right="1033"/>
              <w:spacing w:after="0"/>
              <w:rPr>
                <w:sz w:val="20"/>
                <w:szCs w:val="20"/>
                <w:color w:val="auto"/>
              </w:rPr>
            </w:pPr>
            <w:r>
              <w:rPr>
                <w:rFonts w:ascii="Arial" w:cs="Arial" w:eastAsia="Arial" w:hAnsi="Arial"/>
                <w:sz w:val="13"/>
                <w:szCs w:val="13"/>
                <w:b w:val="1"/>
                <w:bCs w:val="1"/>
                <w:color w:val="auto"/>
              </w:rPr>
              <w:t>Washington, DC 20004-2400</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rPr>
              <w:t>(240) 335-7914</w:t>
            </w:r>
          </w:p>
        </w:tc>
        <w:tc>
          <w:tcPr>
            <w:tcW w:w="2800" w:type="dxa"/>
            <w:vAlign w:val="bottom"/>
          </w:tcPr>
          <w:p>
            <w:pPr>
              <w:spacing w:after="0"/>
              <w:rPr>
                <w:sz w:val="12"/>
                <w:szCs w:val="12"/>
                <w:color w:val="auto"/>
              </w:rPr>
            </w:pPr>
          </w:p>
        </w:tc>
      </w:tr>
      <w:tr>
        <w:trPr>
          <w:trHeight w:val="178"/>
        </w:trPr>
        <w:tc>
          <w:tcPr>
            <w:tcW w:w="2900" w:type="dxa"/>
            <w:vAlign w:val="bottom"/>
          </w:tcPr>
          <w:p>
            <w:pPr>
              <w:jc w:val="center"/>
              <w:ind w:right="1033"/>
              <w:spacing w:after="0"/>
              <w:rPr>
                <w:sz w:val="20"/>
                <w:szCs w:val="20"/>
                <w:color w:val="auto"/>
              </w:rPr>
            </w:pPr>
            <w:r>
              <w:rPr>
                <w:rFonts w:ascii="Arial" w:cs="Arial" w:eastAsia="Arial" w:hAnsi="Arial"/>
                <w:sz w:val="13"/>
                <w:szCs w:val="13"/>
                <w:b w:val="1"/>
                <w:bCs w:val="1"/>
                <w:color w:val="auto"/>
              </w:rPr>
              <w:t>(202) 842-7800</w:t>
            </w:r>
          </w:p>
        </w:tc>
        <w:tc>
          <w:tcPr>
            <w:tcW w:w="3460" w:type="dxa"/>
            <w:vAlign w:val="bottom"/>
          </w:tcPr>
          <w:p>
            <w:pPr>
              <w:spacing w:after="0"/>
              <w:rPr>
                <w:sz w:val="15"/>
                <w:szCs w:val="15"/>
                <w:color w:val="auto"/>
              </w:rPr>
            </w:pPr>
          </w:p>
        </w:tc>
        <w:tc>
          <w:tcPr>
            <w:tcW w:w="28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27" w:lineRule="exact"/>
        <w:rPr>
          <w:sz w:val="24"/>
          <w:szCs w:val="24"/>
          <w:color w:val="auto"/>
        </w:rPr>
      </w:pPr>
    </w:p>
    <w:p>
      <w:pPr>
        <w:jc w:val="center"/>
        <w:ind w:left="50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5" w:lineRule="exact"/>
        <w:rPr>
          <w:sz w:val="24"/>
          <w:szCs w:val="24"/>
          <w:color w:val="auto"/>
        </w:rPr>
      </w:pPr>
    </w:p>
    <w:p>
      <w:pPr>
        <w:jc w:val="center"/>
        <w:ind w:left="500"/>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53" w:lineRule="exact"/>
        <w:rPr>
          <w:sz w:val="24"/>
          <w:szCs w:val="24"/>
          <w:color w:val="auto"/>
        </w:rPr>
      </w:pPr>
    </w:p>
    <w:p>
      <w:pPr>
        <w:ind w:left="120" w:right="20" w:firstLine="551"/>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7" w:lineRule="exact"/>
        <w:rPr>
          <w:sz w:val="24"/>
          <w:szCs w:val="24"/>
          <w:color w:val="auto"/>
        </w:rPr>
      </w:pPr>
    </w:p>
    <w:p>
      <w:pPr>
        <w:ind w:left="120" w:right="300" w:firstLine="55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20" w:firstLine="55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20" w:firstLine="55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7" w:lineRule="exact"/>
        <w:rPr>
          <w:sz w:val="24"/>
          <w:szCs w:val="24"/>
          <w:color w:val="auto"/>
        </w:rPr>
      </w:pPr>
    </w:p>
    <w:p>
      <w:pPr>
        <w:ind w:left="120" w:firstLine="551"/>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8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340"/>
              <w:spacing w:after="0"/>
              <w:rPr>
                <w:sz w:val="20"/>
                <w:szCs w:val="20"/>
                <w:color w:val="auto"/>
              </w:rPr>
            </w:pPr>
            <w:r>
              <w:rPr>
                <w:rFonts w:ascii="Arial" w:cs="Arial" w:eastAsia="Arial" w:hAnsi="Arial"/>
                <w:sz w:val="13"/>
                <w:szCs w:val="13"/>
                <w:color w:val="auto"/>
              </w:rPr>
              <w:t>Accelerated filer</w:t>
            </w:r>
          </w:p>
        </w:tc>
      </w:tr>
      <w:tr>
        <w:trPr>
          <w:trHeight w:val="229"/>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368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ind w:left="3340"/>
              <w:spacing w:after="0"/>
              <w:rPr>
                <w:sz w:val="20"/>
                <w:szCs w:val="20"/>
                <w:color w:val="auto"/>
              </w:rPr>
            </w:pPr>
            <w:r>
              <w:rPr>
                <w:rFonts w:ascii="Arial" w:cs="Arial" w:eastAsia="Arial" w:hAnsi="Arial"/>
                <w:sz w:val="13"/>
                <w:szCs w:val="13"/>
                <w:color w:val="auto"/>
              </w:rPr>
              <w:t>Smaller reporting company</w:t>
            </w:r>
          </w:p>
        </w:tc>
      </w:tr>
      <w:tr>
        <w:trPr>
          <w:trHeight w:val="216"/>
        </w:trPr>
        <w:tc>
          <w:tcPr>
            <w:tcW w:w="18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8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49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52" w:lineRule="exact"/>
        <w:rPr>
          <w:sz w:val="24"/>
          <w:szCs w:val="24"/>
          <w:color w:val="auto"/>
        </w:rPr>
      </w:pPr>
    </w:p>
    <w:p>
      <w:pPr>
        <w:sectPr>
          <w:pgSz w:w="11900" w:h="16838" w:orient="portrait"/>
          <w:cols w:equalWidth="0" w:num="2">
            <w:col w:w="10740" w:space="180"/>
            <w:col w:w="220"/>
          </w:cols>
          <w:pgMar w:left="320" w:top="230" w:right="439" w:bottom="1440" w:gutter="0" w:footer="0" w:header="0"/>
          <w:type w:val="continuous"/>
        </w:sectPr>
      </w:pPr>
    </w:p>
    <w:p>
      <w:pPr>
        <w:ind w:left="120" w:right="22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7"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CALCULATION OF REGISTRATION FEE</w:t>
      </w:r>
    </w:p>
    <w:p>
      <w:pPr>
        <w:spacing w:after="0" w:line="6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87"/>
        </w:trPr>
        <w:tc>
          <w:tcPr>
            <w:tcW w:w="796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jc w:val="center"/>
              <w:ind w:left="25"/>
              <w:spacing w:after="0" w:line="87" w:lineRule="exact"/>
              <w:rPr>
                <w:sz w:val="20"/>
                <w:szCs w:val="20"/>
                <w:color w:val="auto"/>
              </w:rPr>
            </w:pPr>
            <w:r>
              <w:rPr>
                <w:rFonts w:ascii="Arial" w:cs="Arial" w:eastAsia="Arial" w:hAnsi="Arial"/>
                <w:sz w:val="10"/>
                <w:szCs w:val="10"/>
                <w:b w:val="1"/>
                <w:bCs w:val="1"/>
                <w:color w:val="auto"/>
              </w:rPr>
              <w:t>Proposed Maximum</w:t>
            </w:r>
          </w:p>
        </w:tc>
        <w:tc>
          <w:tcPr>
            <w:tcW w:w="1600" w:type="dxa"/>
            <w:vAlign w:val="bottom"/>
          </w:tcPr>
          <w:p>
            <w:pPr>
              <w:spacing w:after="0"/>
              <w:rPr>
                <w:sz w:val="7"/>
                <w:szCs w:val="7"/>
                <w:color w:val="auto"/>
              </w:rPr>
            </w:pPr>
          </w:p>
        </w:tc>
      </w:tr>
      <w:tr>
        <w:trPr>
          <w:trHeight w:val="121"/>
        </w:trPr>
        <w:tc>
          <w:tcPr>
            <w:tcW w:w="7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8"/>
              </w:rPr>
              <w:t>Title of each Class of</w:t>
            </w:r>
          </w:p>
        </w:tc>
        <w:tc>
          <w:tcPr>
            <w:tcW w:w="146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7"/>
              </w:rPr>
              <w:t>Aggregate Offering</w:t>
            </w:r>
          </w:p>
        </w:tc>
        <w:tc>
          <w:tcPr>
            <w:tcW w:w="1600" w:type="dxa"/>
            <w:vAlign w:val="bottom"/>
          </w:tcPr>
          <w:p>
            <w:pPr>
              <w:jc w:val="center"/>
              <w:ind w:left="123"/>
              <w:spacing w:after="0" w:line="122" w:lineRule="exact"/>
              <w:rPr>
                <w:sz w:val="20"/>
                <w:szCs w:val="20"/>
                <w:color w:val="auto"/>
              </w:rPr>
            </w:pPr>
            <w:r>
              <w:rPr>
                <w:rFonts w:ascii="Arial" w:cs="Arial" w:eastAsia="Arial" w:hAnsi="Arial"/>
                <w:sz w:val="11"/>
                <w:szCs w:val="11"/>
                <w:b w:val="1"/>
                <w:bCs w:val="1"/>
                <w:color w:val="auto"/>
                <w:w w:val="98"/>
              </w:rPr>
              <w:t>Amount of</w:t>
            </w:r>
          </w:p>
        </w:tc>
      </w:tr>
      <w:tr>
        <w:trPr>
          <w:trHeight w:val="146"/>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Securities to be Registered</w:t>
            </w:r>
          </w:p>
        </w:tc>
        <w:tc>
          <w:tcPr>
            <w:tcW w:w="146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6"/>
              </w:rPr>
              <w:t>Price(1)(2)</w:t>
            </w:r>
          </w:p>
        </w:tc>
        <w:tc>
          <w:tcPr>
            <w:tcW w:w="1600" w:type="dxa"/>
            <w:vAlign w:val="bottom"/>
            <w:tcBorders>
              <w:bottom w:val="single" w:sz="8" w:color="auto"/>
            </w:tcBorders>
          </w:tcPr>
          <w:p>
            <w:pPr>
              <w:jc w:val="center"/>
              <w:ind w:left="123"/>
              <w:spacing w:after="0"/>
              <w:rPr>
                <w:sz w:val="20"/>
                <w:szCs w:val="20"/>
                <w:color w:val="auto"/>
              </w:rPr>
            </w:pPr>
            <w:r>
              <w:rPr>
                <w:rFonts w:ascii="Arial" w:cs="Arial" w:eastAsia="Arial" w:hAnsi="Arial"/>
                <w:sz w:val="11"/>
                <w:szCs w:val="11"/>
                <w:b w:val="1"/>
                <w:bCs w:val="1"/>
                <w:color w:val="auto"/>
                <w:w w:val="98"/>
              </w:rPr>
              <w:t>Registration Fee(3)</w:t>
            </w:r>
          </w:p>
        </w:tc>
      </w:tr>
      <w:tr>
        <w:trPr>
          <w:trHeight w:val="133"/>
        </w:trPr>
        <w:tc>
          <w:tcPr>
            <w:tcW w:w="796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Common stock, par value $0.000001 per share</w:t>
            </w:r>
          </w:p>
        </w:tc>
        <w:tc>
          <w:tcPr>
            <w:tcW w:w="1460" w:type="dxa"/>
            <w:vAlign w:val="bottom"/>
            <w:tcBorders>
              <w:bottom w:val="single" w:sz="8" w:color="auto"/>
              <w:right w:val="single" w:sz="8" w:color="auto"/>
            </w:tcBorders>
          </w:tcPr>
          <w:p>
            <w:pPr>
              <w:jc w:val="right"/>
              <w:ind w:right="825"/>
              <w:spacing w:after="0" w:line="133" w:lineRule="exact"/>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ind w:right="823"/>
              <w:spacing w:after="0" w:line="133" w:lineRule="exact"/>
              <w:rPr>
                <w:sz w:val="20"/>
                <w:szCs w:val="20"/>
                <w:color w:val="auto"/>
              </w:rPr>
            </w:pPr>
            <w:r>
              <w:rPr>
                <w:rFonts w:ascii="Arial" w:cs="Arial" w:eastAsia="Arial" w:hAnsi="Arial"/>
                <w:sz w:val="13"/>
                <w:szCs w:val="13"/>
                <w:color w:val="auto"/>
              </w:rPr>
              <w:t>$</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ind w:left="660" w:hanging="544"/>
        <w:spacing w:after="0" w:line="228"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457(o) of the Securities Act of 1933, as amended.</w:t>
      </w:r>
    </w:p>
    <w:p>
      <w:pPr>
        <w:ind w:left="660" w:hanging="544"/>
        <w:spacing w:after="0" w:line="216"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 if any.</w:t>
      </w:r>
    </w:p>
    <w:p>
      <w:pPr>
        <w:ind w:left="660" w:hanging="544"/>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6" w:lineRule="exact"/>
        <w:rPr>
          <w:sz w:val="24"/>
          <w:szCs w:val="24"/>
          <w:color w:val="auto"/>
        </w:rPr>
      </w:pPr>
    </w:p>
    <w:p>
      <w:pPr>
        <w:ind w:left="120" w:right="20" w:firstLine="551"/>
        <w:spacing w:after="0" w:line="23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DE1A1E"/>
        </w:rPr>
        <w:t>Subject to Completion. Dated April 14, 2021</w:t>
      </w:r>
    </w:p>
    <w:p>
      <w:pPr>
        <w:spacing w:after="0" w:line="214" w:lineRule="exact"/>
        <w:rPr>
          <w:sz w:val="20"/>
          <w:szCs w:val="20"/>
          <w:color w:val="auto"/>
        </w:rPr>
      </w:pPr>
    </w:p>
    <w:p>
      <w:pPr>
        <w:ind w:left="61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159385</wp:posOffset>
            </wp:positionV>
            <wp:extent cx="217741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74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236855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an initial public offering of shares of common stock of Xometry, Inc.</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left="120" w:right="780"/>
        <w:spacing w:after="0" w:line="246" w:lineRule="auto"/>
        <w:rPr>
          <w:sz w:val="20"/>
          <w:szCs w:val="20"/>
          <w:color w:val="auto"/>
        </w:rPr>
      </w:pPr>
      <w:r>
        <w:rPr>
          <w:rFonts w:ascii="Arial" w:cs="Arial" w:eastAsia="Arial" w:hAnsi="Arial"/>
          <w:sz w:val="18"/>
          <w:szCs w:val="18"/>
          <w:color w:val="auto"/>
        </w:rPr>
        <w:t>price for our common stock will be between $ and $ per share. We intend to apply to list our common stock on the under the symbol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See “</w:t>
      </w:r>
      <w:hyperlink w:anchor="page18">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on page 15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223520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20" w:right="40" w:firstLine="551"/>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354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4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hanging="54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additional information regarding compensation payable to the underwriters.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00" w:type="dxa"/>
            <w:vAlign w:val="bottom"/>
            <w:gridSpan w:val="3"/>
          </w:tcPr>
          <w:p>
            <w:pPr>
              <w:ind w:left="540"/>
              <w:spacing w:after="0"/>
              <w:rPr>
                <w:sz w:val="20"/>
                <w:szCs w:val="20"/>
                <w:color w:val="auto"/>
              </w:rPr>
            </w:pPr>
            <w:r>
              <w:rPr>
                <w:rFonts w:ascii="Arial" w:cs="Arial" w:eastAsia="Arial" w:hAnsi="Arial"/>
                <w:sz w:val="18"/>
                <w:szCs w:val="18"/>
                <w:color w:val="auto"/>
              </w:rPr>
              <w:t>To the extent that the underwriters sell more than</w:t>
            </w:r>
          </w:p>
        </w:tc>
        <w:tc>
          <w:tcPr>
            <w:tcW w:w="6220" w:type="dxa"/>
            <w:vAlign w:val="bottom"/>
            <w:gridSpan w:val="4"/>
          </w:tcPr>
          <w:p>
            <w:pPr>
              <w:jc w:val="right"/>
              <w:spacing w:after="0"/>
              <w:rPr>
                <w:sz w:val="20"/>
                <w:szCs w:val="20"/>
                <w:color w:val="auto"/>
              </w:rPr>
            </w:pPr>
            <w:r>
              <w:rPr>
                <w:rFonts w:ascii="Arial" w:cs="Arial" w:eastAsia="Arial" w:hAnsi="Arial"/>
                <w:sz w:val="18"/>
                <w:szCs w:val="18"/>
                <w:color w:val="auto"/>
              </w:rPr>
              <w:t>shares of common stock, the underwriters have the option to purchase up</w:t>
            </w:r>
          </w:p>
        </w:tc>
      </w:t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to an additional</w:t>
            </w:r>
          </w:p>
        </w:tc>
        <w:tc>
          <w:tcPr>
            <w:tcW w:w="9160" w:type="dxa"/>
            <w:vAlign w:val="bottom"/>
            <w:gridSpan w:val="6"/>
          </w:tcPr>
          <w:p>
            <w:pPr>
              <w:jc w:val="right"/>
              <w:ind w:right="1424"/>
              <w:spacing w:after="0"/>
              <w:rPr>
                <w:sz w:val="20"/>
                <w:szCs w:val="20"/>
                <w:color w:val="auto"/>
              </w:rPr>
            </w:pPr>
            <w:r>
              <w:rPr>
                <w:rFonts w:ascii="Arial" w:cs="Arial" w:eastAsia="Arial" w:hAnsi="Arial"/>
                <w:sz w:val="18"/>
                <w:szCs w:val="18"/>
                <w:color w:val="auto"/>
                <w:w w:val="99"/>
              </w:rPr>
              <w:t>shares of common stock from us at the initial public offering price less the underwriting discount.</w:t>
            </w:r>
          </w:p>
        </w:tc>
      </w:tr>
      <w:tr>
        <w:trPr>
          <w:trHeight w:val="310"/>
        </w:trPr>
        <w:tc>
          <w:tcPr>
            <w:tcW w:w="4340" w:type="dxa"/>
            <w:vAlign w:val="bottom"/>
            <w:gridSpan w:val="2"/>
          </w:tcPr>
          <w:p>
            <w:pPr>
              <w:spacing w:after="0"/>
              <w:rPr>
                <w:sz w:val="24"/>
                <w:szCs w:val="24"/>
                <w:color w:val="auto"/>
              </w:rPr>
            </w:pPr>
          </w:p>
        </w:tc>
        <w:tc>
          <w:tcPr>
            <w:tcW w:w="2320" w:type="dxa"/>
            <w:vAlign w:val="bottom"/>
            <w:tcBorders>
              <w:bottom w:val="single" w:sz="8" w:color="auto"/>
            </w:tcBorders>
            <w:gridSpan w:val="3"/>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99"/>
        </w:trPr>
        <w:tc>
          <w:tcPr>
            <w:tcW w:w="7840" w:type="dxa"/>
            <w:vAlign w:val="bottom"/>
            <w:gridSpan w:val="6"/>
          </w:tcPr>
          <w:p>
            <w:pPr>
              <w:ind w:left="54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3180" w:type="dxa"/>
            <w:vAlign w:val="bottom"/>
          </w:tcPr>
          <w:p>
            <w:pPr>
              <w:jc w:val="right"/>
              <w:ind w:right="2084"/>
              <w:spacing w:after="0"/>
              <w:rPr>
                <w:sz w:val="20"/>
                <w:szCs w:val="20"/>
                <w:color w:val="auto"/>
              </w:rPr>
            </w:pPr>
            <w:r>
              <w:rPr>
                <w:rFonts w:ascii="Arial" w:cs="Arial" w:eastAsia="Arial" w:hAnsi="Arial"/>
                <w:sz w:val="18"/>
                <w:szCs w:val="18"/>
                <w:color w:val="auto"/>
              </w:rPr>
              <w:t>, 2021.</w:t>
            </w:r>
          </w:p>
        </w:tc>
      </w:tr>
      <w:tr>
        <w:trPr>
          <w:trHeight w:val="455"/>
        </w:trPr>
        <w:tc>
          <w:tcPr>
            <w:tcW w:w="4800" w:type="dxa"/>
            <w:vAlign w:val="bottom"/>
            <w:gridSpan w:val="3"/>
          </w:tcPr>
          <w:p>
            <w:pPr>
              <w:spacing w:after="0"/>
              <w:rPr>
                <w:sz w:val="20"/>
                <w:szCs w:val="20"/>
                <w:color w:val="auto"/>
              </w:rPr>
            </w:pPr>
            <w:r>
              <w:rPr>
                <w:rFonts w:ascii="Arial" w:cs="Arial" w:eastAsia="Arial" w:hAnsi="Arial"/>
                <w:sz w:val="22"/>
                <w:szCs w:val="22"/>
                <w:b w:val="1"/>
                <w:bCs w:val="1"/>
                <w:color w:val="auto"/>
              </w:rPr>
              <w:t>Goldman Sachs &amp; Co. LLC</w:t>
            </w:r>
          </w:p>
        </w:tc>
        <w:tc>
          <w:tcPr>
            <w:tcW w:w="3040" w:type="dxa"/>
            <w:vAlign w:val="bottom"/>
            <w:gridSpan w:val="3"/>
          </w:tcPr>
          <w:p>
            <w:pPr>
              <w:jc w:val="right"/>
              <w:ind w:right="1400"/>
              <w:spacing w:after="0"/>
              <w:rPr>
                <w:sz w:val="20"/>
                <w:szCs w:val="20"/>
                <w:color w:val="auto"/>
              </w:rPr>
            </w:pPr>
            <w:r>
              <w:rPr>
                <w:rFonts w:ascii="Arial" w:cs="Arial" w:eastAsia="Arial" w:hAnsi="Arial"/>
                <w:sz w:val="22"/>
                <w:szCs w:val="22"/>
                <w:b w:val="1"/>
                <w:bCs w:val="1"/>
                <w:color w:val="auto"/>
              </w:rPr>
              <w:t>J.P. Morgan</w:t>
            </w:r>
          </w:p>
        </w:tc>
        <w:tc>
          <w:tcPr>
            <w:tcW w:w="3180" w:type="dxa"/>
            <w:vAlign w:val="bottom"/>
          </w:tcPr>
          <w:p>
            <w:pPr>
              <w:jc w:val="right"/>
              <w:spacing w:after="0"/>
              <w:rPr>
                <w:sz w:val="20"/>
                <w:szCs w:val="20"/>
                <w:color w:val="auto"/>
              </w:rPr>
            </w:pPr>
            <w:r>
              <w:rPr>
                <w:rFonts w:ascii="Arial" w:cs="Arial" w:eastAsia="Arial" w:hAnsi="Arial"/>
                <w:sz w:val="22"/>
                <w:szCs w:val="22"/>
                <w:b w:val="1"/>
                <w:bCs w:val="1"/>
                <w:color w:val="auto"/>
              </w:rPr>
              <w:t>UBS Investment Bank</w:t>
            </w:r>
          </w:p>
        </w:tc>
      </w:tr>
      <w:tr>
        <w:trPr>
          <w:trHeight w:val="422"/>
        </w:trPr>
        <w:tc>
          <w:tcPr>
            <w:tcW w:w="1860" w:type="dxa"/>
            <w:vAlign w:val="bottom"/>
          </w:tcPr>
          <w:p>
            <w:pPr>
              <w:ind w:left="1060"/>
              <w:spacing w:after="0"/>
              <w:rPr>
                <w:sz w:val="20"/>
                <w:szCs w:val="20"/>
                <w:color w:val="auto"/>
              </w:rPr>
            </w:pPr>
            <w:r>
              <w:rPr>
                <w:rFonts w:ascii="Arial" w:cs="Arial" w:eastAsia="Arial" w:hAnsi="Arial"/>
                <w:sz w:val="18"/>
                <w:szCs w:val="18"/>
                <w:b w:val="1"/>
                <w:bCs w:val="1"/>
                <w:color w:val="auto"/>
                <w:w w:val="97"/>
              </w:rPr>
              <w:t>Citigroup</w:t>
            </w:r>
          </w:p>
        </w:tc>
        <w:tc>
          <w:tcPr>
            <w:tcW w:w="2940" w:type="dxa"/>
            <w:vAlign w:val="bottom"/>
            <w:gridSpan w:val="2"/>
          </w:tcPr>
          <w:p>
            <w:pPr>
              <w:ind w:left="1060"/>
              <w:spacing w:after="0"/>
              <w:rPr>
                <w:sz w:val="20"/>
                <w:szCs w:val="20"/>
                <w:color w:val="auto"/>
              </w:rPr>
            </w:pPr>
            <w:r>
              <w:rPr>
                <w:rFonts w:ascii="Arial" w:cs="Arial" w:eastAsia="Arial" w:hAnsi="Arial"/>
                <w:sz w:val="18"/>
                <w:szCs w:val="18"/>
                <w:b w:val="1"/>
                <w:bCs w:val="1"/>
                <w:color w:val="auto"/>
              </w:rPr>
              <w:t>BofA Securities</w:t>
            </w:r>
          </w:p>
        </w:tc>
        <w:tc>
          <w:tcPr>
            <w:tcW w:w="820" w:type="dxa"/>
            <w:vAlign w:val="bottom"/>
          </w:tcPr>
          <w:p>
            <w:pPr>
              <w:spacing w:after="0"/>
              <w:rPr>
                <w:sz w:val="24"/>
                <w:szCs w:val="24"/>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William Blair</w:t>
            </w:r>
          </w:p>
        </w:tc>
        <w:tc>
          <w:tcPr>
            <w:tcW w:w="3180" w:type="dxa"/>
            <w:vAlign w:val="bottom"/>
          </w:tcPr>
          <w:p>
            <w:pPr>
              <w:jc w:val="right"/>
              <w:ind w:right="1104"/>
              <w:spacing w:after="0"/>
              <w:rPr>
                <w:sz w:val="20"/>
                <w:szCs w:val="20"/>
                <w:color w:val="auto"/>
              </w:rPr>
            </w:pPr>
            <w:r>
              <w:rPr>
                <w:rFonts w:ascii="Arial" w:cs="Arial" w:eastAsia="Arial" w:hAnsi="Arial"/>
                <w:sz w:val="18"/>
                <w:szCs w:val="18"/>
                <w:b w:val="1"/>
                <w:bCs w:val="1"/>
                <w:color w:val="auto"/>
              </w:rPr>
              <w:t>RBC Capital Markets</w:t>
            </w:r>
          </w:p>
        </w:tc>
      </w:tr>
      <w:tr>
        <w:trPr>
          <w:trHeight w:val="324"/>
        </w:trPr>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85"/>
        </w:trPr>
        <w:tc>
          <w:tcPr>
            <w:tcW w:w="1860" w:type="dxa"/>
            <w:vAlign w:val="bottom"/>
          </w:tcPr>
          <w:p>
            <w:pPr>
              <w:spacing w:after="0"/>
              <w:rPr>
                <w:sz w:val="24"/>
                <w:szCs w:val="24"/>
                <w:color w:val="auto"/>
              </w:rPr>
            </w:pPr>
          </w:p>
        </w:tc>
        <w:tc>
          <w:tcPr>
            <w:tcW w:w="3760" w:type="dxa"/>
            <w:vAlign w:val="bottom"/>
            <w:gridSpan w:val="3"/>
          </w:tcPr>
          <w:p>
            <w:pPr>
              <w:ind w:left="2260"/>
              <w:spacing w:after="0"/>
              <w:rPr>
                <w:sz w:val="20"/>
                <w:szCs w:val="20"/>
                <w:color w:val="auto"/>
              </w:rPr>
            </w:pPr>
            <w:r>
              <w:rPr>
                <w:rFonts w:ascii="Arial" w:cs="Arial" w:eastAsia="Arial" w:hAnsi="Arial"/>
                <w:sz w:val="18"/>
                <w:szCs w:val="18"/>
                <w:color w:val="auto"/>
              </w:rPr>
              <w:t>Prospectus dated</w:t>
            </w:r>
          </w:p>
        </w:tc>
        <w:tc>
          <w:tcPr>
            <w:tcW w:w="2220" w:type="dxa"/>
            <w:vAlign w:val="bottom"/>
            <w:gridSpan w:val="2"/>
          </w:tcPr>
          <w:p>
            <w:pPr>
              <w:jc w:val="right"/>
              <w:ind w:right="960"/>
              <w:spacing w:after="0"/>
              <w:rPr>
                <w:sz w:val="20"/>
                <w:szCs w:val="20"/>
                <w:color w:val="auto"/>
              </w:rPr>
            </w:pPr>
            <w:r>
              <w:rPr>
                <w:rFonts w:ascii="Arial" w:cs="Arial" w:eastAsia="Arial" w:hAnsi="Arial"/>
                <w:sz w:val="18"/>
                <w:szCs w:val="18"/>
                <w:color w:val="auto"/>
              </w:rPr>
              <w:t>, 2021.</w:t>
            </w:r>
          </w:p>
        </w:tc>
        <w:tc>
          <w:tcPr>
            <w:tcW w:w="3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gridSpan w:val="1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3300" w:type="dxa"/>
            <w:vAlign w:val="bottom"/>
            <w:gridSpan w:val="15"/>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RISK FACTORS</w:t>
              </w:r>
            </w:hyperlink>
          </w:p>
        </w:tc>
        <w:tc>
          <w:tcPr>
            <w:tcW w:w="880" w:type="dxa"/>
            <w:vAlign w:val="bottom"/>
            <w:tcBorders>
              <w:top w:val="single" w:sz="8" w:color="0000EE"/>
            </w:tcBorders>
            <w:gridSpan w:val="6"/>
          </w:tcPr>
          <w:p>
            <w:pPr>
              <w:spacing w:after="0"/>
              <w:rPr>
                <w:sz w:val="17"/>
                <w:szCs w:val="17"/>
                <w:color w:val="auto"/>
              </w:rPr>
            </w:pPr>
          </w:p>
        </w:tc>
        <w:tc>
          <w:tcPr>
            <w:tcW w:w="110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0560" w:type="dxa"/>
            <w:vAlign w:val="bottom"/>
            <w:gridSpan w:val="25"/>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 STATEMENTS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55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MARKET, INDUSTRY AND OTHER DATA</w:t>
              </w:r>
            </w:hyperlink>
          </w:p>
        </w:tc>
        <w:tc>
          <w:tcPr>
            <w:tcW w:w="504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33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60" w:type="dxa"/>
            <w:vAlign w:val="bottom"/>
            <w:tcBorders>
              <w:top w:val="single" w:sz="8" w:color="0000EE"/>
            </w:tcBorders>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DIVIDEND POLICY</w:t>
              </w:r>
            </w:hyperlink>
          </w:p>
        </w:tc>
        <w:tc>
          <w:tcPr>
            <w:tcW w:w="158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14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CAPITALIZATION</w:t>
              </w:r>
            </w:hyperlink>
          </w:p>
        </w:tc>
        <w:tc>
          <w:tcPr>
            <w:tcW w:w="120" w:type="dxa"/>
            <w:vAlign w:val="bottom"/>
            <w:tcBorders>
              <w:top w:val="single" w:sz="8" w:color="0000EE"/>
            </w:tcBorders>
            <w:gridSpan w:val="2"/>
          </w:tcPr>
          <w:p>
            <w:pPr>
              <w:spacing w:after="0"/>
              <w:rPr>
                <w:sz w:val="15"/>
                <w:szCs w:val="15"/>
                <w:color w:val="auto"/>
              </w:rPr>
            </w:pPr>
          </w:p>
        </w:tc>
        <w:tc>
          <w:tcPr>
            <w:tcW w:w="174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8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DILUTION</w:t>
              </w:r>
            </w:hyperlink>
          </w:p>
        </w:tc>
        <w:tc>
          <w:tcPr>
            <w:tcW w:w="2440" w:type="dxa"/>
            <w:vAlign w:val="bottom"/>
            <w:gridSpan w:val="13"/>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10560" w:type="dxa"/>
            <w:vAlign w:val="bottom"/>
            <w:gridSpan w:val="25"/>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33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BUSINESS</w:t>
              </w:r>
            </w:hyperlink>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gridSpan w:val="15"/>
          </w:tcPr>
          <w:p>
            <w:pPr>
              <w:spacing w:after="0" w:line="182" w:lineRule="exact"/>
              <w:rPr>
                <w:rFonts w:ascii="Arial" w:cs="Arial" w:eastAsia="Arial" w:hAnsi="Arial"/>
                <w:sz w:val="18"/>
                <w:szCs w:val="18"/>
                <w:color w:val="0000EE"/>
              </w:rPr>
            </w:pPr>
            <w:hyperlink w:anchor="page106">
              <w:r>
                <w:rPr>
                  <w:rFonts w:ascii="Arial" w:cs="Arial" w:eastAsia="Arial" w:hAnsi="Arial"/>
                  <w:sz w:val="18"/>
                  <w:szCs w:val="18"/>
                  <w:color w:val="0000EE"/>
                </w:rPr>
                <w:t>MANAGEMENT</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114">
              <w:r>
                <w:rPr>
                  <w:rFonts w:ascii="Arial" w:cs="Arial" w:eastAsia="Arial" w:hAnsi="Arial"/>
                  <w:sz w:val="18"/>
                  <w:szCs w:val="18"/>
                  <w:color w:val="0000EE"/>
                  <w:w w:val="98"/>
                </w:rPr>
                <w:t>EXECUTIVE COMPENSATION</w:t>
              </w:r>
            </w:hyperlink>
          </w:p>
        </w:tc>
        <w:tc>
          <w:tcPr>
            <w:tcW w:w="7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10560" w:type="dxa"/>
            <w:vAlign w:val="bottom"/>
            <w:gridSpan w:val="25"/>
          </w:tcPr>
          <w:p>
            <w:pPr>
              <w:spacing w:after="0" w:line="182" w:lineRule="exact"/>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PARTY TRANSACTIONS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3"/>
        </w:trPr>
        <w:tc>
          <w:tcPr>
            <w:tcW w:w="33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26">
              <w:r>
                <w:rPr>
                  <w:rFonts w:ascii="Arial" w:cs="Arial" w:eastAsia="Arial" w:hAnsi="Arial"/>
                  <w:sz w:val="18"/>
                  <w:szCs w:val="18"/>
                  <w:color w:val="0000EE"/>
                </w:rPr>
                <w:t>PRINCIPAL STOCKHOLDERS</w:t>
              </w:r>
            </w:hyperlink>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80" w:type="dxa"/>
            <w:vAlign w:val="bottom"/>
            <w:tcBorders>
              <w:bottom w:val="single" w:sz="8" w:color="0000EE"/>
            </w:tcBorders>
            <w:gridSpan w:val="14"/>
          </w:tcPr>
          <w:p>
            <w:pPr>
              <w:spacing w:after="0" w:line="182" w:lineRule="exact"/>
              <w:rPr>
                <w:rFonts w:ascii="Arial" w:cs="Arial" w:eastAsia="Arial" w:hAnsi="Arial"/>
                <w:sz w:val="18"/>
                <w:szCs w:val="18"/>
                <w:color w:val="0000EE"/>
                <w:w w:val="98"/>
              </w:rPr>
            </w:pPr>
            <w:hyperlink w:anchor="page128">
              <w:r>
                <w:rPr>
                  <w:rFonts w:ascii="Arial" w:cs="Arial" w:eastAsia="Arial" w:hAnsi="Arial"/>
                  <w:sz w:val="18"/>
                  <w:szCs w:val="18"/>
                  <w:color w:val="0000EE"/>
                  <w:w w:val="98"/>
                </w:rPr>
                <w:t>DESCRIPTION OF CAPITAL STOCK</w:t>
              </w:r>
            </w:hyperlink>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SHARES ELIGIBLE FOR FUTURE SALE</w:t>
              </w:r>
            </w:hyperlink>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0560" w:type="dxa"/>
            <w:vAlign w:val="bottom"/>
            <w:gridSpan w:val="25"/>
          </w:tcPr>
          <w:p>
            <w:pPr>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MATERIAL U.S. FEDERAL INCOME TAX CONSEQUENCES TO NON-U.S. HOLDERS OF OUR COMMON STOCK</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83"/>
        </w:trPr>
        <w:tc>
          <w:tcPr>
            <w:tcW w:w="14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UNDERWRITING</w:t>
              </w:r>
            </w:hyperlink>
          </w:p>
        </w:tc>
        <w:tc>
          <w:tcPr>
            <w:tcW w:w="1880" w:type="dxa"/>
            <w:vAlign w:val="bottom"/>
            <w:tcBorders>
              <w:top w:val="single" w:sz="8" w:color="0000EE"/>
            </w:tcBorders>
            <w:gridSpan w:val="9"/>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82"/>
        </w:trPr>
        <w:tc>
          <w:tcPr>
            <w:tcW w:w="148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46">
              <w:r>
                <w:rPr>
                  <w:rFonts w:ascii="Arial" w:cs="Arial" w:eastAsia="Arial" w:hAnsi="Arial"/>
                  <w:sz w:val="18"/>
                  <w:szCs w:val="18"/>
                  <w:color w:val="0000EE"/>
                  <w:w w:val="97"/>
                </w:rPr>
                <w:t>LEGAL MATTERS</w:t>
              </w:r>
            </w:hyperlink>
          </w:p>
        </w:tc>
        <w:tc>
          <w:tcPr>
            <w:tcW w:w="182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83"/>
        </w:trPr>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146">
              <w:r>
                <w:rPr>
                  <w:rFonts w:ascii="Arial" w:cs="Arial" w:eastAsia="Arial" w:hAnsi="Arial"/>
                  <w:sz w:val="18"/>
                  <w:szCs w:val="18"/>
                  <w:color w:val="0000EE"/>
                  <w:w w:val="97"/>
                </w:rPr>
                <w:t>EXPERTS</w:t>
              </w:r>
            </w:hyperlink>
          </w:p>
        </w:tc>
        <w:tc>
          <w:tcPr>
            <w:tcW w:w="2460" w:type="dxa"/>
            <w:vAlign w:val="bottom"/>
            <w:gridSpan w:val="14"/>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46">
              <w:r>
                <w:rPr>
                  <w:rFonts w:ascii="Arial" w:cs="Arial" w:eastAsia="Arial" w:hAnsi="Arial"/>
                  <w:sz w:val="18"/>
                  <w:szCs w:val="18"/>
                  <w:color w:val="0000EE"/>
                  <w:w w:val="99"/>
                </w:rPr>
                <w:t>WHERE YOU CAN FIND ADDITIONAL INFORMATION</w:t>
              </w:r>
            </w:hyperlink>
          </w:p>
        </w:tc>
        <w:tc>
          <w:tcPr>
            <w:tcW w:w="6120" w:type="dxa"/>
            <w:vAlign w:val="bottom"/>
            <w:gridSpan w:val="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83"/>
        </w:trPr>
        <w:tc>
          <w:tcPr>
            <w:tcW w:w="10560" w:type="dxa"/>
            <w:vAlign w:val="bottom"/>
            <w:gridSpan w:val="25"/>
          </w:tcPr>
          <w:p>
            <w:pPr>
              <w:spacing w:after="0" w:line="182" w:lineRule="exact"/>
              <w:rPr>
                <w:rFonts w:ascii="Arial" w:cs="Arial" w:eastAsia="Arial" w:hAnsi="Arial"/>
                <w:sz w:val="18"/>
                <w:szCs w:val="18"/>
                <w:color w:val="0000EE"/>
              </w:rPr>
            </w:pPr>
            <w:hyperlink w:anchor="page147">
              <w:r>
                <w:rPr>
                  <w:rFonts w:ascii="Arial" w:cs="Arial" w:eastAsia="Arial" w:hAnsi="Arial"/>
                  <w:sz w:val="18"/>
                  <w:szCs w:val="18"/>
                  <w:color w:val="0000EE"/>
                </w:rPr>
                <w:t>INDEX TO CONSOLIDATED FINANCIAL STATEMENTS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72"/>
        </w:trPr>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300" w:type="dxa"/>
            <w:vAlign w:val="bottom"/>
            <w:gridSpan w:val="15"/>
          </w:tcPr>
          <w:p>
            <w:pPr>
              <w:ind w:left="540"/>
              <w:spacing w:after="0"/>
              <w:rPr>
                <w:sz w:val="20"/>
                <w:szCs w:val="20"/>
                <w:color w:val="auto"/>
              </w:rPr>
            </w:pPr>
            <w:r>
              <w:rPr>
                <w:rFonts w:ascii="Arial" w:cs="Arial" w:eastAsia="Arial" w:hAnsi="Arial"/>
                <w:sz w:val="18"/>
                <w:szCs w:val="18"/>
                <w:b w:val="1"/>
                <w:bCs w:val="1"/>
                <w:color w:val="auto"/>
              </w:rPr>
              <w:t>Through and including</w:t>
            </w:r>
          </w:p>
        </w:tc>
        <w:tc>
          <w:tcPr>
            <w:tcW w:w="7660" w:type="dxa"/>
            <w:vAlign w:val="bottom"/>
            <w:gridSpan w:val="12"/>
          </w:tcPr>
          <w:p>
            <w:pPr>
              <w:jc w:val="right"/>
              <w:ind w:right="20"/>
              <w:spacing w:after="0"/>
              <w:rPr>
                <w:sz w:val="20"/>
                <w:szCs w:val="20"/>
                <w:color w:val="auto"/>
              </w:rPr>
            </w:pPr>
            <w:r>
              <w:rPr>
                <w:rFonts w:ascii="Arial" w:cs="Arial" w:eastAsia="Arial" w:hAnsi="Arial"/>
                <w:sz w:val="18"/>
                <w:szCs w:val="18"/>
                <w:b w:val="1"/>
                <w:bCs w:val="1"/>
                <w:color w:val="auto"/>
              </w:rPr>
              <w:t>, 2021 (the 25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day after the date of this prospectus), all dealers effecting transactions in</w:t>
            </w:r>
          </w:p>
        </w:tc>
        <w:tc>
          <w:tcPr>
            <w:tcW w:w="0" w:type="dxa"/>
            <w:vAlign w:val="bottom"/>
          </w:tcPr>
          <w:p>
            <w:pPr>
              <w:spacing w:after="0"/>
              <w:rPr>
                <w:sz w:val="1"/>
                <w:szCs w:val="1"/>
                <w:color w:val="auto"/>
              </w:rPr>
            </w:pPr>
          </w:p>
        </w:tc>
      </w:tr>
    </w:tbl>
    <w:p>
      <w:pPr>
        <w:ind w:left="120" w:right="340"/>
        <w:spacing w:after="0"/>
        <w:rPr>
          <w:sz w:val="20"/>
          <w:szCs w:val="20"/>
          <w:color w:val="auto"/>
        </w:rPr>
      </w:pPr>
      <w:r>
        <w:rPr>
          <w:rFonts w:ascii="Arial" w:cs="Arial" w:eastAsia="Arial" w:hAnsi="Arial"/>
          <w:sz w:val="18"/>
          <w:szCs w:val="18"/>
          <w:b w:val="1"/>
          <w:bCs w:val="1"/>
          <w:color w:val="auto"/>
        </w:rPr>
        <w:t>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possession and distribution of this prospectus outside of the United States.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“Xometry,” the “company,” “we,” “our,” “us” or similar terms refer to Xometry, Inc. and its subsidiaries.</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w:t>
      </w:r>
    </w:p>
    <w:p>
      <w:pPr>
        <w:ind w:left="300"/>
        <w:spacing w:after="0"/>
        <w:rPr>
          <w:sz w:val="20"/>
          <w:szCs w:val="20"/>
          <w:color w:val="auto"/>
        </w:rPr>
      </w:pPr>
      <w:r>
        <w:rPr>
          <w:rFonts w:ascii="Arial" w:cs="Arial" w:eastAsia="Arial" w:hAnsi="Arial"/>
          <w:sz w:val="18"/>
          <w:szCs w:val="18"/>
          <w:color w:val="auto"/>
        </w:rPr>
        <w:t>Our vision is to drive efficiency, sustainability and innovation by lowering the barriers to entry to the manufacturing ecosystem.</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Company</w:t>
      </w:r>
    </w:p>
    <w:p>
      <w:pPr>
        <w:spacing w:after="0" w:line="23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300" w:right="100" w:firstLine="532"/>
        <w:spacing w:after="0" w:line="237"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205"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3" w:lineRule="exact"/>
        <w:rPr>
          <w:sz w:val="20"/>
          <w:szCs w:val="20"/>
          <w:color w:val="auto"/>
        </w:rPr>
      </w:pPr>
    </w:p>
    <w:p>
      <w:pPr>
        <w:ind w:left="300" w:right="360" w:firstLine="532"/>
        <w:spacing w:after="0" w:line="238" w:lineRule="auto"/>
        <w:rPr>
          <w:sz w:val="20"/>
          <w:szCs w:val="20"/>
          <w:color w:val="auto"/>
        </w:rPr>
      </w:pPr>
      <w:r>
        <w:rPr>
          <w:rFonts w:ascii="Arial" w:cs="Arial" w:eastAsia="Arial" w:hAnsi="Arial"/>
          <w:sz w:val="18"/>
          <w:szCs w:val="18"/>
          <w:color w:val="auto"/>
        </w:rPr>
        <w:t>We enable buyers across industries to source a broad array of manufacturing processes to meet their needs. We generate substantially all of our revenue from the prices we charge buyers on our platform. Buyers begin by uploading an engineering schematic that contains 3D design specifications, typically a computer-aided design, or a CAD file. Then, we price transactions through our proprietary,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00"/>
        <w:spacing w:after="0" w:line="238" w:lineRule="auto"/>
        <w:rPr>
          <w:sz w:val="20"/>
          <w:szCs w:val="20"/>
          <w:color w:val="auto"/>
        </w:rPr>
      </w:pPr>
      <w:r>
        <w:rPr>
          <w:rFonts w:ascii="Arial" w:cs="Arial" w:eastAsia="Arial" w:hAnsi="Arial"/>
          <w:sz w:val="18"/>
          <w:szCs w:val="18"/>
          <w:color w:val="auto"/>
        </w:rPr>
        <w:t>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w:t>
      </w:r>
    </w:p>
    <w:p>
      <w:pPr>
        <w:spacing w:after="0" w:line="205"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w:t>
      </w:r>
    </w:p>
    <w:p>
      <w:pPr>
        <w:spacing w:after="0" w:line="203" w:lineRule="exact"/>
        <w:rPr>
          <w:sz w:val="20"/>
          <w:szCs w:val="20"/>
          <w:color w:val="auto"/>
        </w:rPr>
      </w:pPr>
    </w:p>
    <w:p>
      <w:pPr>
        <w:ind w:left="300" w:right="380" w:firstLine="532"/>
        <w:spacing w:after="0" w:line="238"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2" w:lineRule="exact"/>
        <w:rPr>
          <w:sz w:val="20"/>
          <w:szCs w:val="20"/>
          <w:color w:val="auto"/>
        </w:rPr>
      </w:pPr>
    </w:p>
    <w:p>
      <w:pPr>
        <w:ind w:left="300" w:right="120" w:firstLine="532"/>
        <w:spacing w:after="0" w:line="237" w:lineRule="auto"/>
        <w:rPr>
          <w:sz w:val="20"/>
          <w:szCs w:val="20"/>
          <w:color w:val="auto"/>
        </w:rPr>
      </w:pPr>
      <w:r>
        <w:rPr>
          <w:rFonts w:ascii="Arial" w:cs="Arial" w:eastAsia="Arial" w:hAnsi="Arial"/>
          <w:sz w:val="18"/>
          <w:szCs w:val="18"/>
          <w:color w:val="auto"/>
        </w:rPr>
        <w:t>Today, we are the largest on-demand manufacturing marketplace. We have connected over 43,000 buyers, including nearly 30% of the Fortune 500, and nearly 5,000 sellers of all sizes. We have achieved rapid growth while improving our margin profile. We generated revenue of $38.4 million in 2018, $80.2 million in 2019, and $141.4 million in 2020, representing year-over-year growth of 109% in 2019 and 76% in 2020. Our gross profit was $6.5 million in 2018, $14.7 million in 2019, and $ 33.3 million in 2020, representing a 17% gross margin in 2018, 18% gross margin in 2019, and 24% gross margin in 2020. Our net losses were $20.1 million in 2018, $31.0 million in 2019 and $31.1 million in 2020. We intend to continue to invest in our growth strategy to scale our company.</w:t>
      </w: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Industry Overview</w:t>
      </w:r>
    </w:p>
    <w:p>
      <w:pPr>
        <w:spacing w:after="0" w:line="239" w:lineRule="exact"/>
        <w:rPr>
          <w:sz w:val="20"/>
          <w:szCs w:val="20"/>
          <w:color w:val="auto"/>
        </w:rPr>
      </w:pPr>
    </w:p>
    <w:p>
      <w:pPr>
        <w:ind w:left="1020" w:right="180" w:hanging="19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Manufacturing is a massive, highly fragmented, and regionalized industry in need of solutions to drive efficiency. </w:t>
      </w:r>
      <w:r>
        <w:rPr>
          <w:rFonts w:ascii="Arial" w:cs="Arial" w:eastAsia="Arial" w:hAnsi="Arial"/>
          <w:sz w:val="18"/>
          <w:szCs w:val="18"/>
          <w:color w:val="auto"/>
        </w:rPr>
        <w:t>The global manufacturing 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90" w:lineRule="exact"/>
        <w:rPr>
          <w:rFonts w:ascii="Arial" w:cs="Arial" w:eastAsia="Arial" w:hAnsi="Arial"/>
          <w:sz w:val="18"/>
          <w:szCs w:val="18"/>
          <w:color w:val="auto"/>
        </w:rPr>
      </w:pPr>
    </w:p>
    <w:p>
      <w:pPr>
        <w:ind w:left="1020" w:right="34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buyers and sellers, 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9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Resilient, localized and compliant supply chains are imperative. </w:t>
      </w:r>
      <w:r>
        <w:rPr>
          <w:rFonts w:ascii="Arial" w:cs="Arial" w:eastAsia="Arial" w:hAnsi="Arial"/>
          <w:sz w:val="18"/>
          <w:szCs w:val="18"/>
          <w:color w:val="auto"/>
        </w:rPr>
        <w:t>We believe there is a significant opportunity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around the world improve their supply chain diversification, access just-in-time production, and build supply chain resilience. 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90"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There is increasing focus on the manufacturing industry to address ESG issues. </w:t>
      </w:r>
      <w:r>
        <w:rPr>
          <w:rFonts w:ascii="Arial" w:cs="Arial" w:eastAsia="Arial" w:hAnsi="Arial"/>
          <w:sz w:val="18"/>
          <w:szCs w:val="18"/>
          <w:color w:val="auto"/>
        </w:rPr>
        <w:t>Companies and investors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88" w:lineRule="exact"/>
        <w:rPr>
          <w:rFonts w:ascii="Arial" w:cs="Arial" w:eastAsia="Arial" w:hAnsi="Arial"/>
          <w:sz w:val="18"/>
          <w:szCs w:val="18"/>
          <w:color w:val="auto"/>
        </w:rPr>
      </w:pPr>
    </w:p>
    <w:p>
      <w:pPr>
        <w:ind w:left="1020" w:right="18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proliferation of new technologies, necessitates digital solutions that increase productivity, improve financial performance and allow them to compete sustainably.</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Opportunity</w:t>
      </w:r>
    </w:p>
    <w:p>
      <w:pPr>
        <w:spacing w:after="0" w:line="234" w:lineRule="exact"/>
        <w:rPr>
          <w:sz w:val="20"/>
          <w:szCs w:val="20"/>
          <w:color w:val="auto"/>
        </w:rPr>
      </w:pPr>
    </w:p>
    <w:p>
      <w:pPr>
        <w:jc w:val="both"/>
        <w:ind w:left="300" w:right="620" w:firstLine="532"/>
        <w:spacing w:after="0" w:line="261" w:lineRule="auto"/>
        <w:rPr>
          <w:sz w:val="20"/>
          <w:szCs w:val="20"/>
          <w:color w:val="auto"/>
        </w:rPr>
      </w:pPr>
      <w:r>
        <w:rPr>
          <w:rFonts w:ascii="Arial" w:cs="Arial" w:eastAsia="Arial" w:hAnsi="Arial"/>
          <w:sz w:val="17"/>
          <w:szCs w:val="17"/>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86" w:lineRule="exact"/>
        <w:rPr>
          <w:sz w:val="20"/>
          <w:szCs w:val="20"/>
          <w:color w:val="auto"/>
        </w:rPr>
      </w:pPr>
    </w:p>
    <w:p>
      <w:pPr>
        <w:ind w:left="300" w:right="180" w:firstLine="532"/>
        <w:spacing w:after="0" w:line="238" w:lineRule="auto"/>
        <w:rPr>
          <w:sz w:val="20"/>
          <w:szCs w:val="20"/>
          <w:color w:val="auto"/>
        </w:rPr>
      </w:pPr>
      <w:r>
        <w:rPr>
          <w:rFonts w:ascii="Arial" w:cs="Arial" w:eastAsia="Arial" w:hAnsi="Arial"/>
          <w:sz w:val="18"/>
          <w:szCs w:val="18"/>
          <w:color w:val="auto"/>
        </w:rPr>
        <w:t>Today, we estimate our global market opportunity to be over $260 billion across our sellers’ six key manufacturing processes, which include CNC manufacturing, sheet metal manufacturing, 3D printing (including fused deposition modeling, direct metal laser sintering, PolyJet, stereolithography, selective laser sintering, binder jetting, carbon digital light synthesis and multi jet fusion), die casting, injection molding and urethane casting.</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Platform</w:t>
      </w:r>
    </w:p>
    <w:p>
      <w:pPr>
        <w:spacing w:after="0" w:line="234" w:lineRule="exact"/>
        <w:rPr>
          <w:sz w:val="20"/>
          <w:szCs w:val="20"/>
          <w:color w:val="auto"/>
        </w:rPr>
      </w:pPr>
    </w:p>
    <w:p>
      <w:pPr>
        <w:ind w:left="300" w:right="280" w:firstLine="532"/>
        <w:spacing w:after="0" w:line="238"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360" w:firstLine="532"/>
        <w:spacing w:after="0" w:line="261" w:lineRule="auto"/>
        <w:rPr>
          <w:sz w:val="20"/>
          <w:szCs w:val="20"/>
          <w:color w:val="auto"/>
        </w:rPr>
      </w:pPr>
      <w:r>
        <w:rPr>
          <w:rFonts w:ascii="Arial" w:cs="Arial" w:eastAsia="Arial" w:hAnsi="Arial"/>
          <w:sz w:val="17"/>
          <w:szCs w:val="17"/>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86" w:lineRule="exact"/>
        <w:rPr>
          <w:sz w:val="20"/>
          <w:szCs w:val="20"/>
          <w:color w:val="auto"/>
        </w:rPr>
      </w:pPr>
    </w:p>
    <w:p>
      <w:pPr>
        <w:ind w:left="300" w:right="80" w:firstLine="532"/>
        <w:spacing w:after="0" w:line="238"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5" w:lineRule="exact"/>
        <w:rPr>
          <w:sz w:val="20"/>
          <w:szCs w:val="20"/>
          <w:color w:val="auto"/>
        </w:rPr>
      </w:pPr>
    </w:p>
    <w:p>
      <w:pPr>
        <w:ind w:left="300" w:right="320" w:firstLine="532"/>
        <w:spacing w:after="0" w:line="246"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Carbon Offset Program</w:t>
      </w:r>
    </w:p>
    <w:p>
      <w:pPr>
        <w:spacing w:after="0" w:line="234" w:lineRule="exact"/>
        <w:rPr>
          <w:sz w:val="20"/>
          <w:szCs w:val="20"/>
          <w:color w:val="auto"/>
        </w:rPr>
      </w:pPr>
    </w:p>
    <w:p>
      <w:pPr>
        <w:ind w:left="300" w:right="200" w:firstLine="532"/>
        <w:spacing w:after="0" w:line="238"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Additional Seller Offerings</w:t>
      </w:r>
    </w:p>
    <w:p>
      <w:pPr>
        <w:spacing w:after="0" w:line="239" w:lineRule="exact"/>
        <w:rPr>
          <w:sz w:val="20"/>
          <w:szCs w:val="20"/>
          <w:color w:val="auto"/>
        </w:rPr>
      </w:pPr>
    </w:p>
    <w:p>
      <w:pPr>
        <w:ind w:left="1020" w:right="40" w:hanging="195"/>
        <w:spacing w:after="0" w:line="24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w:t>
      </w:r>
    </w:p>
    <w:p>
      <w:pPr>
        <w:spacing w:after="0" w:line="81" w:lineRule="exact"/>
        <w:rPr>
          <w:rFonts w:ascii="Arial" w:cs="Arial" w:eastAsia="Arial" w:hAnsi="Arial"/>
          <w:sz w:val="18"/>
          <w:szCs w:val="18"/>
          <w:color w:val="auto"/>
        </w:rPr>
      </w:pPr>
    </w:p>
    <w:p>
      <w:pPr>
        <w:ind w:left="1020" w:right="10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These offerings include the Xometry Advance Card, which generally gives sellers up to 30% of their job payment in advance, and FastPay, a fee-based service through which sellers can receive accelerated payment.</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Why Buyers Win</w:t>
      </w:r>
    </w:p>
    <w:p>
      <w:pPr>
        <w:spacing w:after="0" w:line="239" w:lineRule="exact"/>
        <w:rPr>
          <w:sz w:val="20"/>
          <w:szCs w:val="20"/>
          <w:color w:val="auto"/>
        </w:rPr>
      </w:pPr>
    </w:p>
    <w:p>
      <w:pPr>
        <w:ind w:left="102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Instant and Competitive Pricing and Lead Times. </w:t>
      </w:r>
      <w:r>
        <w:rPr>
          <w:rFonts w:ascii="Arial" w:cs="Arial" w:eastAsia="Arial" w:hAnsi="Arial"/>
          <w:sz w:val="18"/>
          <w:szCs w:val="18"/>
          <w:color w:val="auto"/>
        </w:rPr>
        <w:t>We create value for buyers through marketplace generation fueled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81" w:lineRule="exact"/>
        <w:rPr>
          <w:rFonts w:ascii="Arial" w:cs="Arial" w:eastAsia="Arial" w:hAnsi="Arial"/>
          <w:sz w:val="18"/>
          <w:szCs w:val="18"/>
          <w:color w:val="auto"/>
        </w:rPr>
      </w:pPr>
    </w:p>
    <w:p>
      <w:pPr>
        <w:ind w:left="1020" w:right="72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80"/>
        <w:spacing w:after="0" w:line="246" w:lineRule="auto"/>
        <w:rPr>
          <w:sz w:val="20"/>
          <w:szCs w:val="20"/>
          <w:color w:val="auto"/>
        </w:rPr>
      </w:pPr>
      <w:r>
        <w:rPr>
          <w:rFonts w:ascii="Arial" w:cs="Arial" w:eastAsia="Arial" w:hAnsi="Arial"/>
          <w:sz w:val="18"/>
          <w:szCs w:val="18"/>
          <w:color w:val="auto"/>
        </w:rPr>
        <w:t>e-commerce experience to simplify transactions. After a buyer uploads a CAD file, our platform provides instant access to a wide range of materials, finishes and certifications, with transparent pricing and lead-time information.</w:t>
      </w:r>
    </w:p>
    <w:p>
      <w:pPr>
        <w:spacing w:after="0" w:line="80" w:lineRule="exact"/>
        <w:rPr>
          <w:sz w:val="20"/>
          <w:szCs w:val="20"/>
          <w:color w:val="auto"/>
        </w:rPr>
      </w:pPr>
    </w:p>
    <w:p>
      <w:pPr>
        <w:ind w:left="1020" w:right="100" w:hanging="195"/>
        <w:spacing w:after="0" w:line="24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a Massive Network of Sellers. </w:t>
      </w:r>
      <w:r>
        <w:rPr>
          <w:rFonts w:ascii="Arial" w:cs="Arial" w:eastAsia="Arial" w:hAnsi="Arial"/>
          <w:sz w:val="18"/>
          <w:szCs w:val="18"/>
          <w:color w:val="auto"/>
        </w:rPr>
        <w:t>We provide buyers access to the massive, global network of sellers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81" w:lineRule="exact"/>
        <w:rPr>
          <w:rFonts w:ascii="Arial" w:cs="Arial" w:eastAsia="Arial" w:hAnsi="Arial"/>
          <w:sz w:val="18"/>
          <w:szCs w:val="18"/>
          <w:color w:val="auto"/>
        </w:rPr>
      </w:pPr>
    </w:p>
    <w:p>
      <w:pPr>
        <w:ind w:left="1020" w:right="20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79" w:lineRule="exact"/>
        <w:rPr>
          <w:rFonts w:ascii="Arial" w:cs="Arial" w:eastAsia="Arial" w:hAnsi="Arial"/>
          <w:sz w:val="18"/>
          <w:szCs w:val="18"/>
          <w:color w:val="auto"/>
        </w:rPr>
      </w:pPr>
    </w:p>
    <w:p>
      <w:pPr>
        <w:ind w:left="1020" w:right="480" w:hanging="195"/>
        <w:spacing w:after="0" w:line="26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and Quality. </w:t>
      </w:r>
      <w:r>
        <w:rPr>
          <w:rFonts w:ascii="Arial" w:cs="Arial" w:eastAsia="Arial" w:hAnsi="Arial"/>
          <w:sz w:val="17"/>
          <w:szCs w:val="17"/>
          <w:color w:val="auto"/>
        </w:rPr>
        <w:t>We offer consistently high-quality products and certainty of order fulfillment for buyers.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64" w:lineRule="exact"/>
        <w:rPr>
          <w:rFonts w:ascii="Arial" w:cs="Arial" w:eastAsia="Arial" w:hAnsi="Arial"/>
          <w:sz w:val="17"/>
          <w:szCs w:val="17"/>
          <w:color w:val="auto"/>
        </w:rPr>
      </w:pPr>
    </w:p>
    <w:p>
      <w:pPr>
        <w:ind w:left="102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4" w:lineRule="exact"/>
        <w:rPr>
          <w:rFonts w:ascii="Arial" w:cs="Arial" w:eastAsia="Arial" w:hAnsi="Arial"/>
          <w:sz w:val="18"/>
          <w:szCs w:val="18"/>
          <w:color w:val="auto"/>
        </w:rPr>
      </w:pPr>
    </w:p>
    <w:p>
      <w:pPr>
        <w:ind w:left="1020" w:right="140" w:hanging="195"/>
        <w:spacing w:after="0" w:line="24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Why Sellers Win</w:t>
      </w:r>
    </w:p>
    <w:p>
      <w:pPr>
        <w:spacing w:after="0" w:line="239" w:lineRule="exact"/>
        <w:rPr>
          <w:sz w:val="20"/>
          <w:szCs w:val="20"/>
          <w:color w:val="auto"/>
        </w:rPr>
      </w:pPr>
    </w:p>
    <w:p>
      <w:pPr>
        <w:ind w:left="1020" w:right="80" w:hanging="195"/>
        <w:spacing w:after="0" w:line="24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large, 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79" w:lineRule="exact"/>
        <w:rPr>
          <w:rFonts w:ascii="Arial" w:cs="Arial" w:eastAsia="Arial" w:hAnsi="Arial"/>
          <w:sz w:val="18"/>
          <w:szCs w:val="18"/>
          <w:color w:val="auto"/>
        </w:rPr>
      </w:pPr>
    </w:p>
    <w:p>
      <w:pPr>
        <w:ind w:left="1020" w:right="240" w:hanging="195"/>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accept the next repeat order in order to increase efficiency and reliability. Our ability to attract repeat buyers helps stabilize demand for sellers so they can operate their businesses more efficiently.</w:t>
      </w:r>
    </w:p>
    <w:p>
      <w:pPr>
        <w:spacing w:after="0" w:line="74" w:lineRule="exact"/>
        <w:rPr>
          <w:rFonts w:ascii="Arial" w:cs="Arial" w:eastAsia="Arial" w:hAnsi="Arial"/>
          <w:sz w:val="18"/>
          <w:szCs w:val="18"/>
          <w:color w:val="auto"/>
        </w:rPr>
      </w:pPr>
    </w:p>
    <w:p>
      <w:pPr>
        <w:ind w:left="1020" w:right="100" w:hanging="195"/>
        <w:spacing w:after="0" w:line="24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sellers. Our intuitive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40" w:hanging="195"/>
        <w:spacing w:after="0" w:line="24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81" w:lineRule="exact"/>
        <w:rPr>
          <w:rFonts w:ascii="Arial" w:cs="Arial" w:eastAsia="Arial" w:hAnsi="Arial"/>
          <w:sz w:val="18"/>
          <w:szCs w:val="18"/>
          <w:color w:val="auto"/>
        </w:rPr>
      </w:pPr>
    </w:p>
    <w:p>
      <w:pPr>
        <w:ind w:left="1020" w:right="20" w:hanging="195"/>
        <w:spacing w:after="0" w:line="24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1"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Why We Win</w:t>
      </w:r>
    </w:p>
    <w:p>
      <w:pPr>
        <w:spacing w:after="0" w:line="239" w:lineRule="exact"/>
        <w:rPr>
          <w:sz w:val="20"/>
          <w:szCs w:val="20"/>
          <w:color w:val="auto"/>
        </w:rPr>
      </w:pPr>
    </w:p>
    <w:p>
      <w:pPr>
        <w:ind w:left="1020" w:right="10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90" w:lineRule="exact"/>
        <w:rPr>
          <w:rFonts w:ascii="Arial" w:cs="Arial" w:eastAsia="Arial" w:hAnsi="Arial"/>
          <w:sz w:val="18"/>
          <w:szCs w:val="18"/>
          <w:color w:val="auto"/>
        </w:rPr>
      </w:pPr>
    </w:p>
    <w:p>
      <w:pPr>
        <w:ind w:left="1020" w:hanging="195"/>
        <w:spacing w:after="0" w:line="24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that contribute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84" w:lineRule="exact"/>
        <w:rPr>
          <w:rFonts w:ascii="Arial" w:cs="Arial" w:eastAsia="Arial" w:hAnsi="Arial"/>
          <w:sz w:val="18"/>
          <w:szCs w:val="18"/>
          <w:color w:val="auto"/>
        </w:rPr>
      </w:pPr>
    </w:p>
    <w:p>
      <w:pPr>
        <w:jc w:val="both"/>
        <w:ind w:left="1020" w:right="160" w:hanging="195"/>
        <w:spacing w:after="0" w:line="25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on-demand manufacturing marketplace. As we continue to scale,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from a self-reinforcing, virtuous cycle, in which marketplace interactions contribute valuable data points and insights that improve our AI-enabled platform, increasing lifetime customer value and fueling strong unit economics.</w:t>
      </w:r>
    </w:p>
    <w:p>
      <w:pPr>
        <w:spacing w:after="0" w:line="74" w:lineRule="exact"/>
        <w:rPr>
          <w:rFonts w:ascii="Arial" w:cs="Arial" w:eastAsia="Arial" w:hAnsi="Arial"/>
          <w:sz w:val="18"/>
          <w:szCs w:val="18"/>
          <w:color w:val="auto"/>
        </w:rPr>
      </w:pPr>
    </w:p>
    <w:p>
      <w:pPr>
        <w:ind w:left="1020" w:right="240" w:hanging="195"/>
        <w:spacing w:after="0" w:line="275"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Buyer Engagement and Expansion. </w:t>
      </w:r>
      <w:r>
        <w:rPr>
          <w:rFonts w:ascii="Arial" w:cs="Arial" w:eastAsia="Arial" w:hAnsi="Arial"/>
          <w:sz w:val="17"/>
          <w:szCs w:val="17"/>
          <w:color w:val="auto"/>
        </w:rPr>
        <w:t>Our flexible ordering process allows us to land new customers and increases buyer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stickiness, fueling an efficient go-to-market model. Over time, our accounts typically increase their spend with Xometry through the addition of buyers and incremental processes, increasing order frequency and spend. For the quarter ended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8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40"/>
        <w:spacing w:after="0"/>
        <w:rPr>
          <w:sz w:val="20"/>
          <w:szCs w:val="20"/>
          <w:color w:val="auto"/>
        </w:rPr>
      </w:pPr>
      <w:r>
        <w:rPr>
          <w:rFonts w:ascii="Arial" w:cs="Arial" w:eastAsia="Arial" w:hAnsi="Arial"/>
          <w:sz w:val="18"/>
          <w:szCs w:val="18"/>
          <w:color w:val="auto"/>
        </w:rPr>
        <w:t>December 31, 2020, 95% of our revenue was generated from existing accounts. We define an existing account as an account where at least one buyer has made a purchase on our marketplace. We also saw a 46% year-over-year increase in accounts with at least $50,000 annual spend.</w:t>
      </w:r>
    </w:p>
    <w:p>
      <w:pPr>
        <w:spacing w:after="0" w:line="86" w:lineRule="exact"/>
        <w:rPr>
          <w:sz w:val="20"/>
          <w:szCs w:val="20"/>
          <w:color w:val="auto"/>
        </w:rPr>
      </w:pPr>
    </w:p>
    <w:p>
      <w:pPr>
        <w:ind w:left="1020" w:right="180" w:hanging="195"/>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79" w:lineRule="exact"/>
        <w:rPr>
          <w:rFonts w:ascii="Arial" w:cs="Arial" w:eastAsia="Arial" w:hAnsi="Arial"/>
          <w:sz w:val="18"/>
          <w:szCs w:val="18"/>
          <w:color w:val="auto"/>
        </w:rPr>
      </w:pPr>
    </w:p>
    <w:p>
      <w:pPr>
        <w:ind w:left="1020" w:right="200" w:hanging="195"/>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Strategy</w:t>
      </w:r>
    </w:p>
    <w:p>
      <w:pPr>
        <w:spacing w:after="0" w:line="239" w:lineRule="exact"/>
        <w:rPr>
          <w:sz w:val="20"/>
          <w:szCs w:val="20"/>
          <w:color w:val="auto"/>
        </w:rPr>
      </w:pPr>
    </w:p>
    <w:p>
      <w:pPr>
        <w:ind w:left="1020" w:right="4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79" w:lineRule="exact"/>
        <w:rPr>
          <w:rFonts w:ascii="Arial" w:cs="Arial" w:eastAsia="Arial" w:hAnsi="Arial"/>
          <w:sz w:val="18"/>
          <w:szCs w:val="18"/>
          <w:color w:val="auto"/>
        </w:rPr>
      </w:pPr>
    </w:p>
    <w:p>
      <w:pPr>
        <w:ind w:left="1020" w:right="100" w:hanging="195"/>
        <w:spacing w:after="0" w:line="25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our entire platform. We are focused on attracting new sellers, recognizing the massive opportunity still in front of us and the intrinsic benefit an active, diverse seller population brings to the overall platform.</w:t>
      </w:r>
    </w:p>
    <w:p>
      <w:pPr>
        <w:spacing w:after="0" w:line="74"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w:t>
      </w:r>
    </w:p>
    <w:p>
      <w:pPr>
        <w:spacing w:after="0" w:line="79" w:lineRule="exact"/>
        <w:rPr>
          <w:rFonts w:ascii="Arial" w:cs="Arial" w:eastAsia="Arial" w:hAnsi="Arial"/>
          <w:sz w:val="18"/>
          <w:szCs w:val="18"/>
          <w:color w:val="auto"/>
        </w:rPr>
      </w:pPr>
    </w:p>
    <w:p>
      <w:pPr>
        <w:ind w:left="1020" w:right="220" w:hanging="195"/>
        <w:spacing w:after="0" w:line="244"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and increase engagement. During the year ended December 31, 2020, 40% of active sellers used our seller services. In 2020, we introduced a new suite of financial services for sellers that offer us attractive growth opportunities as we aggressively market the Xometry Pay platform to all U.S. sellers, enhance features that allow quicker conversion of purchase orders to cash, and build toward a full-service digital wallet for sellers to use for payouts and purchases.</w:t>
      </w:r>
    </w:p>
    <w:p>
      <w:pPr>
        <w:spacing w:after="0" w:line="81" w:lineRule="exact"/>
        <w:rPr>
          <w:rFonts w:ascii="Arial" w:cs="Arial" w:eastAsia="Arial" w:hAnsi="Arial"/>
          <w:sz w:val="18"/>
          <w:szCs w:val="18"/>
          <w:color w:val="auto"/>
        </w:rPr>
      </w:pPr>
    </w:p>
    <w:p>
      <w:pPr>
        <w:ind w:left="1020" w:right="180" w:hanging="195"/>
        <w:spacing w:after="0" w:line="26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our international expansion. </w:t>
      </w:r>
      <w:r>
        <w:rPr>
          <w:rFonts w:ascii="Arial" w:cs="Arial" w:eastAsia="Arial" w:hAnsi="Arial"/>
          <w:sz w:val="17"/>
          <w:szCs w:val="17"/>
          <w:color w:val="auto"/>
        </w:rPr>
        <w:t>We believe there is significant opportunity in the global manufacturing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marketplace 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64" w:lineRule="exact"/>
        <w:rPr>
          <w:rFonts w:ascii="Arial" w:cs="Arial" w:eastAsia="Arial" w:hAnsi="Arial"/>
          <w:sz w:val="17"/>
          <w:szCs w:val="17"/>
          <w:color w:val="auto"/>
        </w:rPr>
      </w:pPr>
    </w:p>
    <w:p>
      <w:pPr>
        <w:ind w:left="1020" w:right="260" w:hanging="195"/>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for targeted investments and acquisitions to strengthen our competitive position and processes.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Risk Factors Summary</w:t>
      </w:r>
    </w:p>
    <w:p>
      <w:pPr>
        <w:spacing w:after="0" w:line="234" w:lineRule="exact"/>
        <w:rPr>
          <w:sz w:val="20"/>
          <w:szCs w:val="20"/>
          <w:color w:val="auto"/>
        </w:rPr>
      </w:pPr>
    </w:p>
    <w:p>
      <w:pPr>
        <w:jc w:val="both"/>
        <w:ind w:left="300" w:right="220" w:firstLine="532"/>
        <w:spacing w:after="0"/>
        <w:rPr>
          <w:sz w:val="20"/>
          <w:szCs w:val="20"/>
          <w:color w:val="auto"/>
        </w:rPr>
      </w:pPr>
      <w:r>
        <w:rPr>
          <w:rFonts w:ascii="Arial" w:cs="Arial" w:eastAsia="Arial" w:hAnsi="Arial"/>
          <w:sz w:val="18"/>
          <w:szCs w:val="18"/>
          <w:color w:val="auto"/>
        </w:rPr>
        <w:t>Investing in our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90" w:lineRule="exact"/>
        <w:rPr>
          <w:sz w:val="20"/>
          <w:szCs w:val="20"/>
          <w:color w:val="auto"/>
        </w:rPr>
      </w:pPr>
    </w:p>
    <w:p>
      <w:pPr>
        <w:ind w:left="1020" w:right="66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have incurred net losses in the past, expect to incur net losses in the future and may never achieve or maintain profitability.</w:t>
      </w:r>
    </w:p>
    <w:p>
      <w:pPr>
        <w:spacing w:after="0" w:line="65"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not continue to grow on pace with historical rates.</w:t>
      </w:r>
    </w:p>
    <w:p>
      <w:pPr>
        <w:spacing w:after="0" w:line="117" w:lineRule="exact"/>
        <w:rPr>
          <w:rFonts w:ascii="Arial" w:cs="Arial" w:eastAsia="Arial" w:hAnsi="Arial"/>
          <w:sz w:val="18"/>
          <w:szCs w:val="18"/>
          <w:color w:val="auto"/>
        </w:rPr>
      </w:pPr>
    </w:p>
    <w:p>
      <w:pPr>
        <w:ind w:left="1020" w:right="58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If we are unable to manage the anticipated growth of our business, our future revenue and operating results may be adversely affected.</w:t>
      </w:r>
    </w:p>
    <w:p>
      <w:pPr>
        <w:spacing w:after="0" w:line="65"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operating results may fluctuate from quarter to quarter, which makes our future results difficult to predict.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growth depends on our ability to attract and retain a large community of buyers and sellers.</w:t>
      </w:r>
    </w:p>
    <w:p>
      <w:pPr>
        <w:spacing w:after="0" w:line="117" w:lineRule="exact"/>
        <w:rPr>
          <w:rFonts w:ascii="Arial" w:cs="Arial" w:eastAsia="Arial" w:hAnsi="Arial"/>
          <w:sz w:val="18"/>
          <w:szCs w:val="18"/>
          <w:i w:val="1"/>
          <w:iCs w:val="1"/>
          <w:color w:val="auto"/>
        </w:rPr>
      </w:pPr>
    </w:p>
    <w:p>
      <w:pPr>
        <w:ind w:left="1020" w:right="46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65" w:lineRule="exact"/>
        <w:rPr>
          <w:rFonts w:ascii="Arial" w:cs="Arial" w:eastAsia="Arial" w:hAnsi="Arial"/>
          <w:sz w:val="18"/>
          <w:szCs w:val="18"/>
          <w:color w:val="auto"/>
        </w:rPr>
      </w:pPr>
    </w:p>
    <w:p>
      <w:pPr>
        <w:ind w:left="1020" w:right="8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If we fail to maintain and improve the quality of our platform, customer support and ancillary services available through our platform, we may not be able to attract and retain buyers and sellers.</w:t>
      </w:r>
    </w:p>
    <w:p>
      <w:pPr>
        <w:spacing w:after="0" w:line="65"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provide quality assurance to buyers.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Our business model involves our agreeing to pricing with a buyer in advance of sourcing the opportunity to a seller.</w:t>
      </w:r>
    </w:p>
    <w:p>
      <w:pPr>
        <w:spacing w:after="0" w:line="117" w:lineRule="exact"/>
        <w:rPr>
          <w:rFonts w:ascii="Arial" w:cs="Arial" w:eastAsia="Arial" w:hAnsi="Arial"/>
          <w:sz w:val="18"/>
          <w:szCs w:val="18"/>
          <w:color w:val="auto"/>
        </w:rPr>
      </w:pPr>
    </w:p>
    <w:p>
      <w:pPr>
        <w:ind w:left="1020" w:right="58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or our third-party partners or service providers may experience a security breach, including unauthorized parties obtaining access to buyers’ confidential information.</w:t>
      </w:r>
    </w:p>
    <w:p>
      <w:pPr>
        <w:spacing w:after="0" w:line="65"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Failure to deal effectively with bad actors engaging on our marketplace or platform could harm our business.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be subject to disputes between sellers and suppliers on our platform.</w:t>
      </w:r>
    </w:p>
    <w:p>
      <w:pPr>
        <w:spacing w:after="0" w:line="117" w:lineRule="exact"/>
        <w:rPr>
          <w:rFonts w:ascii="Arial" w:cs="Arial" w:eastAsia="Arial" w:hAnsi="Arial"/>
          <w:sz w:val="18"/>
          <w:szCs w:val="18"/>
          <w:color w:val="auto"/>
        </w:rPr>
      </w:pPr>
    </w:p>
    <w:p>
      <w:pPr>
        <w:ind w:left="1020" w:right="50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a third-party payment processor to process payments made by buyers and payments made to sellers and suppliers.</w:t>
      </w:r>
    </w:p>
    <w:p>
      <w:pPr>
        <w:spacing w:after="0" w:line="65"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rely on third parties to fulfill buyer orders.</w:t>
      </w:r>
    </w:p>
    <w:p>
      <w:pPr>
        <w:spacing w:after="0" w:line="117" w:lineRule="exact"/>
        <w:rPr>
          <w:rFonts w:ascii="Arial" w:cs="Arial" w:eastAsia="Arial" w:hAnsi="Arial"/>
          <w:sz w:val="18"/>
          <w:szCs w:val="18"/>
          <w:color w:val="auto"/>
        </w:rPr>
      </w:pPr>
    </w:p>
    <w:p>
      <w:pPr>
        <w:ind w:left="1020" w:right="28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face significant competition and expect to face increasing competition in many aspects of our business, which could cause our operating results to suffer.</w:t>
      </w:r>
    </w:p>
    <w:p>
      <w:pPr>
        <w:spacing w:after="0" w:line="65"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may not effectively expand into markets outside the United States.</w:t>
      </w:r>
    </w:p>
    <w:p>
      <w:pPr>
        <w:spacing w:after="0" w:line="117" w:lineRule="exact"/>
        <w:rPr>
          <w:rFonts w:ascii="Arial" w:cs="Arial" w:eastAsia="Arial" w:hAnsi="Arial"/>
          <w:sz w:val="18"/>
          <w:szCs w:val="18"/>
          <w:color w:val="auto"/>
        </w:rPr>
      </w:pPr>
    </w:p>
    <w:p>
      <w:pPr>
        <w:ind w:left="1020" w:right="20" w:hanging="195"/>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ongoing COVID-19 pandemic and measures intended to prevent its spread have had a material effect on our business and results of operations.</w:t>
      </w:r>
    </w:p>
    <w:p>
      <w:pPr>
        <w:spacing w:after="0" w:line="65" w:lineRule="exact"/>
        <w:rPr>
          <w:rFonts w:ascii="Arial" w:cs="Arial" w:eastAsia="Arial" w:hAnsi="Arial"/>
          <w:sz w:val="18"/>
          <w:szCs w:val="18"/>
          <w:color w:val="auto"/>
        </w:rPr>
      </w:pPr>
    </w:p>
    <w:p>
      <w:pPr>
        <w:ind w:left="1020" w:hanging="195"/>
        <w:spacing w:after="0" w:line="29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44" w:lineRule="exact"/>
        <w:rPr>
          <w:rFonts w:ascii="Arial" w:cs="Arial" w:eastAsia="Arial" w:hAnsi="Arial"/>
          <w:sz w:val="17"/>
          <w:szCs w:val="17"/>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We are subject to stringent and evolving laws and regulations relating to consumer data privacy and data protection.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320" w:top="459" w:right="7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360" w:hanging="195"/>
        <w:spacing w:after="0" w:line="26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Our intellectual property and proprietary rights are valuable, and any inability to obtain, maintain, protect or enforce them could substantially harm our business, products, services, and brand.</w:t>
      </w:r>
    </w:p>
    <w:p>
      <w:pPr>
        <w:spacing w:after="0" w:line="65" w:lineRule="exact"/>
        <w:rPr>
          <w:rFonts w:ascii="Arial" w:cs="Arial" w:eastAsia="Arial" w:hAnsi="Arial"/>
          <w:sz w:val="18"/>
          <w:szCs w:val="18"/>
          <w:color w:val="auto"/>
        </w:rPr>
      </w:pPr>
    </w:p>
    <w:p>
      <w:pPr>
        <w:ind w:left="1020" w:right="60" w:hanging="195"/>
        <w:spacing w:after="0" w:line="26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could incur substantial costs and other harms as a result of any claim of infringement, misappropriation or other violation of another party’s intellectual property or proprietary rights.</w:t>
      </w:r>
    </w:p>
    <w:p>
      <w:pPr>
        <w:spacing w:after="0" w:line="65" w:lineRule="exact"/>
        <w:rPr>
          <w:rFonts w:ascii="Arial" w:cs="Arial" w:eastAsia="Arial" w:hAnsi="Arial"/>
          <w:sz w:val="18"/>
          <w:szCs w:val="18"/>
          <w:color w:val="auto"/>
        </w:rPr>
      </w:pPr>
    </w:p>
    <w:p>
      <w:pPr>
        <w:ind w:left="1020" w:right="460" w:hanging="195"/>
        <w:spacing w:after="0" w:line="26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We were incorporated in 2013 under the name NextLine Manufacturing Corp. We changed our name to Xometry, Inc. on</w:t>
      </w:r>
    </w:p>
    <w:p>
      <w:pPr>
        <w:ind w:left="300"/>
        <w:spacing w:after="0" w:line="238" w:lineRule="auto"/>
        <w:rPr>
          <w:sz w:val="20"/>
          <w:szCs w:val="20"/>
          <w:color w:val="auto"/>
        </w:rPr>
      </w:pPr>
      <w:r>
        <w:rPr>
          <w:rFonts w:ascii="Arial" w:cs="Arial" w:eastAsia="Arial" w:hAnsi="Arial"/>
          <w:sz w:val="18"/>
          <w:szCs w:val="18"/>
          <w:color w:val="auto"/>
        </w:rPr>
        <w:t>June 29, 2015. Our principal executive offices are located at 7529 Standish Place, Suite 200, Derwood, MD 20855, and our telephone number is (240) 335-7914. Our website address is www.xometry.com. Information contained on, or that can be accessed through, our website is not incorporated by reference into this prospectus, is an inactive textual reference only, and you should not consider information on our website to be part of this prospectus or in deciding whether or not to purchase our common stock offered in this offering.</w:t>
      </w:r>
    </w:p>
    <w:p>
      <w:pPr>
        <w:spacing w:after="0" w:line="200" w:lineRule="exact"/>
        <w:rPr>
          <w:sz w:val="20"/>
          <w:szCs w:val="20"/>
          <w:color w:val="auto"/>
        </w:rPr>
      </w:pPr>
    </w:p>
    <w:p>
      <w:pPr>
        <w:ind w:left="300" w:right="160" w:firstLine="532"/>
        <w:spacing w:after="0" w:line="239" w:lineRule="auto"/>
        <w:rPr>
          <w:sz w:val="20"/>
          <w:szCs w:val="20"/>
          <w:color w:val="auto"/>
        </w:rPr>
      </w:pPr>
      <w:r>
        <w:rPr>
          <w:rFonts w:ascii="Arial" w:cs="Arial" w:eastAsia="Arial" w:hAnsi="Arial"/>
          <w:sz w:val="18"/>
          <w:szCs w:val="18"/>
          <w:color w:val="auto"/>
        </w:rPr>
        <w:t>“Xometry</w:t>
      </w:r>
      <w:r>
        <w:rPr>
          <w:rFonts w:ascii="Arial" w:cs="Arial" w:eastAsia="Arial" w:hAnsi="Arial"/>
          <w:sz w:val="15"/>
          <w:szCs w:val="15"/>
          <w:color w:val="auto"/>
        </w:rPr>
        <w:t>®</w:t>
      </w:r>
      <w:r>
        <w:rPr>
          <w:rFonts w:ascii="Arial" w:cs="Arial" w:eastAsia="Arial" w:hAnsi="Arial"/>
          <w:sz w:val="18"/>
          <w:szCs w:val="18"/>
          <w:color w:val="auto"/>
        </w:rPr>
        <w:t xml:space="preserve">” and our other registered and common law trade names, trademarks and service marks are the property of Xometry, Inc. or our subsidiaries. Other trade names, trademarks and service marks used in this prospectus are the property of their respective owners. Solely for convenience, trademarks and trade 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 xml:space="preserve">TM </w:t>
      </w:r>
      <w:r>
        <w:rPr>
          <w:rFonts w:ascii="Arial" w:cs="Arial" w:eastAsia="Arial" w:hAnsi="Arial"/>
          <w:sz w:val="17"/>
          <w:szCs w:val="17"/>
          <w:color w:val="auto"/>
        </w:rPr>
        <w:t>symbols.</w:t>
      </w:r>
    </w:p>
    <w:p>
      <w:pPr>
        <w:spacing w:after="0" w:line="2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300" w:right="100" w:firstLine="532"/>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0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$ 1.0 billion in non-convertible debt securities; and (4) the last day of the fiscal year in which the market value of our common stock held by non-affiliates is more than $700 million as of June 30 of such fiscal year.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to be outstanding after this offering</w:t>
      </w:r>
    </w:p>
    <w:p>
      <w:pPr>
        <w:spacing w:after="0" w:line="90" w:lineRule="exact"/>
        <w:rPr>
          <w:sz w:val="20"/>
          <w:szCs w:val="20"/>
          <w:color w:val="auto"/>
        </w:rPr>
      </w:pPr>
    </w:p>
    <w:p>
      <w:pPr>
        <w:ind w:left="300"/>
        <w:spacing w:after="0" w:line="355" w:lineRule="auto"/>
        <w:rPr>
          <w:sz w:val="20"/>
          <w:szCs w:val="20"/>
          <w:color w:val="auto"/>
        </w:rPr>
      </w:pPr>
      <w:r>
        <w:rPr>
          <w:rFonts w:ascii="Arial" w:cs="Arial" w:eastAsia="Arial" w:hAnsi="Arial"/>
          <w:sz w:val="18"/>
          <w:szCs w:val="18"/>
          <w:color w:val="auto"/>
        </w:rPr>
        <w:t>Option to purchase additional shares of common stock offered by us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9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net proceeds from the sale of our common</w:t>
      </w:r>
    </w:p>
    <w:p>
      <w:pPr>
        <w:spacing w:after="0" w:line="234" w:lineRule="auto"/>
        <w:tabs>
          <w:tab w:leader="none" w:pos="4500" w:val="left"/>
        </w:tabs>
        <w:rPr>
          <w:sz w:val="20"/>
          <w:szCs w:val="20"/>
          <w:color w:val="auto"/>
        </w:rPr>
      </w:pPr>
      <w:r>
        <w:rPr>
          <w:rFonts w:ascii="Arial" w:cs="Arial" w:eastAsia="Arial" w:hAnsi="Arial"/>
          <w:sz w:val="18"/>
          <w:szCs w:val="18"/>
          <w:color w:val="auto"/>
        </w:rPr>
        <w:t>stock that we are offering will be approximately $</w:t>
      </w:r>
      <w:r>
        <w:rPr>
          <w:sz w:val="20"/>
          <w:szCs w:val="20"/>
          <w:color w:val="auto"/>
        </w:rPr>
        <w:tab/>
      </w:r>
      <w:r>
        <w:rPr>
          <w:rFonts w:ascii="Arial" w:cs="Arial" w:eastAsia="Arial" w:hAnsi="Arial"/>
          <w:sz w:val="18"/>
          <w:szCs w:val="18"/>
          <w:color w:val="auto"/>
        </w:rPr>
        <w:t>million</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(or approximately $ million if the underwriters’ option to purchase additional shares of our common stock from us is exercised in full), assuming an initial public offering price of</w:t>
      </w:r>
    </w:p>
    <w:p>
      <w:pPr>
        <w:spacing w:after="0" w:line="2" w:lineRule="exact"/>
        <w:rPr>
          <w:sz w:val="20"/>
          <w:szCs w:val="20"/>
          <w:color w:val="auto"/>
        </w:rPr>
      </w:pPr>
    </w:p>
    <w:p>
      <w:pPr>
        <w:spacing w:after="0" w:line="23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 share, the midpoint of the estimated price range set forth on the cover page of this prospectus, and after deducting estimated underwriting discounts and commissions and estimated offering expenses.</w:t>
      </w:r>
    </w:p>
    <w:p>
      <w:pPr>
        <w:spacing w:after="0" w:line="7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common stock.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from this offering to (i) repay (or partially repay) our outstanding indebtedness under our Amended Loan and Security Agreement (as defined in the section titled “Management’s Discussion of Financial and Analysis of Financial Condition and Results of Operations—Liquidity and Capital Resources—Term Loan Facility”), which matures on May 1, 2022 under which $15.8 million was outstanding at an annual interest rate of 8.7% as of December 31, 2020 and/or (ii) acquire complementary businesses, products, services or technologies. However, we do not have agreements or commitments to enter into any acquisitions at this time. See the section titled “Use of Proceeds” for additional information.</w:t>
      </w:r>
    </w:p>
    <w:p>
      <w:pPr>
        <w:spacing w:after="0" w:line="59" w:lineRule="exact"/>
        <w:rPr>
          <w:sz w:val="20"/>
          <w:szCs w:val="20"/>
          <w:color w:val="auto"/>
        </w:rPr>
      </w:pPr>
    </w:p>
    <w:p>
      <w:pPr>
        <w:ind w:right="100"/>
        <w:spacing w:after="0" w:line="257" w:lineRule="auto"/>
        <w:rPr>
          <w:rFonts w:ascii="Arial" w:cs="Arial" w:eastAsia="Arial" w:hAnsi="Arial"/>
          <w:sz w:val="17"/>
          <w:szCs w:val="17"/>
          <w:color w:val="auto"/>
        </w:rPr>
      </w:pPr>
      <w:r>
        <w:rPr>
          <w:rFonts w:ascii="Arial" w:cs="Arial" w:eastAsia="Arial" w:hAnsi="Arial"/>
          <w:sz w:val="17"/>
          <w:szCs w:val="17"/>
          <w:color w:val="auto"/>
        </w:rPr>
        <w:t>You should carefully read the section titled “</w:t>
      </w:r>
      <w:hyperlink w:anchor="page18">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15 and the other information included in this prospectus for a discussion of facts that you should consider before deciding to invest in shares of our common stock.</w:t>
      </w:r>
    </w:p>
    <w:p>
      <w:pPr>
        <w:spacing w:after="0" w:line="200" w:lineRule="exact"/>
        <w:rPr>
          <w:sz w:val="20"/>
          <w:szCs w:val="20"/>
          <w:color w:val="auto"/>
        </w:rPr>
      </w:pPr>
    </w:p>
    <w:p>
      <w:pPr>
        <w:sectPr>
          <w:pgSz w:w="11900" w:h="16838" w:orient="portrait"/>
          <w:cols w:equalWidth="0" w:num="2">
            <w:col w:w="5720" w:space="100"/>
            <w:col w:w="5120"/>
          </w:cols>
          <w:pgMar w:left="320" w:top="459" w:right="6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40"/>
          </w:cols>
          <w:pgMar w:left="320" w:top="459" w:right="6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4607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6075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1160" w:space="720"/>
            <w:col w:w="3220" w:space="720"/>
            <w:col w:w="540" w:space="720"/>
            <w:col w:w="4060"/>
          </w:cols>
          <w:pgMar w:left="320" w:top="459" w:right="439" w:bottom="1440" w:gutter="0" w:footer="0" w:header="0"/>
          <w:type w:val="continuous"/>
        </w:sectPr>
      </w:pPr>
    </w:p>
    <w:p>
      <w:pPr>
        <w:spacing w:after="0" w:line="25" w:lineRule="exact"/>
        <w:rPr>
          <w:sz w:val="20"/>
          <w:szCs w:val="20"/>
          <w:color w:val="auto"/>
        </w:rPr>
      </w:pPr>
    </w:p>
    <w:p>
      <w:pPr>
        <w:ind w:left="300" w:right="120" w:firstLine="532"/>
        <w:spacing w:after="0" w:line="246" w:lineRule="auto"/>
        <w:rPr>
          <w:sz w:val="20"/>
          <w:szCs w:val="20"/>
          <w:color w:val="auto"/>
        </w:rPr>
      </w:pPr>
      <w:r>
        <w:rPr>
          <w:rFonts w:ascii="Arial" w:cs="Arial" w:eastAsia="Arial" w:hAnsi="Arial"/>
          <w:sz w:val="18"/>
          <w:szCs w:val="18"/>
          <w:color w:val="auto"/>
        </w:rPr>
        <w:t>The number of shares of common stock that will be outstanding after this offering is based on stock outstanding as of , and excludes: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w:t>
      </w:r>
    </w:p>
    <w:p>
      <w:pPr>
        <w:spacing w:after="0" w:line="330" w:lineRule="exact"/>
        <w:rPr>
          <w:sz w:val="20"/>
          <w:szCs w:val="20"/>
          <w:color w:val="auto"/>
        </w:rPr>
      </w:pPr>
    </w:p>
    <w:p>
      <w:pPr>
        <w:sectPr>
          <w:pgSz w:w="11900" w:h="16838" w:orient="portrait"/>
          <w:cols w:equalWidth="0" w:num="2">
            <w:col w:w="8360" w:space="720"/>
            <w:col w:w="2060"/>
          </w:cols>
          <w:pgMar w:left="320" w:top="459" w:right="439" w:bottom="1440" w:gutter="0" w:footer="0" w:header="0"/>
          <w:type w:val="continuous"/>
        </w:sectPr>
      </w:pPr>
    </w:p>
    <w:p>
      <w:pPr>
        <w:jc w:val="right"/>
        <w:ind w:left="820" w:right="80"/>
        <w:spacing w:after="0" w:line="246" w:lineRule="auto"/>
        <w:rPr>
          <w:sz w:val="20"/>
          <w:szCs w:val="20"/>
          <w:color w:val="auto"/>
        </w:rPr>
      </w:pPr>
      <w:r>
        <w:rPr>
          <w:rFonts w:ascii="Arial" w:cs="Arial" w:eastAsia="Arial" w:hAnsi="Arial"/>
          <w:sz w:val="18"/>
          <w:szCs w:val="18"/>
          <w:color w:val="auto"/>
        </w:rPr>
        <w:t>•        shares of common stock issuable on the exercise of stock options outstanding as of Incentive Plan, or 2016 Plan, with a weighted-average exercise price of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under our 2016 Equity</w:t>
      </w:r>
    </w:p>
    <w:p>
      <w:pPr>
        <w:spacing w:after="0" w:line="319" w:lineRule="exact"/>
        <w:rPr>
          <w:sz w:val="20"/>
          <w:szCs w:val="20"/>
          <w:color w:val="auto"/>
        </w:rPr>
      </w:pPr>
    </w:p>
    <w:p>
      <w:pPr>
        <w:sectPr>
          <w:pgSz w:w="11900" w:h="16838" w:orient="portrait"/>
          <w:cols w:equalWidth="0" w:num="2">
            <w:col w:w="8340" w:space="720"/>
            <w:col w:w="2080"/>
          </w:cols>
          <w:pgMar w:left="320" w:top="459" w:right="439" w:bottom="1440" w:gutter="0" w:footer="0" w:header="0"/>
          <w:type w:val="continuous"/>
        </w:sectPr>
      </w:pPr>
    </w:p>
    <w:p>
      <w:pPr>
        <w:ind w:left="820"/>
        <w:spacing w:after="0"/>
        <w:tabs>
          <w:tab w:leader="none" w:pos="1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upon the exercise of warrants outstanding as of</w:t>
      </w:r>
    </w:p>
    <w:p>
      <w:pPr>
        <w:spacing w:after="0" w:line="7" w:lineRule="exact"/>
        <w:rPr>
          <w:sz w:val="20"/>
          <w:szCs w:val="20"/>
          <w:color w:val="auto"/>
        </w:rPr>
      </w:pPr>
    </w:p>
    <w:p>
      <w:pPr>
        <w:ind w:left="1020"/>
        <w:spacing w:after="0"/>
        <w:tabs>
          <w:tab w:leader="none" w:pos="326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with a weighted-average</w:t>
      </w:r>
    </w:p>
    <w:p>
      <w:pPr>
        <w:spacing w:after="0" w:line="327" w:lineRule="exact"/>
        <w:rPr>
          <w:sz w:val="20"/>
          <w:szCs w:val="20"/>
          <w:color w:val="auto"/>
        </w:rPr>
      </w:pPr>
    </w:p>
    <w:p>
      <w:pPr>
        <w:sectPr>
          <w:pgSz w:w="11900" w:h="16838" w:orient="portrait"/>
          <w:cols w:equalWidth="0" w:num="2">
            <w:col w:w="8240" w:space="720"/>
            <w:col w:w="2180"/>
          </w:cols>
          <w:pgMar w:left="320" w:top="459" w:right="439" w:bottom="1440" w:gutter="0" w:footer="0" w:header="0"/>
          <w:type w:val="continuous"/>
        </w:sectPr>
      </w:pPr>
    </w:p>
    <w:p>
      <w:pPr>
        <w:ind w:left="1860" w:hanging="1035"/>
        <w:spacing w:after="0"/>
        <w:tabs>
          <w:tab w:leader="none" w:pos="1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2021 Equity Incentive Plan, or 2021 Plan, which</w:t>
      </w:r>
    </w:p>
    <w:p>
      <w:pPr>
        <w:ind w:left="1020" w:right="240"/>
        <w:spacing w:after="0" w:line="238" w:lineRule="auto"/>
        <w:rPr>
          <w:sz w:val="20"/>
          <w:szCs w:val="20"/>
          <w:color w:val="auto"/>
        </w:rPr>
      </w:pPr>
      <w:r>
        <w:rPr>
          <w:rFonts w:ascii="Arial" w:cs="Arial" w:eastAsia="Arial" w:hAnsi="Arial"/>
          <w:sz w:val="18"/>
          <w:szCs w:val="18"/>
          <w:color w:val="auto"/>
        </w:rPr>
        <w:t>will become effective on , 2021, as well as any future increases, including annual automatic evergreen increases, in the number of shares of common stock reserved for issuance under our 2021 Plan and any shares underlying outstanding stock awards granted under our 2016 Plan that expire or are repurchased, forfeited, cancelled or withheld, as more fully described in the section titled “Executive Compensation—Employee Benefit Plans”; and</w:t>
      </w:r>
    </w:p>
    <w:p>
      <w:pPr>
        <w:spacing w:after="0" w:line="110" w:lineRule="exact"/>
        <w:rPr>
          <w:sz w:val="20"/>
          <w:szCs w:val="20"/>
          <w:color w:val="auto"/>
        </w:rPr>
      </w:pPr>
    </w:p>
    <w:p>
      <w:pPr>
        <w:jc w:val="both"/>
        <w:ind w:left="1020" w:right="200" w:hanging="195"/>
        <w:spacing w:after="0" w:line="238" w:lineRule="auto"/>
        <w:tabs>
          <w:tab w:leader="none" w:pos="18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2021 Employee Stock Purchase Plan, or ESPP, which will become effective on the date immediately prior to the date of the underwriting agreement related to this offering, as well as any future increases, including annual automatic evergreen increases, in the number of shares of common stock reserved for future issuance under our ESPP.</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117" w:lineRule="exact"/>
        <w:rPr>
          <w:sz w:val="20"/>
          <w:szCs w:val="20"/>
          <w:color w:val="auto"/>
        </w:rPr>
      </w:pPr>
    </w:p>
    <w:p>
      <w:pPr>
        <w:ind w:left="820"/>
        <w:spacing w:after="0"/>
        <w:tabs>
          <w:tab w:leader="none" w:pos="1700" w:val="left"/>
          <w:tab w:leader="none" w:pos="2500" w:val="left"/>
        </w:tabs>
        <w:rPr>
          <w:sz w:val="20"/>
          <w:szCs w:val="20"/>
          <w:color w:val="auto"/>
        </w:rPr>
      </w:pPr>
      <w:r>
        <w:rPr>
          <w:rFonts w:ascii="Arial" w:cs="Arial" w:eastAsia="Arial" w:hAnsi="Arial"/>
          <w:sz w:val="18"/>
          <w:szCs w:val="18"/>
          <w:color w:val="auto"/>
        </w:rPr>
        <w:t>•  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7"/>
          <w:szCs w:val="17"/>
          <w:color w:val="auto"/>
        </w:rPr>
        <w:t>stock split of our common stock to be effected prior to the completion of this offering;</w:t>
      </w:r>
    </w:p>
    <w:p>
      <w:pPr>
        <w:spacing w:after="0" w:line="117" w:lineRule="exact"/>
        <w:rPr>
          <w:sz w:val="20"/>
          <w:szCs w:val="20"/>
          <w:color w:val="auto"/>
        </w:rPr>
      </w:pPr>
    </w:p>
    <w:p>
      <w:pPr>
        <w:ind w:left="1020" w:hanging="19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which will be in effect on the completion of this offering;</w:t>
      </w:r>
    </w:p>
    <w:p>
      <w:pPr>
        <w:spacing w:after="0" w:line="117" w:lineRule="exact"/>
        <w:rPr>
          <w:rFonts w:ascii="Arial" w:cs="Arial" w:eastAsia="Arial" w:hAnsi="Arial"/>
          <w:sz w:val="18"/>
          <w:szCs w:val="18"/>
          <w:color w:val="auto"/>
        </w:rPr>
      </w:pPr>
    </w:p>
    <w:p>
      <w:pPr>
        <w:ind w:left="1020" w:right="560" w:hanging="195"/>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of all of our outstanding convertible preferred stock into an equal number of shares of our common stock, which will occur immediately prior to on the completion of this offering;</w:t>
      </w:r>
    </w:p>
    <w:p>
      <w:pPr>
        <w:spacing w:after="0" w:line="102" w:lineRule="exact"/>
        <w:rPr>
          <w:rFonts w:ascii="Arial" w:cs="Arial" w:eastAsia="Arial" w:hAnsi="Arial"/>
          <w:sz w:val="18"/>
          <w:szCs w:val="18"/>
          <w:color w:val="auto"/>
        </w:rPr>
      </w:pPr>
    </w:p>
    <w:p>
      <w:pPr>
        <w:jc w:val="both"/>
        <w:ind w:left="1020" w:right="600" w:hanging="19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reclassification of shares of convertible preferred stock issuable upon exercise of outstanding warrants into an equal number of shares of our common stock issuable upon exercise of warrants, which will occur immediately prior to on the completion of this offering; and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900" w:type="dxa"/>
            <w:vAlign w:val="bottom"/>
          </w:tcPr>
          <w:p>
            <w:pPr>
              <w:jc w:val="right"/>
              <w:ind w:right="370"/>
              <w:spacing w:after="0"/>
              <w:rPr>
                <w:sz w:val="20"/>
                <w:szCs w:val="20"/>
                <w:color w:val="auto"/>
              </w:rPr>
            </w:pPr>
            <w:r>
              <w:rPr>
                <w:rFonts w:ascii="Arial" w:cs="Arial" w:eastAsia="Arial" w:hAnsi="Arial"/>
                <w:sz w:val="18"/>
                <w:szCs w:val="18"/>
                <w:color w:val="auto"/>
              </w:rPr>
              <w:t>•  no exercise of the underwriters’ option to purchase up to an additional</w:t>
            </w:r>
          </w:p>
        </w:tc>
        <w:tc>
          <w:tcPr>
            <w:tcW w:w="4120" w:type="dxa"/>
            <w:vAlign w:val="bottom"/>
          </w:tcPr>
          <w:p>
            <w:pPr>
              <w:ind w:left="440"/>
              <w:spacing w:after="0"/>
              <w:rPr>
                <w:sz w:val="20"/>
                <w:szCs w:val="20"/>
                <w:color w:val="auto"/>
              </w:rPr>
            </w:pPr>
            <w:r>
              <w:rPr>
                <w:rFonts w:ascii="Arial" w:cs="Arial" w:eastAsia="Arial" w:hAnsi="Arial"/>
                <w:sz w:val="18"/>
                <w:szCs w:val="18"/>
                <w:color w:val="auto"/>
              </w:rPr>
              <w:t>shares of common stock from us in this</w:t>
            </w:r>
          </w:p>
        </w:tc>
      </w:tr>
      <w:tr>
        <w:trPr>
          <w:trHeight w:val="217"/>
        </w:trPr>
        <w:tc>
          <w:tcPr>
            <w:tcW w:w="6900" w:type="dxa"/>
            <w:vAlign w:val="bottom"/>
          </w:tcPr>
          <w:p>
            <w:pPr>
              <w:jc w:val="right"/>
              <w:ind w:right="5270"/>
              <w:spacing w:after="0"/>
              <w:rPr>
                <w:sz w:val="20"/>
                <w:szCs w:val="20"/>
                <w:color w:val="auto"/>
              </w:rPr>
            </w:pPr>
            <w:r>
              <w:rPr>
                <w:rFonts w:ascii="Arial" w:cs="Arial" w:eastAsia="Arial" w:hAnsi="Arial"/>
                <w:sz w:val="18"/>
                <w:szCs w:val="18"/>
                <w:color w:val="auto"/>
              </w:rPr>
              <w:t>offering.</w:t>
            </w:r>
          </w:p>
        </w:tc>
        <w:tc>
          <w:tcPr>
            <w:tcW w:w="4120" w:type="dxa"/>
            <w:vAlign w:val="bottom"/>
          </w:tcPr>
          <w:p>
            <w:pPr>
              <w:spacing w:after="0"/>
              <w:rPr>
                <w:sz w:val="18"/>
                <w:szCs w:val="18"/>
                <w:color w:val="auto"/>
              </w:rPr>
            </w:pPr>
          </w:p>
        </w:tc>
      </w:tr>
      <w:tr>
        <w:trPr>
          <w:trHeight w:val="226"/>
        </w:trPr>
        <w:tc>
          <w:tcPr>
            <w:tcW w:w="690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r>
      <w:tr>
        <w:trPr>
          <w:trHeight w:val="604"/>
        </w:trPr>
        <w:tc>
          <w:tcPr>
            <w:tcW w:w="6900" w:type="dxa"/>
            <w:vAlign w:val="bottom"/>
          </w:tcPr>
          <w:p>
            <w:pPr>
              <w:jc w:val="right"/>
              <w:ind w:right="1210"/>
              <w:spacing w:after="0"/>
              <w:rPr>
                <w:sz w:val="20"/>
                <w:szCs w:val="20"/>
                <w:color w:val="auto"/>
              </w:rPr>
            </w:pPr>
            <w:r>
              <w:rPr>
                <w:rFonts w:ascii="Arial" w:cs="Arial" w:eastAsia="Arial" w:hAnsi="Arial"/>
                <w:sz w:val="18"/>
                <w:szCs w:val="18"/>
                <w:color w:val="auto"/>
              </w:rPr>
              <w:t>11</w:t>
            </w:r>
          </w:p>
        </w:tc>
        <w:tc>
          <w:tcPr>
            <w:tcW w:w="4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8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4" w:lineRule="exact"/>
        <w:rPr>
          <w:sz w:val="20"/>
          <w:szCs w:val="20"/>
          <w:color w:val="auto"/>
        </w:rPr>
      </w:pPr>
    </w:p>
    <w:p>
      <w:pPr>
        <w:ind w:left="300" w:right="60" w:firstLine="532"/>
        <w:spacing w:after="0" w:line="236" w:lineRule="auto"/>
        <w:rPr>
          <w:sz w:val="20"/>
          <w:szCs w:val="20"/>
          <w:color w:val="auto"/>
        </w:rPr>
      </w:pPr>
      <w:r>
        <w:rPr>
          <w:rFonts w:ascii="Arial" w:cs="Arial" w:eastAsia="Arial" w:hAnsi="Arial"/>
          <w:sz w:val="18"/>
          <w:szCs w:val="18"/>
          <w:color w:val="auto"/>
        </w:rPr>
        <w:t>The summary consolidated statement of operations data for the years ended December 31, 2019 and December 31, 2020 have been derived from our audited consolidated financial statements included elsewhere in this prospectus.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The summary consolidated statement of operations data is not intended to replace the consolidated financial statements and the accompanying notes and are qualified in their entirety by our consolidated financial statements and the accompanying notes included elsewhere in the prospectus. Our historical results are not necessarily indicative of the results to be expected for any other period.</w:t>
      </w: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5"/>
          </w:tcPr>
          <w:p>
            <w:pPr>
              <w:jc w:val="center"/>
              <w:ind w:right="5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80,228</w:t>
            </w:r>
          </w:p>
        </w:tc>
        <w:tc>
          <w:tcPr>
            <w:tcW w:w="28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40"/>
              <w:spacing w:after="0" w:line="202" w:lineRule="exact"/>
              <w:rPr>
                <w:sz w:val="20"/>
                <w:szCs w:val="20"/>
                <w:color w:val="auto"/>
              </w:rPr>
            </w:pPr>
            <w:r>
              <w:rPr>
                <w:rFonts w:ascii="Arial" w:cs="Arial" w:eastAsia="Arial" w:hAnsi="Arial"/>
                <w:sz w:val="18"/>
                <w:szCs w:val="18"/>
                <w:color w:val="auto"/>
              </w:rPr>
              <w:t>Sales and marketing</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22,567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Operations and support</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14,111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40"/>
              <w:spacing w:after="0" w:line="202" w:lineRule="exact"/>
              <w:rPr>
                <w:sz w:val="20"/>
                <w:szCs w:val="20"/>
                <w:color w:val="auto"/>
              </w:rPr>
            </w:pPr>
            <w:r>
              <w:rPr>
                <w:rFonts w:ascii="Arial" w:cs="Arial" w:eastAsia="Arial" w:hAnsi="Arial"/>
                <w:sz w:val="18"/>
                <w:szCs w:val="18"/>
                <w:color w:val="auto"/>
              </w:rPr>
              <w:t>Product development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12,186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tcPr>
          <w:p>
            <w:pPr>
              <w:ind w:left="340"/>
              <w:spacing w:after="0" w:line="202" w:lineRule="exact"/>
              <w:rPr>
                <w:sz w:val="20"/>
                <w:szCs w:val="20"/>
                <w:color w:val="auto"/>
              </w:rPr>
            </w:pPr>
            <w:r>
              <w:rPr>
                <w:rFonts w:ascii="Arial" w:cs="Arial" w:eastAsia="Arial" w:hAnsi="Arial"/>
                <w:sz w:val="18"/>
                <w:szCs w:val="18"/>
                <w:color w:val="auto"/>
              </w:rPr>
              <w:t>Impairment of goodwill and intangible assets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45,285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62,502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gridSpan w:val="2"/>
          </w:tcPr>
          <w:p>
            <w:pPr>
              <w:spacing w:after="0" w:line="196" w:lineRule="exact"/>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(30,549)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(29,216)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expenses: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(30,994)</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(31,085)</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gridSpan w:val="2"/>
          </w:tcPr>
          <w:p>
            <w:pPr>
              <w:spacing w:after="0" w:line="196" w:lineRule="exact"/>
              <w:rPr>
                <w:sz w:val="20"/>
                <w:szCs w:val="20"/>
                <w:color w:val="auto"/>
              </w:rPr>
            </w:pPr>
            <w:r>
              <w:rPr>
                <w:rFonts w:ascii="Arial" w:cs="Arial" w:eastAsia="Arial" w:hAnsi="Arial"/>
                <w:sz w:val="18"/>
                <w:szCs w:val="18"/>
                <w:color w:val="auto"/>
              </w:rPr>
              <w:t>Deemed dividend to preferred stockholders</w:t>
            </w: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(30,994)</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(39,886)</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(4.88)</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to compute net loss per share attributable to common</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stockholders, basic and diluted(1)</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6,345,498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7,492,876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gridSpan w:val="2"/>
          </w:tcPr>
          <w:p>
            <w:pPr>
              <w:spacing w:after="0" w:line="196" w:lineRule="exact"/>
              <w:rPr>
                <w:sz w:val="20"/>
                <w:szCs w:val="20"/>
                <w:color w:val="auto"/>
              </w:rPr>
            </w:pPr>
            <w:r>
              <w:rPr>
                <w:rFonts w:ascii="Arial" w:cs="Arial" w:eastAsia="Arial" w:hAnsi="Arial"/>
                <w:sz w:val="18"/>
                <w:szCs w:val="18"/>
                <w:color w:val="auto"/>
              </w:rPr>
              <w:t>Pro forma earnings per share attributable to common stockholders, basic and diluted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to compute pro forma earnings per share attributable to</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common stockholders, basic and diluted(1)</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360" w:hanging="522"/>
        <w:spacing w:after="0" w:line="23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included elsewhere in this prospectus for an explanation of the calculations of our basic and diluted earnings per share attributable to common stockholders, pro forma earnings per share attributable to common stockholders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jc w:val="center"/>
              <w:ind w:right="64"/>
              <w:spacing w:after="0"/>
              <w:rPr>
                <w:sz w:val="20"/>
                <w:szCs w:val="20"/>
                <w:color w:val="auto"/>
              </w:rPr>
            </w:pPr>
            <w:r>
              <w:rPr>
                <w:rFonts w:ascii="Arial" w:cs="Arial" w:eastAsia="Arial" w:hAnsi="Arial"/>
                <w:sz w:val="14"/>
                <w:szCs w:val="14"/>
                <w:b w:val="1"/>
                <w:bCs w:val="1"/>
                <w:color w:val="auto"/>
              </w:rPr>
              <w:t>Pro</w:t>
            </w:r>
          </w:p>
        </w:tc>
        <w:tc>
          <w:tcPr>
            <w:tcW w:w="13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48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60" w:type="dxa"/>
            <w:vAlign w:val="bottom"/>
          </w:tcPr>
          <w:p>
            <w:pPr>
              <w:jc w:val="right"/>
              <w:ind w:right="448"/>
              <w:spacing w:after="0"/>
              <w:rPr>
                <w:sz w:val="20"/>
                <w:szCs w:val="20"/>
                <w:color w:val="auto"/>
              </w:rPr>
            </w:pPr>
            <w:r>
              <w:rPr>
                <w:rFonts w:ascii="Arial" w:cs="Arial" w:eastAsia="Arial" w:hAnsi="Arial"/>
                <w:sz w:val="14"/>
                <w:szCs w:val="14"/>
                <w:b w:val="1"/>
                <w:bCs w:val="1"/>
                <w:color w:val="auto"/>
              </w:rPr>
              <w:t>Actual</w:t>
            </w:r>
          </w:p>
        </w:tc>
        <w:tc>
          <w:tcPr>
            <w:tcW w:w="1420" w:type="dxa"/>
            <w:vAlign w:val="bottom"/>
          </w:tcPr>
          <w:p>
            <w:pPr>
              <w:jc w:val="center"/>
              <w:ind w:right="44"/>
              <w:spacing w:after="0"/>
              <w:rPr>
                <w:sz w:val="20"/>
                <w:szCs w:val="20"/>
                <w:color w:val="auto"/>
              </w:rPr>
            </w:pPr>
            <w:r>
              <w:rPr>
                <w:rFonts w:ascii="Arial" w:cs="Arial" w:eastAsia="Arial" w:hAnsi="Arial"/>
                <w:sz w:val="14"/>
                <w:szCs w:val="14"/>
                <w:b w:val="1"/>
                <w:bCs w:val="1"/>
                <w:color w:val="auto"/>
              </w:rPr>
              <w:t>Forma(1)</w:t>
            </w:r>
          </w:p>
        </w:tc>
        <w:tc>
          <w:tcPr>
            <w:tcW w:w="138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rPr>
              <w:t>As Adjusted(2)(3)</w:t>
            </w:r>
          </w:p>
        </w:tc>
      </w:tr>
      <w:tr>
        <w:trPr>
          <w:trHeight w:val="155"/>
        </w:trPr>
        <w:tc>
          <w:tcPr>
            <w:tcW w:w="4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(in thousands)</w:t>
            </w:r>
          </w:p>
        </w:tc>
        <w:tc>
          <w:tcPr>
            <w:tcW w:w="1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  59,874</w:t>
            </w:r>
          </w:p>
        </w:tc>
        <w:tc>
          <w:tcPr>
            <w:tcW w:w="1420" w:type="dxa"/>
            <w:vAlign w:val="bottom"/>
          </w:tcPr>
          <w:p>
            <w:pPr>
              <w:jc w:val="right"/>
              <w:ind w:right="984"/>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92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0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88,963</w:t>
            </w:r>
          </w:p>
        </w:tc>
        <w:tc>
          <w:tcPr>
            <w:tcW w:w="1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Working capital(4)</w:t>
            </w:r>
          </w:p>
        </w:tc>
        <w:tc>
          <w:tcPr>
            <w:tcW w:w="304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39,274</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0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160,713</w:t>
            </w:r>
          </w:p>
        </w:tc>
        <w:tc>
          <w:tcPr>
            <w:tcW w:w="1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040" w:type="dxa"/>
            <w:vAlign w:val="bottom"/>
            <w:gridSpan w:val="2"/>
          </w:tcPr>
          <w:p>
            <w:pPr>
              <w:jc w:val="right"/>
              <w:ind w:right="188"/>
              <w:spacing w:after="0"/>
              <w:rPr>
                <w:sz w:val="20"/>
                <w:szCs w:val="20"/>
                <w:color w:val="auto"/>
              </w:rPr>
            </w:pPr>
            <w:r>
              <w:rPr>
                <w:rFonts w:ascii="Arial" w:cs="Arial" w:eastAsia="Arial" w:hAnsi="Arial"/>
                <w:sz w:val="18"/>
                <w:szCs w:val="18"/>
                <w:color w:val="auto"/>
              </w:rPr>
              <w:t>(111,249)</w:t>
            </w: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169" w:lineRule="exact"/>
        <w:rPr>
          <w:sz w:val="20"/>
          <w:szCs w:val="20"/>
          <w:color w:val="auto"/>
        </w:rPr>
      </w:pPr>
    </w:p>
    <w:p>
      <w:pPr>
        <w:ind w:left="820" w:hanging="52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 forma consolidated balance sheet data gives effect to (a) the automatic conversion of all of our outstanding shares of</w:t>
      </w:r>
    </w:p>
    <w:p>
      <w:pPr>
        <w:ind w:left="820" w:right="320"/>
        <w:spacing w:after="0" w:line="234" w:lineRule="auto"/>
        <w:rPr>
          <w:sz w:val="20"/>
          <w:szCs w:val="20"/>
          <w:color w:val="auto"/>
        </w:rPr>
      </w:pPr>
      <w:r>
        <w:rPr>
          <w:rFonts w:ascii="Arial" w:cs="Arial" w:eastAsia="Arial" w:hAnsi="Arial"/>
          <w:sz w:val="18"/>
          <w:szCs w:val="18"/>
          <w:color w:val="auto"/>
        </w:rPr>
        <w:t>convertible preferred stock into shares of common stock in connection with this offering, and (b) the filing and effectiveness of our amended and restated certificate of incorporation that will be in effect on the completion of this offering.</w:t>
      </w:r>
    </w:p>
    <w:p>
      <w:pPr>
        <w:spacing w:after="0" w:line="1" w:lineRule="exact"/>
        <w:rPr>
          <w:sz w:val="20"/>
          <w:szCs w:val="20"/>
          <w:color w:val="auto"/>
        </w:rPr>
      </w:pPr>
    </w:p>
    <w:p>
      <w:pPr>
        <w:ind w:left="820" w:right="240" w:hanging="522"/>
        <w:spacing w:after="0" w:line="234"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data reflects (a) the items described in footnote (1) above and (b) our receipt of estimated net proceeds from the sale of shares of common stock that we are offering at an assumed initial public</w:t>
      </w:r>
    </w:p>
    <w:tbl>
      <w:tblPr>
        <w:tblLayout w:type="fixed"/>
        <w:tblInd w:w="30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940" w:type="dxa"/>
            <w:vAlign w:val="bottom"/>
          </w:tcPr>
          <w:p>
            <w:pPr>
              <w:ind w:left="140"/>
              <w:spacing w:after="0" w:line="204" w:lineRule="exact"/>
              <w:rPr>
                <w:sz w:val="20"/>
                <w:szCs w:val="20"/>
                <w:color w:val="auto"/>
              </w:rPr>
            </w:pPr>
            <w:r>
              <w:rPr>
                <w:rFonts w:ascii="Arial" w:cs="Arial" w:eastAsia="Arial" w:hAnsi="Arial"/>
                <w:sz w:val="18"/>
                <w:szCs w:val="18"/>
                <w:color w:val="auto"/>
              </w:rPr>
              <w:t>offering price of $</w:t>
            </w:r>
          </w:p>
        </w:tc>
        <w:tc>
          <w:tcPr>
            <w:tcW w:w="8220" w:type="dxa"/>
            <w:vAlign w:val="bottom"/>
            <w:gridSpan w:val="4"/>
          </w:tcPr>
          <w:p>
            <w:pPr>
              <w:jc w:val="right"/>
              <w:spacing w:after="0" w:line="204" w:lineRule="exact"/>
              <w:rPr>
                <w:sz w:val="20"/>
                <w:szCs w:val="20"/>
                <w:color w:val="auto"/>
              </w:rPr>
            </w:pPr>
            <w:r>
              <w:rPr>
                <w:rFonts w:ascii="Arial" w:cs="Arial" w:eastAsia="Arial" w:hAnsi="Arial"/>
                <w:sz w:val="18"/>
                <w:szCs w:val="18"/>
                <w:color w:val="auto"/>
              </w:rPr>
              <w:t>per share, the midpoint of the estimated price range set forth on the cover page of this prospectus,</w:t>
            </w:r>
          </w:p>
        </w:tc>
      </w:tr>
      <w:tr>
        <w:trPr>
          <w:trHeight w:val="203"/>
        </w:trPr>
        <w:tc>
          <w:tcPr>
            <w:tcW w:w="380" w:type="dxa"/>
            <w:vAlign w:val="bottom"/>
          </w:tcPr>
          <w:p>
            <w:pPr>
              <w:spacing w:after="0"/>
              <w:rPr>
                <w:sz w:val="17"/>
                <w:szCs w:val="17"/>
                <w:color w:val="auto"/>
              </w:rPr>
            </w:pPr>
          </w:p>
        </w:tc>
        <w:tc>
          <w:tcPr>
            <w:tcW w:w="99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after deducting the estimated underwriting discounts and commissions and estimated offering expenses.</w:t>
            </w:r>
          </w:p>
        </w:tc>
        <w:tc>
          <w:tcPr>
            <w:tcW w:w="260" w:type="dxa"/>
            <w:vAlign w:val="bottom"/>
          </w:tcPr>
          <w:p>
            <w:pPr>
              <w:spacing w:after="0"/>
              <w:rPr>
                <w:sz w:val="17"/>
                <w:szCs w:val="17"/>
                <w:color w:val="auto"/>
              </w:rPr>
            </w:pPr>
          </w:p>
        </w:tc>
      </w:tr>
      <w:tr>
        <w:trPr>
          <w:trHeight w:val="203"/>
        </w:trPr>
        <w:tc>
          <w:tcPr>
            <w:tcW w:w="3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0"/>
              </w:rPr>
              <w:t>(3)</w:t>
            </w:r>
          </w:p>
        </w:tc>
        <w:tc>
          <w:tcPr>
            <w:tcW w:w="65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A $1.00 increase (decrease) in the assumed initial public offering price of $</w:t>
            </w:r>
          </w:p>
        </w:tc>
        <w:tc>
          <w:tcPr>
            <w:tcW w:w="36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per share, the midpoint of the estimated</w:t>
            </w:r>
          </w:p>
        </w:tc>
      </w:tr>
      <w:tr>
        <w:trPr>
          <w:trHeight w:val="203"/>
        </w:trPr>
        <w:tc>
          <w:tcPr>
            <w:tcW w:w="380" w:type="dxa"/>
            <w:vAlign w:val="bottom"/>
          </w:tcPr>
          <w:p>
            <w:pPr>
              <w:spacing w:after="0"/>
              <w:rPr>
                <w:sz w:val="17"/>
                <w:szCs w:val="17"/>
                <w:color w:val="auto"/>
              </w:rPr>
            </w:pPr>
          </w:p>
        </w:tc>
        <w:tc>
          <w:tcPr>
            <w:tcW w:w="99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price range set forth on the cover page of this prospectus, would increase (decrease) each of cash, total assets, working</w:t>
            </w:r>
          </w:p>
        </w:tc>
        <w:tc>
          <w:tcPr>
            <w:tcW w:w="2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8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capital and total stockholders’ equity by $</w:t>
            </w:r>
          </w:p>
        </w:tc>
        <w:tc>
          <w:tcPr>
            <w:tcW w:w="634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million, assuming that the number of shares offered by us, as set forth on</w:t>
            </w:r>
          </w:p>
        </w:tc>
      </w:tr>
      <w:tr>
        <w:trPr>
          <w:trHeight w:val="203"/>
        </w:trPr>
        <w:tc>
          <w:tcPr>
            <w:tcW w:w="380" w:type="dxa"/>
            <w:vAlign w:val="bottom"/>
          </w:tcPr>
          <w:p>
            <w:pPr>
              <w:spacing w:after="0"/>
              <w:rPr>
                <w:sz w:val="17"/>
                <w:szCs w:val="17"/>
                <w:color w:val="auto"/>
              </w:rPr>
            </w:pPr>
          </w:p>
        </w:tc>
        <w:tc>
          <w:tcPr>
            <w:tcW w:w="99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the cover page of this prospectus, remains the same, and after deducting the estimated underwriting discounts and</w:t>
            </w:r>
          </w:p>
        </w:tc>
        <w:tc>
          <w:tcPr>
            <w:tcW w:w="2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99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commissions and estimated offering expenses. Similarly, each increase (decrease) of 1,000,000 shares in the number of</w:t>
            </w:r>
          </w:p>
        </w:tc>
        <w:tc>
          <w:tcPr>
            <w:tcW w:w="2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9900" w:type="dxa"/>
            <w:vAlign w:val="bottom"/>
            <w:gridSpan w:val="4"/>
          </w:tcPr>
          <w:p>
            <w:pPr>
              <w:ind w:left="140"/>
              <w:spacing w:after="0" w:line="202" w:lineRule="exact"/>
              <w:rPr>
                <w:sz w:val="20"/>
                <w:szCs w:val="20"/>
                <w:color w:val="auto"/>
              </w:rPr>
            </w:pPr>
            <w:r>
              <w:rPr>
                <w:rFonts w:ascii="Arial" w:cs="Arial" w:eastAsia="Arial" w:hAnsi="Arial"/>
                <w:sz w:val="18"/>
                <w:szCs w:val="18"/>
                <w:color w:val="auto"/>
                <w:w w:val="99"/>
              </w:rPr>
              <w:t>shares of common stock offered by us would increase (decrease) each of cash and cash equivalents, total assets, working</w:t>
            </w:r>
          </w:p>
        </w:tc>
        <w:tc>
          <w:tcPr>
            <w:tcW w:w="2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8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capital and total stockholders’ equity by $</w:t>
            </w:r>
          </w:p>
        </w:tc>
        <w:tc>
          <w:tcPr>
            <w:tcW w:w="60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million, assuming the assumed initial public offering price of $</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w w:val="92"/>
              </w:rPr>
              <w:t>per</w:t>
            </w:r>
          </w:p>
        </w:tc>
      </w:tr>
    </w:tbl>
    <w:p>
      <w:pPr>
        <w:ind w:left="820" w:right="380"/>
        <w:spacing w:after="0" w:line="234" w:lineRule="auto"/>
        <w:rPr>
          <w:sz w:val="20"/>
          <w:szCs w:val="20"/>
          <w:color w:val="auto"/>
        </w:rPr>
      </w:pPr>
      <w:r>
        <w:rPr>
          <w:rFonts w:ascii="Arial" w:cs="Arial" w:eastAsia="Arial" w:hAnsi="Arial"/>
          <w:sz w:val="18"/>
          <w:szCs w:val="18"/>
          <w:color w:val="auto"/>
        </w:rPr>
        <w:t>share of common stock remains the same, and after deducting the estimated underwriting discounts and commissions and estimated offering expenses.</w:t>
      </w:r>
    </w:p>
    <w:p>
      <w:pPr>
        <w:spacing w:after="0" w:line="1" w:lineRule="exact"/>
        <w:rPr>
          <w:sz w:val="20"/>
          <w:szCs w:val="20"/>
          <w:color w:val="auto"/>
        </w:rPr>
      </w:pPr>
    </w:p>
    <w:p>
      <w:pPr>
        <w:ind w:left="820" w:hanging="52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r>
      <w:tr>
        <w:trPr>
          <w:trHeight w:val="183"/>
        </w:trPr>
        <w:tc>
          <w:tcPr>
            <w:tcW w:w="6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Key Operational and Business Metrics(1):</w:t>
            </w:r>
          </w:p>
        </w:tc>
        <w:tc>
          <w:tcPr>
            <w:tcW w:w="18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Active Buyers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11,527</w:t>
            </w:r>
          </w:p>
        </w:tc>
        <w:tc>
          <w:tcPr>
            <w:tcW w:w="380" w:type="dxa"/>
            <w:vAlign w:val="bottom"/>
          </w:tcPr>
          <w:p>
            <w:pPr>
              <w:spacing w:after="0"/>
              <w:rPr>
                <w:sz w:val="17"/>
                <w:szCs w:val="17"/>
                <w:color w:val="auto"/>
              </w:rPr>
            </w:pPr>
          </w:p>
        </w:tc>
        <w:tc>
          <w:tcPr>
            <w:tcW w:w="1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21,128</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Percentage of Revenue from Existing Accounts</w:t>
            </w:r>
          </w:p>
        </w:tc>
        <w:tc>
          <w:tcPr>
            <w:tcW w:w="29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w:t>
            </w:r>
          </w:p>
        </w:tc>
        <w:tc>
          <w:tcPr>
            <w:tcW w:w="11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Accounts with Last Twelve-Month Spend of at least $50,000</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w:t>
            </w:r>
          </w:p>
        </w:tc>
        <w:tc>
          <w:tcPr>
            <w:tcW w:w="3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389</w:t>
            </w:r>
          </w:p>
        </w:tc>
        <w:tc>
          <w:tcPr>
            <w:tcW w:w="22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EBITDA(2)</w:t>
            </w:r>
          </w:p>
        </w:tc>
        <w:tc>
          <w:tcPr>
            <w:tcW w:w="29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$(26,439)</w:t>
            </w:r>
          </w:p>
        </w:tc>
        <w:tc>
          <w:tcPr>
            <w:tcW w:w="11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$(23,498)</w:t>
            </w:r>
          </w:p>
        </w:tc>
      </w:tr>
    </w:tbl>
    <w:p>
      <w:pPr>
        <w:spacing w:after="0" w:line="175" w:lineRule="exact"/>
        <w:rPr>
          <w:sz w:val="20"/>
          <w:szCs w:val="20"/>
          <w:color w:val="auto"/>
        </w:rPr>
      </w:pPr>
    </w:p>
    <w:p>
      <w:pPr>
        <w:ind w:left="820" w:right="20" w:hanging="522"/>
        <w:spacing w:after="0" w:line="23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for Active Buyers and Accounts with Last Twelve-Month Spend of at least $50,000 are as of the year ended December 31 for the years shown and, Percentage of Revenue from Existing Accounts is as of the quarter ended December 31 for the years shown. Adjusted EBITDA is presented as of the year ended December 31 for the years shown. See the section titled “Management’s Discussion and Analysis of Financial Condition and Results of Operations—Key Operational and Business Metrics” included elsewhere in this prospectus for our definitions of these metrics.</w:t>
      </w:r>
    </w:p>
    <w:p>
      <w:pPr>
        <w:spacing w:after="0" w:line="3" w:lineRule="exact"/>
        <w:rPr>
          <w:rFonts w:ascii="Arial" w:cs="Arial" w:eastAsia="Arial" w:hAnsi="Arial"/>
          <w:sz w:val="18"/>
          <w:szCs w:val="18"/>
          <w:color w:val="auto"/>
        </w:rPr>
      </w:pPr>
    </w:p>
    <w:p>
      <w:pPr>
        <w:ind w:left="820" w:right="340" w:hanging="522"/>
        <w:spacing w:after="0" w:line="23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is a non-GAAP financial measure. We define Adjusted EBITDA as net income (loss), adjusted to exclude interest and other expense, depreciation and amortization, stock-based compensation expense and goodwill impairment charges. Adjusted EBITDA is a performance measure that we use to assess our operating performance and the operating leverage in our business.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29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33299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40" w:right="300"/>
        <w:spacing w:after="0" w:line="237" w:lineRule="auto"/>
        <w:rPr>
          <w:sz w:val="20"/>
          <w:szCs w:val="20"/>
          <w:color w:val="auto"/>
        </w:rPr>
      </w:pPr>
      <w:r>
        <w:rPr>
          <w:rFonts w:ascii="Arial" w:cs="Arial" w:eastAsia="Arial" w:hAnsi="Arial"/>
          <w:sz w:val="18"/>
          <w:szCs w:val="18"/>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95" w:lineRule="exact"/>
        <w:rPr>
          <w:sz w:val="20"/>
          <w:szCs w:val="20"/>
          <w:color w:val="auto"/>
        </w:rPr>
      </w:pPr>
    </w:p>
    <w:p>
      <w:pPr>
        <w:ind w:left="840" w:right="360"/>
        <w:spacing w:after="0" w:line="238" w:lineRule="auto"/>
        <w:rPr>
          <w:sz w:val="20"/>
          <w:szCs w:val="20"/>
          <w:color w:val="auto"/>
        </w:rPr>
      </w:pPr>
      <w:r>
        <w:rPr>
          <w:rFonts w:ascii="Arial" w:cs="Arial" w:eastAsia="Arial" w:hAnsi="Arial"/>
          <w:sz w:val="18"/>
          <w:szCs w:val="18"/>
          <w:color w:val="auto"/>
        </w:rPr>
        <w:t>We compensate for these limitations by providing a reconciliation of Adjusted EBITDA to net loss, the most related GAAP financial measure. We encourage investors and others to review our business, results of operations, and financial information in its entirety, not to rely on any single financial measure. The following tables provide a reconciliation of net loss to Adjusted EBITDA:</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7"/>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Reconciliation:</w:t>
            </w:r>
          </w:p>
        </w:tc>
        <w:tc>
          <w:tcPr>
            <w:tcW w:w="3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(30,994)</w:t>
            </w:r>
          </w:p>
        </w:tc>
        <w:tc>
          <w:tcPr>
            <w:tcW w:w="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(31,085)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(deduct):</w:t>
            </w:r>
          </w:p>
        </w:tc>
        <w:tc>
          <w:tcPr>
            <w:tcW w:w="3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20" w:type="dxa"/>
            <w:vAlign w:val="bottom"/>
          </w:tcPr>
          <w:p>
            <w:pPr>
              <w:ind w:left="360"/>
              <w:spacing w:after="0" w:line="202" w:lineRule="exact"/>
              <w:rPr>
                <w:sz w:val="20"/>
                <w:szCs w:val="20"/>
                <w:color w:val="auto"/>
              </w:rPr>
            </w:pPr>
            <w:r>
              <w:rPr>
                <w:rFonts w:ascii="Arial" w:cs="Arial" w:eastAsia="Arial" w:hAnsi="Arial"/>
                <w:sz w:val="18"/>
                <w:szCs w:val="18"/>
                <w:color w:val="auto"/>
              </w:rPr>
              <w:t>Interest and other expense</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3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1,847</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Impairment of goodwill and intangibles</w:t>
            </w:r>
          </w:p>
        </w:tc>
        <w:tc>
          <w:tcPr>
            <w:tcW w:w="3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3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(26,439)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(23,498)</w:t>
            </w: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40" w:type="dxa"/>
            <w:vAlign w:val="bottom"/>
          </w:tcPr>
          <w:p>
            <w:pPr>
              <w:jc w:val="right"/>
              <w:ind w:right="245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have incurred net losses since our inception in 2013. We incurred net losses of $31.1 million in 2020 and $31.0 million in 2019, and we expect to incur net losses for the foreseeable future. As a result of these losses, as of December 31, 2020, we had an accumulated deficit of $112.0 million.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26"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7"/>
          <w:szCs w:val="17"/>
          <w:color w:val="auto"/>
        </w:rPr>
        <w:t>We have grown rapidly over the last several years, but our recent revenue growth rate and financial performance should not be considered indicative of our future performance. In 2020 and 2019, our revenue was $141.4 million and $80.2 million, respectively, representing a 76% growth rate. In addition, in 2020, unlike in many other industries, the COVID-19 pandemic contributed to an increase in our revenue, particularly in the third quarter of 2020. The circumstances that have accelerated the growth of our business stemming from the effects of the COVID-19 pandemic may not continue in the future.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common stock could be adversely affected.</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adversely affected.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research and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108"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demand for and types of manufacturing processes, capabilities and materials that are sourced on our marketplace to sellers;</w:t>
      </w:r>
    </w:p>
    <w:p>
      <w:pPr>
        <w:spacing w:after="0" w:line="128" w:lineRule="exact"/>
        <w:rPr>
          <w:rFonts w:ascii="Arial" w:cs="Arial" w:eastAsia="Arial" w:hAnsi="Arial"/>
          <w:sz w:val="17"/>
          <w:szCs w:val="17"/>
          <w:color w:val="auto"/>
        </w:rPr>
      </w:pPr>
    </w:p>
    <w:p>
      <w:pPr>
        <w:ind w:left="880" w:right="10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7" w:lineRule="exact"/>
        <w:rPr>
          <w:rFonts w:ascii="Arial" w:cs="Arial" w:eastAsia="Arial" w:hAnsi="Arial"/>
          <w:sz w:val="18"/>
          <w:szCs w:val="18"/>
          <w:color w:val="auto"/>
        </w:rPr>
      </w:pPr>
    </w:p>
    <w:p>
      <w:pPr>
        <w:ind w:left="880" w:right="54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102"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spacing w:after="0" w:line="102" w:lineRule="exact"/>
        <w:rPr>
          <w:rFonts w:ascii="Arial" w:cs="Arial" w:eastAsia="Arial" w:hAnsi="Arial"/>
          <w:sz w:val="18"/>
          <w:szCs w:val="18"/>
          <w:color w:val="auto"/>
        </w:rPr>
      </w:pPr>
    </w:p>
    <w:p>
      <w:pPr>
        <w:ind w:left="5520" w:right="100" w:hanging="4864"/>
        <w:spacing w:after="0" w:line="418" w:lineRule="auto"/>
        <w:tabs>
          <w:tab w:leader="none" w:pos="8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 16</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2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102"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880" w:right="54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such as earthquakes, hurricanes, wildfires, and threats to public health, such as the COVID-19 pandemic.</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291"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derive substantially all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52" w:lineRule="auto"/>
        <w:rPr>
          <w:sz w:val="20"/>
          <w:szCs w:val="20"/>
          <w:color w:val="auto"/>
        </w:rPr>
      </w:pPr>
      <w:r>
        <w:rPr>
          <w:rFonts w:ascii="Arial" w:cs="Arial" w:eastAsia="Arial" w:hAnsi="Arial"/>
          <w:sz w:val="17"/>
          <w:szCs w:val="17"/>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9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Buyers or sellers can stop transacting on our marketplace at any time. Buyers or sellers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294"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business may be affected by changes in buyer requirements and preferences, including as a result of decreased consumer demand for buyer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on-demand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20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00" w:firstLine="551"/>
        <w:spacing w:after="0"/>
        <w:rPr>
          <w:sz w:val="20"/>
          <w:szCs w:val="20"/>
          <w:color w:val="auto"/>
        </w:rPr>
      </w:pPr>
      <w:r>
        <w:rPr>
          <w:rFonts w:ascii="Arial" w:cs="Arial" w:eastAsia="Arial" w:hAnsi="Arial"/>
          <w:sz w:val="18"/>
          <w:szCs w:val="18"/>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289"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 In addition, with the majority of our employees working from home as a result of the COVID-19 pandemic, our information technologies and support systems may be temporarily strained.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we need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207"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28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29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208"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214"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While we currently employ various antivirus and computer protection software in our operations, we cannot provide assurances that such protections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20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203"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29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83"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197"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206"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Additionally, our third-party payment processor requires us to comply with payment card network operating rules, which are set and interpreted by the payment card networks. The payment card networks could adopt new operating rules or</w:t>
      </w:r>
    </w:p>
    <w:p>
      <w:pPr>
        <w:spacing w:after="0" w:line="1"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2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card networks could refuse to allow us to process through their networks. Any of the foregoing could materially adversely impact our business, financial condition or results of operations.</w:t>
      </w:r>
    </w:p>
    <w:p>
      <w:pPr>
        <w:spacing w:after="0" w:line="197"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28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68"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The manufacturing market is fragmented and highly competitive. We compete for buyers with a wide variety of manufacturers. Some of our current and potential competitors include captive in-house product lines, on-demand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on-demand parts, implementation of interactive web-based and automated user interface and quoting systems and/or building scalable operating models specifically designed for efficient on-demand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9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7"/>
          <w:szCs w:val="17"/>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27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13" w:lineRule="exact"/>
        <w:rPr>
          <w:sz w:val="20"/>
          <w:szCs w:val="20"/>
          <w:color w:val="auto"/>
        </w:rPr>
      </w:pPr>
    </w:p>
    <w:p>
      <w:pPr>
        <w:ind w:left="880" w:right="18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102" w:lineRule="exact"/>
        <w:rPr>
          <w:rFonts w:ascii="Arial" w:cs="Arial" w:eastAsia="Arial" w:hAnsi="Arial"/>
          <w:sz w:val="18"/>
          <w:szCs w:val="18"/>
          <w:color w:val="auto"/>
        </w:rPr>
      </w:pPr>
    </w:p>
    <w:p>
      <w:pPr>
        <w:ind w:left="880" w:right="240" w:hanging="224"/>
        <w:spacing w:after="0" w:line="274"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0" w:lineRule="exact"/>
        <w:rPr>
          <w:rFonts w:ascii="Arial" w:cs="Arial" w:eastAsia="Arial" w:hAnsi="Arial"/>
          <w:sz w:val="17"/>
          <w:szCs w:val="17"/>
          <w:color w:val="auto"/>
        </w:rPr>
      </w:pPr>
    </w:p>
    <w:p>
      <w:pPr>
        <w:ind w:left="880" w:right="64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108"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102" w:lineRule="exact"/>
        <w:rPr>
          <w:rFonts w:ascii="Arial" w:cs="Arial" w:eastAsia="Arial" w:hAnsi="Arial"/>
          <w:sz w:val="18"/>
          <w:szCs w:val="18"/>
          <w:color w:val="auto"/>
        </w:rPr>
      </w:pPr>
    </w:p>
    <w:p>
      <w:pPr>
        <w:ind w:left="880" w:right="12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197"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291"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b w:val="1"/>
          <w:bCs w:val="1"/>
          <w:i w:val="1"/>
          <w:iCs w:val="1"/>
          <w:color w:val="auto"/>
        </w:rPr>
        <w:t>The ongoing COVID-19 pandemic and measures intended to prevent its spread have had a material effect on our business and results of operations, and the ongoing nature of the COVID-19 pandemic and any future pandemic (including variants of the COVID-19 pandemic) may have material and adverse effects on our business, financial condition, and results of operations.</w:t>
      </w:r>
    </w:p>
    <w:p>
      <w:pPr>
        <w:spacing w:after="0" w:line="6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Global health concerns relating to the COVID-19 pandemic and related government actions taken to reduce the spread of the virus have been weighing on the macroeconomic environment, and the pandemic has significantly increased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9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or postponing meetings and events or holding them virtually. Although we have made every effort to comply with applicable COVID-19 measures and precautions, in light of the continually evolving situation, there is no certainty that the measures we have taken will be sufficient to mitigate the risks posed by the virus. In addition, implementing COVID-19 measures and precautions has diverted, and may continue to divert, resources and attention of our management.</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extent to which the COVID-19 pandemic, any future variants of the COVID-19 pandemic, or any future pandemic unrelated to COVID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how quickly and to what extent normal economic and operating conditions can resume. Even after the COVID-19 pandemic has subsided, we may experience material and adverse impacts to our business as a result of the virus’s global economic impact, including the availability of credit, bankruptcies or insolvencies of buyers and sellers, and recession or economic downturn.</w:t>
      </w:r>
    </w:p>
    <w:p>
      <w:pPr>
        <w:spacing w:after="0" w:line="20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There are no comparable recent events that provide guidance as to the effect that the COVID-19 pandemic may have, and, as a result, the ultimate impact of the pandemic is highly uncertain and subject to change. We do not yet know the full extent of the impact on our business, our operations, or the global economy as a whole. However, the effects could have a material impact on our results of operations and heighten many of the known risks described throughout this Risk Factors section.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Our business depends on users’ access to our platform via a personal computer or mobile device and the Internet. We have started to enable sellers to access our platform via a mobile browser, which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believe is important to the growth of our business by adding sellers to our marketplace and enabling faster seller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28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68"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20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29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8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203"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17"/>
          <w:szCs w:val="17"/>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1"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the exit of the United Kingdom (“UK”) from the EU, often referred to as Brexit, has created uncertainty with regard to data protection regulation in the UK. Specifically, the UK exited the EU on January 1, 2020, subject to a transition period that ended December 31, 2020.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204" w:lineRule="exact"/>
        <w:rPr>
          <w:sz w:val="20"/>
          <w:szCs w:val="20"/>
          <w:color w:val="auto"/>
        </w:rPr>
      </w:pPr>
    </w:p>
    <w:p>
      <w:pPr>
        <w:ind w:left="120" w:firstLine="551"/>
        <w:spacing w:after="0" w:line="249" w:lineRule="auto"/>
        <w:rPr>
          <w:sz w:val="20"/>
          <w:szCs w:val="20"/>
          <w:color w:val="auto"/>
        </w:rPr>
      </w:pPr>
      <w:r>
        <w:rPr>
          <w:rFonts w:ascii="Arial" w:cs="Arial" w:eastAsia="Arial" w:hAnsi="Arial"/>
          <w:sz w:val="17"/>
          <w:szCs w:val="17"/>
          <w:color w:val="auto"/>
        </w:rPr>
        <w:t>Additionally, California passed the California Consumer Privacy Act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200" w:lineRule="exact"/>
        <w:rPr>
          <w:sz w:val="20"/>
          <w:szCs w:val="20"/>
          <w:color w:val="auto"/>
        </w:rPr>
      </w:pP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05"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291"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60"/>
        <w:spacing w:after="0" w:line="253" w:lineRule="auto"/>
        <w:rPr>
          <w:sz w:val="20"/>
          <w:szCs w:val="20"/>
          <w:color w:val="auto"/>
        </w:rPr>
      </w:pPr>
      <w:r>
        <w:rPr>
          <w:rFonts w:ascii="Arial" w:cs="Arial" w:eastAsia="Arial" w:hAnsi="Arial"/>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 Negative perception of our platform, marketplace or company may harm our reputation, brand, and network effects, including as a result of:</w:t>
      </w:r>
    </w:p>
    <w:p>
      <w:pPr>
        <w:spacing w:after="0" w:line="108" w:lineRule="exact"/>
        <w:rPr>
          <w:sz w:val="20"/>
          <w:szCs w:val="20"/>
          <w:color w:val="auto"/>
        </w:rPr>
      </w:pPr>
    </w:p>
    <w:p>
      <w:pPr>
        <w:ind w:left="880" w:right="16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fraud;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pandemic or an outbreak of disease linked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17" w:lineRule="exact"/>
        <w:rPr>
          <w:rFonts w:ascii="Arial" w:cs="Arial" w:eastAsia="Arial" w:hAnsi="Arial"/>
          <w:sz w:val="18"/>
          <w:szCs w:val="18"/>
          <w:color w:val="auto"/>
        </w:rPr>
      </w:pPr>
    </w:p>
    <w:p>
      <w:pPr>
        <w:ind w:left="880" w:right="36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17"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17"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102" w:lineRule="exact"/>
        <w:rPr>
          <w:rFonts w:ascii="Arial" w:cs="Arial" w:eastAsia="Arial" w:hAnsi="Arial"/>
          <w:sz w:val="18"/>
          <w:szCs w:val="18"/>
          <w:color w:val="auto"/>
        </w:rPr>
      </w:pPr>
    </w:p>
    <w:p>
      <w:pPr>
        <w:ind w:left="880" w:right="70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28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68"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102" w:lineRule="exact"/>
        <w:rPr>
          <w:sz w:val="20"/>
          <w:szCs w:val="20"/>
          <w:color w:val="auto"/>
        </w:rPr>
      </w:pPr>
    </w:p>
    <w:p>
      <w:pPr>
        <w:ind w:left="880" w:right="4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212"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If we are not able to maintain and evolve our culture, our business, financial condition, and results of operations could be adversely affected.</w:t>
      </w:r>
    </w:p>
    <w:p>
      <w:pPr>
        <w:spacing w:after="0" w:line="283"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291"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Our business is subject to a variety of laws and regulations, both in the United States and internationally, many of which are evolving.</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204"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28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r>
        <w:rPr>
          <w:rFonts w:ascii="Arial" w:cs="Arial" w:eastAsia="Arial" w:hAnsi="Arial"/>
          <w:sz w:val="18"/>
          <w:szCs w:val="18"/>
          <w:b w:val="1"/>
          <w:bCs w:val="1"/>
          <w:color w:val="auto"/>
        </w:rPr>
        <w:t>.</w:t>
      </w:r>
    </w:p>
    <w:p>
      <w:pPr>
        <w:spacing w:after="0" w:line="8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particular, our operations are subject to U.S. and foreign anti-corruption and trade control laws and regulations, such as the</w:t>
      </w:r>
    </w:p>
    <w:p>
      <w:pPr>
        <w:ind w:left="120"/>
        <w:spacing w:after="0" w:line="234" w:lineRule="auto"/>
        <w:rPr>
          <w:sz w:val="20"/>
          <w:szCs w:val="20"/>
          <w:color w:val="auto"/>
        </w:rPr>
      </w:pPr>
      <w:r>
        <w:rPr>
          <w:rFonts w:ascii="Arial" w:cs="Arial" w:eastAsia="Arial" w:hAnsi="Arial"/>
          <w:sz w:val="18"/>
          <w:szCs w:val="18"/>
          <w:color w:val="auto"/>
        </w:rPr>
        <w:t>Foreign Corrupt Practices Act (“FCPA”), export controls and economic sanctions programs, including those administered by the</w:t>
      </w:r>
    </w:p>
    <w:p>
      <w:pPr>
        <w:ind w:left="120"/>
        <w:spacing w:after="0" w:line="235" w:lineRule="auto"/>
        <w:rPr>
          <w:sz w:val="20"/>
          <w:szCs w:val="20"/>
          <w:color w:val="auto"/>
        </w:rPr>
      </w:pPr>
      <w:r>
        <w:rPr>
          <w:rFonts w:ascii="Arial" w:cs="Arial" w:eastAsia="Arial" w:hAnsi="Arial"/>
          <w:sz w:val="18"/>
          <w:szCs w:val="18"/>
          <w:color w:val="auto"/>
        </w:rPr>
        <w:t>U.S. Treasury Department’s Office of Foreign Assets Control (“OFAC”), the State Department’s Directorate of Defense Trade Controls</w:t>
      </w:r>
    </w:p>
    <w:p>
      <w:pPr>
        <w:ind w:left="120"/>
        <w:spacing w:after="0" w:line="235" w:lineRule="auto"/>
        <w:rPr>
          <w:sz w:val="20"/>
          <w:szCs w:val="20"/>
          <w:color w:val="auto"/>
        </w:rPr>
      </w:pPr>
      <w:r>
        <w:rPr>
          <w:rFonts w:ascii="Arial" w:cs="Arial" w:eastAsia="Arial" w:hAnsi="Arial"/>
          <w:sz w:val="18"/>
          <w:szCs w:val="18"/>
          <w:color w:val="auto"/>
        </w:rPr>
        <w:t>(“DDTC”) and the Bureau of Industry and Security (“BIS”) of the Department of Commerce. As a result of doing business in foreign</w:t>
      </w:r>
    </w:p>
    <w:p>
      <w:pPr>
        <w:ind w:left="120"/>
        <w:spacing w:after="0"/>
        <w:rPr>
          <w:sz w:val="20"/>
          <w:szCs w:val="20"/>
          <w:color w:val="auto"/>
        </w:rPr>
      </w:pPr>
      <w:r>
        <w:rPr>
          <w:rFonts w:ascii="Arial" w:cs="Arial" w:eastAsia="Arial" w:hAnsi="Arial"/>
          <w:sz w:val="17"/>
          <w:szCs w:val="17"/>
          <w:color w:val="auto"/>
        </w:rPr>
        <w:t>countries and with foreign customers, we are exposed to a heightened risk of violating anti-corruption and trade control laws and sanctions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205"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28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20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20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If we fail to maintain, protect and enhance our intellectual property rights, our business may be harmed and the market price of our common stock could decline.</w:t>
      </w:r>
    </w:p>
    <w:p>
      <w:pPr>
        <w:spacing w:after="0" w:line="21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213"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203" w:lineRule="exact"/>
        <w:rPr>
          <w:sz w:val="20"/>
          <w:szCs w:val="20"/>
          <w:color w:val="auto"/>
        </w:rPr>
      </w:pPr>
    </w:p>
    <w:p>
      <w:pPr>
        <w:ind w:left="120" w:right="440" w:firstLine="551"/>
        <w:spacing w:after="0" w:line="238"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29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20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20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207"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102" w:lineRule="exact"/>
        <w:rPr>
          <w:sz w:val="20"/>
          <w:szCs w:val="20"/>
          <w:color w:val="auto"/>
        </w:rPr>
      </w:pPr>
    </w:p>
    <w:p>
      <w:pPr>
        <w:ind w:left="880" w:right="44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102"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102" w:lineRule="exact"/>
        <w:rPr>
          <w:rFonts w:ascii="Arial" w:cs="Arial" w:eastAsia="Arial" w:hAnsi="Arial"/>
          <w:sz w:val="18"/>
          <w:szCs w:val="18"/>
          <w:color w:val="auto"/>
        </w:rPr>
      </w:pPr>
    </w:p>
    <w:p>
      <w:pPr>
        <w:ind w:left="880" w:right="6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108"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5"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28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17"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17" w:lineRule="exact"/>
        <w:rPr>
          <w:rFonts w:ascii="Arial" w:cs="Arial" w:eastAsia="Arial" w:hAnsi="Arial"/>
          <w:sz w:val="18"/>
          <w:szCs w:val="18"/>
          <w:color w:val="auto"/>
        </w:rPr>
      </w:pPr>
    </w:p>
    <w:p>
      <w:pPr>
        <w:ind w:left="5520" w:right="3560" w:hanging="4864"/>
        <w:spacing w:after="0" w:line="418" w:lineRule="auto"/>
        <w:tabs>
          <w:tab w:leader="none" w:pos="8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 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17" w:lineRule="exact"/>
        <w:rPr>
          <w:sz w:val="20"/>
          <w:szCs w:val="20"/>
          <w:color w:val="auto"/>
        </w:rPr>
      </w:pPr>
    </w:p>
    <w:p>
      <w:pPr>
        <w:ind w:left="88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212"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197"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28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 Further, while we carry a key man life insurance policy covering Mr. Altschuler, we do not carry any key man life insurance policies on any of our other executive officers.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2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not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57" w:lineRule="auto"/>
        <w:rPr>
          <w:sz w:val="20"/>
          <w:szCs w:val="20"/>
          <w:color w:val="auto"/>
        </w:rPr>
      </w:pPr>
      <w:r>
        <w:rPr>
          <w:rFonts w:ascii="Arial" w:cs="Arial" w:eastAsia="Arial" w:hAnsi="Arial"/>
          <w:sz w:val="17"/>
          <w:szCs w:val="17"/>
          <w:color w:val="auto"/>
        </w:rPr>
        <w:t>successfully or efficiently manage our transition to a public company subject to significant regulatory oversight and reporting obligations under the U.S.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prospects, financial condition and results of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205" w:lineRule="exact"/>
        <w:rPr>
          <w:sz w:val="20"/>
          <w:szCs w:val="20"/>
          <w:color w:val="auto"/>
        </w:rPr>
      </w:pPr>
    </w:p>
    <w:p>
      <w:pPr>
        <w:ind w:left="120" w:right="100" w:firstLine="551"/>
        <w:spacing w:after="0" w:line="261" w:lineRule="auto"/>
        <w:rPr>
          <w:sz w:val="20"/>
          <w:szCs w:val="20"/>
          <w:color w:val="auto"/>
        </w:rPr>
      </w:pPr>
      <w:r>
        <w:rPr>
          <w:rFonts w:ascii="Arial" w:cs="Arial" w:eastAsia="Arial" w:hAnsi="Arial"/>
          <w:sz w:val="17"/>
          <w:szCs w:val="17"/>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6" w:lineRule="exact"/>
        <w:rPr>
          <w:sz w:val="20"/>
          <w:szCs w:val="20"/>
          <w:color w:val="auto"/>
        </w:rPr>
      </w:pPr>
    </w:p>
    <w:p>
      <w:pPr>
        <w:ind w:left="120" w:right="80" w:firstLine="551"/>
        <w:spacing w:after="0" w:line="234" w:lineRule="auto"/>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 similar state amounts, of approximately $90.1 million available to reduce future income subject to income taxes before limitations of which $90.1 million is utilizable. U.S. federal NOL carryforwards generated prior to 2018 in the approximate amount of $26.6 million will begin to expire, if not utilized, in 2033. It is possible that we will not generate taxable income in time to use NOLs before their expiration, or at all.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percent stockholders” that exceeds 50 percentage points over a rolling three-year period. Similar rules may apply under state tax laws.</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our balance sheet as of December 31, 2020.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214"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29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29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68"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 work with significant and diverse buyer and seller bases, there are no guarantees that we will successfully identify significant business opportunities, improve the products and services available on our platform or increase the number of transactions on our platform as a result.</w:t>
      </w:r>
    </w:p>
    <w:p>
      <w:pPr>
        <w:spacing w:after="0" w:line="29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68"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7"/>
          <w:szCs w:val="17"/>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26"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7"/>
          <w:szCs w:val="17"/>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As discussed in Note 2 to the consolidated financial statements, the Company changed its method of accounting for leases as of January 1, 2019 due to the adoption of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amended. It is difficult to predict the impact of future changes to accounting principles or our accounting policies, any of which could negatively affect our reported results of operations.</w:t>
      </w:r>
    </w:p>
    <w:p>
      <w:pPr>
        <w:spacing w:after="0" w:line="28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68" w:lineRule="exact"/>
        <w:rPr>
          <w:sz w:val="20"/>
          <w:szCs w:val="20"/>
          <w:color w:val="auto"/>
        </w:rPr>
      </w:pPr>
    </w:p>
    <w:p>
      <w:pPr>
        <w:ind w:left="120" w:firstLine="551"/>
        <w:spacing w:after="0" w:line="251" w:lineRule="auto"/>
        <w:rPr>
          <w:sz w:val="20"/>
          <w:szCs w:val="20"/>
          <w:color w:val="auto"/>
        </w:rPr>
      </w:pPr>
      <w:r>
        <w:rPr>
          <w:rFonts w:ascii="Arial" w:cs="Arial" w:eastAsia="Arial" w:hAnsi="Arial"/>
          <w:sz w:val="17"/>
          <w:szCs w:val="17"/>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The terms of our Amended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8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are party to the Amended Loan and Security Agreement. Under the Amended Loan and Security Agreement, we can borrow up to $15.0 million under a term loan, or the term loan facility, all of which became available to us immediately on the agreement date. As of December 31, 2020, we had $15.0 million of outstanding borrowings under the term loan facility. We could also incur additional indebtedness in the future.</w:t>
      </w:r>
    </w:p>
    <w:p>
      <w:pPr>
        <w:spacing w:after="0" w:line="205" w:lineRule="exact"/>
        <w:rPr>
          <w:sz w:val="20"/>
          <w:szCs w:val="20"/>
          <w:color w:val="auto"/>
        </w:rPr>
      </w:pPr>
    </w:p>
    <w:p>
      <w:pPr>
        <w:ind w:left="120" w:right="180" w:firstLine="551"/>
        <w:spacing w:after="0" w:line="257" w:lineRule="auto"/>
        <w:rPr>
          <w:sz w:val="20"/>
          <w:szCs w:val="20"/>
          <w:color w:val="auto"/>
        </w:rPr>
      </w:pPr>
      <w:r>
        <w:rPr>
          <w:rFonts w:ascii="Arial" w:cs="Arial" w:eastAsia="Arial" w:hAnsi="Arial"/>
          <w:sz w:val="17"/>
          <w:szCs w:val="17"/>
          <w:color w:val="auto"/>
        </w:rPr>
        <w:t>Our payment obligations under the Amended Loan and Security Agreement reduce cash available to fund working capital, capital expenditures, research and development and general corporate needs. In addition, indebtedness under the Amended Loan and Security Agreement may bear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89"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obligations under the Amended Loan and Security Agreement are secured by substantially all of our assets. The security interest granted over our assets could limit our ability to obtain additional debt financing. In addition, the Amended Loan and Security Agreement contains customary affirmative and negative covenants restricting our activities, including limitations on: dispositions, mergers or acquisitions; encumbering our intellectual property; incurring indebtedness or liens; paying dividends or redeeming stock or making other distributions; making certain investments; liquidating our company; entering into sale-leaseback arrangements and engaging in certain other business transactions. In addition, we are required to maintain a minimum revenue amount as set forth more fully in the Amended Loan and Security Agreement. Failure to comply with the covenants in the Amended Loan and Security Agreement, including the minimum revenue covenant, could result in the acceleration of our obligations under the Amended Loan and Security Agreement, and, if such acceleration were to occur, it would materially and adversely affect our business, financial condition and results of operations.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not have sufficient funds, and may be unable to arrange for additional financing, to pay the amounts due under our debt arrangements. The obligations under the Amended Loan and Security Agreement are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Hercules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The term loan facility contains an end of term fee due and payable on the maturity date of May 1, 2022, in the amount of $1.2 million, however, if the term loan is paid prior to November 1, 2021, the amount owed would be $0.9 million.</w:t>
      </w:r>
    </w:p>
    <w:p>
      <w:pPr>
        <w:spacing w:after="0" w:line="206" w:lineRule="exact"/>
        <w:rPr>
          <w:sz w:val="20"/>
          <w:szCs w:val="20"/>
          <w:color w:val="auto"/>
        </w:rPr>
      </w:pPr>
    </w:p>
    <w:p>
      <w:pPr>
        <w:ind w:left="120" w:right="540" w:firstLine="551"/>
        <w:spacing w:after="0" w:line="234" w:lineRule="auto"/>
        <w:rPr>
          <w:sz w:val="20"/>
          <w:szCs w:val="20"/>
          <w:color w:val="auto"/>
        </w:rPr>
      </w:pPr>
      <w:r>
        <w:rPr>
          <w:rFonts w:ascii="Arial" w:cs="Arial" w:eastAsia="Arial" w:hAnsi="Arial"/>
          <w:sz w:val="18"/>
          <w:szCs w:val="18"/>
          <w:color w:val="auto"/>
        </w:rPr>
        <w:t>Our outstanding indebtedness and any future indebtedness, combined with our other financial obligations, could increase our vulnerability to adverse changes in general economic, industry and</w:t>
      </w:r>
    </w:p>
    <w:p>
      <w:pPr>
        <w:spacing w:after="0" w:line="1"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market conditions, limit our flexibility in planning for, or reacting to, changes in our business and the industry and impose a competitive disadvantage compared to our competitors that have less debt or better debt servicing options.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report our financial results in U.S. dollars. We collect our revenue primarily in U.S. dollars. A portion of the cost of revenue, research and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9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Risks Related to Ownership of Our Common Stock and this Offering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w:t>
      </w:r>
    </w:p>
    <w:p>
      <w:pPr>
        <w:spacing w:after="0" w:line="102"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 as well as the anticipation of lock-up releases;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public trading market may not develop or be sustained following this offering.</w:t>
      </w:r>
    </w:p>
    <w:p>
      <w:pPr>
        <w:spacing w:after="0" w:line="6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No public market for our common stock currently exists. An active public trading market for our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 which could affect our results of operations and cause our stock price to decline.</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Investors will need to rely upon the judgement of our management team with respect to the use of proceeds from this offering. If we do not use the net proceeds that we receive in this offering effectively, our business, financial condition, and results of operations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293"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Future sales of our common stock in the public market following the offering, including sales of a substantial number of shares of our common stock by our existing stockholders, could cause the market price of our common stock to decline.</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Many of our existing equity holders could have substantial unrecognized gains on the value of the equity they hold based upon the expected price of this offering, and therefore they make take steps to sell their respective shares or otherwise secure the unrecognized gains on those shares. We are unable to predict the timing of or the effect that such sales may have on the prevailing market price of our common stock.</w:t>
      </w:r>
    </w:p>
    <w:p>
      <w:pPr>
        <w:spacing w:after="0" w:line="205"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7"/>
          <w:szCs w:val="17"/>
          <w:color w:val="auto"/>
        </w:rPr>
        <w:t>All of our directors and officers and the holders of substantially all of our capital stock and securities convertible into our capital stock are subject to lock-up agreements that restrict their ability to transfer shares of our capital stock for days from the date of this prospectus. These lock-up agreements limit the number of shares of capital stock that may be sold immediately following this offering. Goldman Sachs &amp; Co. LLC and J.P. Morgan Securities LLC may, subject to certain exceptions, in their sole discretion, permit our stockholders who are subject to these lock-up agreements to sell shares prior to the expiration of the lock-up agreements, subject to applicable notice requirements. If not earlier released, all of the shares of common stock sold in this offering will become eligible for sale</w:t>
      </w:r>
    </w:p>
    <w:p>
      <w:pPr>
        <w:spacing w:after="0" w:line="3"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upon expiration of the -day lock-up period, except for any shares held by our affiliates as defined in Rule 144 under the Securities Act of 1933, as amended, or the Securities Act.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7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2840" w:type="dxa"/>
            <w:vAlign w:val="bottom"/>
          </w:tcPr>
          <w:p>
            <w:pPr>
              <w:ind w:left="660"/>
              <w:spacing w:after="0"/>
              <w:rPr>
                <w:sz w:val="20"/>
                <w:szCs w:val="20"/>
                <w:color w:val="auto"/>
              </w:rPr>
            </w:pPr>
            <w:r>
              <w:rPr>
                <w:rFonts w:ascii="Arial" w:cs="Arial" w:eastAsia="Arial" w:hAnsi="Arial"/>
                <w:sz w:val="18"/>
                <w:szCs w:val="18"/>
                <w:color w:val="auto"/>
              </w:rPr>
              <w:t>In addition, there were</w:t>
            </w:r>
          </w:p>
        </w:tc>
        <w:tc>
          <w:tcPr>
            <w:tcW w:w="7180" w:type="dxa"/>
            <w:vAlign w:val="bottom"/>
          </w:tcPr>
          <w:p>
            <w:pPr>
              <w:ind w:left="400"/>
              <w:spacing w:after="0"/>
              <w:rPr>
                <w:sz w:val="20"/>
                <w:szCs w:val="20"/>
                <w:color w:val="auto"/>
              </w:rPr>
            </w:pPr>
            <w:r>
              <w:rPr>
                <w:rFonts w:ascii="Arial" w:cs="Arial" w:eastAsia="Arial" w:hAnsi="Arial"/>
                <w:sz w:val="18"/>
                <w:szCs w:val="18"/>
                <w:color w:val="auto"/>
              </w:rPr>
              <w:t>shares of common stock issuable upon the exercise of options outstanding as of</w:t>
            </w:r>
          </w:p>
        </w:tc>
        <w:tc>
          <w:tcPr>
            <w:tcW w:w="960" w:type="dxa"/>
            <w:vAlign w:val="bottom"/>
          </w:tcPr>
          <w:p>
            <w:pPr>
              <w:jc w:val="right"/>
              <w:spacing w:after="0"/>
              <w:rPr>
                <w:sz w:val="20"/>
                <w:szCs w:val="20"/>
                <w:color w:val="auto"/>
              </w:rPr>
            </w:pPr>
            <w:r>
              <w:rPr>
                <w:rFonts w:ascii="Arial" w:cs="Arial" w:eastAsia="Arial" w:hAnsi="Arial"/>
                <w:sz w:val="18"/>
                <w:szCs w:val="18"/>
                <w:color w:val="auto"/>
              </w:rPr>
              <w:t>, 2021.</w:t>
            </w:r>
          </w:p>
        </w:tc>
      </w:tr>
    </w:tbl>
    <w:p>
      <w:pPr>
        <w:ind w:left="12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intend to register all of the shares of common stock issuable upon exercise of outstanding options or other equity incentives we may grant in the future, for public resale under the Securities Act. The shares of common stock will become eligible for sale in the public market to the extent such options are exercised, subject to the lock-up agreements described above and compliance with applicable securities</w:t>
      </w:r>
    </w:p>
    <w:p>
      <w:pPr>
        <w:ind w:left="120"/>
        <w:spacing w:after="0" w:line="236" w:lineRule="auto"/>
        <w:tabs>
          <w:tab w:leader="none" w:pos="4120" w:val="left"/>
        </w:tabs>
        <w:rPr>
          <w:sz w:val="20"/>
          <w:szCs w:val="20"/>
          <w:color w:val="auto"/>
        </w:rPr>
      </w:pPr>
      <w:r>
        <w:rPr>
          <w:rFonts w:ascii="Arial" w:cs="Arial" w:eastAsia="Arial" w:hAnsi="Arial"/>
          <w:sz w:val="18"/>
          <w:szCs w:val="18"/>
          <w:color w:val="auto"/>
        </w:rPr>
        <w:t>laws. Based on shares outstanding as of</w:t>
      </w:r>
      <w:r>
        <w:rPr>
          <w:sz w:val="20"/>
          <w:szCs w:val="20"/>
          <w:color w:val="auto"/>
        </w:rPr>
        <w:tab/>
      </w:r>
      <w:r>
        <w:rPr>
          <w:rFonts w:ascii="Arial" w:cs="Arial" w:eastAsia="Arial" w:hAnsi="Arial"/>
          <w:sz w:val="18"/>
          <w:szCs w:val="18"/>
          <w:color w:val="auto"/>
        </w:rPr>
        <w:t>, 2021, upon completion of this offering, holders of up to approximately</w:t>
      </w:r>
    </w:p>
    <w:p>
      <w:pPr>
        <w:ind w:left="920"/>
        <w:spacing w:after="0"/>
        <w:tabs>
          <w:tab w:leader="none" w:pos="25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7"/>
          <w:szCs w:val="17"/>
          <w:color w:val="auto"/>
        </w:rPr>
        <w:t>%, of our common stock will have rights, subject to some conditions, to require us to file registration</w:t>
      </w:r>
    </w:p>
    <w:p>
      <w:pPr>
        <w:ind w:left="120" w:right="400"/>
        <w:spacing w:after="0" w:line="246" w:lineRule="auto"/>
        <w:rPr>
          <w:sz w:val="20"/>
          <w:szCs w:val="20"/>
          <w:color w:val="auto"/>
        </w:rPr>
      </w:pPr>
      <w:r>
        <w:rPr>
          <w:rFonts w:ascii="Arial" w:cs="Arial" w:eastAsia="Arial" w:hAnsi="Arial"/>
          <w:sz w:val="18"/>
          <w:szCs w:val="18"/>
          <w:color w:val="auto"/>
        </w:rPr>
        <w:t>statements covering the sale of their shares or to include their shares in registration statements that we may file for ourselves or other stockholders.</w:t>
      </w:r>
    </w:p>
    <w:p>
      <w:pPr>
        <w:spacing w:after="0" w:line="197"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28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8"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common stock may decline.</w:t>
      </w:r>
    </w:p>
    <w:p>
      <w:pPr>
        <w:spacing w:after="0" w:line="68" w:lineRule="exact"/>
        <w:rPr>
          <w:sz w:val="20"/>
          <w:szCs w:val="20"/>
          <w:color w:val="auto"/>
        </w:rPr>
      </w:pPr>
    </w:p>
    <w:p>
      <w:pPr>
        <w:ind w:left="120" w:right="280" w:firstLine="551"/>
        <w:spacing w:after="0" w:line="234"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comprise forward-looking statements, subject to the risks and uncertainties described in this prospectus and in our other public filings and</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common stock may decline as well. Even if we do issue public guidance, there can be no assurance that we will continue to do so in the future.</w:t>
      </w:r>
    </w:p>
    <w:p>
      <w:pPr>
        <w:spacing w:after="0" w:line="291"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289"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common stock you purchase in this offering.</w:t>
      </w:r>
    </w:p>
    <w:p>
      <w:pPr>
        <w:spacing w:after="0" w:line="68" w:lineRule="exact"/>
        <w:rPr>
          <w:sz w:val="20"/>
          <w:szCs w:val="20"/>
          <w:color w:val="auto"/>
        </w:rPr>
      </w:pPr>
    </w:p>
    <w:p>
      <w:pPr>
        <w:ind w:left="120" w:right="440" w:firstLine="551"/>
        <w:spacing w:after="0" w:line="248" w:lineRule="auto"/>
        <w:rPr>
          <w:sz w:val="20"/>
          <w:szCs w:val="20"/>
          <w:color w:val="auto"/>
        </w:rPr>
      </w:pPr>
      <w:r>
        <w:rPr>
          <w:rFonts w:ascii="Arial" w:cs="Arial" w:eastAsia="Arial" w:hAnsi="Arial"/>
          <w:sz w:val="17"/>
          <w:szCs w:val="17"/>
          <w:color w:val="auto"/>
        </w:rPr>
        <w:t>The initial public offering price of our common stock will be substantially higher than the pro forma net tangible book value per share of our common stock immediately after this offering. If you purchase shares of our common stock in this offering, you will suffer</w:t>
      </w:r>
    </w:p>
    <w:p>
      <w:pPr>
        <w:spacing w:after="0" w:line="1"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immediate dilution of $ per share, or $ per share if the underwriters exercise their option to purchase additional shares from us in full, representing the difference between our pro forma as adjusted net tangible book value per share and the assumed public</w:t>
      </w:r>
    </w:p>
    <w:p>
      <w:pPr>
        <w:spacing w:after="0" w:line="1"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See “Dilution.” If outstanding options or warrants to purchase our common stock are exercised in the future, you will experience additional dilution.</w:t>
      </w:r>
    </w:p>
    <w:p>
      <w:pPr>
        <w:spacing w:after="0" w:line="28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Instead, we anticipate that all of our earnings, if any, in the foreseeable future will be used to provide working capital, to support our operations and to finance the growth and development of our business.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88"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3"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As of December 31, 2020, we had $59.9 million in cash and cash equivalents. While we believe the net proceeds from this offering, together with our existing cash and cash equivalents, will be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55" w:lineRule="auto"/>
        <w:rPr>
          <w:sz w:val="20"/>
          <w:szCs w:val="20"/>
          <w:color w:val="auto"/>
        </w:rPr>
      </w:pPr>
      <w:r>
        <w:rPr>
          <w:rFonts w:ascii="Arial" w:cs="Arial" w:eastAsia="Arial" w:hAnsi="Arial"/>
          <w:sz w:val="17"/>
          <w:szCs w:val="17"/>
          <w:color w:val="auto"/>
        </w:rPr>
        <w:t>sufficient to meet our anticipated cash needs for at least twelve months following the date of this prospectus,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276"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8" w:lineRule="exact"/>
        <w:rPr>
          <w:sz w:val="20"/>
          <w:szCs w:val="20"/>
          <w:color w:val="auto"/>
        </w:rPr>
      </w:pPr>
    </w:p>
    <w:p>
      <w:pPr>
        <w:ind w:left="120" w:right="300" w:firstLine="551"/>
        <w:spacing w:after="0" w:line="234" w:lineRule="auto"/>
        <w:rPr>
          <w:sz w:val="20"/>
          <w:szCs w:val="20"/>
          <w:color w:val="auto"/>
        </w:rPr>
      </w:pPr>
      <w:r>
        <w:rPr>
          <w:rFonts w:ascii="Arial" w:cs="Arial" w:eastAsia="Arial" w:hAnsi="Arial"/>
          <w:sz w:val="18"/>
          <w:szCs w:val="18"/>
          <w:color w:val="auto"/>
        </w:rPr>
        <w:t>Based upon shares outstanding as of , 2021, upon the completion of this offering, our executive officers, directors, and current beneficial owners of 5% or more of our common stock will, in the aggregate, beneficially own approximately % of our</w:t>
      </w:r>
    </w:p>
    <w:p>
      <w:pPr>
        <w:spacing w:after="0" w:line="1"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289"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8"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Street Reform and Consumer Protection Act, the listing requirements of ,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02"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prospectus,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283"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they will be in effect upon the completion of this offering, may have the effect of delaying or preventing a change of control or changes in our management. Our amended and restated certificate of incorporation and amended and restated bylaws will include provisions that:</w:t>
      </w:r>
    </w:p>
    <w:p>
      <w:pPr>
        <w:spacing w:after="0" w:line="108" w:lineRule="exact"/>
        <w:rPr>
          <w:sz w:val="20"/>
          <w:szCs w:val="20"/>
          <w:color w:val="auto"/>
        </w:rPr>
      </w:pPr>
    </w:p>
    <w:p>
      <w:pPr>
        <w:ind w:left="880" w:right="12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02"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common stock;</w:t>
      </w:r>
    </w:p>
    <w:p>
      <w:pPr>
        <w:spacing w:after="0" w:line="102"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02" w:lineRule="exact"/>
        <w:rPr>
          <w:rFonts w:ascii="Arial" w:cs="Arial" w:eastAsia="Arial" w:hAnsi="Arial"/>
          <w:sz w:val="18"/>
          <w:szCs w:val="18"/>
          <w:color w:val="auto"/>
        </w:rPr>
      </w:pPr>
    </w:p>
    <w:p>
      <w:pPr>
        <w:ind w:left="880" w:right="840" w:hanging="224"/>
        <w:spacing w:after="0" w:line="274"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7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willing to pay in the future for shares of our common stock, and they could deter potential acquirers of our company, thereby reducing the likelihood that you would receive a premium for your shares of our common stock in an acquisition.</w:t>
      </w:r>
    </w:p>
    <w:p>
      <w:pPr>
        <w:spacing w:after="0" w:line="28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88"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Our amended and restated certificate of incorporation to be effective upon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w:t>
      </w:r>
    </w:p>
    <w:p>
      <w:pPr>
        <w:spacing w:after="0" w:line="2" w:lineRule="exact"/>
        <w:rPr>
          <w:sz w:val="20"/>
          <w:szCs w:val="20"/>
          <w:color w:val="auto"/>
        </w:rPr>
      </w:pPr>
    </w:p>
    <w:p>
      <w:pPr>
        <w:ind w:left="120" w:right="20" w:hanging="4"/>
        <w:spacing w:after="0" w:line="237" w:lineRule="auto"/>
        <w:tabs>
          <w:tab w:leader="none" w:pos="3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addition, our amended and restated certificate of incorporation will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personnel, our business and future growth prospects would be harmed.</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291"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68"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20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(the “IRS”) with respect to the Tax Act may affect us, and certain aspects of the Tax Act could be repealed or modified in future legislation. The Coronavirus Aid, Relief, and Economic Security Act (the “CARES Act”) has already modified certain provisions of the Tax Act. In addition, it is uncertain if and to what extent various states will conform to the Tax Act, the CARES Act or any newly enacted federal tax legislation.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6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1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8" w:lineRule="exact"/>
        <w:rPr>
          <w:sz w:val="20"/>
          <w:szCs w:val="20"/>
          <w:color w:val="auto"/>
        </w:rPr>
      </w:pPr>
    </w:p>
    <w:p>
      <w:pPr>
        <w:ind w:left="120" w:right="140" w:firstLine="551"/>
        <w:spacing w:after="0" w:line="234"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of 2002, or the Sarbanes- Oxley Act, and the rules and regulations of the applicable listing</w:t>
      </w:r>
    </w:p>
    <w:p>
      <w:pPr>
        <w:spacing w:after="0" w:line="1"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205"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w:t>
      </w:r>
    </w:p>
    <w:p>
      <w:pPr>
        <w:spacing w:after="0" w:line="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common stock. In addition, if we are unable to continue to meet these requirements, we may not be 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common stock.</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08"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or sustain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COVID-19 and the associated global economic uncertainty or other public health crises;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or other proprietary rights and any costs associated therewith;</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12"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You should not rely on forward -looking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208"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2"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9"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contains statistical data, estimates and forecasts that are based on independent industry publications or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industry in which we operate is subject to a high degree of uncertainty and risk due to a variety of factors, including those described in the section titled “Risk Factors,” that could cause results to differ materially from those expressed in these publications and other publicly available information.</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tabs>
          <w:tab w:leader="none" w:pos="8000" w:val="left"/>
        </w:tabs>
        <w:rPr>
          <w:sz w:val="20"/>
          <w:szCs w:val="20"/>
          <w:color w:val="auto"/>
        </w:rPr>
      </w:pPr>
      <w:r>
        <w:rPr>
          <w:rFonts w:ascii="Arial" w:cs="Arial" w:eastAsia="Arial" w:hAnsi="Arial"/>
          <w:sz w:val="18"/>
          <w:szCs w:val="18"/>
          <w:color w:val="auto"/>
        </w:rPr>
        <w:t>We estimate that we will receive net proceeds from this offering of approximately $</w:t>
      </w:r>
      <w:r>
        <w:rPr>
          <w:sz w:val="20"/>
          <w:szCs w:val="20"/>
          <w:color w:val="auto"/>
        </w:rPr>
        <w:tab/>
      </w:r>
      <w:r>
        <w:rPr>
          <w:rFonts w:ascii="Arial" w:cs="Arial" w:eastAsia="Arial" w:hAnsi="Arial"/>
          <w:sz w:val="18"/>
          <w:szCs w:val="18"/>
          <w:color w:val="auto"/>
        </w:rPr>
        <w:t>million (or approximately</w:t>
      </w:r>
    </w:p>
    <w:p>
      <w:pPr>
        <w:ind w:left="1020" w:hanging="904"/>
        <w:spacing w:after="0" w:line="234"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of our common stock in full) based on an</w:t>
      </w:r>
    </w:p>
    <w:p>
      <w:pPr>
        <w:spacing w:after="0" w:line="1"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assumed initial public offering price of $ per share of common stock, the midpoint of the estimated price range set forth on the cover page of this prospectus, after deducting estimated underwriting discounts and commissions and estimated offering expenses.</w:t>
      </w:r>
    </w:p>
    <w:p>
      <w:pPr>
        <w:spacing w:after="0" w:line="197"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of common stock would increase (decrease) the net proceeds to us from this offering by approximately $ million, assuming the number of shares offered by us, as</w:t>
      </w:r>
    </w:p>
    <w:p>
      <w:pPr>
        <w:spacing w:after="0" w:line="1"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set forth on the cover page of this prospectus, remains the same, and after deducting estimated underwriting discounts and commissions. Similarly, each increase (decrease) of 1,000,000 shares in the number of shares of common stock offered by us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(decrease) the net proceeds to us from this offering by approximately $ million, assuming the assumed initial public offering price of $ per share of common stock remains the same, and after deducting estimated underwriting discounts and commissions and estimated offering expenses.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(i) repay (or partially repay) our outstanding indebtedness under our Amended Loan and Security Agreement, which matures on May 1, 2022 and under which $15.0 million was outstanding at an annual interest rate of 8.7% as of December 31, 2020 and/or (ii) acquire complementary businesses, products, services or technologies. However, we do not have agreements or commitments to enter into any acquisitions at this time.</w:t>
      </w:r>
    </w:p>
    <w:p>
      <w:pPr>
        <w:spacing w:after="0" w:line="208"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We will have broad discretion over how to use the net proceeds to us from this offering. We intend to invest the net proceeds to us from the offering that are not used as described above in investment-grade, interest-bearing instruments.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32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2020:</w:t>
      </w:r>
    </w:p>
    <w:p>
      <w:pPr>
        <w:spacing w:after="0" w:line="117"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right="16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basis, giving effect to (1) the automatic conversion of all of our outstanding shares of convertible preferred stock into shares of common stock in connection with this offering, and (2) the filing and effectiveness of our amended and restated certificate of incorporation which will be in effect on the completion of this offering; and</w:t>
      </w:r>
    </w:p>
    <w:p>
      <w:pPr>
        <w:spacing w:after="0" w:line="108" w:lineRule="exact"/>
        <w:rPr>
          <w:rFonts w:ascii="Arial" w:cs="Arial" w:eastAsia="Arial" w:hAnsi="Arial"/>
          <w:sz w:val="18"/>
          <w:szCs w:val="18"/>
          <w:color w:val="auto"/>
        </w:rPr>
      </w:pPr>
    </w:p>
    <w:p>
      <w:pPr>
        <w:ind w:left="880" w:right="200" w:hanging="224"/>
        <w:spacing w:after="0" w:line="248"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(1) the pro forma adjustments set forth above and (2) our receipt of estimated net proceeds from the sale of shares of common stock that we are offering at an assumed initial public offering price of</w:t>
      </w:r>
    </w:p>
    <w:p>
      <w:pPr>
        <w:spacing w:after="0" w:line="1" w:lineRule="exact"/>
        <w:rPr>
          <w:sz w:val="20"/>
          <w:szCs w:val="20"/>
          <w:color w:val="auto"/>
        </w:rPr>
      </w:pPr>
    </w:p>
    <w:p>
      <w:pPr>
        <w:ind w:left="880" w:right="840" w:hanging="8"/>
        <w:spacing w:after="0" w:line="246" w:lineRule="auto"/>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the estimated underwriting discounts and commissions and estimated offering expenses.</w:t>
      </w:r>
    </w:p>
    <w:p>
      <w:pPr>
        <w:spacing w:after="0" w:line="197"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Pro Forma</w:t>
            </w:r>
          </w:p>
        </w:tc>
      </w:tr>
      <w:tr>
        <w:trPr>
          <w:trHeight w:val="175"/>
        </w:trPr>
        <w:tc>
          <w:tcPr>
            <w:tcW w:w="3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15"/>
                <w:szCs w:val="15"/>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 Adjusted</w:t>
            </w:r>
          </w:p>
        </w:tc>
      </w:tr>
      <w:tr>
        <w:trPr>
          <w:trHeight w:val="156"/>
        </w:trPr>
        <w:tc>
          <w:tcPr>
            <w:tcW w:w="3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80" w:type="dxa"/>
            <w:vAlign w:val="bottom"/>
            <w:tcBorders>
              <w:top w:val="single" w:sz="8" w:color="auto"/>
            </w:tcBorders>
            <w:gridSpan w:val="7"/>
          </w:tcPr>
          <w:p>
            <w:pPr>
              <w:jc w:val="right"/>
              <w:ind w:right="382"/>
              <w:spacing w:after="0" w:line="155"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0" w:type="dxa"/>
            <w:vAlign w:val="bottom"/>
          </w:tcPr>
          <w:p>
            <w:pPr>
              <w:spacing w:after="0"/>
              <w:rPr>
                <w:sz w:val="13"/>
                <w:szCs w:val="13"/>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59,874</w:t>
            </w: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99"/>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6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680" w:type="dxa"/>
            <w:vAlign w:val="bottom"/>
            <w:gridSpan w:val="5"/>
          </w:tcPr>
          <w:p>
            <w:pPr>
              <w:spacing w:after="0" w:line="195" w:lineRule="exact"/>
              <w:rPr>
                <w:sz w:val="20"/>
                <w:szCs w:val="20"/>
                <w:color w:val="auto"/>
              </w:rPr>
            </w:pPr>
            <w:r>
              <w:rPr>
                <w:rFonts w:ascii="Arial" w:cs="Arial" w:eastAsia="Arial" w:hAnsi="Arial"/>
                <w:sz w:val="18"/>
                <w:szCs w:val="18"/>
                <w:color w:val="auto"/>
              </w:rPr>
              <w:t>Convertible preferred stock, $0.000001 par value, 27,970,966 shares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8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authorized, 27,758,941 shares issued and outstanding, actual, and no</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8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shares authorized, issued and outstanding, pro forma and pro forma as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00" w:type="dxa"/>
            <w:vAlign w:val="bottom"/>
          </w:tcPr>
          <w:p>
            <w:pPr>
              <w:ind w:left="180"/>
              <w:spacing w:after="0" w:line="203" w:lineRule="exact"/>
              <w:rPr>
                <w:sz w:val="20"/>
                <w:szCs w:val="20"/>
                <w:color w:val="auto"/>
              </w:rPr>
            </w:pPr>
            <w:r>
              <w:rPr>
                <w:rFonts w:ascii="Arial" w:cs="Arial" w:eastAsia="Arial" w:hAnsi="Arial"/>
                <w:sz w:val="18"/>
                <w:szCs w:val="18"/>
                <w:color w:val="auto"/>
              </w:rPr>
              <w:t>adjusted</w:t>
            </w: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160,713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668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Preferred stock, $0.000001 par value, no shares authorized, issued,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3400" w:type="dxa"/>
            <w:vAlign w:val="bottom"/>
          </w:tcPr>
          <w:p>
            <w:pPr>
              <w:ind w:left="540"/>
              <w:spacing w:after="0" w:line="202" w:lineRule="exact"/>
              <w:rPr>
                <w:sz w:val="20"/>
                <w:szCs w:val="20"/>
                <w:color w:val="auto"/>
              </w:rPr>
            </w:pPr>
            <w:r>
              <w:rPr>
                <w:rFonts w:ascii="Arial" w:cs="Arial" w:eastAsia="Arial" w:hAnsi="Arial"/>
                <w:sz w:val="18"/>
                <w:szCs w:val="18"/>
                <w:color w:val="auto"/>
              </w:rPr>
              <w:t>and outstanding, actual, and</w:t>
            </w:r>
          </w:p>
        </w:tc>
        <w:tc>
          <w:tcPr>
            <w:tcW w:w="3280" w:type="dxa"/>
            <w:vAlign w:val="bottom"/>
            <w:gridSpan w:val="4"/>
          </w:tcPr>
          <w:p>
            <w:pPr>
              <w:jc w:val="right"/>
              <w:ind w:right="860"/>
              <w:spacing w:after="0" w:line="202" w:lineRule="exact"/>
              <w:rPr>
                <w:sz w:val="20"/>
                <w:szCs w:val="20"/>
                <w:color w:val="auto"/>
              </w:rPr>
            </w:pPr>
            <w:r>
              <w:rPr>
                <w:rFonts w:ascii="Arial" w:cs="Arial" w:eastAsia="Arial" w:hAnsi="Arial"/>
                <w:sz w:val="18"/>
                <w:szCs w:val="18"/>
                <w:color w:val="auto"/>
              </w:rPr>
              <w:t>shares authorized, no shares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80" w:type="dxa"/>
            <w:vAlign w:val="bottom"/>
            <w:gridSpan w:val="5"/>
          </w:tcPr>
          <w:p>
            <w:pPr>
              <w:ind w:left="540"/>
              <w:spacing w:after="0" w:line="203" w:lineRule="exact"/>
              <w:rPr>
                <w:sz w:val="20"/>
                <w:szCs w:val="20"/>
                <w:color w:val="auto"/>
              </w:rPr>
            </w:pPr>
            <w:r>
              <w:rPr>
                <w:rFonts w:ascii="Arial" w:cs="Arial" w:eastAsia="Arial" w:hAnsi="Arial"/>
                <w:sz w:val="18"/>
                <w:szCs w:val="18"/>
                <w:color w:val="auto"/>
              </w:rPr>
              <w:t>issued and outstanding, pro forma and pro forma as adjusted</w:t>
            </w:r>
          </w:p>
        </w:tc>
        <w:tc>
          <w:tcPr>
            <w:tcW w:w="1240" w:type="dxa"/>
            <w:vAlign w:val="bottom"/>
            <w:gridSpan w:val="3"/>
          </w:tcPr>
          <w:p>
            <w:pPr>
              <w:jc w:val="right"/>
              <w:ind w:right="50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66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$0.000001 par value, 42,000,000 authorized,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4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7,755,782 shares issued and outstanding, actual,</w:t>
            </w:r>
          </w:p>
        </w:tc>
        <w:tc>
          <w:tcPr>
            <w:tcW w:w="1540" w:type="dxa"/>
            <w:vAlign w:val="bottom"/>
            <w:gridSpan w:val="3"/>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w w:val="99"/>
              </w:rPr>
              <w:t>shares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680" w:type="dxa"/>
            <w:vAlign w:val="bottom"/>
            <w:gridSpan w:val="5"/>
            <w:shd w:val="clear" w:color="auto" w:fill="CCEEFF"/>
          </w:tcPr>
          <w:p>
            <w:pPr>
              <w:ind w:left="540"/>
              <w:spacing w:after="0" w:line="202" w:lineRule="exact"/>
              <w:rPr>
                <w:sz w:val="20"/>
                <w:szCs w:val="20"/>
                <w:color w:val="auto"/>
              </w:rPr>
            </w:pPr>
            <w:r>
              <w:rPr>
                <w:rFonts w:ascii="Arial" w:cs="Arial" w:eastAsia="Arial" w:hAnsi="Arial"/>
                <w:sz w:val="18"/>
                <w:szCs w:val="18"/>
                <w:color w:val="auto"/>
              </w:rPr>
              <w:t>authorized and no shares issued and outstanding, pro forma,</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400" w:type="dxa"/>
            <w:vAlign w:val="bottom"/>
            <w:shd w:val="clear" w:color="auto" w:fill="CCEEFF"/>
          </w:tcPr>
          <w:p>
            <w:pPr>
              <w:ind w:left="1180"/>
              <w:spacing w:after="0" w:line="202" w:lineRule="exact"/>
              <w:rPr>
                <w:sz w:val="20"/>
                <w:szCs w:val="20"/>
                <w:color w:val="auto"/>
              </w:rPr>
            </w:pPr>
            <w:r>
              <w:rPr>
                <w:rFonts w:ascii="Arial" w:cs="Arial" w:eastAsia="Arial" w:hAnsi="Arial"/>
                <w:sz w:val="18"/>
                <w:szCs w:val="18"/>
                <w:color w:val="auto"/>
              </w:rPr>
              <w:t>shares authorized and</w:t>
            </w:r>
          </w:p>
        </w:tc>
        <w:tc>
          <w:tcPr>
            <w:tcW w:w="17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shares issued and</w:t>
            </w: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4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outstanding, pro forma as adjusted</w:t>
            </w:r>
          </w:p>
        </w:tc>
        <w:tc>
          <w:tcPr>
            <w:tcW w:w="1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40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w:t>
            </w: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40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(111,962)</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3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deficit</w:t>
            </w:r>
          </w:p>
        </w:tc>
        <w:tc>
          <w:tcPr>
            <w:tcW w:w="174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(111,249)</w:t>
            </w:r>
          </w:p>
        </w:tc>
        <w:tc>
          <w:tcPr>
            <w:tcW w:w="1300" w:type="dxa"/>
            <w:vAlign w:val="bottom"/>
            <w:gridSpan w:val="2"/>
            <w:shd w:val="clear" w:color="auto" w:fill="CCEEFF"/>
          </w:tcPr>
          <w:p>
            <w:pPr>
              <w:jc w:val="right"/>
              <w:ind w:right="799"/>
              <w:spacing w:after="0" w:line="20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40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49,464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650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680" w:type="dxa"/>
            <w:vAlign w:val="bottom"/>
            <w:gridSpan w:val="5"/>
          </w:tcPr>
          <w:p>
            <w:pPr>
              <w:ind w:left="5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340" w:type="dxa"/>
            <w:vAlign w:val="bottom"/>
            <w:gridSpan w:val="8"/>
          </w:tcPr>
          <w:p>
            <w:pPr>
              <w:ind w:left="620"/>
              <w:spacing w:after="0"/>
              <w:rPr>
                <w:sz w:val="20"/>
                <w:szCs w:val="20"/>
                <w:color w:val="auto"/>
              </w:rPr>
            </w:pPr>
            <w:r>
              <w:rPr>
                <w:rFonts w:ascii="Arial" w:cs="Arial" w:eastAsia="Arial" w:hAnsi="Arial"/>
                <w:sz w:val="18"/>
                <w:szCs w:val="18"/>
                <w:color w:val="auto"/>
              </w:rPr>
              <w:t>per share of common stock, the midpoint of</w:t>
            </w:r>
          </w:p>
        </w:tc>
      </w:tr>
    </w:tbl>
    <w:p>
      <w:pPr>
        <w:ind w:left="120" w:right="400"/>
        <w:spacing w:after="0" w:line="246" w:lineRule="auto"/>
        <w:rPr>
          <w:sz w:val="20"/>
          <w:szCs w:val="20"/>
          <w:color w:val="auto"/>
        </w:rPr>
      </w:pPr>
      <w:r>
        <w:rPr>
          <w:rFonts w:ascii="Arial" w:cs="Arial" w:eastAsia="Arial" w:hAnsi="Arial"/>
          <w:sz w:val="18"/>
          <w:szCs w:val="18"/>
          <w:color w:val="auto"/>
        </w:rPr>
        <w:t>the estimated price range set forth on the cover page of this prospectus, would increase (decrease) each of our pro forma as adjusted cash and cash equivalents, additional paid-in capital, total stockholders’ equity and total capitalization by approximately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hanging="4"/>
        <w:spacing w:after="0" w:line="24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million, assuming the number of shares offered by us, as set forth on the cover page of this prospectus, remains the same, and after deducting estimated underwriting discounts and commissions. Similarly, each increase (decrease) of 1,000,000 shares in the number</w:t>
      </w:r>
    </w:p>
    <w:p>
      <w:pPr>
        <w:spacing w:after="0" w:line="1"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of shares of common stock offered by us would increase (decrease) each of our pro forma as adjusted cash and cash equivalents,</w:t>
      </w:r>
    </w:p>
    <w:p>
      <w:pPr>
        <w:spacing w:after="0" w:line="204" w:lineRule="exact"/>
        <w:rPr>
          <w:sz w:val="20"/>
          <w:szCs w:val="20"/>
          <w:color w:val="auto"/>
        </w:rPr>
      </w:pPr>
    </w:p>
    <w:p>
      <w:pPr>
        <w:ind w:left="120" w:right="360"/>
        <w:spacing w:after="0"/>
        <w:rPr>
          <w:sz w:val="20"/>
          <w:szCs w:val="20"/>
          <w:color w:val="auto"/>
        </w:rPr>
      </w:pPr>
      <w:r>
        <w:rPr>
          <w:rFonts w:ascii="Arial" w:cs="Arial" w:eastAsia="Arial" w:hAnsi="Arial"/>
          <w:sz w:val="18"/>
          <w:szCs w:val="18"/>
          <w:color w:val="auto"/>
        </w:rPr>
        <w:t>additional paid-in capital, total stockholders’ equity and total capitalization by approximately $ million, assuming the assumed initial public offering price of $ per share of common stock remains the same, and after deducting estimated underwriting discounts and commissions and estimated offering expenses.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20" w:hanging="548"/>
        <w:spacing w:after="0" w:line="246" w:lineRule="auto"/>
        <w:rPr>
          <w:sz w:val="20"/>
          <w:szCs w:val="20"/>
          <w:color w:val="auto"/>
        </w:rPr>
      </w:pPr>
      <w:r>
        <w:rPr>
          <w:rFonts w:ascii="Arial" w:cs="Arial" w:eastAsia="Arial" w:hAnsi="Arial"/>
          <w:sz w:val="18"/>
          <w:szCs w:val="18"/>
          <w:color w:val="auto"/>
        </w:rPr>
        <w:t>The number of shares of common stock that will be outstanding after this offering is based on shares of common stock outstanding as of , and excludes: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w:t>
      </w:r>
    </w:p>
    <w:p>
      <w:pPr>
        <w:spacing w:after="0" w:line="319" w:lineRule="exact"/>
        <w:rPr>
          <w:sz w:val="20"/>
          <w:szCs w:val="20"/>
          <w:color w:val="auto"/>
        </w:rPr>
      </w:pPr>
    </w:p>
    <w:p>
      <w:pPr>
        <w:sectPr>
          <w:pgSz w:w="11900" w:h="16838" w:orient="portrait"/>
          <w:cols w:equalWidth="0" w:num="3">
            <w:col w:w="500" w:space="720"/>
            <w:col w:w="6980" w:space="720"/>
            <w:col w:w="2200"/>
          </w:cols>
          <w:pgMar w:left="320" w:top="459" w:right="459" w:bottom="1440" w:gutter="0" w:footer="0" w:header="0"/>
          <w:type w:val="continuous"/>
        </w:sect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stock options outstanding as of</w:t>
      </w:r>
    </w:p>
    <w:p>
      <w:pPr>
        <w:spacing w:after="0" w:line="7" w:lineRule="exact"/>
        <w:rPr>
          <w:sz w:val="20"/>
          <w:szCs w:val="20"/>
          <w:color w:val="auto"/>
        </w:rPr>
      </w:pPr>
    </w:p>
    <w:p>
      <w:pPr>
        <w:ind w:left="880"/>
        <w:spacing w:after="0"/>
        <w:tabs>
          <w:tab w:leader="none" w:pos="46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under our 2016 Plan with a</w:t>
      </w:r>
    </w:p>
    <w:p>
      <w:pPr>
        <w:spacing w:after="0" w:line="331" w:lineRule="exact"/>
        <w:rPr>
          <w:sz w:val="20"/>
          <w:szCs w:val="20"/>
          <w:color w:val="auto"/>
        </w:rPr>
      </w:pPr>
    </w:p>
    <w:p>
      <w:pPr>
        <w:sectPr>
          <w:pgSz w:w="11900" w:h="16838" w:orient="portrait"/>
          <w:cols w:equalWidth="0" w:num="2">
            <w:col w:w="8260" w:space="720"/>
            <w:col w:w="2140"/>
          </w:cols>
          <w:pgMar w:left="320" w:top="459" w:right="459" w:bottom="1440" w:gutter="0" w:footer="0" w:header="0"/>
          <w:type w:val="continuous"/>
        </w:sect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warrants outstanding as of</w:t>
      </w:r>
    </w:p>
    <w:p>
      <w:pPr>
        <w:spacing w:after="0" w:line="7" w:lineRule="exact"/>
        <w:rPr>
          <w:sz w:val="20"/>
          <w:szCs w:val="20"/>
          <w:color w:val="auto"/>
        </w:rPr>
      </w:pPr>
    </w:p>
    <w:p>
      <w:pPr>
        <w:ind w:left="880"/>
        <w:spacing w:after="0"/>
        <w:tabs>
          <w:tab w:leader="none" w:pos="312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with a weighted-average</w:t>
      </w:r>
    </w:p>
    <w:p>
      <w:pPr>
        <w:spacing w:after="0" w:line="327" w:lineRule="exact"/>
        <w:rPr>
          <w:sz w:val="20"/>
          <w:szCs w:val="20"/>
          <w:color w:val="auto"/>
        </w:rPr>
      </w:pPr>
    </w:p>
    <w:p>
      <w:pPr>
        <w:sectPr>
          <w:pgSz w:w="11900" w:h="16838" w:orient="portrait"/>
          <w:cols w:equalWidth="0" w:num="2">
            <w:col w:w="7900" w:space="720"/>
            <w:col w:w="2500"/>
          </w:cols>
          <w:pgMar w:left="320" w:top="459" w:right="459" w:bottom="1440" w:gutter="0" w:footer="0" w:header="0"/>
          <w:type w:val="continuous"/>
        </w:sectPr>
      </w:pPr>
    </w:p>
    <w:p>
      <w:pPr>
        <w:ind w:left="660"/>
        <w:spacing w:after="0"/>
        <w:tabs>
          <w:tab w:leader="none" w:pos="1700" w:val="left"/>
          <w:tab w:leader="none" w:pos="10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common stock reserved for future issuance under our 2021 Plan, which became effective on</w:t>
      </w:r>
      <w:r>
        <w:rPr>
          <w:sz w:val="20"/>
          <w:szCs w:val="20"/>
          <w:color w:val="auto"/>
        </w:rPr>
        <w:tab/>
      </w:r>
      <w:r>
        <w:rPr>
          <w:rFonts w:ascii="Arial" w:cs="Arial" w:eastAsia="Arial" w:hAnsi="Arial"/>
          <w:sz w:val="13"/>
          <w:szCs w:val="13"/>
          <w:color w:val="auto"/>
        </w:rPr>
        <w:t>,</w:t>
      </w:r>
    </w:p>
    <w:p>
      <w:pPr>
        <w:ind w:left="880"/>
        <w:spacing w:after="0" w:line="234" w:lineRule="auto"/>
        <w:rPr>
          <w:sz w:val="20"/>
          <w:szCs w:val="20"/>
          <w:color w:val="auto"/>
        </w:rPr>
      </w:pPr>
      <w:r>
        <w:rPr>
          <w:rFonts w:ascii="Arial" w:cs="Arial" w:eastAsia="Arial" w:hAnsi="Arial"/>
          <w:sz w:val="18"/>
          <w:szCs w:val="18"/>
          <w:color w:val="auto"/>
        </w:rPr>
        <w:t>2021, as well as any future increases, including annual automatic evergreen increases, in the number of shares of common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reserved for issuance under our 2021 Plan and any shares underlying outstanding stock awards granted under our 2012</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Plan that expire or are repurchased, forfeited, cancelled or withheld, as more fully described in the section titled “Executive</w:t>
      </w:r>
    </w:p>
    <w:p>
      <w:pPr>
        <w:ind w:left="880"/>
        <w:spacing w:after="0"/>
        <w:rPr>
          <w:sz w:val="20"/>
          <w:szCs w:val="20"/>
          <w:color w:val="auto"/>
        </w:rPr>
      </w:pPr>
      <w:r>
        <w:rPr>
          <w:rFonts w:ascii="Arial" w:cs="Arial" w:eastAsia="Arial" w:hAnsi="Arial"/>
          <w:sz w:val="18"/>
          <w:szCs w:val="18"/>
          <w:color w:val="auto"/>
        </w:rPr>
        <w:t>Compensation—Employee Benefit Plans”; and</w:t>
      </w:r>
    </w:p>
    <w:p>
      <w:pPr>
        <w:sectPr>
          <w:pgSz w:w="11900" w:h="16838" w:orient="portrait"/>
          <w:cols w:equalWidth="0" w:num="1">
            <w:col w:w="11120"/>
          </w:cols>
          <w:pgMar w:left="320" w:top="459" w:right="459" w:bottom="1440" w:gutter="0" w:footer="0" w:header="0"/>
          <w:type w:val="continuous"/>
        </w:sectPr>
      </w:pPr>
    </w:p>
    <w:p>
      <w:pPr>
        <w:spacing w:after="0" w:line="117" w:lineRule="exact"/>
        <w:rPr>
          <w:sz w:val="20"/>
          <w:szCs w:val="20"/>
          <w:color w:val="auto"/>
        </w:rPr>
      </w:pPr>
    </w:p>
    <w:p>
      <w:pPr>
        <w:ind w:left="880" w:right="120" w:hanging="224"/>
        <w:spacing w:after="0" w:line="261" w:lineRule="auto"/>
        <w:tabs>
          <w:tab w:leader="none" w:pos="173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shares of common stock reserved for issuance under our ESPP, which will become effective on the date immediately prior to the date of the underwriting agreement related to this offering, as well as any future increases, including annual automatic evergreen increases, in the number of shares of common stock reserved for future issuance under our ESPP.</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120" w:right="20" w:firstLine="551"/>
        <w:spacing w:after="0" w:line="274"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pro forma as adjusted net tangible book value per share immediately after this offering.</w:t>
      </w:r>
    </w:p>
    <w:p>
      <w:pPr>
        <w:spacing w:after="0" w:line="17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Our historical net tangible book value (deficit) as of December 31, 2020 was $47.0 million, or $6.06 per share. Our pro forma net tangible book value as of was $ million, or $ per share. Pro forma net tangible book value per share represents the amount of our total tangible assets less our total liabilities, divided by the number of our shares of common stock outstanding as of , after giving effect to the automatic conversion of all outstanding shares of preferred stock into an aggregate of shares of common stock in connection with this offering.</w:t>
      </w:r>
    </w:p>
    <w:p>
      <w:pPr>
        <w:spacing w:after="0" w:line="198" w:lineRule="exact"/>
        <w:rPr>
          <w:sz w:val="20"/>
          <w:szCs w:val="20"/>
          <w:color w:val="auto"/>
        </w:rPr>
      </w:pPr>
    </w:p>
    <w:p>
      <w:pPr>
        <w:ind w:left="660"/>
        <w:spacing w:after="0"/>
        <w:tabs>
          <w:tab w:leader="none" w:pos="45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7"/>
          <w:szCs w:val="17"/>
          <w:color w:val="auto"/>
        </w:rPr>
        <w:t>shares of common stock in this offering at an assumed initial public offering price of</w:t>
      </w:r>
    </w:p>
    <w:p>
      <w:pPr>
        <w:ind w:left="1020" w:hanging="904"/>
        <w:spacing w:after="0" w:line="234"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 share, the midpoint of the estimated price range set forth on the cover page of this prospectus, and after deducting</w:t>
      </w:r>
    </w:p>
    <w:p>
      <w:pPr>
        <w:ind w:left="120"/>
        <w:spacing w:after="0"/>
        <w:rPr>
          <w:rFonts w:ascii="Arial" w:cs="Arial" w:eastAsia="Arial" w:hAnsi="Arial"/>
          <w:sz w:val="18"/>
          <w:szCs w:val="18"/>
          <w:color w:val="auto"/>
        </w:rPr>
      </w:pPr>
      <w:r>
        <w:rPr>
          <w:rFonts w:ascii="Arial" w:cs="Arial" w:eastAsia="Arial" w:hAnsi="Arial"/>
          <w:sz w:val="18"/>
          <w:szCs w:val="18"/>
          <w:color w:val="auto"/>
        </w:rPr>
        <w:t>estimated underwriting discounts and commissions and estimated offering expenses, our pro forma as adjusted net tangible book value as</w:t>
      </w:r>
    </w:p>
    <w:p>
      <w:pPr>
        <w:spacing w:after="0" w:line="203" w:lineRule="exact"/>
        <w:rPr>
          <w:sz w:val="20"/>
          <w:szCs w:val="20"/>
          <w:color w:val="auto"/>
        </w:rPr>
      </w:pPr>
    </w:p>
    <w:p>
      <w:pPr>
        <w:ind w:left="120" w:right="180"/>
        <w:spacing w:after="0" w:line="234" w:lineRule="auto"/>
        <w:rPr>
          <w:sz w:val="20"/>
          <w:szCs w:val="20"/>
          <w:color w:val="auto"/>
        </w:rPr>
      </w:pPr>
      <w:r>
        <w:rPr>
          <w:rFonts w:ascii="Arial" w:cs="Arial" w:eastAsia="Arial" w:hAnsi="Arial"/>
          <w:sz w:val="18"/>
          <w:szCs w:val="18"/>
          <w:color w:val="auto"/>
        </w:rPr>
        <w:t>of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common stock in this offering. We determine dilution by</w:t>
      </w:r>
    </w:p>
    <w:p>
      <w:pPr>
        <w:spacing w:after="0" w:line="2"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subtracting the pro forma as adjusted net tangible book value per share after this offering from the amount of cash that a new investor paid for a share of common stock. The following table illustrates this dilution on a per share basis: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6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9040" w:type="dxa"/>
            <w:vAlign w:val="bottom"/>
          </w:tcPr>
          <w:p>
            <w:pPr>
              <w:spacing w:after="0" w:line="202" w:lineRule="exact"/>
              <w:rPr>
                <w:sz w:val="20"/>
                <w:szCs w:val="20"/>
                <w:color w:val="auto"/>
              </w:rPr>
            </w:pPr>
            <w:r>
              <w:rPr>
                <w:rFonts w:ascii="Arial" w:cs="Arial" w:eastAsia="Arial" w:hAnsi="Arial"/>
                <w:sz w:val="18"/>
                <w:szCs w:val="18"/>
                <w:color w:val="auto"/>
              </w:rPr>
              <w:t>Historical net tangible book (deficit) per share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06</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tangible book value per share</w:t>
            </w:r>
          </w:p>
        </w:tc>
        <w:tc>
          <w:tcPr>
            <w:tcW w:w="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9040" w:type="dxa"/>
            <w:vAlign w:val="bottom"/>
          </w:tcPr>
          <w:p>
            <w:pPr>
              <w:ind w:left="360"/>
              <w:spacing w:after="0" w:line="201" w:lineRule="exact"/>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040" w:type="dxa"/>
            <w:vAlign w:val="bottom"/>
          </w:tcPr>
          <w:p>
            <w:pPr>
              <w:ind w:left="540"/>
              <w:spacing w:after="0" w:line="203" w:lineRule="exact"/>
              <w:rPr>
                <w:sz w:val="20"/>
                <w:szCs w:val="20"/>
                <w:color w:val="auto"/>
              </w:rPr>
            </w:pPr>
            <w:r>
              <w:rPr>
                <w:rFonts w:ascii="Arial" w:cs="Arial" w:eastAsia="Arial" w:hAnsi="Arial"/>
                <w:sz w:val="18"/>
                <w:szCs w:val="18"/>
                <w:color w:val="auto"/>
              </w:rPr>
              <w:t>purchasing shares in this offering</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040" w:type="dxa"/>
            <w:vAlign w:val="bottom"/>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260" w:type="dxa"/>
            <w:vAlign w:val="bottom"/>
          </w:tcPr>
          <w:p>
            <w:pPr>
              <w:spacing w:after="0"/>
              <w:rPr>
                <w:sz w:val="18"/>
                <w:szCs w:val="18"/>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w:t>
      </w:r>
    </w:p>
    <w:p>
      <w:pPr>
        <w:spacing w:after="0" w:line="197"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of common stock, the midpoint of the estimated price range set forth on the cover page of this prospectus, would increase (decrease) our pro forma as adjusted net tangible</w:t>
      </w:r>
    </w:p>
    <w:p>
      <w:pPr>
        <w:spacing w:after="0" w:line="1" w:lineRule="exact"/>
        <w:rPr>
          <w:sz w:val="20"/>
          <w:szCs w:val="20"/>
          <w:color w:val="auto"/>
        </w:rPr>
      </w:pPr>
    </w:p>
    <w:p>
      <w:pPr>
        <w:ind w:left="120" w:right="300"/>
        <w:spacing w:after="0" w:line="234" w:lineRule="auto"/>
        <w:rPr>
          <w:sz w:val="20"/>
          <w:szCs w:val="20"/>
          <w:color w:val="auto"/>
        </w:rPr>
      </w:pPr>
      <w:r>
        <w:rPr>
          <w:rFonts w:ascii="Arial" w:cs="Arial" w:eastAsia="Arial" w:hAnsi="Arial"/>
          <w:sz w:val="18"/>
          <w:szCs w:val="18"/>
          <w:color w:val="auto"/>
        </w:rPr>
        <w:t>book value per share after this offering by $ per share and increase (decrease) the dilution to new investors by $ per share, in each case assuming the number of shares of common stock offered by us, as set forth on the cover page of this prospectus, remains the same, and after deducting estimated underwriting discounts and commissions. Similarly, each increase or decrease of 1,000,000 shares in the number of shares of common stock offered by us would increase (decrease) our pro forma as adjusted net</w:t>
      </w:r>
    </w:p>
    <w:p>
      <w:pPr>
        <w:ind w:left="120"/>
        <w:spacing w:after="0" w:line="238" w:lineRule="auto"/>
        <w:tabs>
          <w:tab w:leader="none" w:pos="4000" w:val="left"/>
        </w:tabs>
        <w:rPr>
          <w:sz w:val="20"/>
          <w:szCs w:val="20"/>
          <w:color w:val="auto"/>
        </w:rPr>
      </w:pPr>
      <w:r>
        <w:rPr>
          <w:rFonts w:ascii="Arial" w:cs="Arial" w:eastAsia="Arial" w:hAnsi="Arial"/>
          <w:sz w:val="18"/>
          <w:szCs w:val="18"/>
          <w:color w:val="auto"/>
        </w:rPr>
        <w:t>tangible book value by approximately $</w:t>
      </w:r>
      <w:r>
        <w:rPr>
          <w:sz w:val="20"/>
          <w:szCs w:val="20"/>
          <w:color w:val="auto"/>
        </w:rPr>
        <w:tab/>
      </w:r>
      <w:r>
        <w:rPr>
          <w:rFonts w:ascii="Arial" w:cs="Arial" w:eastAsia="Arial" w:hAnsi="Arial"/>
          <w:sz w:val="18"/>
          <w:szCs w:val="18"/>
          <w:color w:val="auto"/>
        </w:rPr>
        <w:t>per share and decrease (increase) the dilution to new investors by approximately</w:t>
      </w:r>
    </w:p>
    <w:p>
      <w:pPr>
        <w:ind w:left="120"/>
        <w:spacing w:after="0"/>
        <w:tabs>
          <w:tab w:leader="none" w:pos="1000" w:val="left"/>
          <w:tab w:leader="none" w:pos="7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in each case assuming the assumed initial public offering price of $</w:t>
      </w:r>
      <w:r>
        <w:rPr>
          <w:sz w:val="20"/>
          <w:szCs w:val="20"/>
          <w:color w:val="auto"/>
        </w:rPr>
        <w:tab/>
      </w:r>
      <w:r>
        <w:rPr>
          <w:rFonts w:ascii="Arial" w:cs="Arial" w:eastAsia="Arial" w:hAnsi="Arial"/>
          <w:sz w:val="17"/>
          <w:szCs w:val="17"/>
          <w:color w:val="auto"/>
        </w:rPr>
        <w:t>per share of common stock remains</w:t>
      </w:r>
    </w:p>
    <w:p>
      <w:pPr>
        <w:spacing w:after="0" w:line="1" w:lineRule="exact"/>
        <w:rPr>
          <w:sz w:val="20"/>
          <w:szCs w:val="20"/>
          <w:color w:val="auto"/>
        </w:rPr>
      </w:pPr>
    </w:p>
    <w:p>
      <w:pPr>
        <w:ind w:left="5520" w:right="1840" w:hanging="5407"/>
        <w:spacing w:after="0" w:line="418" w:lineRule="auto"/>
        <w:rPr>
          <w:sz w:val="20"/>
          <w:szCs w:val="20"/>
          <w:color w:val="auto"/>
        </w:rPr>
      </w:pPr>
      <w:r>
        <w:rPr>
          <w:rFonts w:ascii="Arial" w:cs="Arial" w:eastAsia="Arial" w:hAnsi="Arial"/>
          <w:sz w:val="18"/>
          <w:szCs w:val="18"/>
          <w:color w:val="auto"/>
        </w:rPr>
        <w:t>the same, and after deducting estimated underwriting discounts and commissions and estimated offering expenses. 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underwriters exercise their option to purchase additional shares of common stock in full, the pro forma net tangible book value</w:t>
      </w:r>
    </w:p>
    <w:p>
      <w:pPr>
        <w:ind w:left="120" w:right="240"/>
        <w:spacing w:after="0" w:line="246" w:lineRule="auto"/>
        <w:rPr>
          <w:sz w:val="20"/>
          <w:szCs w:val="20"/>
          <w:color w:val="auto"/>
        </w:rPr>
      </w:pPr>
      <w:r>
        <w:rPr>
          <w:rFonts w:ascii="Arial" w:cs="Arial" w:eastAsia="Arial" w:hAnsi="Arial"/>
          <w:sz w:val="18"/>
          <w:szCs w:val="18"/>
          <w:color w:val="auto"/>
        </w:rPr>
        <w:t>per share, as adjusted to give effect to this offering, would be $ per share, and the dilution in pro forma net tangible book value per share to investors in this offering would be $ per share.</w:t>
      </w:r>
    </w:p>
    <w:p>
      <w:pPr>
        <w:spacing w:after="0" w:line="192" w:lineRule="exact"/>
        <w:rPr>
          <w:sz w:val="20"/>
          <w:szCs w:val="20"/>
          <w:color w:val="auto"/>
        </w:rPr>
      </w:pPr>
    </w:p>
    <w:p>
      <w:pPr>
        <w:ind w:left="660"/>
        <w:spacing w:after="0"/>
        <w:tabs>
          <w:tab w:leader="none" w:pos="446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7"/>
          <w:szCs w:val="17"/>
          <w:color w:val="auto"/>
        </w:rPr>
        <w:t>, on a pro forma as adjusted basis as described above, the number of shares of our</w:t>
      </w:r>
    </w:p>
    <w:p>
      <w:pPr>
        <w:ind w:left="120"/>
        <w:spacing w:after="0" w:line="234" w:lineRule="auto"/>
        <w:rPr>
          <w:sz w:val="20"/>
          <w:szCs w:val="20"/>
          <w:color w:val="auto"/>
        </w:rPr>
      </w:pPr>
      <w:r>
        <w:rPr>
          <w:rFonts w:ascii="Arial" w:cs="Arial" w:eastAsia="Arial" w:hAnsi="Arial"/>
          <w:sz w:val="18"/>
          <w:szCs w:val="18"/>
          <w:color w:val="auto"/>
        </w:rPr>
        <w:t>common stock, the total consideration and the average price per share (1) paid to us by existing stockholders, and (2) to be paid by new</w:t>
      </w:r>
    </w:p>
    <w:p>
      <w:pPr>
        <w:spacing w:after="0" w:line="1"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investors acquiring our common stock in this offering at an assumed initial public offering price of $ per share, the midpoint of the estimated price range set forth on the cover page of this prospectus, before deducting estimated underwriting discounts and commissions and estimated offering expenses.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100" w:type="dxa"/>
            <w:vAlign w:val="bottom"/>
            <w:gridSpan w:val="2"/>
          </w:tcPr>
          <w:p>
            <w:pPr>
              <w:ind w:left="56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 Price</w:t>
            </w:r>
          </w:p>
        </w:tc>
      </w:tr>
      <w:tr>
        <w:trPr>
          <w:trHeight w:val="175"/>
        </w:trPr>
        <w:tc>
          <w:tcPr>
            <w:tcW w:w="56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40" w:type="dxa"/>
            <w:vAlign w:val="bottom"/>
          </w:tcPr>
          <w:p>
            <w:pPr>
              <w:spacing w:after="0"/>
              <w:rPr>
                <w:sz w:val="15"/>
                <w:szCs w:val="15"/>
                <w:color w:val="auto"/>
              </w:rPr>
            </w:pPr>
          </w:p>
        </w:tc>
      </w:tr>
      <w:tr>
        <w:trPr>
          <w:trHeight w:val="156"/>
        </w:trPr>
        <w:tc>
          <w:tcPr>
            <w:tcW w:w="5620" w:type="dxa"/>
            <w:vAlign w:val="bottom"/>
          </w:tcPr>
          <w:p>
            <w:pPr>
              <w:spacing w:after="0"/>
              <w:rPr>
                <w:sz w:val="13"/>
                <w:szCs w:val="13"/>
                <w:color w:val="auto"/>
              </w:rPr>
            </w:pPr>
          </w:p>
        </w:tc>
        <w:tc>
          <w:tcPr>
            <w:tcW w:w="11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Number</w:t>
            </w:r>
          </w:p>
        </w:tc>
        <w:tc>
          <w:tcPr>
            <w:tcW w:w="760" w:type="dxa"/>
            <w:vAlign w:val="bottom"/>
            <w:gridSpan w:val="2"/>
          </w:tcPr>
          <w:p>
            <w:pPr>
              <w:jc w:val="right"/>
              <w:ind w:right="170"/>
              <w:spacing w:after="0" w:line="155" w:lineRule="exact"/>
              <w:rPr>
                <w:sz w:val="20"/>
                <w:szCs w:val="20"/>
                <w:color w:val="auto"/>
              </w:rPr>
            </w:pPr>
            <w:r>
              <w:rPr>
                <w:rFonts w:ascii="Arial" w:cs="Arial" w:eastAsia="Arial" w:hAnsi="Arial"/>
                <w:sz w:val="14"/>
                <w:szCs w:val="14"/>
                <w:color w:val="auto"/>
                <w:w w:val="99"/>
              </w:rPr>
              <w:t>Percent</w:t>
            </w:r>
          </w:p>
        </w:tc>
        <w:tc>
          <w:tcPr>
            <w:tcW w:w="340" w:type="dxa"/>
            <w:vAlign w:val="bottom"/>
          </w:tcPr>
          <w:p>
            <w:pPr>
              <w:spacing w:after="0"/>
              <w:rPr>
                <w:sz w:val="13"/>
                <w:szCs w:val="13"/>
                <w:color w:val="auto"/>
              </w:rPr>
            </w:pPr>
          </w:p>
        </w:tc>
        <w:tc>
          <w:tcPr>
            <w:tcW w:w="660" w:type="dxa"/>
            <w:vAlign w:val="bottom"/>
          </w:tcPr>
          <w:p>
            <w:pPr>
              <w:jc w:val="right"/>
              <w:ind w:right="8"/>
              <w:spacing w:after="0" w:line="155" w:lineRule="exact"/>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3"/>
                <w:szCs w:val="13"/>
                <w:color w:val="auto"/>
              </w:rPr>
            </w:pPr>
          </w:p>
        </w:tc>
        <w:tc>
          <w:tcPr>
            <w:tcW w:w="1120" w:type="dxa"/>
            <w:vAlign w:val="bottom"/>
            <w:gridSpan w:val="2"/>
          </w:tcPr>
          <w:p>
            <w:pPr>
              <w:jc w:val="right"/>
              <w:ind w:right="510"/>
              <w:spacing w:after="0" w:line="155" w:lineRule="exact"/>
              <w:rPr>
                <w:sz w:val="20"/>
                <w:szCs w:val="20"/>
                <w:color w:val="auto"/>
              </w:rPr>
            </w:pPr>
            <w:r>
              <w:rPr>
                <w:rFonts w:ascii="Arial" w:cs="Arial" w:eastAsia="Arial" w:hAnsi="Arial"/>
                <w:sz w:val="14"/>
                <w:szCs w:val="14"/>
                <w:color w:val="auto"/>
              </w:rPr>
              <w:t>Percent</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87"/>
              </w:rPr>
              <w:t>%</w:t>
            </w:r>
          </w:p>
        </w:tc>
        <w:tc>
          <w:tcPr>
            <w:tcW w:w="9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562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6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Totals</w:t>
            </w: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7480" w:type="dxa"/>
            <w:vAlign w:val="bottom"/>
            <w:gridSpan w:val="5"/>
          </w:tcPr>
          <w:p>
            <w:pPr>
              <w:ind w:left="54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3540" w:type="dxa"/>
            <w:vAlign w:val="bottom"/>
            <w:gridSpan w:val="7"/>
          </w:tcPr>
          <w:p>
            <w:pPr>
              <w:ind w:left="100"/>
              <w:spacing w:after="0"/>
              <w:rPr>
                <w:sz w:val="20"/>
                <w:szCs w:val="20"/>
                <w:color w:val="auto"/>
              </w:rPr>
            </w:pPr>
            <w:r>
              <w:rPr>
                <w:rFonts w:ascii="Arial" w:cs="Arial" w:eastAsia="Arial" w:hAnsi="Arial"/>
                <w:sz w:val="18"/>
                <w:szCs w:val="18"/>
                <w:color w:val="auto"/>
              </w:rPr>
              <w:t>per share, the midpoint of the estimated</w:t>
            </w:r>
          </w:p>
        </w:tc>
      </w:tr>
    </w:tbl>
    <w:p>
      <w:pPr>
        <w:ind w:left="120"/>
        <w:spacing w:after="0" w:line="234" w:lineRule="auto"/>
        <w:rPr>
          <w:sz w:val="20"/>
          <w:szCs w:val="20"/>
          <w:color w:val="auto"/>
        </w:rPr>
      </w:pPr>
      <w:r>
        <w:rPr>
          <w:rFonts w:ascii="Arial" w:cs="Arial" w:eastAsia="Arial" w:hAnsi="Arial"/>
          <w:sz w:val="18"/>
          <w:szCs w:val="18"/>
          <w:color w:val="auto"/>
        </w:rPr>
        <w:t>price range set forth on the cover page of this prospectus, would increase (decrease) the total consideration paid by new investors and</w:t>
      </w:r>
    </w:p>
    <w:p>
      <w:pPr>
        <w:spacing w:after="0" w:line="1"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total consideration paid by all stockholders by approximately $ million, assuming that the number of shares of common stock offered by us, as set forth on the cover page of this prospectus, remains the same and after deducting estimated underwriting discounts and commissions and estimated offering expenses.</w:t>
      </w:r>
    </w:p>
    <w:p>
      <w:pPr>
        <w:sectPr>
          <w:pgSz w:w="11900" w:h="16838" w:orient="portrait"/>
          <w:cols w:equalWidth="0" w:num="1">
            <w:col w:w="11140"/>
          </w:cols>
          <w:pgMar w:left="320" w:top="459" w:right="439" w:bottom="1440" w:gutter="0" w:footer="0" w:header="0"/>
        </w:sectPr>
      </w:pP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number of shares of common stock that will be outstanding after this offering is based on outstanding as of , and excludes: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w:t>
      </w:r>
    </w:p>
    <w:p>
      <w:pPr>
        <w:spacing w:after="0" w:line="330" w:lineRule="exact"/>
        <w:rPr>
          <w:sz w:val="20"/>
          <w:szCs w:val="20"/>
          <w:color w:val="auto"/>
        </w:rPr>
      </w:pPr>
    </w:p>
    <w:p>
      <w:pPr>
        <w:sectPr>
          <w:pgSz w:w="11900" w:h="16838" w:orient="portrait"/>
          <w:cols w:equalWidth="0" w:num="2">
            <w:col w:w="8160" w:space="720"/>
            <w:col w:w="2260"/>
          </w:cols>
          <w:pgMar w:left="320" w:top="459" w:right="439" w:bottom="1440" w:gutter="0" w:footer="0" w:header="0"/>
          <w:type w:val="continuous"/>
        </w:sect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common stock issuable on the exercise of stock options outstanding as of</w:t>
      </w:r>
    </w:p>
    <w:p>
      <w:pPr>
        <w:spacing w:after="0" w:line="7" w:lineRule="exact"/>
        <w:rPr>
          <w:sz w:val="20"/>
          <w:szCs w:val="20"/>
          <w:color w:val="auto"/>
        </w:rPr>
      </w:pPr>
    </w:p>
    <w:p>
      <w:pPr>
        <w:ind w:left="880"/>
        <w:spacing w:after="0"/>
        <w:tabs>
          <w:tab w:leader="none" w:pos="46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under our 2016 Plan with a</w:t>
      </w:r>
    </w:p>
    <w:p>
      <w:pPr>
        <w:spacing w:after="0" w:line="315" w:lineRule="exact"/>
        <w:rPr>
          <w:sz w:val="20"/>
          <w:szCs w:val="20"/>
          <w:color w:val="auto"/>
        </w:rPr>
      </w:pPr>
    </w:p>
    <w:p>
      <w:pPr>
        <w:sectPr>
          <w:pgSz w:w="11900" w:h="16838" w:orient="portrait"/>
          <w:cols w:equalWidth="0" w:num="2">
            <w:col w:w="8200" w:space="720"/>
            <w:col w:w="2220"/>
          </w:cols>
          <w:pgMar w:left="320" w:top="459" w:right="439" w:bottom="1440" w:gutter="0" w:footer="0" w:header="0"/>
          <w:type w:val="continuous"/>
        </w:sectPr>
      </w:pPr>
    </w:p>
    <w:p>
      <w:pPr>
        <w:ind w:left="660"/>
        <w:spacing w:after="0"/>
        <w:tabs>
          <w:tab w:leader="none" w:pos="1700" w:val="left"/>
          <w:tab w:leader="none" w:pos="10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common stock reserved for future issuance under our 2021 Plan, which became effective on</w:t>
      </w:r>
      <w:r>
        <w:rPr>
          <w:sz w:val="20"/>
          <w:szCs w:val="20"/>
          <w:color w:val="auto"/>
        </w:rPr>
        <w:tab/>
      </w:r>
      <w:r>
        <w:rPr>
          <w:rFonts w:ascii="Arial" w:cs="Arial" w:eastAsia="Arial" w:hAnsi="Arial"/>
          <w:sz w:val="13"/>
          <w:szCs w:val="13"/>
          <w:color w:val="auto"/>
        </w:rPr>
        <w:t>,</w:t>
      </w:r>
    </w:p>
    <w:p>
      <w:pPr>
        <w:ind w:left="880"/>
        <w:spacing w:after="0" w:line="234" w:lineRule="auto"/>
        <w:rPr>
          <w:sz w:val="20"/>
          <w:szCs w:val="20"/>
          <w:color w:val="auto"/>
        </w:rPr>
      </w:pPr>
      <w:r>
        <w:rPr>
          <w:rFonts w:ascii="Arial" w:cs="Arial" w:eastAsia="Arial" w:hAnsi="Arial"/>
          <w:sz w:val="18"/>
          <w:szCs w:val="18"/>
          <w:color w:val="auto"/>
        </w:rPr>
        <w:t>2021, as well as any future increases, including annual automatic evergreen increases, in the number of shares of common</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reserved for issuance under our 2019 Plan and any shares underlying outstanding stock awards granted under our 2016</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Plan that expire or are repurchased, forfeited, cancelled or withheld, as more fully described in the section titled “Executive</w:t>
      </w:r>
    </w:p>
    <w:p>
      <w:pPr>
        <w:ind w:left="880"/>
        <w:spacing w:after="0"/>
        <w:rPr>
          <w:sz w:val="20"/>
          <w:szCs w:val="20"/>
          <w:color w:val="auto"/>
        </w:rPr>
      </w:pPr>
      <w:r>
        <w:rPr>
          <w:rFonts w:ascii="Arial" w:cs="Arial" w:eastAsia="Arial" w:hAnsi="Arial"/>
          <w:sz w:val="18"/>
          <w:szCs w:val="18"/>
          <w:color w:val="auto"/>
        </w:rPr>
        <w:t>Compensation—Employee Benefit Plans”; and</w:t>
      </w:r>
    </w:p>
    <w:p>
      <w:pPr>
        <w:sectPr>
          <w:pgSz w:w="11900" w:h="16838" w:orient="portrait"/>
          <w:cols w:equalWidth="0" w:num="1">
            <w:col w:w="11140"/>
          </w:cols>
          <w:pgMar w:left="320" w:top="459" w:right="439" w:bottom="1440" w:gutter="0" w:footer="0" w:header="0"/>
          <w:type w:val="continuous"/>
        </w:sectPr>
      </w:pPr>
    </w:p>
    <w:p>
      <w:pPr>
        <w:spacing w:after="0" w:line="117" w:lineRule="exact"/>
        <w:rPr>
          <w:sz w:val="20"/>
          <w:szCs w:val="20"/>
          <w:color w:val="auto"/>
        </w:rPr>
      </w:pPr>
    </w:p>
    <w:p>
      <w:pPr>
        <w:ind w:left="880" w:right="140" w:hanging="224"/>
        <w:spacing w:after="0" w:line="261" w:lineRule="auto"/>
        <w:tabs>
          <w:tab w:leader="none" w:pos="17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shares of common stock reserved for issuance under our ESPP, which will become effective on the date immediately prior to the date of the underwriting agreement related to this offering, as well as any future increases, including annual automatic evergreen increases, in the number of shares of common stock reserved for future issuance under our ESPP.</w:t>
      </w:r>
    </w:p>
    <w:p>
      <w:pPr>
        <w:spacing w:after="0" w:line="186" w:lineRule="exact"/>
        <w:rPr>
          <w:sz w:val="20"/>
          <w:szCs w:val="20"/>
          <w:color w:val="auto"/>
        </w:rPr>
      </w:pPr>
    </w:p>
    <w:p>
      <w:pPr>
        <w:ind w:left="120" w:right="160" w:firstLine="551"/>
        <w:spacing w:after="0" w:line="234" w:lineRule="auto"/>
        <w:rPr>
          <w:sz w:val="20"/>
          <w:szCs w:val="20"/>
          <w:color w:val="auto"/>
        </w:rPr>
      </w:pPr>
      <w:r>
        <w:rPr>
          <w:rFonts w:ascii="Arial" w:cs="Arial" w:eastAsia="Arial" w:hAnsi="Arial"/>
          <w:sz w:val="18"/>
          <w:szCs w:val="18"/>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 If all</w:t>
      </w:r>
    </w:p>
    <w:p>
      <w:pPr>
        <w:spacing w:after="0" w:line="1"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outstanding options under our 2016 Plan as of were exercised or settled, then our existing stockholders, including the holders of these options, would own % and our new investors would own % of the total number of shares of our common stock outstanding on the completion of this offering.</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i w:val="1"/>
          <w:iCs w:val="1"/>
          <w:color w:val="auto"/>
        </w:rPr>
        <w:t>The following discussion and analysis summarizes the significant factors affecting the operating results, financial condition, liquidity, and cash flows of our company as of and for the period presented below. The following discussion and analysis should be read in conjunction with our financial statements and the related notes thereto included elsewhere in this prospectus.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“Special Note Regarding Forward-Looking Statements.”</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empowers sellers of manufacturing services to grow their businesses.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financial services or the purchase of supplies.</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revenue is diversified and generated from a broad mix of manufacturing processes that are offered by sellers on our platform. These capabilities include manufacturing processes such as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Aerospace and Defense, Healthcare, Automotive, Consumer Goods, Industrial, Robotics, Government, and Education.</w:t>
      </w:r>
    </w:p>
    <w:p>
      <w:pPr>
        <w:spacing w:after="0" w:line="203" w:lineRule="exact"/>
        <w:rPr>
          <w:sz w:val="20"/>
          <w:szCs w:val="20"/>
          <w:color w:val="auto"/>
        </w:rPr>
      </w:pPr>
    </w:p>
    <w:p>
      <w:pPr>
        <w:jc w:val="both"/>
        <w:ind w:left="120" w:right="280" w:firstLine="551"/>
        <w:spacing w:after="0" w:line="238"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w:t>
      </w:r>
    </w:p>
    <w:p>
      <w:pPr>
        <w:spacing w:after="0" w:line="205"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Geographically, substantially all of our revenue has been generated from sales to buyers and sellers in the United States, with over 95% of our revenue in each of 2019 and 2020 generated from buyers and sellers located in the United States. However, in 2020, we had sales to customers in 51 countries. As we add accounts, buyers and sellers in additional countries, the geographic mix of our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revenue could change over time. We have expanded our European base of operations, headquartered in Germany, and have made significant investments in growing our network of European buyers and sellers. In addition, we currently have a small team in China that is managing our manufacturing network in that region. We expect to make significant investments in growing that team, as the Asia-Pacific region is an important opportunity for the growth of our marketplace.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 For the year ended December 31, 2020, we had one significant account, ClearMask, which accounted for approximately 11% of our revenue. Our revenue is well diversified across our buyers, with no other account contributing more than 10% of revenue in the year ended December 31, 2020 or 2019.</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generated revenue of $38.4 million in 2018, $80.2 million in 2019, and $141.4 million in 2020, representing year-over-year growth of 109% in 2019 and 76% in 2020. Our revenue growth has been driven primarily by increased buyer activity on our platform. Our gross profit was $6.5 million in 2018, $14.7 million in 2019, and $33.3 million in 2020, representing an 17% gross margin in 2018, 18% gross margin in 2019, and 24% gross margin in 2020. Our net losses were $20.1 million in 2018, $31.0 million in 2019 and $31.1 million in 2020.</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History</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Xometry was founded in 2013 in Gaithersburg, Maryland to solve what we believe are two core problems in the manufacturing industry. For buyers around the world, sourcing the optimal manufacturing solution for their needs is time-consuming, costly and opaque. For sellers, significant human and capital resources are dedicated to sourcing and developing business and improving cash flow and workflow management. By building and deploying our AI technology and emphasizing our unyielding commitment to an excellent experience for our buyers and sellers, we have been able to substantially grow the number of buyers and sellers on our platform and our related revenue.</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received our first angel investment in 2013 and completed our first transaction in January 2014, which was a 3D printed part. Since then, we focused on expanding our platform to include new manufacturing processes like sheet metal and injection molding in 2017 and geographies like Europe in 2019. We achieved business performance milestones including our first month of greater than $1.0 million in revenue in March 2017 and our first year of greater than $100.0 million revenue in 2020.</w:t>
      </w:r>
    </w:p>
    <w:p>
      <w:pPr>
        <w:spacing w:after="0" w:line="205" w:lineRule="exact"/>
        <w:rPr>
          <w:sz w:val="20"/>
          <w:szCs w:val="20"/>
          <w:color w:val="auto"/>
        </w:rPr>
      </w:pPr>
    </w:p>
    <w:p>
      <w:pPr>
        <w:jc w:val="both"/>
        <w:ind w:left="120" w:right="380" w:firstLine="551"/>
        <w:spacing w:after="0"/>
        <w:rPr>
          <w:sz w:val="20"/>
          <w:szCs w:val="20"/>
          <w:color w:val="auto"/>
        </w:rPr>
      </w:pPr>
      <w:r>
        <w:rPr>
          <w:rFonts w:ascii="Arial" w:cs="Arial" w:eastAsia="Arial" w:hAnsi="Arial"/>
          <w:sz w:val="18"/>
          <w:szCs w:val="18"/>
          <w:color w:val="auto"/>
        </w:rPr>
        <w:t>Since our first transaction in January 2014, our platform has experienced significant growth. From inception through March 31, 2021, we have enabled the production of more than 6.0 million parts on our marketplace. In addition, we have achieved a number of significant milestones since inception, including:</w:t>
      </w:r>
    </w:p>
    <w:p>
      <w:pPr>
        <w:spacing w:after="0" w:line="108"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Q3 2013: We received our first angel investment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Q1 2014: We completed our first transaction, which was a 3D printed part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Q3 2016: We released an add-in for SOLIDWORKS, allowing buyers to upload CAD files directly to our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Q4 2017: We expanded our manufacturing processes by launching injection molding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Q1 2018: For the first time, a seller exceeded $1.0 million in sales through transactions on our marketplace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Q1 2019: We launched our first seller service offering, Xometry Supplies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Q2 2019: We established a network of buyers and sellers in Asia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Q4 2019: We continued to expand geographies through the launch of Xometry in Europe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Q3 2020: We introduced our first financial services offering to sellers, the Xometry Advance Card</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generate the majority of our revenue from the prices we charge our buyers on our platform. Beginning with an engineering schematic that contains 3D design specifications, typically a computer-aided design, or a CAD file, uploaded by the buyer, transactions are instantly priced by our AI-enabled instant quoting engine based on volume, manufacturing process and material. Once we commit to fulfill the buyer’s manufacturing order, we utilize our platform to offer the opportunity to one or more of our sellers.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record the gross amount of revenue from our buyers because of the following conditions of the sale: (i) we have the obligation to provide the products purchased on our platform to buyers, (ii) we have discretion with respect to establishing the price of the product and the price we pay our sellers, (iii) we have discretion to determine how to fulfil each order, including selecting the seller and (iv) we bear certain risk for product quality to the extent the buyer is not satisfied with the final product. Our revenue from recently launched seller services offerings has not been a material driver of our revenues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 to Market</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primarily drive our account acquisition through digital marketing strategies. We drive buyer acquisition through our “land and expand” strategy, where we focus on bringing in new accounts and working directly with potential buyers inside those organizations to educate them on our breadth of capabilities. These buyers then may recommend our platform to other potential buyers within their organizations who design other end products and who may use an entirely different set of manufacturing processes, deepening our reach and stickiness with an account.</w:t>
      </w:r>
    </w:p>
    <w:p>
      <w:pPr>
        <w:spacing w:after="0" w:line="202"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organic buyer growth results from the embedded network effect of our marketplace model and our continued growth in brand awareness. We continue to diversify and strengthen our marketing capabilities and invest in data science technologies to enable us to acquire more accounts and buyers as well as increase the lifetime value of buyers that utilize our marketplace. In addition, while the majority of our marketing dollars historically have been spent on account and buyer acquisition, we intend to continue to expand our marketing strategies to include seller acquisition.</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The majority of our new buyers in both 2020 and 2019 came from our digital marketing efforts, direct sales initiatives and organic and direct sources, such as referrals by existing buyers, word-of-mouth and direct visits to our website. We view our ability to efficiently acquire buyers at scale as a differentiated competitive advantage and continuously seek to diversify our user acquisition investments through a variety of channels in a disciplined manner.</w:t>
      </w:r>
    </w:p>
    <w:p>
      <w:pPr>
        <w:spacing w:after="0" w:line="29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Cost-effectively Attract, Retain and Engage Buyers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In order to grow our business, we must cost-effectively attract and retain buyers and increase their engagement with our platform over time. Our AI-driven ordering process enables efficient platform</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pricing though the continuous learning of our AI technology. As our AI technology learns buyer needs and preferences, it becomes more precise and efficient, driving greater buyer engagement on the platform. We believe this increases customer stickiness and fuels an efficient go-to-market model. As we continue to add new offerings, we expect buyer loyalty and spend to continue to increase. We also generate highly attractive buyer economics. While we are continuously focused on adding new active buyers to our platform, we are also focused on increasing their purchase frequency and volume after their initial purchase, while lowering retention expenditure. Our growth depends in significant part on our success in adding new buyers and increasing the spending of our buyers.</w:t>
      </w:r>
    </w:p>
    <w:p>
      <w:pPr>
        <w:spacing w:after="0" w:line="205"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In determining how successful our buyer acquisition and retention strategy is, we closely monitor the initial customer acquisition cost, or CAC, and the lifetime value of a buyer, or LTV. These performance indicators enable us to assess the strength of our short-term and long-term buyer unit economics.</w:t>
      </w:r>
    </w:p>
    <w:p>
      <w:pPr>
        <w:spacing w:after="0" w:line="90" w:lineRule="exact"/>
        <w:rPr>
          <w:sz w:val="20"/>
          <w:szCs w:val="20"/>
          <w:color w:val="auto"/>
        </w:rPr>
      </w:pPr>
    </w:p>
    <w:p>
      <w:pPr>
        <w:ind w:left="880" w:right="60" w:hanging="224"/>
        <w:spacing w:after="0" w:line="26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CAC </w:t>
      </w:r>
      <w:r>
        <w:rPr>
          <w:rFonts w:ascii="Arial" w:cs="Arial" w:eastAsia="Arial" w:hAnsi="Arial"/>
          <w:sz w:val="18"/>
          <w:szCs w:val="18"/>
          <w:color w:val="auto"/>
        </w:rPr>
        <w:t>means the sales and marketing spend attributed to buyer acquisition during a specific time period divided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new buyers acquired during the same period.</w:t>
      </w:r>
    </w:p>
    <w:p>
      <w:pPr>
        <w:spacing w:after="0" w:line="65" w:lineRule="exact"/>
        <w:rPr>
          <w:rFonts w:ascii="Arial" w:cs="Arial" w:eastAsia="Arial" w:hAnsi="Arial"/>
          <w:sz w:val="18"/>
          <w:szCs w:val="18"/>
          <w:color w:val="auto"/>
        </w:rPr>
      </w:pPr>
    </w:p>
    <w:p>
      <w:pPr>
        <w:ind w:left="880" w:hanging="224"/>
        <w:spacing w:after="0" w:line="260"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LTV </w:t>
      </w:r>
      <w:r>
        <w:rPr>
          <w:rFonts w:ascii="Arial" w:cs="Arial" w:eastAsia="Arial" w:hAnsi="Arial"/>
          <w:sz w:val="17"/>
          <w:szCs w:val="17"/>
          <w:color w:val="auto"/>
        </w:rPr>
        <w:t>means the estimated cumulative lifetime gross profit attributable to a particular buyer cohort divided by the number of buyers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during the cohort period. Each buyer cohort is defined as all buyers who were acquired during a specific period. To estimate the cumulative lifetime gross profit, we use a method that relies on Monte Carlo simulations of Markov chain stochastic models obtained from neural networks. The simulations provide the distribution of outcomes for each customer, including mean lifetimes, expected revenue and churn. The average of the outputs from this model is the cumulative lifetime gross profit.</w:t>
      </w:r>
    </w:p>
    <w:p>
      <w:pPr>
        <w:spacing w:after="0" w:line="188"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The LTV/CAC ratio illustrates the average LTV buyers are expected to generate as a multiple of CAC. The U.S. LTV/CAC ratio for the year ended December 31, 2020 was 6.1x.</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and Expansion of Existing Accounts</w:t>
      </w:r>
    </w:p>
    <w:p>
      <w:pPr>
        <w:spacing w:after="0" w:line="126" w:lineRule="exact"/>
        <w:rPr>
          <w:sz w:val="20"/>
          <w:szCs w:val="20"/>
          <w:color w:val="auto"/>
        </w:rPr>
      </w:pPr>
    </w:p>
    <w:p>
      <w:pPr>
        <w:ind w:left="120" w:right="180" w:firstLine="551"/>
        <w:spacing w:after="0" w:line="237" w:lineRule="auto"/>
        <w:rPr>
          <w:sz w:val="20"/>
          <w:szCs w:val="20"/>
          <w:color w:val="auto"/>
        </w:rPr>
      </w:pPr>
      <w:r>
        <w:rPr>
          <w:rFonts w:ascii="Arial" w:cs="Arial" w:eastAsia="Arial" w:hAnsi="Arial"/>
          <w:sz w:val="18"/>
          <w:szCs w:val="18"/>
          <w:color w:val="auto"/>
        </w:rPr>
        <w:t>Our business has historically benefited from strong revenue growth from account cohorts over time. To track our growth and the underlying dynamics of our business, we closely monitor and analyze the revenue attributable to buyer activity of our annual account cohorts. We define an annual account cohort based on the year when the account first purchased a part on our marketplace. We have observed significant buyer revenue growth across our annual account cohorts, demonstrating that once an account utilizes our marketplace, they typically increase their spend by increasing the number of buyers within an account using our marketplace, increasing the number of parts ordered, and utilizing additional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147320</wp:posOffset>
            </wp:positionV>
            <wp:extent cx="4543425" cy="1371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4342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Continued Growth in Our Broad Base of Sellers</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We must maintain and grow our broad selection of sellers and add to our diverse array of manufacturing processes in order to continue to grow our business and maximize the efficiency of our network.</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order to increase our efficiency, we intend to continue to expand our large and growing network of sellers. The number of sellers that have used our platform once during the last twelve months has grown from 774 for the year ended December 31, 2019 to 1,410 for the year ended December 31, 2020.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 Technology and Expansion of our Platform</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sellers.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Expansion of our Offering of Seller Financial Products and Services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2019, we launched seller services, beginning with Xometry Supplies,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The percentage of our active sellers who have purchased supplies or accessed one of our financial services products through our platform was 40% for the year ended December 31, 2020. Our revenue from recently launched seller services offerings has not been a material driver of our overall revenues to date; however, we expect revenue from seller services to grow over time. We believe that increased revenue from seller services will have a favorable impact on our gross margin.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Expansion of our International Operations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from these investments, and we may not effectively manage additional risks relating to operating outside the United States, including increased operational and regulatory risks.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current outbreak of COVID-19 has globally resulted in loss of life, business closures impacting our buyers and sellers, restrictions on travel, and closures of certain aspects of our operations. The extent to which the COVID-19 pandemic will impact our business in the future is highly uncertain and cannot be predicted at this time. The pandemic has caused us to modify our business practices to help minimize the risk of the virus to our employees, which could negatively impact our business. These measures include temporarily requiring employees to work remotely, suspending all non-essential business travel for our employees, limiting external guests visiting our offices, and canceling, postponing, or holding meetings and events virtually. Given the continually evolving situation, there is no certainty that the measures we have taken will be sufficient to mitigate the risks posed by the virus and we may not have sufficient protection or recovery plans to continue to deal with the COVID-19 pandemic. Even after the COVID-19 pandemic subsides, it may have a continued and lasting impact on the global economy, including our business.</w:t>
      </w:r>
    </w:p>
    <w:p>
      <w:pPr>
        <w:spacing w:after="0" w:line="207" w:lineRule="exact"/>
        <w:rPr>
          <w:sz w:val="20"/>
          <w:szCs w:val="20"/>
          <w:color w:val="auto"/>
        </w:rPr>
      </w:pPr>
    </w:p>
    <w:p>
      <w:pPr>
        <w:ind w:left="120" w:right="700" w:firstLine="551"/>
        <w:spacing w:after="0" w:line="274" w:lineRule="auto"/>
        <w:rPr>
          <w:sz w:val="20"/>
          <w:szCs w:val="20"/>
          <w:color w:val="auto"/>
        </w:rPr>
      </w:pPr>
      <w:r>
        <w:rPr>
          <w:rFonts w:ascii="Arial" w:cs="Arial" w:eastAsia="Arial" w:hAnsi="Arial"/>
          <w:sz w:val="17"/>
          <w:szCs w:val="17"/>
          <w:color w:val="auto"/>
        </w:rPr>
        <w:t>In addition,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7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COVID-19 pandemic to date has not significantly adversely impacted the growth of our business. We experienced a significant increase in revenue in the third quarter of 2020 due to increased demand for certain pandemic-related supplies, including personal protective equipment and parts for pharmaceutical manufacturing machinery. We believe the COVID-19 pandemic has validated our platform, highlighting the need for resilient supply chains, and reshaping the way buyers source their manufacturing needs.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34"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In addition to the measures presented in our consolidated financial statements included elsewhere in this prospectus, we use the following key operational and business metrics to help us evaluate our business, measure our performance, identify trends affecting our business, formulate business plans and develop forecasts, and make strategic decisions: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Active Buyers</w:t>
      </w:r>
    </w:p>
    <w:p>
      <w:pPr>
        <w:spacing w:after="0" w:line="12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20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Active Buyers has consistently grown over time. The number of Active Buyers on our platform reached 21,128 as of December 31, 2020, up 83% from 11,527 as of December 31, 2019. The key drivers of Active Buyer growth are continued account and buyer engagement and the success of our strategy to attract new buyers.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213995</wp:posOffset>
            </wp:positionV>
            <wp:extent cx="5186045" cy="129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860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For the quarter ended December 31, 2020,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154940</wp:posOffset>
            </wp:positionV>
            <wp:extent cx="5186045" cy="129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860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389 as of December 31, 2020, up 49% from 266 as of December 31, 2019.</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129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604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define Adjusted EBITDA as net income (loss), adjusted to exclude interest and other expense, depreciation and amortization, stock-based compensation expense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205" w:lineRule="exact"/>
        <w:rPr>
          <w:sz w:val="20"/>
          <w:szCs w:val="20"/>
          <w:color w:val="auto"/>
        </w:rPr>
      </w:pPr>
    </w:p>
    <w:p>
      <w:pPr>
        <w:jc w:val="both"/>
        <w:ind w:left="120" w:right="220" w:firstLine="551"/>
        <w:spacing w:after="0" w:line="238" w:lineRule="auto"/>
        <w:rPr>
          <w:sz w:val="20"/>
          <w:szCs w:val="20"/>
          <w:color w:val="auto"/>
        </w:rPr>
      </w:pPr>
      <w:r>
        <w:rPr>
          <w:rFonts w:ascii="Arial" w:cs="Arial" w:eastAsia="Arial" w:hAnsi="Arial"/>
          <w:sz w:val="18"/>
          <w:szCs w:val="18"/>
          <w:color w:val="auto"/>
        </w:rPr>
        <w:t>For the year ended December 31, 2020, Adjusted EBITDA improved to $(23.5) million, compared to Adjusted EBITDA of $(26.4) million in 2019. For the year ended December 31, 2020, Adjusted EBITDA Margin increased to 17% of revenue, as compared to 33% of revenue in 2019, driven by increased operating efficiencies as we grew our revenue faster than our supporting expenses and increased margin as we grew our gross profit faster than our revenue.</w:t>
      </w:r>
    </w:p>
    <w:p>
      <w:pPr>
        <w:spacing w:after="0" w:line="205" w:lineRule="exact"/>
        <w:rPr>
          <w:sz w:val="20"/>
          <w:szCs w:val="20"/>
          <w:color w:val="auto"/>
        </w:rPr>
      </w:pPr>
    </w:p>
    <w:p>
      <w:pPr>
        <w:ind w:left="120" w:right="120" w:firstLine="551"/>
        <w:spacing w:after="0" w:line="252"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prospectus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 See the section titled “Summary Consolidated Financial Data” for additional information and for reconciliations of Adjusted EBITDA to net loss, the most directly comparable GAAP measure.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an immaterial portion of our revenue from our offerings to sellers, which includes seller services and financial products.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Cost of revenue primarily consists of the cost to us of the products that are manufactured by our sellers for delivery to buyers on our platform internal production costs, shipping costs and certain internal depreciation. We expect cost of revenue to increase in absolute dollars to the extent our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revenue increases and transaction volume increases. As we add sellers to our platform and are able to expand our network liquidity effect, we expect cost of revenue to decline as a percent of revenue over time.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p>
      <w:pPr>
        <w:ind w:left="120" w:right="1000" w:firstLine="551"/>
        <w:spacing w:after="0" w:line="246" w:lineRule="auto"/>
        <w:rPr>
          <w:sz w:val="20"/>
          <w:szCs w:val="20"/>
          <w:color w:val="auto"/>
        </w:rPr>
      </w:pPr>
      <w:r>
        <w:rPr>
          <w:rFonts w:ascii="Arial" w:cs="Arial" w:eastAsia="Arial" w:hAnsi="Arial"/>
          <w:sz w:val="18"/>
          <w:szCs w:val="18"/>
          <w:color w:val="auto"/>
        </w:rPr>
        <w:t>Our operating expenses consist of sales and marketing, operations and support, product development and general and administrative functions.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4"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4"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4"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compensation expenses, for executive, finance, legal and other administrative personnel. We expect our general and administrative expenses to increase. Following the completion of this offering, we expect to incur additional general and administrative expenses as a result of operating as a public company, including as a result of increased legal, accounting and directors’ and officers’ insurance expenses.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4"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Interest expense, net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 consist primarily of sales tax collected from customers and remitted to governmental authorities.</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 of operations data for the periods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53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$ 80,228</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7"/>
              </w:rPr>
              <w:t>$ 141,406</w:t>
            </w: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Cost of revenue</w:t>
            </w:r>
          </w:p>
        </w:tc>
        <w:tc>
          <w:tcPr>
            <w:tcW w:w="4340" w:type="dxa"/>
            <w:vAlign w:val="bottom"/>
          </w:tcPr>
          <w:p>
            <w:pPr>
              <w:spacing w:after="0"/>
              <w:rPr>
                <w:sz w:val="16"/>
                <w:szCs w:val="16"/>
                <w:color w:val="auto"/>
              </w:rPr>
            </w:pPr>
          </w:p>
        </w:tc>
        <w:tc>
          <w:tcPr>
            <w:tcW w:w="10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65,492</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108,120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profit</w:t>
            </w:r>
          </w:p>
        </w:tc>
        <w:tc>
          <w:tcPr>
            <w:tcW w:w="4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14,736</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33,286</w:t>
            </w: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Sales and marketing</w:t>
            </w:r>
          </w:p>
        </w:tc>
        <w:tc>
          <w:tcPr>
            <w:tcW w:w="53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14,599</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22,567</w:t>
            </w:r>
          </w:p>
        </w:tc>
        <w:tc>
          <w:tcPr>
            <w:tcW w:w="0" w:type="dxa"/>
            <w:vAlign w:val="bottom"/>
          </w:tcPr>
          <w:p>
            <w:pPr>
              <w:spacing w:after="0"/>
              <w:rPr>
                <w:sz w:val="1"/>
                <w:szCs w:val="1"/>
                <w:color w:val="auto"/>
              </w:rPr>
            </w:pPr>
          </w:p>
        </w:tc>
      </w:tr>
      <w:tr>
        <w:trPr>
          <w:trHeight w:val="189"/>
        </w:trPr>
        <w:tc>
          <w:tcPr>
            <w:tcW w:w="4780" w:type="dxa"/>
            <w:vAlign w:val="bottom"/>
          </w:tcPr>
          <w:p>
            <w:pPr>
              <w:ind w:left="340"/>
              <w:spacing w:after="0" w:line="189" w:lineRule="exact"/>
              <w:rPr>
                <w:sz w:val="20"/>
                <w:szCs w:val="20"/>
                <w:color w:val="auto"/>
              </w:rPr>
            </w:pPr>
            <w:r>
              <w:rPr>
                <w:rFonts w:ascii="Arial" w:cs="Arial" w:eastAsia="Arial" w:hAnsi="Arial"/>
                <w:sz w:val="17"/>
                <w:szCs w:val="17"/>
                <w:color w:val="auto"/>
              </w:rPr>
              <w:t>Operations and support</w:t>
            </w:r>
          </w:p>
        </w:tc>
        <w:tc>
          <w:tcPr>
            <w:tcW w:w="5360" w:type="dxa"/>
            <w:vAlign w:val="bottom"/>
            <w:gridSpan w:val="3"/>
          </w:tcPr>
          <w:p>
            <w:pPr>
              <w:jc w:val="right"/>
              <w:ind w:right="320"/>
              <w:spacing w:after="0" w:line="189" w:lineRule="exact"/>
              <w:rPr>
                <w:sz w:val="20"/>
                <w:szCs w:val="20"/>
                <w:color w:val="auto"/>
              </w:rPr>
            </w:pPr>
            <w:r>
              <w:rPr>
                <w:rFonts w:ascii="Arial" w:cs="Arial" w:eastAsia="Arial" w:hAnsi="Arial"/>
                <w:sz w:val="17"/>
                <w:szCs w:val="17"/>
                <w:color w:val="auto"/>
              </w:rPr>
              <w:t>10,314</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14,111</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Product development</w:t>
            </w:r>
          </w:p>
        </w:tc>
        <w:tc>
          <w:tcPr>
            <w:tcW w:w="536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10,637</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12,186</w:t>
            </w:r>
          </w:p>
        </w:tc>
        <w:tc>
          <w:tcPr>
            <w:tcW w:w="0" w:type="dxa"/>
            <w:vAlign w:val="bottom"/>
          </w:tcPr>
          <w:p>
            <w:pPr>
              <w:spacing w:after="0"/>
              <w:rPr>
                <w:sz w:val="1"/>
                <w:szCs w:val="1"/>
                <w:color w:val="auto"/>
              </w:rPr>
            </w:pPr>
          </w:p>
        </w:tc>
      </w:tr>
      <w:tr>
        <w:trPr>
          <w:trHeight w:val="189"/>
        </w:trPr>
        <w:tc>
          <w:tcPr>
            <w:tcW w:w="4780" w:type="dxa"/>
            <w:vAlign w:val="bottom"/>
          </w:tcPr>
          <w:p>
            <w:pPr>
              <w:ind w:left="340"/>
              <w:spacing w:after="0" w:line="189" w:lineRule="exact"/>
              <w:rPr>
                <w:sz w:val="20"/>
                <w:szCs w:val="20"/>
                <w:color w:val="auto"/>
              </w:rPr>
            </w:pPr>
            <w:r>
              <w:rPr>
                <w:rFonts w:ascii="Arial" w:cs="Arial" w:eastAsia="Arial" w:hAnsi="Arial"/>
                <w:sz w:val="17"/>
                <w:szCs w:val="17"/>
                <w:color w:val="auto"/>
              </w:rPr>
              <w:t>General and administrative</w:t>
            </w:r>
          </w:p>
        </w:tc>
        <w:tc>
          <w:tcPr>
            <w:tcW w:w="5360" w:type="dxa"/>
            <w:vAlign w:val="bottom"/>
            <w:gridSpan w:val="3"/>
          </w:tcPr>
          <w:p>
            <w:pPr>
              <w:jc w:val="right"/>
              <w:ind w:right="320"/>
              <w:spacing w:after="0" w:line="189" w:lineRule="exact"/>
              <w:rPr>
                <w:sz w:val="20"/>
                <w:szCs w:val="20"/>
                <w:color w:val="auto"/>
              </w:rPr>
            </w:pPr>
            <w:r>
              <w:rPr>
                <w:rFonts w:ascii="Arial" w:cs="Arial" w:eastAsia="Arial" w:hAnsi="Arial"/>
                <w:sz w:val="17"/>
                <w:szCs w:val="17"/>
                <w:color w:val="auto"/>
              </w:rPr>
              <w:t>8,016</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12,046</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Impairment of goodwill and other intangible assets</w:t>
            </w:r>
          </w:p>
        </w:tc>
        <w:tc>
          <w:tcPr>
            <w:tcW w:w="4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1,719</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1,592</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680"/>
              <w:spacing w:after="0"/>
              <w:rPr>
                <w:sz w:val="20"/>
                <w:szCs w:val="20"/>
                <w:color w:val="auto"/>
              </w:rPr>
            </w:pPr>
            <w:r>
              <w:rPr>
                <w:rFonts w:ascii="Arial" w:cs="Arial" w:eastAsia="Arial" w:hAnsi="Arial"/>
                <w:sz w:val="17"/>
                <w:szCs w:val="17"/>
                <w:color w:val="auto"/>
              </w:rPr>
              <w:t>Total operating expenses</w:t>
            </w:r>
          </w:p>
        </w:tc>
        <w:tc>
          <w:tcPr>
            <w:tcW w:w="4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43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45,285</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62,502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(30,549)</w:t>
            </w:r>
          </w:p>
        </w:tc>
        <w:tc>
          <w:tcPr>
            <w:tcW w:w="8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(29,216)</w:t>
            </w: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Other expenses:</w:t>
            </w:r>
          </w:p>
        </w:tc>
        <w:tc>
          <w:tcPr>
            <w:tcW w:w="4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Interest expense, net</w:t>
            </w:r>
          </w:p>
        </w:tc>
        <w:tc>
          <w:tcPr>
            <w:tcW w:w="53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(241)</w:t>
            </w:r>
          </w:p>
        </w:tc>
        <w:tc>
          <w:tcPr>
            <w:tcW w:w="8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189"/>
        </w:trPr>
        <w:tc>
          <w:tcPr>
            <w:tcW w:w="4780" w:type="dxa"/>
            <w:vAlign w:val="bottom"/>
          </w:tcPr>
          <w:p>
            <w:pPr>
              <w:ind w:left="340"/>
              <w:spacing w:after="0" w:line="189" w:lineRule="exact"/>
              <w:rPr>
                <w:sz w:val="20"/>
                <w:szCs w:val="20"/>
                <w:color w:val="auto"/>
              </w:rPr>
            </w:pPr>
            <w:r>
              <w:rPr>
                <w:rFonts w:ascii="Arial" w:cs="Arial" w:eastAsia="Arial" w:hAnsi="Arial"/>
                <w:sz w:val="17"/>
                <w:szCs w:val="17"/>
                <w:color w:val="auto"/>
              </w:rPr>
              <w:t>Other expenses</w:t>
            </w:r>
          </w:p>
        </w:tc>
        <w:tc>
          <w:tcPr>
            <w:tcW w:w="434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(204)</w:t>
            </w:r>
          </w:p>
        </w:tc>
        <w:tc>
          <w:tcPr>
            <w:tcW w:w="8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8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Total other expenses</w:t>
            </w:r>
          </w:p>
        </w:tc>
        <w:tc>
          <w:tcPr>
            <w:tcW w:w="4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(445)</w:t>
            </w:r>
          </w:p>
        </w:tc>
        <w:tc>
          <w:tcPr>
            <w:tcW w:w="8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(1,869)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4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43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(30,994)</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(31,085)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Deemed dividend to preferred stockholders</w:t>
            </w:r>
          </w:p>
        </w:tc>
        <w:tc>
          <w:tcPr>
            <w:tcW w:w="4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8"/>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(8,801)</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43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w w:val="95"/>
              </w:rPr>
              <w:t>$ (30,994)</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 (39,886)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340" w:type="dxa"/>
            <w:vAlign w:val="bottom"/>
            <w:vMerge w:val="restart"/>
          </w:tcPr>
          <w:p>
            <w:pPr>
              <w:jc w:val="right"/>
              <w:ind w:right="3434"/>
              <w:spacing w:after="0"/>
              <w:rPr>
                <w:sz w:val="20"/>
                <w:szCs w:val="20"/>
                <w:color w:val="auto"/>
              </w:rPr>
            </w:pPr>
            <w:r>
              <w:rPr>
                <w:rFonts w:ascii="Arial" w:cs="Arial" w:eastAsia="Arial" w:hAnsi="Arial"/>
                <w:sz w:val="18"/>
                <w:szCs w:val="18"/>
                <w:color w:val="auto"/>
              </w:rPr>
              <w:t>74</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periods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20" w:type="dxa"/>
            <w:vAlign w:val="bottom"/>
          </w:tcPr>
          <w:p>
            <w:pPr>
              <w:spacing w:after="0"/>
              <w:rPr>
                <w:sz w:val="15"/>
                <w:szCs w:val="15"/>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Revenue</w:t>
            </w:r>
          </w:p>
        </w:tc>
        <w:tc>
          <w:tcPr>
            <w:tcW w:w="104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100.0%</w:t>
            </w:r>
          </w:p>
        </w:tc>
        <w:tc>
          <w:tcPr>
            <w:tcW w:w="7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89"/>
        </w:trPr>
        <w:tc>
          <w:tcPr>
            <w:tcW w:w="9220" w:type="dxa"/>
            <w:vAlign w:val="bottom"/>
          </w:tcPr>
          <w:p>
            <w:pPr>
              <w:spacing w:after="0" w:line="189" w:lineRule="exact"/>
              <w:rPr>
                <w:sz w:val="20"/>
                <w:szCs w:val="20"/>
                <w:color w:val="auto"/>
              </w:rPr>
            </w:pPr>
            <w:r>
              <w:rPr>
                <w:rFonts w:ascii="Arial" w:cs="Arial" w:eastAsia="Arial" w:hAnsi="Arial"/>
                <w:sz w:val="17"/>
                <w:szCs w:val="17"/>
                <w:color w:val="auto"/>
              </w:rPr>
              <w:t>Cost of revenue</w:t>
            </w:r>
          </w:p>
        </w:tc>
        <w:tc>
          <w:tcPr>
            <w:tcW w:w="10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81.6</w:t>
            </w:r>
          </w:p>
        </w:tc>
        <w:tc>
          <w:tcPr>
            <w:tcW w:w="7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profit</w:t>
            </w:r>
          </w:p>
        </w:tc>
        <w:tc>
          <w:tcPr>
            <w:tcW w:w="10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18.4</w:t>
            </w:r>
          </w:p>
        </w:tc>
        <w:tc>
          <w:tcPr>
            <w:tcW w:w="7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89"/>
        </w:trPr>
        <w:tc>
          <w:tcPr>
            <w:tcW w:w="9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Sales and marketing</w:t>
            </w:r>
          </w:p>
        </w:tc>
        <w:tc>
          <w:tcPr>
            <w:tcW w:w="10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18.2</w:t>
            </w:r>
          </w:p>
        </w:tc>
        <w:tc>
          <w:tcPr>
            <w:tcW w:w="7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line="189" w:lineRule="exact"/>
              <w:rPr>
                <w:sz w:val="20"/>
                <w:szCs w:val="20"/>
                <w:color w:val="auto"/>
              </w:rPr>
            </w:pPr>
            <w:r>
              <w:rPr>
                <w:rFonts w:ascii="Arial" w:cs="Arial" w:eastAsia="Arial" w:hAnsi="Arial"/>
                <w:sz w:val="17"/>
                <w:szCs w:val="17"/>
                <w:color w:val="auto"/>
              </w:rPr>
              <w:t>Operations and support</w:t>
            </w:r>
          </w:p>
        </w:tc>
        <w:tc>
          <w:tcPr>
            <w:tcW w:w="10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12.9</w:t>
            </w:r>
          </w:p>
        </w:tc>
        <w:tc>
          <w:tcPr>
            <w:tcW w:w="7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Product development</w:t>
            </w:r>
          </w:p>
        </w:tc>
        <w:tc>
          <w:tcPr>
            <w:tcW w:w="10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13.3</w:t>
            </w:r>
          </w:p>
        </w:tc>
        <w:tc>
          <w:tcPr>
            <w:tcW w:w="7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line="189" w:lineRule="exact"/>
              <w:rPr>
                <w:sz w:val="20"/>
                <w:szCs w:val="20"/>
                <w:color w:val="auto"/>
              </w:rPr>
            </w:pPr>
            <w:r>
              <w:rPr>
                <w:rFonts w:ascii="Arial" w:cs="Arial" w:eastAsia="Arial" w:hAnsi="Arial"/>
                <w:sz w:val="17"/>
                <w:szCs w:val="17"/>
                <w:color w:val="auto"/>
              </w:rPr>
              <w:t>General and administrative</w:t>
            </w:r>
          </w:p>
        </w:tc>
        <w:tc>
          <w:tcPr>
            <w:tcW w:w="10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10.0</w:t>
            </w:r>
          </w:p>
        </w:tc>
        <w:tc>
          <w:tcPr>
            <w:tcW w:w="7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Impairment of goodwill and intangible assets</w:t>
            </w:r>
          </w:p>
        </w:tc>
        <w:tc>
          <w:tcPr>
            <w:tcW w:w="10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2.1</w:t>
            </w:r>
          </w:p>
        </w:tc>
        <w:tc>
          <w:tcPr>
            <w:tcW w:w="7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56.5</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(38.1)</w:t>
            </w:r>
          </w:p>
        </w:tc>
        <w:tc>
          <w:tcPr>
            <w:tcW w:w="7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189"/>
        </w:trPr>
        <w:tc>
          <w:tcPr>
            <w:tcW w:w="9220" w:type="dxa"/>
            <w:vAlign w:val="bottom"/>
          </w:tcPr>
          <w:p>
            <w:pPr>
              <w:spacing w:after="0" w:line="189" w:lineRule="exact"/>
              <w:rPr>
                <w:sz w:val="20"/>
                <w:szCs w:val="20"/>
                <w:color w:val="auto"/>
              </w:rPr>
            </w:pPr>
            <w:r>
              <w:rPr>
                <w:rFonts w:ascii="Arial" w:cs="Arial" w:eastAsia="Arial" w:hAnsi="Arial"/>
                <w:sz w:val="17"/>
                <w:szCs w:val="17"/>
                <w:color w:val="auto"/>
              </w:rPr>
              <w:t>Other expenses:</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Interest expense, net</w:t>
            </w:r>
          </w:p>
        </w:tc>
        <w:tc>
          <w:tcPr>
            <w:tcW w:w="10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(0.3)</w:t>
            </w:r>
          </w:p>
        </w:tc>
        <w:tc>
          <w:tcPr>
            <w:tcW w:w="7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line="189" w:lineRule="exact"/>
              <w:rPr>
                <w:sz w:val="20"/>
                <w:szCs w:val="20"/>
                <w:color w:val="auto"/>
              </w:rPr>
            </w:pPr>
            <w:r>
              <w:rPr>
                <w:rFonts w:ascii="Arial" w:cs="Arial" w:eastAsia="Arial" w:hAnsi="Arial"/>
                <w:sz w:val="17"/>
                <w:szCs w:val="17"/>
                <w:color w:val="auto"/>
              </w:rPr>
              <w:t>Other expenses</w:t>
            </w:r>
          </w:p>
        </w:tc>
        <w:tc>
          <w:tcPr>
            <w:tcW w:w="10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(0.3)</w:t>
            </w:r>
          </w:p>
        </w:tc>
        <w:tc>
          <w:tcPr>
            <w:tcW w:w="7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(0.6)</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20" w:type="dxa"/>
            <w:vAlign w:val="bottom"/>
            <w:vMerge w:val="continue"/>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(38.6)</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Deemed dividend to preferred stockholders</w:t>
            </w:r>
          </w:p>
        </w:tc>
        <w:tc>
          <w:tcPr>
            <w:tcW w:w="480" w:type="dxa"/>
            <w:vAlign w:val="bottom"/>
            <w:shd w:val="clear" w:color="auto" w:fill="CCEEFF"/>
          </w:tcPr>
          <w:p>
            <w:pPr>
              <w:jc w:val="right"/>
              <w:ind w:right="16"/>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20" w:type="dxa"/>
            <w:vAlign w:val="bottom"/>
            <w:vMerge w:val="continue"/>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(38.6%)</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Total revenue increased $ 61.2 million, or 76%, from $ 80.2 million for the year ended December 31, 2019 to $141.4 million for the year ended December 31, 2020. This increase was primarily the result of an 83% increase in active buyers resulting from investment in sales and marketing, as well as existing buyers increasing their spend on the platform for the year ended December 31, 2020 from the prior year.</w:t>
      </w:r>
    </w:p>
    <w:p>
      <w:pPr>
        <w:spacing w:after="0" w:line="205"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Total revenue from our U.S. and Europe operating segments for the year ended December 31, 2020, was $138.3 million and $3.1 million,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Total cost of revenue increased $42.6 million, or 65%, from $ 65.5 million for the year ended December 31, 2019 to $108.1 million for the year ended December 31, 2020. This increase was primarily the result of an increase in payments to sellers on our platform due to the growth in our buyer base and increased activity by existing accounts on our marketplace.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26"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Gross profit increased $18.6 million, or 126%, from $14.7 million for the year ended December 31, 2019 to $33.3 million for the year ended December 31, 2020. The increase in gross profit was due primarily to the increase in revenue described above.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Gross margin increased to 24% for the year ended December 31, 2020 from 18% for the year ended December 31, 2019. This increase was primarily the result of a growing number of active sellers, which increased 82% as of December 31, 2020 from the prior year, which continues to create greater competition and lower cost of revenue. Additionally, our AI-driven platform pricing has become more efficient due to the increased number of orders, improving the data set and thus making our pricing more accurate.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 increased $8.0 million, or 55%, from $14.6 million for the year ended December 31, 2019 to</w:t>
      </w:r>
    </w:p>
    <w:p>
      <w:pPr>
        <w:ind w:left="120"/>
        <w:spacing w:after="0" w:line="234" w:lineRule="auto"/>
        <w:rPr>
          <w:sz w:val="20"/>
          <w:szCs w:val="20"/>
          <w:color w:val="auto"/>
        </w:rPr>
      </w:pPr>
      <w:r>
        <w:rPr>
          <w:rFonts w:ascii="Arial" w:cs="Arial" w:eastAsia="Arial" w:hAnsi="Arial"/>
          <w:sz w:val="18"/>
          <w:szCs w:val="18"/>
          <w:color w:val="auto"/>
        </w:rPr>
        <w:t>$22.6 million for the year ended December 31, 2020, a result of continued investment to drive revenue growth and additional employees.</w:t>
      </w:r>
    </w:p>
    <w:p>
      <w:pPr>
        <w:ind w:left="120"/>
        <w:spacing w:after="0" w:line="235" w:lineRule="auto"/>
        <w:rPr>
          <w:sz w:val="20"/>
          <w:szCs w:val="20"/>
          <w:color w:val="auto"/>
        </w:rPr>
      </w:pPr>
      <w:r>
        <w:rPr>
          <w:rFonts w:ascii="Arial" w:cs="Arial" w:eastAsia="Arial" w:hAnsi="Arial"/>
          <w:sz w:val="18"/>
          <w:szCs w:val="18"/>
          <w:color w:val="auto"/>
        </w:rPr>
        <w:t>As a percent of total revenue, sales and marketing expenses decreased to 16% for the year ended December 31, 2020 from 18% for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ended December 31, 2019, as we continued to increase operating leverage resulting from the additional scale of our business.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Operations and support increased $3.8 million, or 37%, from $10.3 million for the year ended December 31, 2019 to $14.1 million for the year ended December 31, 2020, primarily as a result of additional compensation-related expenses due to additional headcount to support the growth of buyer and seller activity on our platform. As a percent of total revenue, operations and support expenses decreased to 10% for the year ended December 31, 2020 from 13% for the year ended December 31, 2019, as we continued to increase operating leverage resulting from the additional scale of our business.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4"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Product development expense increased $1.5 million, or 15%, from $10.6 million for the year ended December 31, 2019 to $12.2 million for the year ended December 31, 2020, a result of increased compensation-related expenses resulting from continued investment in improvements to our platform and our buyer and seller products and services, as well as, to a lesser extent, platform infrastructure cost increases. As a percent of total revenue, product development expenses decreased to 9% for the year ended December 31, 2020 from 13% for the year ended December 31, 2019, as we continue to increase operating leverage resulting from the additional scale of our business.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General and administrative expense increased $4.0 million, or 50%, from $8.0 million for the year ended December 31, 2019 to $12.0 million for the year ended December 31, 2020, primarily as a result of an increase in compensation-related expenses related to additional legal, accounting and financial headcount as we prepare to become a public company, as well as additional overhead expenses to support the growth of our business operations. As a percent of total revenue, general and administrative expenses decreased to 9% for the year ended December 31, 2020 from 10% for the year ended December 31,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34"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Goodwill and intangible assets impairment expense for the year ended December 31, 2020, was $1.6 million, as compared to $1.7 million for the year ended December 31, 2019. The impairment of</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goodwill and intangible assets expense for the years ended December 31, 2020 and 2019, was primarily attributable to lower-than-expected growth rates and non-realized synergies related to previous acquisitions.</w:t>
      </w:r>
    </w:p>
    <w:p>
      <w:pPr>
        <w:spacing w:after="0" w:line="19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Total impairment of goodwill and intangible assets from our U.S. and Europe operating segments for the year ended December 31, 2020, was $0.1 million and $1.5 million, respectively.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Interest expense, net increased by $0.8 million, or 352%, from $0.2 million for the year ended December 31, 2019 to $1.1 million for the year ended December 31, 2020, as a result of borrowings under our term loan facility.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Expenses</w:t>
      </w:r>
    </w:p>
    <w:p>
      <w:pPr>
        <w:spacing w:after="0" w:line="234"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Other expense increased by $0.6 million, or 282%, from $0.2 million for the year ended December 31, 2019 to $0.8 million for the year ended December 31, 2020, as a result of additional sales tax remitted to certain governmental authorities.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23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Total segment losses from our U.S. and Europe operating segments for the year ended December 31, 2020, was $22.1 million and $9.0 million, respectively.</w:t>
      </w:r>
    </w:p>
    <w:p>
      <w:pPr>
        <w:spacing w:after="0" w:line="197"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Total segment property and equipment for our U.S. and Europe operating segments as of December 31, 2020, was $5.6 million and $0.5 million, respectively.</w:t>
      </w:r>
    </w:p>
    <w:p>
      <w:pPr>
        <w:spacing w:after="0" w:line="197"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Total segment depreciation and amortization for our U.S. and Europe operating segments for the year ended December 31, 2020, was $2.4 million and $0.7 million, respectively.</w:t>
      </w:r>
    </w:p>
    <w:p>
      <w:pPr>
        <w:spacing w:after="0" w:line="197"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Total cash paid to acquire property, equipment and long-lived assets for our U.S. and Europe operating segments during the year ended December 31, 2020, was $3.7 million and $0.5 million, respectively.</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Quarterly Results of Operations</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eight quarters in the period ended December 31, 2020 and as a percentage of revenue for the periods indicated. The information for each of these quarters has been prepared on a basis consistent with our audited annual financial statements appearing elsewhere in this prospectus and, in our opinion, include all normal recurring adjustments necessary for the fair statement of the financial information contained in those statements. The following unaudited quarterly financial data should be read in conjunction with our annual financial statements and the related notes included elsewhere in this prospectus. These quarterly results are not necessarily indicative of our operating results for a full year or any future period.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140"/>
        <w:spacing w:after="0"/>
        <w:rPr>
          <w:sz w:val="20"/>
          <w:szCs w:val="20"/>
          <w:color w:val="auto"/>
        </w:rPr>
      </w:pPr>
      <w:r>
        <w:rPr>
          <w:rFonts w:ascii="Arial" w:cs="Arial" w:eastAsia="Arial" w:hAnsi="Arial"/>
          <w:sz w:val="11"/>
          <w:szCs w:val="11"/>
          <w:b w:val="1"/>
          <w:bCs w:val="1"/>
          <w:color w:val="auto"/>
        </w:rPr>
        <w:t>Three Months Ended</w:t>
      </w:r>
    </w:p>
    <w:p>
      <w:pPr>
        <w:spacing w:after="0" w:line="10" w:lineRule="exact"/>
        <w:rPr>
          <w:sz w:val="20"/>
          <w:szCs w:val="20"/>
          <w:color w:val="auto"/>
        </w:rPr>
      </w:pPr>
    </w:p>
    <w:tbl>
      <w:tblPr>
        <w:tblLayout w:type="fixed"/>
        <w:tblInd w:w="4280" w:type="dxa"/>
        <w:tblCellMar>
          <w:top w:w="0" w:type="dxa"/>
          <w:left w:w="0" w:type="dxa"/>
          <w:bottom w:w="0" w:type="dxa"/>
          <w:right w:w="0" w:type="dxa"/>
        </w:tblCellMar>
      </w:tblPr>
      <w:tr>
        <w:trPr>
          <w:trHeight w:val="100"/>
        </w:trPr>
        <w:tc>
          <w:tcPr>
            <w:tcW w:w="640" w:type="dxa"/>
            <w:vAlign w:val="bottom"/>
            <w:tcBorders>
              <w:top w:val="single" w:sz="8" w:color="auto"/>
            </w:tcBorders>
          </w:tcPr>
          <w:p>
            <w:pPr>
              <w:jc w:val="center"/>
              <w:ind w:right="86"/>
              <w:spacing w:after="0" w:line="100" w:lineRule="exact"/>
              <w:rPr>
                <w:sz w:val="20"/>
                <w:szCs w:val="20"/>
                <w:color w:val="auto"/>
              </w:rPr>
            </w:pPr>
            <w:r>
              <w:rPr>
                <w:rFonts w:ascii="Arial" w:cs="Arial" w:eastAsia="Arial" w:hAnsi="Arial"/>
                <w:sz w:val="11"/>
                <w:szCs w:val="11"/>
                <w:b w:val="1"/>
                <w:bCs w:val="1"/>
                <w:color w:val="auto"/>
                <w:w w:val="98"/>
              </w:rPr>
              <w:t>March 31,</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June 30,</w:t>
            </w:r>
          </w:p>
        </w:tc>
        <w:tc>
          <w:tcPr>
            <w:tcW w:w="10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September 30,</w:t>
            </w:r>
          </w:p>
        </w:tc>
        <w:tc>
          <w:tcPr>
            <w:tcW w:w="9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December 31,</w:t>
            </w:r>
          </w:p>
        </w:tc>
        <w:tc>
          <w:tcPr>
            <w:tcW w:w="7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4"/>
              </w:rPr>
              <w:t>March 31,</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9"/>
              </w:rPr>
              <w:t>June 30,</w:t>
            </w:r>
          </w:p>
        </w:tc>
        <w:tc>
          <w:tcPr>
            <w:tcW w:w="10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September 30,</w:t>
            </w:r>
          </w:p>
        </w:tc>
        <w:tc>
          <w:tcPr>
            <w:tcW w:w="880" w:type="dxa"/>
            <w:vAlign w:val="bottom"/>
            <w:tcBorders>
              <w:top w:val="single" w:sz="8" w:color="auto"/>
            </w:tcBorders>
          </w:tcPr>
          <w:p>
            <w:pPr>
              <w:jc w:val="center"/>
              <w:ind w:left="66"/>
              <w:spacing w:after="0" w:line="100" w:lineRule="exact"/>
              <w:rPr>
                <w:sz w:val="20"/>
                <w:szCs w:val="20"/>
                <w:color w:val="auto"/>
              </w:rPr>
            </w:pPr>
            <w:r>
              <w:rPr>
                <w:rFonts w:ascii="Arial" w:cs="Arial" w:eastAsia="Arial" w:hAnsi="Arial"/>
                <w:sz w:val="11"/>
                <w:szCs w:val="11"/>
                <w:b w:val="1"/>
                <w:bCs w:val="1"/>
                <w:color w:val="auto"/>
              </w:rPr>
              <w:t>December 31,</w:t>
            </w:r>
          </w:p>
        </w:tc>
      </w:tr>
      <w:tr>
        <w:trPr>
          <w:trHeight w:val="137"/>
        </w:trPr>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2019</w:t>
            </w: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2019</w:t>
            </w:r>
          </w:p>
        </w:tc>
        <w:tc>
          <w:tcPr>
            <w:tcW w:w="9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2019</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2020</w:t>
            </w: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2020</w:t>
            </w:r>
          </w:p>
        </w:tc>
      </w:tr>
      <w:tr>
        <w:trPr>
          <w:trHeight w:val="109"/>
        </w:trPr>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2"/>
          </w:tcPr>
          <w:p>
            <w:pPr>
              <w:ind w:left="640"/>
              <w:spacing w:after="0" w:line="109" w:lineRule="exact"/>
              <w:rPr>
                <w:sz w:val="20"/>
                <w:szCs w:val="20"/>
                <w:color w:val="auto"/>
              </w:rPr>
            </w:pPr>
            <w:r>
              <w:rPr>
                <w:rFonts w:ascii="Arial" w:cs="Arial" w:eastAsia="Arial" w:hAnsi="Arial"/>
                <w:sz w:val="11"/>
                <w:szCs w:val="11"/>
                <w:b w:val="1"/>
                <w:bCs w:val="1"/>
                <w:color w:val="auto"/>
              </w:rPr>
              <w:t>(in thousands)</w:t>
            </w: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r>
    </w:tbl>
    <w:p>
      <w:pPr>
        <w:ind w:left="120"/>
        <w:spacing w:after="0" w:line="216" w:lineRule="auto"/>
        <w:rPr>
          <w:sz w:val="20"/>
          <w:szCs w:val="20"/>
          <w:color w:val="auto"/>
        </w:rPr>
      </w:pPr>
      <w:r>
        <w:rPr>
          <w:rFonts w:ascii="Arial" w:cs="Arial" w:eastAsia="Arial" w:hAnsi="Arial"/>
          <w:sz w:val="13"/>
          <w:szCs w:val="13"/>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color w:val="auto"/>
        </w:rPr>
        <w:t>Cost of revenue</w:t>
      </w:r>
    </w:p>
    <w:p>
      <w:pPr>
        <w:ind w:left="120"/>
        <w:spacing w:after="0" w:line="217" w:lineRule="auto"/>
        <w:rPr>
          <w:sz w:val="20"/>
          <w:szCs w:val="20"/>
          <w:color w:val="auto"/>
        </w:rPr>
      </w:pPr>
      <w:r>
        <w:rPr>
          <w:rFonts w:ascii="Arial" w:cs="Arial" w:eastAsia="Arial" w:hAnsi="Arial"/>
          <w:sz w:val="13"/>
          <w:szCs w:val="13"/>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line="216" w:lineRule="auto"/>
        <w:rPr>
          <w:sz w:val="20"/>
          <w:szCs w:val="20"/>
          <w:color w:val="auto"/>
        </w:rPr>
      </w:pPr>
      <w:r>
        <w:rPr>
          <w:rFonts w:ascii="Arial" w:cs="Arial" w:eastAsia="Arial" w:hAnsi="Arial"/>
          <w:sz w:val="13"/>
          <w:szCs w:val="13"/>
          <w:color w:val="auto"/>
        </w:rPr>
        <w:t>Operating expenses:</w:t>
      </w:r>
    </w:p>
    <w:p>
      <w:pPr>
        <w:ind w:left="360"/>
        <w:spacing w:after="0" w:line="217" w:lineRule="auto"/>
        <w:rPr>
          <w:sz w:val="20"/>
          <w:szCs w:val="20"/>
          <w:color w:val="auto"/>
        </w:rPr>
      </w:pPr>
      <w:r>
        <w:rPr>
          <w:rFonts w:ascii="Arial" w:cs="Arial" w:eastAsia="Arial" w:hAnsi="Arial"/>
          <w:sz w:val="13"/>
          <w:szCs w:val="13"/>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360"/>
        <w:spacing w:after="0" w:line="217" w:lineRule="auto"/>
        <w:rPr>
          <w:sz w:val="20"/>
          <w:szCs w:val="20"/>
          <w:color w:val="auto"/>
        </w:rPr>
      </w:pPr>
      <w:r>
        <w:rPr>
          <w:rFonts w:ascii="Arial" w:cs="Arial" w:eastAsia="Arial" w:hAnsi="Arial"/>
          <w:sz w:val="13"/>
          <w:szCs w:val="13"/>
          <w:color w:val="auto"/>
        </w:rPr>
        <w:t>Operations and support</w:t>
      </w:r>
    </w:p>
    <w:p>
      <w:pPr>
        <w:ind w:left="360"/>
        <w:spacing w:after="0" w:line="217" w:lineRule="auto"/>
        <w:rPr>
          <w:sz w:val="20"/>
          <w:szCs w:val="20"/>
          <w:color w:val="auto"/>
        </w:rPr>
      </w:pPr>
      <w:r>
        <w:rPr>
          <w:rFonts w:ascii="Arial" w:cs="Arial" w:eastAsia="Arial" w:hAnsi="Arial"/>
          <w:sz w:val="13"/>
          <w:szCs w:val="13"/>
          <w:color w:val="auto"/>
        </w:rPr>
        <w:t>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360"/>
        <w:spacing w:after="0" w:line="216" w:lineRule="auto"/>
        <w:rPr>
          <w:sz w:val="20"/>
          <w:szCs w:val="20"/>
          <w:color w:val="auto"/>
        </w:rPr>
      </w:pPr>
      <w:r>
        <w:rPr>
          <w:rFonts w:ascii="Arial" w:cs="Arial" w:eastAsia="Arial" w:hAnsi="Arial"/>
          <w:sz w:val="13"/>
          <w:szCs w:val="13"/>
          <w:color w:val="auto"/>
        </w:rPr>
        <w:t>General and administrative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Impairment of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-5080</wp:posOffset>
            </wp:positionV>
            <wp:extent cx="43116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ind w:left="120"/>
        <w:spacing w:after="0" w:line="236" w:lineRule="auto"/>
        <w:rPr>
          <w:sz w:val="20"/>
          <w:szCs w:val="20"/>
          <w:color w:val="auto"/>
        </w:rPr>
      </w:pPr>
      <w:r>
        <w:rPr>
          <w:rFonts w:ascii="Arial" w:cs="Arial" w:eastAsia="Arial" w:hAnsi="Arial"/>
          <w:sz w:val="13"/>
          <w:szCs w:val="13"/>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b w:val="1"/>
          <w:bCs w:val="1"/>
          <w:color w:val="auto"/>
        </w:rPr>
        <w:t>Other expenses:</w:t>
      </w:r>
    </w:p>
    <w:p>
      <w:pPr>
        <w:ind w:left="360"/>
        <w:spacing w:after="0" w:line="217" w:lineRule="auto"/>
        <w:rPr>
          <w:sz w:val="20"/>
          <w:szCs w:val="20"/>
          <w:color w:val="auto"/>
        </w:rPr>
      </w:pPr>
      <w:r>
        <w:rPr>
          <w:rFonts w:ascii="Arial" w:cs="Arial" w:eastAsia="Arial" w:hAnsi="Arial"/>
          <w:sz w:val="13"/>
          <w:szCs w:val="13"/>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3"/>
          <w:szCs w:val="13"/>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-5080</wp:posOffset>
            </wp:positionV>
            <wp:extent cx="43116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120"/>
        <w:spacing w:after="0" w:line="236" w:lineRule="auto"/>
        <w:rPr>
          <w:sz w:val="20"/>
          <w:szCs w:val="20"/>
          <w:color w:val="auto"/>
        </w:rPr>
      </w:pPr>
      <w:r>
        <w:rPr>
          <w:rFonts w:ascii="Arial" w:cs="Arial" w:eastAsia="Arial" w:hAnsi="Arial"/>
          <w:sz w:val="13"/>
          <w:szCs w:val="13"/>
          <w:color w:val="auto"/>
        </w:rPr>
        <w:t>Net loss</w:t>
      </w:r>
    </w:p>
    <w:p>
      <w:pPr>
        <w:ind w:left="120"/>
        <w:spacing w:after="0" w:line="217" w:lineRule="auto"/>
        <w:rPr>
          <w:sz w:val="20"/>
          <w:szCs w:val="20"/>
          <w:color w:val="auto"/>
        </w:rPr>
      </w:pPr>
      <w:r>
        <w:rPr>
          <w:rFonts w:ascii="Arial" w:cs="Arial" w:eastAsia="Arial" w:hAnsi="Arial"/>
          <w:sz w:val="13"/>
          <w:szCs w:val="13"/>
          <w:color w:val="auto"/>
        </w:rPr>
        <w:t>Deemed dividend to preferred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-5080</wp:posOffset>
            </wp:positionV>
            <wp:extent cx="43116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1650" cy="26035"/>
                    </a:xfrm>
                    <a:prstGeom prst="rect">
                      <a:avLst/>
                    </a:prstGeom>
                    <a:noFill/>
                  </pic:spPr>
                </pic:pic>
              </a:graphicData>
            </a:graphic>
          </wp:anchor>
        </w:drawing>
      </w:r>
    </w:p>
    <w:p>
      <w:pPr>
        <w:spacing w:after="0" w:line="253" w:lineRule="exact"/>
        <w:rPr>
          <w:sz w:val="20"/>
          <w:szCs w:val="20"/>
          <w:color w:val="auto"/>
        </w:rPr>
      </w:pPr>
    </w:p>
    <w:p>
      <w:pPr>
        <w:ind w:left="7140"/>
        <w:spacing w:after="0"/>
        <w:rPr>
          <w:sz w:val="20"/>
          <w:szCs w:val="20"/>
          <w:color w:val="auto"/>
        </w:rPr>
      </w:pPr>
      <w:r>
        <w:rPr>
          <w:rFonts w:ascii="Arial" w:cs="Arial" w:eastAsia="Arial" w:hAnsi="Arial"/>
          <w:sz w:val="11"/>
          <w:szCs w:val="11"/>
          <w:b w:val="1"/>
          <w:bCs w:val="1"/>
          <w:color w:val="auto"/>
        </w:rPr>
        <w:t>Three Months Ended</w:t>
      </w:r>
    </w:p>
    <w:p>
      <w:pPr>
        <w:spacing w:after="0" w:line="10" w:lineRule="exact"/>
        <w:rPr>
          <w:sz w:val="20"/>
          <w:szCs w:val="20"/>
          <w:color w:val="auto"/>
        </w:rPr>
      </w:pPr>
    </w:p>
    <w:tbl>
      <w:tblPr>
        <w:tblLayout w:type="fixed"/>
        <w:tblInd w:w="4280" w:type="dxa"/>
        <w:tblCellMar>
          <w:top w:w="0" w:type="dxa"/>
          <w:left w:w="0" w:type="dxa"/>
          <w:bottom w:w="0" w:type="dxa"/>
          <w:right w:w="0" w:type="dxa"/>
        </w:tblCellMar>
      </w:tblPr>
      <w:tr>
        <w:trPr>
          <w:trHeight w:val="100"/>
        </w:trPr>
        <w:tc>
          <w:tcPr>
            <w:tcW w:w="640" w:type="dxa"/>
            <w:vAlign w:val="bottom"/>
            <w:tcBorders>
              <w:top w:val="single" w:sz="8" w:color="auto"/>
            </w:tcBorders>
          </w:tcPr>
          <w:p>
            <w:pPr>
              <w:jc w:val="center"/>
              <w:ind w:right="86"/>
              <w:spacing w:after="0" w:line="100" w:lineRule="exact"/>
              <w:rPr>
                <w:sz w:val="20"/>
                <w:szCs w:val="20"/>
                <w:color w:val="auto"/>
              </w:rPr>
            </w:pPr>
            <w:r>
              <w:rPr>
                <w:rFonts w:ascii="Arial" w:cs="Arial" w:eastAsia="Arial" w:hAnsi="Arial"/>
                <w:sz w:val="11"/>
                <w:szCs w:val="11"/>
                <w:b w:val="1"/>
                <w:bCs w:val="1"/>
                <w:color w:val="auto"/>
                <w:w w:val="98"/>
              </w:rPr>
              <w:t>March 31,</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June 30,</w:t>
            </w:r>
          </w:p>
        </w:tc>
        <w:tc>
          <w:tcPr>
            <w:tcW w:w="10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September 30,</w:t>
            </w:r>
          </w:p>
        </w:tc>
        <w:tc>
          <w:tcPr>
            <w:tcW w:w="9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December 31,</w:t>
            </w:r>
          </w:p>
        </w:tc>
        <w:tc>
          <w:tcPr>
            <w:tcW w:w="7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4"/>
              </w:rPr>
              <w:t>March 31,</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9"/>
              </w:rPr>
              <w:t>June 30,</w:t>
            </w:r>
          </w:p>
        </w:tc>
        <w:tc>
          <w:tcPr>
            <w:tcW w:w="10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5"/>
              </w:rPr>
              <w:t>September 30,</w:t>
            </w:r>
          </w:p>
        </w:tc>
        <w:tc>
          <w:tcPr>
            <w:tcW w:w="880" w:type="dxa"/>
            <w:vAlign w:val="bottom"/>
            <w:tcBorders>
              <w:top w:val="single" w:sz="8" w:color="auto"/>
            </w:tcBorders>
          </w:tcPr>
          <w:p>
            <w:pPr>
              <w:jc w:val="center"/>
              <w:ind w:left="66"/>
              <w:spacing w:after="0" w:line="100" w:lineRule="exact"/>
              <w:rPr>
                <w:sz w:val="20"/>
                <w:szCs w:val="20"/>
                <w:color w:val="auto"/>
              </w:rPr>
            </w:pPr>
            <w:r>
              <w:rPr>
                <w:rFonts w:ascii="Arial" w:cs="Arial" w:eastAsia="Arial" w:hAnsi="Arial"/>
                <w:sz w:val="11"/>
                <w:szCs w:val="11"/>
                <w:b w:val="1"/>
                <w:bCs w:val="1"/>
                <w:color w:val="auto"/>
              </w:rPr>
              <w:t>December 31,</w:t>
            </w:r>
          </w:p>
        </w:tc>
      </w:tr>
      <w:tr>
        <w:trPr>
          <w:trHeight w:val="137"/>
        </w:trPr>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2019</w:t>
            </w: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2019</w:t>
            </w:r>
          </w:p>
        </w:tc>
        <w:tc>
          <w:tcPr>
            <w:tcW w:w="9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2019</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7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10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2020</w:t>
            </w: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2020</w:t>
            </w:r>
          </w:p>
        </w:tc>
      </w:tr>
      <w:tr>
        <w:trPr>
          <w:trHeight w:val="109"/>
        </w:trPr>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2"/>
          </w:tcPr>
          <w:p>
            <w:pPr>
              <w:ind w:left="520"/>
              <w:spacing w:after="0" w:line="109" w:lineRule="exact"/>
              <w:rPr>
                <w:sz w:val="20"/>
                <w:szCs w:val="20"/>
                <w:color w:val="auto"/>
              </w:rPr>
            </w:pPr>
            <w:r>
              <w:rPr>
                <w:rFonts w:ascii="Arial" w:cs="Arial" w:eastAsia="Arial" w:hAnsi="Arial"/>
                <w:sz w:val="11"/>
                <w:szCs w:val="11"/>
                <w:b w:val="1"/>
                <w:bCs w:val="1"/>
                <w:color w:val="auto"/>
              </w:rPr>
              <w:t>(as a % of revenue)</w:t>
            </w: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r>
    </w:tbl>
    <w:p>
      <w:pPr>
        <w:ind w:left="120"/>
        <w:spacing w:after="0" w:line="216" w:lineRule="auto"/>
        <w:rPr>
          <w:sz w:val="20"/>
          <w:szCs w:val="20"/>
          <w:color w:val="auto"/>
        </w:rPr>
      </w:pPr>
      <w:r>
        <w:rPr>
          <w:rFonts w:ascii="Arial" w:cs="Arial" w:eastAsia="Arial" w:hAnsi="Arial"/>
          <w:sz w:val="13"/>
          <w:szCs w:val="13"/>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color w:val="auto"/>
        </w:rPr>
        <w:t>Cost of revenue</w:t>
      </w:r>
    </w:p>
    <w:p>
      <w:pPr>
        <w:ind w:left="120"/>
        <w:spacing w:after="0" w:line="217" w:lineRule="auto"/>
        <w:rPr>
          <w:sz w:val="20"/>
          <w:szCs w:val="20"/>
          <w:color w:val="auto"/>
        </w:rPr>
      </w:pPr>
      <w:r>
        <w:rPr>
          <w:rFonts w:ascii="Arial" w:cs="Arial" w:eastAsia="Arial" w:hAnsi="Arial"/>
          <w:sz w:val="13"/>
          <w:szCs w:val="13"/>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line="216" w:lineRule="auto"/>
        <w:rPr>
          <w:sz w:val="20"/>
          <w:szCs w:val="20"/>
          <w:color w:val="auto"/>
        </w:rPr>
      </w:pPr>
      <w:r>
        <w:rPr>
          <w:rFonts w:ascii="Arial" w:cs="Arial" w:eastAsia="Arial" w:hAnsi="Arial"/>
          <w:sz w:val="13"/>
          <w:szCs w:val="13"/>
          <w:color w:val="auto"/>
        </w:rPr>
        <w:t>Operating expenses:</w:t>
      </w:r>
    </w:p>
    <w:p>
      <w:pPr>
        <w:ind w:left="360"/>
        <w:spacing w:after="0" w:line="217" w:lineRule="auto"/>
        <w:rPr>
          <w:sz w:val="20"/>
          <w:szCs w:val="20"/>
          <w:color w:val="auto"/>
        </w:rPr>
      </w:pPr>
      <w:r>
        <w:rPr>
          <w:rFonts w:ascii="Arial" w:cs="Arial" w:eastAsia="Arial" w:hAnsi="Arial"/>
          <w:sz w:val="13"/>
          <w:szCs w:val="13"/>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360"/>
        <w:spacing w:after="0" w:line="217" w:lineRule="auto"/>
        <w:rPr>
          <w:sz w:val="20"/>
          <w:szCs w:val="20"/>
          <w:color w:val="auto"/>
        </w:rPr>
      </w:pPr>
      <w:r>
        <w:rPr>
          <w:rFonts w:ascii="Arial" w:cs="Arial" w:eastAsia="Arial" w:hAnsi="Arial"/>
          <w:sz w:val="13"/>
          <w:szCs w:val="13"/>
          <w:color w:val="auto"/>
        </w:rPr>
        <w:t>Operations and support</w:t>
      </w:r>
    </w:p>
    <w:p>
      <w:pPr>
        <w:ind w:left="360"/>
        <w:spacing w:after="0" w:line="217" w:lineRule="auto"/>
        <w:rPr>
          <w:sz w:val="20"/>
          <w:szCs w:val="20"/>
          <w:color w:val="auto"/>
        </w:rPr>
      </w:pPr>
      <w:r>
        <w:rPr>
          <w:rFonts w:ascii="Arial" w:cs="Arial" w:eastAsia="Arial" w:hAnsi="Arial"/>
          <w:sz w:val="13"/>
          <w:szCs w:val="13"/>
          <w:color w:val="auto"/>
        </w:rPr>
        <w:t>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360"/>
        <w:spacing w:after="0" w:line="216" w:lineRule="auto"/>
        <w:rPr>
          <w:sz w:val="20"/>
          <w:szCs w:val="20"/>
          <w:color w:val="auto"/>
        </w:rPr>
      </w:pPr>
      <w:r>
        <w:rPr>
          <w:rFonts w:ascii="Arial" w:cs="Arial" w:eastAsia="Arial" w:hAnsi="Arial"/>
          <w:sz w:val="13"/>
          <w:szCs w:val="13"/>
          <w:color w:val="auto"/>
        </w:rPr>
        <w:t>General and administrative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Impairment of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-5080</wp:posOffset>
            </wp:positionV>
            <wp:extent cx="43116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ind w:left="120"/>
        <w:spacing w:after="0" w:line="236" w:lineRule="auto"/>
        <w:rPr>
          <w:sz w:val="20"/>
          <w:szCs w:val="20"/>
          <w:color w:val="auto"/>
        </w:rPr>
      </w:pPr>
      <w:r>
        <w:rPr>
          <w:rFonts w:ascii="Arial" w:cs="Arial" w:eastAsia="Arial" w:hAnsi="Arial"/>
          <w:sz w:val="13"/>
          <w:szCs w:val="13"/>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b w:val="1"/>
          <w:bCs w:val="1"/>
          <w:color w:val="auto"/>
        </w:rPr>
        <w:t>Other expenses:</w:t>
      </w:r>
    </w:p>
    <w:p>
      <w:pPr>
        <w:ind w:left="360"/>
        <w:spacing w:after="0" w:line="217" w:lineRule="auto"/>
        <w:rPr>
          <w:sz w:val="20"/>
          <w:szCs w:val="20"/>
          <w:color w:val="auto"/>
        </w:rPr>
      </w:pPr>
      <w:r>
        <w:rPr>
          <w:rFonts w:ascii="Arial" w:cs="Arial" w:eastAsia="Arial" w:hAnsi="Arial"/>
          <w:sz w:val="13"/>
          <w:szCs w:val="13"/>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3"/>
          <w:szCs w:val="13"/>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-5080</wp:posOffset>
            </wp:positionV>
            <wp:extent cx="43116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9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-5080</wp:posOffset>
            </wp:positionV>
            <wp:extent cx="43116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1650" cy="25400"/>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Deemed dividend to preferred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loss attributable to common stockholders</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have financed our operations primarily through sales of our equity securities and borrowings under our term loan facility. As of December 31, 2020, our cash and cash equivalents totaled $59.9 million, compared with $40.1 million as of December 31, 2019. We believe our existing cash and cash equivalents will be sufficient to support our working capital and capital expenditure requirements for at least the next twelve months. We intend to repay all or a portion of our outstanding indebtedness under our Amended Loan and Security Agreement, with a portion of the net proceeds. Our future capital requirements will depend on many factors, including our obligation to repay any remaining balance under our term loan facility, our revenue growth rate, receivable and payable cycles, the timing and extent of investments in product development, sales and marketing, operations and support and general and administrative expenses.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party to a Loan and Security Agreement with Hercules Capital, Inc., or Hercules, as amended, restated, or modified from time to time, including by the Third Amendment to the Loan and Security Agreement dated as of January 30, 2020, or the Amended Loan and Security Agreement, for a term loan, or the term loan facility. Under the Amended Loan and Security Agreement, effective January 30, 2020, we can borrow up to $15.0 million under a term loan, all of which became available to us immediately on the agreement date. We had borrowings under the term loan of $15.0 million and $11.0 million as of December 31, 2020 and 2019. As of December 31, 2020, the loan pays interest at the greater of (i) 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December 31, 2020 and 2019, the Company owed $15.8 million and $11.4 million, respectively on this term loan, including principal borrowings and accrued end of term fee. As we intend to repay this term loan in 2021, we have classified this term loan as a current liability on our Consolidated Balance Sheet. Our obligations under the Amended Loan and Security Agreement are secured by substantially all of our assets.</w:t>
      </w:r>
    </w:p>
    <w:p>
      <w:pPr>
        <w:spacing w:after="0" w:line="2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Capital has the right to terminate its obligation to make further advances to us immediately and without notice upon the occurrence and during the continuance of an event of default.</w:t>
      </w:r>
    </w:p>
    <w:p>
      <w:pPr>
        <w:spacing w:after="0" w:line="203"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our Series B preferred stock with an exercise price of $5.13 per share that expires in May 2025.</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our capital stock, enter into transactions with affiliates outside the ordinary course of business, and create liens on our assets. We are in compliance with covenants and were in compliance with these covenants as of December 31, 2020 and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 for the period indicated.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2019 to</w:t>
            </w:r>
          </w:p>
        </w:tc>
      </w:tr>
      <w:tr>
        <w:trPr>
          <w:trHeight w:val="175"/>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2020 Change</w:t>
            </w:r>
          </w:p>
        </w:tc>
      </w:tr>
      <w:tr>
        <w:trPr>
          <w:trHeight w:val="156"/>
        </w:trPr>
        <w:tc>
          <w:tcPr>
            <w:tcW w:w="7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r>
      <w:tr>
        <w:trPr>
          <w:trHeight w:val="155"/>
        </w:trPr>
        <w:tc>
          <w:tcPr>
            <w:tcW w:w="7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jc w:val="center"/>
              <w:ind w:right="35"/>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(27,125)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8"/>
              </w:rPr>
              <w:t>(22,049)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(2,350)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6,670</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383.8%</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54,715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35,261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(35.6%)</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w:t>
      </w:r>
    </w:p>
    <w:p>
      <w:pPr>
        <w:ind w:left="120"/>
        <w:spacing w:after="0" w:line="234" w:lineRule="auto"/>
        <w:rPr>
          <w:sz w:val="20"/>
          <w:szCs w:val="20"/>
          <w:color w:val="auto"/>
        </w:rPr>
      </w:pPr>
      <w:r>
        <w:rPr>
          <w:rFonts w:ascii="Arial" w:cs="Arial" w:eastAsia="Arial" w:hAnsi="Arial"/>
          <w:sz w:val="18"/>
          <w:szCs w:val="18"/>
          <w:color w:val="auto"/>
        </w:rPr>
        <w:t>$(31.1) million adjusted for non-cash charges of $7.1 million and a net increase in our operating assets and liabilities of $2.0 million. The</w:t>
      </w:r>
    </w:p>
    <w:p>
      <w:pPr>
        <w:ind w:left="120"/>
        <w:spacing w:after="0" w:line="235" w:lineRule="auto"/>
        <w:rPr>
          <w:sz w:val="20"/>
          <w:szCs w:val="20"/>
          <w:color w:val="auto"/>
        </w:rPr>
      </w:pPr>
      <w:r>
        <w:rPr>
          <w:rFonts w:ascii="Arial" w:cs="Arial" w:eastAsia="Arial" w:hAnsi="Arial"/>
          <w:sz w:val="18"/>
          <w:szCs w:val="18"/>
          <w:color w:val="auto"/>
        </w:rPr>
        <w:t>non-cash adjustments primarily relate to stock-based compensation of $1.0 million, depreciation and amortization of $3.1 million and</w:t>
      </w:r>
    </w:p>
    <w:p>
      <w:pPr>
        <w:ind w:left="120"/>
        <w:spacing w:after="0" w:line="235" w:lineRule="auto"/>
        <w:rPr>
          <w:sz w:val="20"/>
          <w:szCs w:val="20"/>
          <w:color w:val="auto"/>
        </w:rPr>
      </w:pPr>
      <w:r>
        <w:rPr>
          <w:rFonts w:ascii="Arial" w:cs="Arial" w:eastAsia="Arial" w:hAnsi="Arial"/>
          <w:sz w:val="18"/>
          <w:szCs w:val="18"/>
          <w:color w:val="auto"/>
        </w:rPr>
        <w:t>impairment of goodwill and intangible assets of $1.6 million. The net increase in operating assets and liabilities is primarily driven by an</w:t>
      </w:r>
    </w:p>
    <w:p>
      <w:pPr>
        <w:ind w:left="120"/>
        <w:spacing w:after="0" w:line="235" w:lineRule="auto"/>
        <w:rPr>
          <w:sz w:val="20"/>
          <w:szCs w:val="20"/>
          <w:color w:val="auto"/>
        </w:rPr>
      </w:pPr>
      <w:r>
        <w:rPr>
          <w:rFonts w:ascii="Arial" w:cs="Arial" w:eastAsia="Arial" w:hAnsi="Arial"/>
          <w:sz w:val="18"/>
          <w:szCs w:val="18"/>
          <w:color w:val="auto"/>
        </w:rPr>
        <w:t>increase in accounts receivable of $2.1 million and accrued expenses of $8.6 million due to our growth. These increases are partially</w:t>
      </w:r>
    </w:p>
    <w:p>
      <w:pPr>
        <w:ind w:left="120"/>
        <w:spacing w:after="0"/>
        <w:rPr>
          <w:sz w:val="20"/>
          <w:szCs w:val="20"/>
          <w:color w:val="auto"/>
        </w:rPr>
      </w:pPr>
      <w:r>
        <w:rPr>
          <w:rFonts w:ascii="Arial" w:cs="Arial" w:eastAsia="Arial" w:hAnsi="Arial"/>
          <w:sz w:val="18"/>
          <w:szCs w:val="18"/>
          <w:color w:val="auto"/>
        </w:rPr>
        <w:t>offset by decrease in accounts payable of $2.4 million primarily due to the growth of our business.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year ended December 31, 2019, net cash used in operating activities was $27.1 million, primarily due to a net loss of</w:t>
      </w:r>
    </w:p>
    <w:p>
      <w:pPr>
        <w:ind w:left="120" w:right="40"/>
        <w:spacing w:after="0" w:line="234" w:lineRule="auto"/>
        <w:rPr>
          <w:sz w:val="20"/>
          <w:szCs w:val="20"/>
          <w:color w:val="auto"/>
        </w:rPr>
      </w:pPr>
      <w:r>
        <w:rPr>
          <w:rFonts w:ascii="Arial" w:cs="Arial" w:eastAsia="Arial" w:hAnsi="Arial"/>
          <w:sz w:val="18"/>
          <w:szCs w:val="18"/>
          <w:color w:val="auto"/>
        </w:rPr>
        <w:t>$(31.0) million adjusted for non-cash charges of $4.7 million and a net decrease in our operating assets and liabilities of $(0.8) million. The non-cash adjustments primarily relate to stock-based compensation of $0.5 million, impairment of goodwill and intangible assets of</w:t>
      </w:r>
    </w:p>
    <w:p>
      <w:pPr>
        <w:spacing w:after="0" w:line="1" w:lineRule="exact"/>
        <w:rPr>
          <w:sz w:val="20"/>
          <w:szCs w:val="20"/>
          <w:color w:val="auto"/>
        </w:rPr>
      </w:pPr>
    </w:p>
    <w:p>
      <w:pPr>
        <w:jc w:val="both"/>
        <w:ind w:left="120" w:right="120"/>
        <w:spacing w:after="0"/>
        <w:rPr>
          <w:sz w:val="20"/>
          <w:szCs w:val="20"/>
          <w:color w:val="auto"/>
        </w:rPr>
      </w:pPr>
      <w:r>
        <w:rPr>
          <w:rFonts w:ascii="Arial" w:cs="Arial" w:eastAsia="Arial" w:hAnsi="Arial"/>
          <w:sz w:val="18"/>
          <w:szCs w:val="18"/>
          <w:color w:val="auto"/>
        </w:rPr>
        <w:t>$1.7 million and depreciation and amortization of $ 1.8 million. The net decrease in operating assets and liabilities is primarily driven by an increase in accounts receivable of $5.5 million and inventory costs of $0.6 million due to the growth in our revenue. These decreases are partially offset by an increase in accounts payable and accrued expenses of $5.4 million related primarily to the timing of payments.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Cash provided by investing activities was $6.7 million during the year ended December 31, 2020, primarily due to proceeds from the settlement of short-term investments.</w:t>
      </w:r>
    </w:p>
    <w:p>
      <w:pPr>
        <w:spacing w:after="0" w:line="197"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Cash used in investing activities was $2.4 million during the year ended December 31, 2019, primarily due to $2.7 million for the purchase of property and equipment (which includes internal-use software development costs), and $1.4 million for acquisitions offset by net proceed from short-term investments.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ind w:left="120" w:right="440" w:firstLine="551"/>
        <w:spacing w:after="0"/>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Cash provided by financing activities was $54.7 million during the year ended December 31, 2019, reflecting $54.9 million of</w:t>
      </w:r>
    </w:p>
    <w:p>
      <w:pPr>
        <w:jc w:val="center"/>
        <w:ind w:right="-19"/>
        <w:spacing w:after="0"/>
        <w:rPr>
          <w:sz w:val="20"/>
          <w:szCs w:val="20"/>
          <w:color w:val="auto"/>
        </w:rPr>
      </w:pPr>
      <w:r>
        <w:rPr>
          <w:rFonts w:ascii="Arial" w:cs="Arial" w:eastAsia="Arial" w:hAnsi="Arial"/>
          <w:sz w:val="18"/>
          <w:szCs w:val="18"/>
          <w:color w:val="auto"/>
        </w:rPr>
        <w:t>proceeds from the issuance of Series D convertible preferred stock, partially offset by $0.5 million of payments related to our line of credit.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following table sets forth the amounts of our significant contractual obligations and commitments with definitive payment terms as of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rPr>
              <w:t>Payment due by Period</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 1</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More than 5</w:t>
            </w:r>
          </w:p>
        </w:tc>
        <w:tc>
          <w:tcPr>
            <w:tcW w:w="60" w:type="dxa"/>
            <w:vAlign w:val="bottom"/>
          </w:tcPr>
          <w:p>
            <w:pPr>
              <w:spacing w:after="0"/>
              <w:rPr>
                <w:sz w:val="12"/>
                <w:szCs w:val="12"/>
                <w:color w:val="auto"/>
              </w:rPr>
            </w:pPr>
          </w:p>
        </w:tc>
      </w:tr>
      <w:tr>
        <w:trPr>
          <w:trHeight w:val="175"/>
        </w:trPr>
        <w:tc>
          <w:tcPr>
            <w:tcW w:w="528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1-3 years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4-5 years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56"/>
        </w:trPr>
        <w:tc>
          <w:tcPr>
            <w:tcW w:w="5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$15,753</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$15,753</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2,316</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1,066</w:t>
            </w:r>
          </w:p>
        </w:tc>
        <w:tc>
          <w:tcPr>
            <w:tcW w:w="16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1,250</w:t>
            </w:r>
          </w:p>
        </w:tc>
        <w:tc>
          <w:tcPr>
            <w:tcW w:w="240" w:type="dxa"/>
            <w:vAlign w:val="bottom"/>
          </w:tcPr>
          <w:p>
            <w:pPr>
              <w:spacing w:after="0"/>
              <w:rPr>
                <w:sz w:val="17"/>
                <w:szCs w:val="17"/>
                <w:color w:val="auto"/>
              </w:rPr>
            </w:pPr>
          </w:p>
        </w:tc>
        <w:tc>
          <w:tcPr>
            <w:tcW w:w="40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leases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18,084</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discussion and analysis of financial condition and results of operations are based upon our financial statements included elsewhere in this prospectus.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ind w:left="120" w:right="580" w:firstLine="551"/>
        <w:spacing w:after="0"/>
        <w:rPr>
          <w:sz w:val="20"/>
          <w:szCs w:val="20"/>
          <w:color w:val="auto"/>
        </w:rPr>
      </w:pPr>
      <w:r>
        <w:rPr>
          <w:rFonts w:ascii="Arial" w:cs="Arial" w:eastAsia="Arial" w:hAnsi="Arial"/>
          <w:sz w:val="18"/>
          <w:szCs w:val="18"/>
          <w:color w:val="auto"/>
        </w:rPr>
        <w:t>We derive substantially all of our revenue in the U.S. and Europe from the sale of parts and assemblies fulfilled using a vast network of sellers. We recognize revenue from the sales to our buyers pursuant to Financial Accounting Standard Board’s (“FASB”) Accounting Standards Codification (“ASC”) Topic 606, Revenue from Contracts with Customers (“ASC 606”).</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Xometry determines that a contract exists between Xometry and the customer when the customer accepts the quote and places the order, all of which are governed by our standard terms and conditions or other agreed terms with our customers. Upon completion of an order through our platform, Xometry identifies the performance obligation(s) within that order to complete the sale of the manufactured part(s) or assembly. Using our in-house technology, we determine the price for the manufactured part(s) or assembly on a stand-alone basis at order initiation. We recognize revenue from sales to our customers upon shipment, at which point control over the part(s) or assembly have transferred.</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concluded that we are principal in the sale of part(s) and assemblies that use our network of third-party manufacturers because we control the manufacturing by obtaining a right to direct a third-party manufacturer to fulfill the performance obligation we have with our customer on our behalf. We considered the following conditions of the sale: (i) we have the obligation of providing the specified product to the customer, (ii) we have discretion with respect to establishing the price of the product and the price we pay our sellers and we have margin risk on all of our sales, (iii) we have discretion in determining how to fulfill each order, including selecting the seller and (iv) we bear certain risk for product quality to the extent the buyer is not satisfied with the final product.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We test goodwill for impairment annually in the fourth quarter, or more frequently, if needed and when there is a triggering event (e.g., a deterioration in general economic conditions or in the environment in which we operate). When impairment indicators are identified we compare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determine the fair value of each reporting unit using an income approach. Under the income approach, we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To the extent management judgments, estimates or assumptions are incorrect, the fair value of our reporting units or intangible assets could be lower and those assets could be further impaired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Stock options are measured at the grant date fair value of the award. We estimate grant date fair value of those awards using the Black-Scholes option pricing model. The fair value of stock options is recognized as compensation expense on a straight-line basis over the requisite service period, which is typically four years.</w:t>
      </w:r>
    </w:p>
    <w:p>
      <w:pPr>
        <w:spacing w:after="0" w:line="203" w:lineRule="exact"/>
        <w:rPr>
          <w:sz w:val="20"/>
          <w:szCs w:val="20"/>
          <w:color w:val="auto"/>
        </w:rPr>
      </w:pPr>
    </w:p>
    <w:p>
      <w:pPr>
        <w:jc w:val="both"/>
        <w:ind w:left="120" w:right="200" w:firstLine="551"/>
        <w:spacing w:after="0" w:line="246"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These variables include assumptions with respect to: (i) expected annual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dividend yield, (ii) expected volatility over the expected term; (iii) expected term, (iv) risk free interest rate, (v) per share value of the underlying common stock, and (vi) exercise price.</w:t>
      </w:r>
    </w:p>
    <w:p>
      <w:pPr>
        <w:spacing w:after="0" w:line="197"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fair value of our common stock has been estimated by management as there is no public market for our common stock. Our market-based methodology considers a number of objective and subjective factors including: third-party valuations of its common stock, the valuation of comparable companies, sales of our convertible preferred stock to outside investors in arms-length transactions, our operating and financial performance, the lack of marketability, and general and industry specific economic outlook, amongst others.</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Stock-based compensation expense is calculated using our best estimates, which involve inherent uncertainties and the application of management’s judgment and estimates. If different estimates and assumptions had been used, our estimates of common stock valuations could be significantly different and related stock-based compensation expense may be materially impacted.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The fair value of our shares of common stock underlying stock options has historically been determined by the board of directors, with contemporaneous third-party valuations, as there has been no public market for our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Valuation of Privately Held Company Equity Securities Issued as Compensation, our board of directors exercised reasonable judgment and considered a number of objective and subjective factors to determine the best estimate of the fair value of our common stock at each grant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include:</w:t>
      </w:r>
    </w:p>
    <w:p>
      <w:pPr>
        <w:spacing w:after="0" w:line="117"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convertible preferred stock relative to the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given prevailing market conditions;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recent secondary stock sales and tender offers;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12" w:lineRule="exact"/>
        <w:rPr>
          <w:sz w:val="20"/>
          <w:szCs w:val="20"/>
          <w:color w:val="auto"/>
        </w:rPr>
      </w:pPr>
    </w:p>
    <w:p>
      <w:pPr>
        <w:jc w:val="both"/>
        <w:ind w:left="120" w:firstLine="551"/>
        <w:spacing w:after="0" w:line="261" w:lineRule="auto"/>
        <w:rPr>
          <w:sz w:val="20"/>
          <w:szCs w:val="20"/>
          <w:color w:val="auto"/>
        </w:rPr>
      </w:pPr>
      <w:r>
        <w:rPr>
          <w:rFonts w:ascii="Arial" w:cs="Arial" w:eastAsia="Arial" w:hAnsi="Arial"/>
          <w:sz w:val="17"/>
          <w:szCs w:val="17"/>
          <w:color w:val="auto"/>
        </w:rPr>
        <w:t>In valuing our common stock, our board of directors determines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or WACC.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To derive our WACC, a cost of equity was developed using the Capital Asset Pricing Model and comparable company betas, and a cost of debt was determined based on our estimated cost of borrowing. The costs of debt and equity were then weighted based on our actual capital structure. The market approach estimates value based on a comparison of our company to comparable public companies in a similar line of business and acquisitions in the market. From the comparable companies, a representative market multiple is determined and subsequently applied to our financial results to estimate our enterprise value.</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202"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203" w:lineRule="exact"/>
        <w:rPr>
          <w:sz w:val="20"/>
          <w:szCs w:val="20"/>
          <w:color w:val="auto"/>
        </w:rPr>
      </w:pPr>
    </w:p>
    <w:p>
      <w:pPr>
        <w:ind w:left="120" w:right="340" w:firstLine="551"/>
        <w:spacing w:after="0" w:line="234" w:lineRule="auto"/>
        <w:rPr>
          <w:sz w:val="20"/>
          <w:szCs w:val="20"/>
          <w:color w:val="auto"/>
        </w:rPr>
      </w:pPr>
      <w:r>
        <w:rPr>
          <w:rFonts w:ascii="Arial" w:cs="Arial" w:eastAsia="Arial" w:hAnsi="Arial"/>
          <w:sz w:val="18"/>
          <w:szCs w:val="18"/>
          <w:color w:val="auto"/>
        </w:rPr>
        <w:t>Based on the assumed initial public offering price per share of $ , which is the midpoint of the estimated offering price range set forth on the cover page of this prospectus, the aggregate intrinsic value of our outstanding stock options as of December 31,</w:t>
      </w:r>
    </w:p>
    <w:p>
      <w:pPr>
        <w:spacing w:after="0" w:line="1" w:lineRule="exact"/>
        <w:rPr>
          <w:sz w:val="20"/>
          <w:szCs w:val="20"/>
          <w:color w:val="auto"/>
        </w:rPr>
      </w:pPr>
    </w:p>
    <w:p>
      <w:pPr>
        <w:ind w:left="120"/>
        <w:spacing w:after="0"/>
        <w:tabs>
          <w:tab w:leader="none" w:pos="1820" w:val="left"/>
          <w:tab w:leader="none" w:pos="3180" w:val="left"/>
        </w:tabs>
        <w:rPr>
          <w:sz w:val="20"/>
          <w:szCs w:val="20"/>
          <w:color w:val="auto"/>
        </w:rPr>
      </w:pPr>
      <w:r>
        <w:rPr>
          <w:rFonts w:ascii="Arial" w:cs="Arial" w:eastAsia="Arial" w:hAnsi="Arial"/>
          <w:sz w:val="18"/>
          <w:szCs w:val="18"/>
          <w:color w:val="auto"/>
        </w:rPr>
        <w:t>2020 was $</w:t>
      </w:r>
      <w:r>
        <w:rPr>
          <w:sz w:val="20"/>
          <w:szCs w:val="20"/>
          <w:color w:val="auto"/>
        </w:rPr>
        <w:tab/>
      </w:r>
      <w:r>
        <w:rPr>
          <w:rFonts w:ascii="Arial" w:cs="Arial" w:eastAsia="Arial" w:hAnsi="Arial"/>
          <w:sz w:val="18"/>
          <w:szCs w:val="18"/>
          <w:color w:val="auto"/>
        </w:rPr>
        <w:t>, with $</w:t>
      </w:r>
      <w:r>
        <w:rPr>
          <w:sz w:val="20"/>
          <w:szCs w:val="20"/>
          <w:color w:val="auto"/>
        </w:rPr>
        <w:tab/>
      </w:r>
      <w:r>
        <w:rPr>
          <w:rFonts w:ascii="Arial" w:cs="Arial" w:eastAsia="Arial" w:hAnsi="Arial"/>
          <w:sz w:val="17"/>
          <w:szCs w:val="17"/>
          <w:color w:val="auto"/>
        </w:rPr>
        <w:t>million related to vested stock options.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For a description of our recently adopted accounting pronouncements and recently issued accounting standards not yet adopted, see Note 2 to our financial statements: “Significant Accounting Policies” appearing elsewhere in this prospectus.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Our primary market risk exposure is changing interest rates in connection with the Amended Loan and Security Agreement with Hercules. Interest rate risk is highly sensitive due to many factors, including U.S. monetary and tax policies, U.S. and international economic factors and other factors beyond our control. As of December 31, 2020, borrowing under the term loan facility bear interest equal to the greater of (A) 8.7% per annum plus the prime rate minus 4.75% per annum; or (B) 8.7%. As of December 31, 2020, we had $15.0 million outstanding under our term loan facility.</w:t>
      </w:r>
    </w:p>
    <w:p>
      <w:pPr>
        <w:spacing w:after="0" w:line="202" w:lineRule="exact"/>
        <w:rPr>
          <w:sz w:val="20"/>
          <w:szCs w:val="20"/>
          <w:color w:val="auto"/>
        </w:rPr>
      </w:pPr>
    </w:p>
    <w:p>
      <w:pPr>
        <w:jc w:val="center"/>
        <w:ind w:right="100"/>
        <w:spacing w:after="0" w:line="418" w:lineRule="auto"/>
        <w:rPr>
          <w:sz w:val="20"/>
          <w:szCs w:val="20"/>
          <w:color w:val="auto"/>
        </w:rPr>
      </w:pPr>
      <w:r>
        <w:rPr>
          <w:rFonts w:ascii="Arial" w:cs="Arial" w:eastAsia="Arial" w:hAnsi="Arial"/>
          <w:sz w:val="18"/>
          <w:szCs w:val="18"/>
          <w:color w:val="auto"/>
        </w:rPr>
        <w:t>A hypothetical 10% change in interest rates would not result in a material impact on our consolidated financial statements. 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Our interest-earning instruments also carry a degree of interest rate risk. As of December 31, 2020, we had cash and cash equivalents of $59.9 million.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European operating segment generates revenue outside of the United States that is denominated in currencies other than the U.S. dollar. Our results of operations could be impacted by changes in exchange rates.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6"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34"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Our mission is to accelerate innovation by providing real time, equitable access to global manufacturing capacity and demand. Our vision is to drive efficiency, sustainability and innovation by lowering the barriers to entry to the manufacturing ecosystem.</w:t>
      </w:r>
    </w:p>
    <w:p>
      <w:pPr>
        <w:spacing w:after="0" w:line="19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are a leading AI-enabled marketplace for on-demand manufacturing, transforming one of the largest industries in the world. We use our proprietary technology to create a marketplace that enables buyers to efficiently source on-demand manufactured parts and assemblies, and empower sellers of manufacturing services to grow their businesses.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define “buyers” as individuals who have placed an order to purchase on-demand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financial services or the purchase of supplies.</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Manufacturing is one of the largest industries globally and is in the early stages of digitization. Buyers looking to source manufacturing processes are faced with a highly fragmented and regionalized base of sellers who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203" w:lineRule="exact"/>
        <w:rPr>
          <w:sz w:val="20"/>
          <w:szCs w:val="20"/>
          <w:color w:val="auto"/>
        </w:rPr>
      </w:pPr>
    </w:p>
    <w:p>
      <w:pPr>
        <w:ind w:left="120" w:right="260" w:firstLine="551"/>
        <w:spacing w:after="0" w:line="236" w:lineRule="auto"/>
        <w:rPr>
          <w:sz w:val="20"/>
          <w:szCs w:val="20"/>
          <w:color w:val="auto"/>
        </w:rPr>
      </w:pPr>
      <w:r>
        <w:rPr>
          <w:rFonts w:ascii="Arial" w:cs="Arial" w:eastAsia="Arial" w:hAnsi="Arial"/>
          <w:sz w:val="18"/>
          <w:szCs w:val="18"/>
          <w:color w:val="auto"/>
        </w:rPr>
        <w:t>We enable buyers to source a broad array of manufacturing processes to meet complex and specific design and order needs across industries. We generate substantially all of our revenue from the amounts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ESG into our marketplace by offering buyers the ability to purchase carbon credits to offset the carbon used to make their parts. Since inception, over 6.0 million parts have been manufactured through our platform. In the fourth quarter of 2020, we generated 95% of our revenue from existing accounts.</w:t>
      </w:r>
    </w:p>
    <w:p>
      <w:pPr>
        <w:spacing w:after="0" w:line="208"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We have found these services enhance the seller experience, with 40% of our active sellers purchasing supplies or utilizing one of our financial services in 2020.</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on-demand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Today, we are the largest on-demand manufacturing marketplace. We have connected over 43,000 buyers, including nearly 30% of the Fortune 500, and nearly 5,000 sellers of all sizes. We have achieved rapid growth while improving our margin profile. We generated revenue of $38.4 million in 2018, $80.2 million in 2019, and $141.4 million in 2020, representing year-over-year growth of 109% in 2019 and 76% in 2020. Our gross profit was $6.5 million in 2018, $14.7 million in 2019, and $33.3 million in 2020, representing a 17% gross margin in 2018, 18% gross margin in 2019, and 24% gross margin in 2020. Our net losses were $20.1 million in 2018, $31.0 million in 2019 and $31.1 million in 2020. We intend to continue to invest in growth to scale our company.</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is a massive, highly fragmented, and regionalized industry in need of solutions to drive efficiency.</w:t>
      </w:r>
    </w:p>
    <w:p>
      <w:pPr>
        <w:spacing w:after="0" w:line="126" w:lineRule="exact"/>
        <w:rPr>
          <w:sz w:val="20"/>
          <w:szCs w:val="20"/>
          <w:color w:val="auto"/>
        </w:rPr>
      </w:pPr>
    </w:p>
    <w:p>
      <w:pPr>
        <w:jc w:val="both"/>
        <w:ind w:left="120" w:right="480" w:firstLine="551"/>
        <w:spacing w:after="0"/>
        <w:rPr>
          <w:sz w:val="20"/>
          <w:szCs w:val="20"/>
          <w:color w:val="auto"/>
        </w:rPr>
      </w:pPr>
      <w:r>
        <w:rPr>
          <w:rFonts w:ascii="Arial" w:cs="Arial" w:eastAsia="Arial" w:hAnsi="Arial"/>
          <w:sz w:val="18"/>
          <w:szCs w:val="18"/>
          <w:color w:val="auto"/>
        </w:rPr>
        <w:t>The global manufacturing industry is one of the largest industries in the world. We believe the industry is poised for increased digitization via a number of global thematic shifts. These include rising demand for production, new manufacturing technologies, and shifting value chains, but the industry is in need of solutions to drive efficiency and create opportunities from these dynamics.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Furthermore, the manufacturing industry is largely composed of small- to medium-sized manufacturers, such as multi-generational family businesses or sole machinists, and we believe that there are significant barriers to entry industry for these businesses, who have to compete with scaled, better-resourced manufacturers. In the U.S. alone, there are over 625,000 manufacturing businesses with 11.3 million employees, according to IBIS World. As of 2018, more than 98% of American manufacturers were categorized as small businesses by SCORE, a resource partner organization for the U.S. Small Business Administration, and 75% of these businesses had fewer than 20 employees.</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believe that there are significant barriers to entry within the manufacturing industry for small- to medium-sized businesses. These barriers include physical and capital resource constraints, geographic isolation, reliance upon antiquated business development practices, and limited access to customers. For example, given the intense focus and time commitment precision machining requires, we believe smaller manufacturers typically lack the time and resources to invest in marketing to expand their customer base and back-office capabilities to optimize their business operations. We have surveyed our own sellers and, as of January 2021, 59% of them rated marketing as a large or extreme challenge.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Furthermore, with the shift to online purchasing across industries, companies are increasingly looking for digital solutions to their on-demand manufacturing needs. Seeking to be informed, they search for and consume content on the latest manufacturing industry trends and technology developments, including content that helps them identify the best and fastest way to manufacture their products. Online search is growing in popularity as a method for buyers to find manufacturing services, with Google search data showing significant increases in year-over-year search volumes for terms like “CNC Machining Services,” “3D Printing Service” and “General Manufacturing &amp; Prototyping” over the last three years.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Sourcing manufacturing opportunities is a complex, costly and time-consuming process.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Even for the most sophisticated buyers and sellers, the manufacturing sourcing and procurement process is complex, uncertain, costly and time-consuming.</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For buyers, the traditional manufacturing process begins with a custom design. Irrespective of order size, buyers must source potential sellers, undergoing time-consuming diligence across a network of options involving phone calls, emails and in-person visits. After selecting potential sellers to work with, buyers send a formal request for a quote, compare inbound quotes across sellers, negotiate the final price and terms, and officially notify the selected seller of the awarded opportunity. It often takes days or weeks to finalize the price and lead time for any particular order. After these steps, the buyer must still wait for the products to be manufactured and delivered, with shipping times varying widely depending on the seller and manufacturing process. With hundreds of thousands of manufacturers to choose from, buyers are inundated with options, but have little guidance or industry standardization around project complexity, design, timing or price.</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For sellers, the traditional manufacturing process begins by searching for buyers through sales and marketing channels and complying with the various initial diligence and business inquiries. After receiving and responding to requests for quotes, sellers must wait for quote feedback and respond to follow-up requests. Assuming they are selected for a particular job, after negotiating the final price and terms and getting official notification of the awarded opportunity, sellers must then ensure they have procured the relevant tools and supplies and reserved adequate machine time before producing and delivering the final product. This process of winning and maintaining new customers requires significant time and resource investment and takes sellers away from their core manufacturing operations and often results in costly downtime.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Upon order completion, sellers must wait even longer to receive payment. In a 2020 survey by Atradius, nearly half of North American manufacturers reported having B2B customers that were late on payments, with an average payment term of 34 days. Additionally, 82% of these manufacturers expect the percentage of B2B invoices that go over 90 days without payment to stay the same or increase in the future. Furthermore, 69% of our sellers report managing cash flow as at least somewhat challenging for their business. Smaller customers can be inconsistent with payments and larger customers may insist on onerous net-120 payment terms as a precondition to awarding manufacturing opportunities. This puts significant pressure on small manufacturers who are responsible for procuring raw materials to do the work, paying for labor on a regular schedule, financing equipment, paying rent for their facilities and funding other general business expenses. A 2016 survey by J.P. Morgan found that 50% of small metal and machinery businesses had 28 days or fewer of cash on hand. As a result, deciding when to purchase additional equipment becomes a business-critical decision as sellers navigate financial constraints and weigh the trade-off between under-utilization of capacity and missed revenue opportunities.</w:t>
      </w:r>
    </w:p>
    <w:p>
      <w:pPr>
        <w:spacing w:after="0" w:line="20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believe that the complex, labor-intensive and time-consuming sourcing process presents a significant opportunity as buyers and sellers look for more efficient ways to source demand and consummate production.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Resilient, localized and compliant supply chains are imperative.</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the traditional manufacturing ecosystem, buyers face different sets of risks depending on how they source. If buyers source from a small number of sellers, they face greater risk of supply chain disruption amidst shortages or production interruptions, such as weather-related events. If buyers choose to source from a larger number of manufacturers, they face greater complexity in managing multiple parties’ pricing, timing, and inconsistent quality.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COVID-19 pandemic highlighted the urgent need for resilient and localized supply chains. According to Accenture, 94% of the Fortune 1000 saw supply chain disruptions from COVID-19. In a 2020 McKinsey survey, 93% of supply chain executives reported that they plan to increase supply chain resilience in a variety of ways, including by dual-sourcing raw materials, increasing inventories of critical products, near-shoring, increasing their supplier bases, and regionalizing their supply chains.</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Additionally, many industries are currently subject to, and will likely be increasingly subject to, regulations surrounding the geographies from which they source and the environmental impact of their supply chains. From private enterprise to government agencies, regulations like The Buy American Act and guidance from the EPA require buyers to procure products from domestic sources and in certain instances set standards around the facilities in which they are manufactured.</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believe there is a significant opportunity to help companies around the world improve their supply chain diversification, access just-in-time production, and build supply chain resilience.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increasing focus on the manufacturing industry to address ESG issues.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Companies and investors are increasingly focused on the importance of environmental, social and governance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manage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Multiple catalysts have led to an inflection point for industry digitization.</w:t>
      </w:r>
    </w:p>
    <w:p>
      <w:pPr>
        <w:spacing w:after="0" w:line="234"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We believe future expected labor shortages, in combination with the proliferation of new technologies, necessitates digital solutions that increase productivity, improve financial performance and allow them to compete sustainably.</w:t>
      </w:r>
    </w:p>
    <w:p>
      <w:pPr>
        <w:spacing w:after="0" w:line="80" w:lineRule="exact"/>
        <w:rPr>
          <w:sz w:val="20"/>
          <w:szCs w:val="20"/>
          <w:color w:val="auto"/>
        </w:rPr>
      </w:pPr>
    </w:p>
    <w:p>
      <w:pPr>
        <w:ind w:left="880" w:right="140" w:hanging="224"/>
        <w:spacing w:after="0" w:line="244"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Expected manufacturing labor shortage. </w:t>
      </w:r>
      <w:r>
        <w:rPr>
          <w:rFonts w:ascii="Arial" w:cs="Arial" w:eastAsia="Arial" w:hAnsi="Arial"/>
          <w:sz w:val="18"/>
          <w:szCs w:val="18"/>
          <w:color w:val="auto"/>
        </w:rPr>
        <w:t>The industry faces a significant talent shortage with 96% of manufacturing firms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expressing at least some concern about not having enough workers, according to a 2019 survey by the Manufacturing Institute. This gap is expected to grow, as two-thirds of firms indicated that workers age 55 and older comprised at least 20% of their workforce. The shortage of skilled workers in manufacturing is accelerating the adoption of new technology solutions to unlock productivity as industry players compete for a limited pool of talent.</w:t>
      </w:r>
    </w:p>
    <w:p>
      <w:pPr>
        <w:spacing w:after="0" w:line="81" w:lineRule="exact"/>
        <w:rPr>
          <w:rFonts w:ascii="Arial" w:cs="Arial" w:eastAsia="Arial" w:hAnsi="Arial"/>
          <w:sz w:val="18"/>
          <w:szCs w:val="18"/>
          <w:color w:val="auto"/>
        </w:rPr>
      </w:pPr>
    </w:p>
    <w:p>
      <w:pPr>
        <w:ind w:left="880" w:right="20" w:hanging="224"/>
        <w:spacing w:after="0" w:line="24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Proliferation of 3D printing. </w:t>
      </w:r>
      <w:r>
        <w:rPr>
          <w:rFonts w:ascii="Arial" w:cs="Arial" w:eastAsia="Arial" w:hAnsi="Arial"/>
          <w:sz w:val="18"/>
          <w:szCs w:val="18"/>
          <w:color w:val="auto"/>
        </w:rPr>
        <w:t>The use of 3D printing is increasing across industries. A recent study by PwC found that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two-thirds of U.S. manufacturers already use 3D printing in some way. As the adoption of 3D printing for prototyping, product development and production continues, we believe that companies will look for ways to on-board and access to such technologies.</w:t>
      </w:r>
    </w:p>
    <w:p>
      <w:pPr>
        <w:spacing w:after="0" w:line="79" w:lineRule="exact"/>
        <w:rPr>
          <w:rFonts w:ascii="Arial" w:cs="Arial" w:eastAsia="Arial" w:hAnsi="Arial"/>
          <w:sz w:val="18"/>
          <w:szCs w:val="18"/>
          <w:color w:val="auto"/>
        </w:rPr>
      </w:pPr>
    </w:p>
    <w:p>
      <w:pPr>
        <w:ind w:left="880" w:right="260" w:hanging="224"/>
        <w:spacing w:after="0" w:line="24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New AI applications across industries. </w:t>
      </w:r>
      <w:r>
        <w:rPr>
          <w:rFonts w:ascii="Arial" w:cs="Arial" w:eastAsia="Arial" w:hAnsi="Arial"/>
          <w:sz w:val="18"/>
          <w:szCs w:val="18"/>
          <w:color w:val="auto"/>
        </w:rPr>
        <w:t>According to the McKinsey Global Institute, AI has the potential to add $13 trillion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economic output by 2030. AI is helping to bring innovations to industries, including manufacturing, in which large amounts of data are generated to yield insights. As CIO notes, AI could also help to optimize manufacturing operations, potentially eliminating a portion of unplanned downtime costs, which have an</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80"/>
        <w:spacing w:after="0" w:line="246" w:lineRule="auto"/>
        <w:rPr>
          <w:sz w:val="20"/>
          <w:szCs w:val="20"/>
          <w:color w:val="auto"/>
        </w:rPr>
      </w:pPr>
      <w:r>
        <w:rPr>
          <w:rFonts w:ascii="Arial" w:cs="Arial" w:eastAsia="Arial" w:hAnsi="Arial"/>
          <w:sz w:val="18"/>
          <w:szCs w:val="18"/>
          <w:color w:val="auto"/>
        </w:rPr>
        <w:t>estimated cost of up to $50 billion annually. According to a 2019 survey by Deloitte, 93% of companies believe that AI will be a pivotal technology to drive growth and innovation in their industries.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Opportunity</w:t>
      </w:r>
    </w:p>
    <w:p>
      <w:pPr>
        <w:spacing w:after="0" w:line="234"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Today, we estimate our global market opportunity to be over $260 billion across our sellers’ six key manufacturing processes, which include CNC manufacturing, sheet metal manufacturing, 3D printing (including fused deposition modeling (FDM), direct metal laser sintering (DMLS), PolyJet, stereolithography (SLA), selective laser sintering (SLS), binder jetting, carbon digital light synthesis (DLS) and multi jet fusion (MJF)), die casting, injection molding and urethane casting.</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Platform</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205"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20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205"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AI Technology</w:t>
      </w:r>
    </w:p>
    <w:p>
      <w:pPr>
        <w:spacing w:after="0" w:line="234"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Our machine learning algorithms are central to our value proposition, and are present at every stage of the manufacturing order workflow. Our technology solves the problems buyers and sellers face in a traditional, offline process, from inquiry to execution.</w:t>
      </w:r>
    </w:p>
    <w:p>
      <w:pPr>
        <w:spacing w:after="0" w:line="175"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b w:val="1"/>
          <w:bCs w:val="1"/>
          <w:i w:val="1"/>
          <w:iCs w:val="1"/>
          <w:color w:val="auto"/>
        </w:rPr>
        <w:t xml:space="preserve">Prediction. </w:t>
      </w:r>
      <w:r>
        <w:rPr>
          <w:rFonts w:ascii="Arial" w:cs="Arial" w:eastAsia="Arial" w:hAnsi="Arial"/>
          <w:sz w:val="18"/>
          <w:szCs w:val="18"/>
          <w:color w:val="auto"/>
        </w:rPr>
        <w:t>Our models incorporate dozens of variables on pricing, timing, design requirements, execution considerations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having been trained by thousands of events to date to enable efficient buyer and seller transactions. Our models correlate historical buyer attributes with observed order frequency and order value to help predict customer longevity, transaction frequency and potential lifetime value. Our models also provide analytical insights on how buyers and sellers</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engage with our marketplace, products and services, helping us build and cross-sell our offerings to drive greater customer stickiness and increase transaction frequency, retention, lifetime value and referenceability.</w:t>
      </w:r>
    </w:p>
    <w:p>
      <w:pPr>
        <w:spacing w:after="0" w:line="175"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Our instantaneous pricing and project guidance functionality eliminates the complexity typically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sourcing process. Buyers upload CAD files and modify inputs including desired production method, material, finish and quantity. Our proprietary technology provides real-time pricing and delivery quotes for buyers and real-time offers for sellers. One of our proprietary platform software modules enables 3D Geometry and feature recognition, analyzing and understanding complex geometries in seconds to enhance our pricing accuracy, identify issues in part designs, and match manufacturing orders with sellers that have a proven track record with similar material, size and feature sets. Sellers can confirm order, price and related logistics in a single click through our intuitive user application, masking the complexity associated with our AI pricing algorithms.</w:t>
      </w:r>
    </w:p>
    <w:p>
      <w:pPr>
        <w:spacing w:after="0" w:line="185"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Efficient Sourcing. </w:t>
      </w:r>
      <w:r>
        <w:rPr>
          <w:rFonts w:ascii="Arial" w:cs="Arial" w:eastAsia="Arial" w:hAnsi="Arial"/>
          <w:sz w:val="18"/>
          <w:szCs w:val="18"/>
          <w:color w:val="auto"/>
        </w:rPr>
        <w:t>Our technology enables buyers to efficiently source manufacturing processes based on a variety of criteria,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manufacturing capability, materials, tools, project complexity, lead time, and seller capacity. After a buyer uploads a CAD file, our Design for Manufacturability (DFM) tool instantly identifies process requirements and feature complexity to help inform sellers about the manufacturing opportunity. Additionally, buyers and sellers can indicate their own preferences, which helps facilitate better sourcing opportunities on our platform. For example, buyers can specify requirements around credentialing for the facilities in which projects are produced, how the materials are sourced or the production quality standard to which the parts are held. Sellers also have the opportunity to do repeat work with a buyer on a particular opportunity after a successful first transaction.</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Manufacturing Processes</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Our platform is highly extensible, allowing us to onboard sellers with new manufacturing processes so that we can cover more of the manufacturing industry over time. Sellers on our platform offer a wide range of key manufacturing processes, which include CNC manufacturing, sheet metal manufacturing, 3D printing, sheet metal fabrication, die casting, injection molding and urethane casting, among others. These processes require specific training, expertise and equipment and can also be combined with the over 50 finishes and thousands of raw material and color combinations we offer.</w:t>
      </w:r>
    </w:p>
    <w:p>
      <w:pPr>
        <w:spacing w:after="0" w:line="86" w:lineRule="exact"/>
        <w:rPr>
          <w:sz w:val="20"/>
          <w:szCs w:val="20"/>
          <w:color w:val="auto"/>
        </w:rPr>
      </w:pPr>
    </w:p>
    <w:p>
      <w:pPr>
        <w:jc w:val="both"/>
        <w:ind w:left="880" w:right="80" w:hanging="224"/>
        <w:spacing w:after="0" w:line="253"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CNC Machining </w:t>
      </w:r>
      <w:r>
        <w:rPr>
          <w:rFonts w:ascii="Arial" w:cs="Arial" w:eastAsia="Arial" w:hAnsi="Arial"/>
          <w:sz w:val="18"/>
          <w:szCs w:val="18"/>
          <w:color w:val="auto"/>
        </w:rPr>
        <w:t>uses computer-assisted machine tools to produce components with precision tolerances, surface finishes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post-processing requirements. Our CNC machining processes include, but are not limited to, multi-axis milling, swiss machining and lathe work.</w:t>
      </w:r>
    </w:p>
    <w:p>
      <w:pPr>
        <w:spacing w:after="0" w:line="74" w:lineRule="exact"/>
        <w:rPr>
          <w:rFonts w:ascii="Arial" w:cs="Arial" w:eastAsia="Arial" w:hAnsi="Arial"/>
          <w:sz w:val="18"/>
          <w:szCs w:val="18"/>
          <w:color w:val="auto"/>
        </w:rPr>
      </w:pPr>
    </w:p>
    <w:p>
      <w:pPr>
        <w:ind w:left="880" w:right="920" w:hanging="224"/>
        <w:spacing w:after="0" w:line="271"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Injection Molding </w:t>
      </w:r>
      <w:r>
        <w:rPr>
          <w:rFonts w:ascii="Arial" w:cs="Arial" w:eastAsia="Arial" w:hAnsi="Arial"/>
          <w:sz w:val="18"/>
          <w:szCs w:val="18"/>
          <w:color w:val="auto"/>
        </w:rPr>
        <w:t>uses custom molds to make plastic parts at scale, with the highest variety of materials, colors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configurations.</w:t>
      </w:r>
    </w:p>
    <w:p>
      <w:pPr>
        <w:spacing w:after="0" w:line="59" w:lineRule="exact"/>
        <w:rPr>
          <w:rFonts w:ascii="Arial" w:cs="Arial" w:eastAsia="Arial" w:hAnsi="Arial"/>
          <w:sz w:val="18"/>
          <w:szCs w:val="18"/>
          <w:color w:val="auto"/>
        </w:rPr>
      </w:pPr>
    </w:p>
    <w:p>
      <w:pPr>
        <w:ind w:left="880" w:right="320" w:hanging="224"/>
        <w:spacing w:after="0" w:line="271"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Urethane Casting </w:t>
      </w:r>
      <w:r>
        <w:rPr>
          <w:rFonts w:ascii="Arial" w:cs="Arial" w:eastAsia="Arial" w:hAnsi="Arial"/>
          <w:sz w:val="18"/>
          <w:szCs w:val="18"/>
          <w:color w:val="auto"/>
        </w:rPr>
        <w:t>uses 3D printed master pattern and silicone molds to deliver high-quality, short-run parts with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mechanical properties.</w:t>
      </w:r>
    </w:p>
    <w:p>
      <w:pPr>
        <w:spacing w:after="0" w:line="59"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3D Printing </w:t>
      </w:r>
      <w:r>
        <w:rPr>
          <w:rFonts w:ascii="Arial" w:cs="Arial" w:eastAsia="Arial" w:hAnsi="Arial"/>
          <w:sz w:val="18"/>
          <w:szCs w:val="18"/>
          <w:color w:val="auto"/>
        </w:rPr>
        <w:t>uses a wide variety of 3D printing and additive manufacturing processes to make a variety of metal and plastic</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Our 3D printing processes include FDM, DMLS, PolyJet, SLA, SLS, binder jetting, DLS and MJF.</w:t>
      </w:r>
    </w:p>
    <w:p>
      <w:pPr>
        <w:spacing w:after="0" w:line="59" w:lineRule="exact"/>
        <w:rPr>
          <w:rFonts w:ascii="Arial" w:cs="Arial" w:eastAsia="Arial" w:hAnsi="Arial"/>
          <w:sz w:val="18"/>
          <w:szCs w:val="18"/>
          <w:color w:val="auto"/>
        </w:rPr>
      </w:pPr>
    </w:p>
    <w:p>
      <w:pPr>
        <w:ind w:left="880" w:right="20" w:hanging="224"/>
        <w:spacing w:after="0" w:line="271"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Sheet Metal and Weldment Fabrication </w:t>
      </w:r>
      <w:r>
        <w:rPr>
          <w:rFonts w:ascii="Arial" w:cs="Arial" w:eastAsia="Arial" w:hAnsi="Arial"/>
          <w:sz w:val="18"/>
          <w:szCs w:val="18"/>
          <w:color w:val="auto"/>
        </w:rPr>
        <w:t>uses a variety of techniques, including press brake work, punches, laser cutting, water</w:t>
      </w:r>
      <w:r>
        <w:rPr>
          <w:rFonts w:ascii="Arial" w:cs="Arial" w:eastAsia="Arial" w:hAnsi="Arial"/>
          <w:sz w:val="18"/>
          <w:szCs w:val="18"/>
          <w:b w:val="1"/>
          <w:bCs w:val="1"/>
          <w:color w:val="auto"/>
        </w:rPr>
        <w:t xml:space="preserve"> </w:t>
      </w:r>
      <w:r>
        <w:rPr>
          <w:rFonts w:ascii="Arial" w:cs="Arial" w:eastAsia="Arial" w:hAnsi="Arial"/>
          <w:sz w:val="18"/>
          <w:szCs w:val="18"/>
          <w:color w:val="auto"/>
        </w:rPr>
        <w:t>jet cutting, plasma cutting and custom welding, to create components from sheet metal.</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Die Casting </w:t>
      </w:r>
      <w:r>
        <w:rPr>
          <w:rFonts w:ascii="Arial" w:cs="Arial" w:eastAsia="Arial" w:hAnsi="Arial"/>
          <w:sz w:val="18"/>
          <w:szCs w:val="18"/>
          <w:color w:val="auto"/>
        </w:rPr>
        <w:t>uses metal dies for producing high volumes of relatively complex metal parts.</w:t>
      </w: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Carbon Offset Program</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globally.</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Xometry Flywheel</w:t>
      </w:r>
    </w:p>
    <w:p>
      <w:pPr>
        <w:spacing w:after="0" w:line="23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AI-enabled technology platform carefully facilitates and analyzes the many interactions with our buyers and our sellers to deliver a high-quality and seamless end-to-end experience for both buyers and sellers. Each order that is fulfilled on our marketplace provides data that is analyzed by our machine learning algorithms to hone pricing and lead time quotes for buyers. As more buyers join the platform, more sellers are drawn to the platform since more manufacturing opportunities are available, which in turn drives more buyers and additional growth. The growth of our platform drives more data through our machine learning algorithms. The continuous learning of our AI improves the experiences of buyers and sellers and makes our platform more intelligent and efficient. Our increased efficiency, driven by our ability to better predict pricing, is designed to, over time, drive greater gross margins. Furthermore, as buyers and sellers engage more with our platform, we are able to add more tailored products and partnerships that support their business growth, leading to even higher engagement and marketplace efficiency. The flywheel effect created by self-reinforcing AI increases the economic opportunity that can be shared by buyers and sellers over time.</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Additional Seller Offerings</w:t>
      </w:r>
    </w:p>
    <w:p>
      <w:pPr>
        <w:spacing w:after="0" w:line="239" w:lineRule="exact"/>
        <w:rPr>
          <w:sz w:val="20"/>
          <w:szCs w:val="20"/>
          <w:color w:val="auto"/>
        </w:rPr>
      </w:pPr>
    </w:p>
    <w:p>
      <w:pPr>
        <w:ind w:left="880" w:right="6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Repair and Operations. </w:t>
      </w:r>
      <w:r>
        <w:rPr>
          <w:rFonts w:ascii="Arial" w:cs="Arial" w:eastAsia="Arial" w:hAnsi="Arial"/>
          <w:sz w:val="18"/>
          <w:szCs w:val="18"/>
          <w:color w:val="auto"/>
        </w:rPr>
        <w:t>For sellers, having the right tools, materials and supplies to complete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is essential to being competitive and growing their businesses. Through Xometry Supplies, which we launched in 2019, we provide our sellers with access to experienced suppliers who sell competitively priced goods from leading brands. Our sellers receive access to discounts for tools and supplies to help reduce their operating costs and achieve greater margin control. We also use our platform to gather insights into a seller’s future needs for materials so they can begin the quoting process for more opportunities. Our platform then intelligently matches sellers that have the right combination of tools, raw materials and finishes to get a particular job done. We plan to continue offering more resource management and predictive sourcing solutions to sellers to help them improve their capabilities and enhance their operations.</w:t>
      </w:r>
    </w:p>
    <w:p>
      <w:pPr>
        <w:spacing w:after="0" w:line="85"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Products and Services. </w:t>
      </w:r>
      <w:r>
        <w:rPr>
          <w:rFonts w:ascii="Arial" w:cs="Arial" w:eastAsia="Arial" w:hAnsi="Arial"/>
          <w:sz w:val="18"/>
          <w:szCs w:val="18"/>
          <w:color w:val="auto"/>
        </w:rPr>
        <w:t>In mid-2020, we launched a suite of financial products and services to help our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 cash flow at all stages of job production. We alleviate the upfront cash strain many sellers face through the Xometry Advance Card, which generally gives sellers up to 30% of their job payment in advance to help them cover the cost of tools and materials. Through FastPay, we offer a fee-based service through which sellers can receive accelerated payment as quickly as 3 business days after completing work. Furthermore, with our financial products, sellers can create a digital storefront, automate their invoicing and offer their customers credit limits. In addition, sellers can elect to have their payouts guaranteed by us, which are underwritten by a third-party. These services help sellers manage their business more efficiently.</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2020, 40% of active sellers used our seller services.</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connected over 43,000 buyers, including nearly 30% of the Fortune 500, and nearly 5,000 sellers of a variety of sizes.</w:t>
      </w:r>
    </w:p>
    <w:p>
      <w:pPr>
        <w:spacing w:after="0" w:line="21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buyers include engineers, product designers, procurement and supply chain personnel, inventors and business owners from businesses of a variety of sizes, ranging from self-funded start-ups to Fortune 100 companies. We enable buyers to source a broad array of manufacturing processes to meet complex and specific design and order needs across several industries, including Aerospace and Defense, Healthcare, Automotive, Consumer Goods, Industrial, Robotics, Government and Education. We generate substantially all of our revenue from the prices we charge our buyers on our platform. Buyers begin by uploading an engineering schematic that contains 3D design specifications, referred to as a CAD file. Then, we price transactions through our AI-enabled instant quoting engine based on factors such as volume, manufacturing process, material and location. The convenience and transparency of the model leads to increasing buyer stickiness and spend over time. Since inception, over 6.0 million parts have been manufactured through our platform. For the quarter ended December 31, 2020, we generated 95% of our revenue from existing accounts. We define an existing account as an account where at least one buyer has made a purchase on our marketplace.</w:t>
      </w:r>
    </w:p>
    <w:p>
      <w:pPr>
        <w:spacing w:after="0" w:line="206" w:lineRule="exact"/>
        <w:rPr>
          <w:sz w:val="20"/>
          <w:szCs w:val="20"/>
          <w:color w:val="auto"/>
        </w:rPr>
      </w:pPr>
    </w:p>
    <w:p>
      <w:pPr>
        <w:jc w:val="both"/>
        <w:ind w:left="120" w:right="220" w:firstLine="551"/>
        <w:spacing w:after="0" w:line="238" w:lineRule="auto"/>
        <w:rPr>
          <w:sz w:val="20"/>
          <w:szCs w:val="20"/>
          <w:color w:val="auto"/>
        </w:rPr>
      </w:pPr>
      <w:r>
        <w:rPr>
          <w:rFonts w:ascii="Arial" w:cs="Arial" w:eastAsia="Arial" w:hAnsi="Arial"/>
          <w:sz w:val="18"/>
          <w:szCs w:val="18"/>
          <w:color w:val="auto"/>
        </w:rPr>
        <w:t>We empower sellers to grow their manufacturing businesses and expand machine uptime by providing access to an international base of buyers. We also offer supporting products and services designed to meet our sellers’ unique needs. Our seller offerings include financial services that enable sellers to stabilize and enhance their cash flows, discounts on tools and materials that allow them to lower their operating costs and resource management tools to optimize their business.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concluded that we are principal in the sale of part(s) and assemblies that use our network of third-party manufacturers because we control the manufacturing by obtaining a right to direct a third-party manufacturer to fulfill the performance obligation we have with our customer on our behalf. We considered the following conditions of the sale: (i) we have the obligation of providing the specified product to the customer, (ii) we have discretion with respect to establishing the price of the product and the price we pay our sellers and we have margin risk on all of our sales, (iii) we have discretion in determining how to fulfill each order, including selecting the seller and (iv) we bear certain risk for product quality to the extent the buyer is not satisfied with the final product. Our revenue from recently launched seller services offerings has not been a material driver of our revenues to date; however, we expect revenue from seller services to grow over time. Our gross margin is primarily the result of the sales price that the buyer has paid us less the amount that we paid the seller to produce the goods. The substantial majority of our cost of revenue are the costs that we pay our sellers to manufacture the products for our buyers.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Why Buyers Win</w:t>
      </w:r>
    </w:p>
    <w:p>
      <w:pPr>
        <w:spacing w:after="0" w:line="239" w:lineRule="exact"/>
        <w:rPr>
          <w:sz w:val="20"/>
          <w:szCs w:val="20"/>
          <w:color w:val="auto"/>
        </w:rPr>
      </w:pPr>
    </w:p>
    <w:p>
      <w:pPr>
        <w:ind w:left="880" w:hanging="224"/>
        <w:spacing w:after="0" w:line="266"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40" w:hanging="224"/>
        <w:spacing w:after="0" w:line="24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w:t>
      </w:r>
    </w:p>
    <w:p>
      <w:pPr>
        <w:spacing w:after="0" w:line="79" w:lineRule="exact"/>
        <w:rPr>
          <w:rFonts w:ascii="Arial" w:cs="Arial" w:eastAsia="Arial" w:hAnsi="Arial"/>
          <w:sz w:val="18"/>
          <w:szCs w:val="18"/>
          <w:color w:val="auto"/>
        </w:rPr>
      </w:pPr>
    </w:p>
    <w:p>
      <w:pPr>
        <w:ind w:left="880" w:right="80" w:hanging="224"/>
        <w:spacing w:after="0" w:line="266"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a Massive Network of Sellers. </w:t>
      </w:r>
      <w:r>
        <w:rPr>
          <w:rFonts w:ascii="Arial" w:cs="Arial" w:eastAsia="Arial" w:hAnsi="Arial"/>
          <w:sz w:val="17"/>
          <w:szCs w:val="17"/>
          <w:color w:val="auto"/>
        </w:rPr>
        <w:t>We provide buyers access to the massive, global network of sellers on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deep network alongside a personalized user experience allows buyers to submit projects with unique 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64" w:lineRule="exact"/>
        <w:rPr>
          <w:rFonts w:ascii="Arial" w:cs="Arial" w:eastAsia="Arial" w:hAnsi="Arial"/>
          <w:sz w:val="17"/>
          <w:szCs w:val="17"/>
          <w:color w:val="auto"/>
        </w:rPr>
      </w:pPr>
    </w:p>
    <w:p>
      <w:pPr>
        <w:ind w:left="880" w:right="120" w:hanging="224"/>
        <w:spacing w:after="0" w:line="24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Suite of Industry-Specific Solutions. </w:t>
      </w:r>
      <w:r>
        <w:rPr>
          <w:rFonts w:ascii="Arial" w:cs="Arial" w:eastAsia="Arial" w:hAnsi="Arial"/>
          <w:sz w:val="18"/>
          <w:szCs w:val="18"/>
          <w:color w:val="auto"/>
        </w:rPr>
        <w:t>We offer a wide range of traditional and emerging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for customized solutions across massive industries, including Defense, Healthcare, Automotive, Consumer Goods, Industrial, Robotics, Government and Education. The extensibility of our platform allows us to build industry playbooks and add new processes over time.</w:t>
      </w:r>
    </w:p>
    <w:p>
      <w:pPr>
        <w:spacing w:after="0" w:line="79" w:lineRule="exact"/>
        <w:rPr>
          <w:rFonts w:ascii="Arial" w:cs="Arial" w:eastAsia="Arial" w:hAnsi="Arial"/>
          <w:sz w:val="18"/>
          <w:szCs w:val="18"/>
          <w:color w:val="auto"/>
        </w:rPr>
      </w:pPr>
    </w:p>
    <w:p>
      <w:pPr>
        <w:ind w:left="880" w:right="200" w:hanging="224"/>
        <w:spacing w:after="0" w:line="24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embedding our 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79" w:lineRule="exact"/>
        <w:rPr>
          <w:rFonts w:ascii="Arial" w:cs="Arial" w:eastAsia="Arial" w:hAnsi="Arial"/>
          <w:sz w:val="18"/>
          <w:szCs w:val="18"/>
          <w:color w:val="auto"/>
        </w:rPr>
      </w:pPr>
    </w:p>
    <w:p>
      <w:pPr>
        <w:ind w:left="880" w:right="100" w:hanging="224"/>
        <w:spacing w:after="0" w:line="253"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carbon used to make their parts. We purchase carbon credits to offset 100% of the estimated impact of the shipment of parts to buyers from sellers, making ESG core to our marketplace and each transaction.</w:t>
      </w:r>
    </w:p>
    <w:p>
      <w:pPr>
        <w:spacing w:after="0" w:line="74" w:lineRule="exact"/>
        <w:rPr>
          <w:rFonts w:ascii="Arial" w:cs="Arial" w:eastAsia="Arial" w:hAnsi="Arial"/>
          <w:sz w:val="18"/>
          <w:szCs w:val="18"/>
          <w:color w:val="auto"/>
        </w:rPr>
      </w:pPr>
    </w:p>
    <w:p>
      <w:pPr>
        <w:ind w:left="880" w:right="40" w:hanging="224"/>
        <w:spacing w:after="0" w:line="244"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Flexibility. </w:t>
      </w:r>
      <w:r>
        <w:rPr>
          <w:rFonts w:ascii="Arial" w:cs="Arial" w:eastAsia="Arial" w:hAnsi="Arial"/>
          <w:sz w:val="18"/>
          <w:szCs w:val="18"/>
          <w:color w:val="auto"/>
        </w:rPr>
        <w:t>We allow buyers to purchase any number of parts and services. From one part to millions, buyers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six manufacturing processes for rapid prototyping, product development, or high-volume production. These processes can also be combined with over 50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Why Sellers Win</w:t>
      </w:r>
    </w:p>
    <w:p>
      <w:pPr>
        <w:spacing w:after="0" w:line="239" w:lineRule="exact"/>
        <w:rPr>
          <w:sz w:val="20"/>
          <w:szCs w:val="20"/>
          <w:color w:val="auto"/>
        </w:rPr>
      </w:pPr>
    </w:p>
    <w:p>
      <w:pPr>
        <w:ind w:left="880" w:right="180" w:hanging="224"/>
        <w:spacing w:after="0" w:line="24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79"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accept the next repeat order in order to increase efficiency and reliability. Our ability to attract repeat buyers helps stabilize demand for sellers so they can operate their businesses more efficiently.</w:t>
      </w:r>
    </w:p>
    <w:p>
      <w:pPr>
        <w:spacing w:after="0" w:line="74" w:lineRule="exact"/>
        <w:rPr>
          <w:rFonts w:ascii="Arial" w:cs="Arial" w:eastAsia="Arial" w:hAnsi="Arial"/>
          <w:sz w:val="18"/>
          <w:szCs w:val="18"/>
          <w:color w:val="auto"/>
        </w:rPr>
      </w:pPr>
    </w:p>
    <w:p>
      <w:pPr>
        <w:ind w:left="880" w:right="80" w:hanging="224"/>
        <w:spacing w:after="0" w:line="275"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Operational Excellence. </w:t>
      </w:r>
      <w:r>
        <w:rPr>
          <w:rFonts w:ascii="Arial" w:cs="Arial" w:eastAsia="Arial" w:hAnsi="Arial"/>
          <w:sz w:val="17"/>
          <w:szCs w:val="17"/>
          <w:color w:val="auto"/>
        </w:rPr>
        <w:t>We aim to be a completely digital one-stop-shop for all workflow solutions for sellers. Our intuitive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application helps our sellers digitize their operations so they can work smarter and faster. We provide order management, shipping and collaboration tools, reducing friction for sellers and improving overall manufacturing order process efficiency.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20" w:hanging="224"/>
        <w:spacing w:after="0" w:line="24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new suite of financial services and Xometry maintenance, repair, and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partnerships help sellers enhance their cash flows and lower operating costs at all stages of production. Sellers can receive cash advances for their work, accelerated payouts and a seamless digital invoicing process in an industry that frequently still relies on analog payments that frequently result in delays. These services help sellers manage their business more efficiently.</w:t>
      </w:r>
    </w:p>
    <w:p>
      <w:pPr>
        <w:spacing w:after="0" w:line="79" w:lineRule="exact"/>
        <w:rPr>
          <w:rFonts w:ascii="Arial" w:cs="Arial" w:eastAsia="Arial" w:hAnsi="Arial"/>
          <w:sz w:val="18"/>
          <w:szCs w:val="18"/>
          <w:color w:val="auto"/>
        </w:rPr>
      </w:pPr>
    </w:p>
    <w:p>
      <w:pPr>
        <w:ind w:left="880" w:hanging="224"/>
        <w:spacing w:after="0" w:line="244"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Utilization. </w:t>
      </w:r>
      <w:r>
        <w:rPr>
          <w:rFonts w:ascii="Arial" w:cs="Arial" w:eastAsia="Arial" w:hAnsi="Arial"/>
          <w:sz w:val="18"/>
          <w:szCs w:val="18"/>
          <w:color w:val="auto"/>
        </w:rPr>
        <w:t>We are focused on helping sellers realize their potential by providing manufacturing opportunities that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procured 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81"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Our 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 In our most recent manufacturer survey, sellers showed a significant rebound in business confidence for manufacturers, with 56% reporting a mild to strong increase in business compared to the same time last year.</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Why We Win</w:t>
      </w:r>
    </w:p>
    <w:p>
      <w:pPr>
        <w:spacing w:after="0" w:line="117" w:lineRule="exact"/>
        <w:rPr>
          <w:sz w:val="20"/>
          <w:szCs w:val="20"/>
          <w:color w:val="auto"/>
        </w:rPr>
      </w:pPr>
    </w:p>
    <w:p>
      <w:pPr>
        <w:ind w:left="880" w:right="42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 Data and Constantly Improving AI Technology. </w:t>
      </w:r>
      <w:r>
        <w:rPr>
          <w:rFonts w:ascii="Arial" w:cs="Arial" w:eastAsia="Arial" w:hAnsi="Arial"/>
          <w:sz w:val="18"/>
          <w:szCs w:val="18"/>
          <w:color w:val="auto"/>
        </w:rPr>
        <w:t>In an industry that historically used intuition and basic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buyers and sellers.</w:t>
      </w:r>
    </w:p>
    <w:p>
      <w:pPr>
        <w:spacing w:after="0" w:line="90" w:lineRule="exact"/>
        <w:rPr>
          <w:rFonts w:ascii="Arial" w:cs="Arial" w:eastAsia="Arial" w:hAnsi="Arial"/>
          <w:sz w:val="18"/>
          <w:szCs w:val="18"/>
          <w:color w:val="auto"/>
        </w:rPr>
      </w:pPr>
    </w:p>
    <w:p>
      <w:pPr>
        <w:ind w:left="880" w:right="60" w:hanging="224"/>
        <w:spacing w:after="0" w:line="242"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Custom-Built, Extensible Platform. </w:t>
      </w:r>
      <w:r>
        <w:rPr>
          <w:rFonts w:ascii="Arial" w:cs="Arial" w:eastAsia="Arial" w:hAnsi="Arial"/>
          <w:sz w:val="18"/>
          <w:szCs w:val="18"/>
          <w:color w:val="auto"/>
        </w:rPr>
        <w:t>Our manufacturing processes and supply offerings are tailored to the complex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design and order needs of manufacturing. These custom offerings are powered by our diverse and growing seller network that contribute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 and seller businesses thrive.</w:t>
      </w:r>
    </w:p>
    <w:p>
      <w:pPr>
        <w:spacing w:after="0" w:line="84" w:lineRule="exact"/>
        <w:rPr>
          <w:rFonts w:ascii="Arial" w:cs="Arial" w:eastAsia="Arial" w:hAnsi="Arial"/>
          <w:sz w:val="18"/>
          <w:szCs w:val="18"/>
          <w:color w:val="auto"/>
        </w:rPr>
      </w:pPr>
    </w:p>
    <w:p>
      <w:pPr>
        <w:ind w:left="880" w:right="120" w:hanging="224"/>
        <w:spacing w:after="0" w:line="253"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largest on-demand manufacturing marketplace. As we continue to scale,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from a self-reinforcing, virtuous cycle, in which marketplace interactions contribute valuable data points and insights that improve our AI-enabled platform, increasing lifetime customer value and fueling strong unit economics.</w:t>
      </w:r>
    </w:p>
    <w:p>
      <w:pPr>
        <w:spacing w:after="0" w:line="74" w:lineRule="exact"/>
        <w:rPr>
          <w:rFonts w:ascii="Arial" w:cs="Arial" w:eastAsia="Arial" w:hAnsi="Arial"/>
          <w:sz w:val="18"/>
          <w:szCs w:val="18"/>
          <w:color w:val="auto"/>
        </w:rPr>
      </w:pPr>
    </w:p>
    <w:p>
      <w:pPr>
        <w:ind w:left="880" w:right="180" w:hanging="224"/>
        <w:spacing w:after="0" w:line="24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Buyer Engagement and Expansion. </w:t>
      </w:r>
      <w:r>
        <w:rPr>
          <w:rFonts w:ascii="Arial" w:cs="Arial" w:eastAsia="Arial" w:hAnsi="Arial"/>
          <w:sz w:val="18"/>
          <w:szCs w:val="18"/>
          <w:color w:val="auto"/>
        </w:rPr>
        <w:t>Our flexible ordering process allows us to land new customers and increases buyer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fueling an efficient go-to-market model. Over time, our accounts typically increase their spend with Xometry through the addition of buyers and incremental processes, increasing order frequency and spend. For the quarter ended December 31, 2020, 95% of our revenue was generated from existing accounts. We define an</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20"/>
        <w:spacing w:after="0" w:line="246" w:lineRule="auto"/>
        <w:rPr>
          <w:sz w:val="20"/>
          <w:szCs w:val="20"/>
          <w:color w:val="auto"/>
        </w:rPr>
      </w:pPr>
      <w:r>
        <w:rPr>
          <w:rFonts w:ascii="Arial" w:cs="Arial" w:eastAsia="Arial" w:hAnsi="Arial"/>
          <w:sz w:val="18"/>
          <w:szCs w:val="18"/>
          <w:color w:val="auto"/>
        </w:rPr>
        <w:t>existing account as an account where at least one buyer has made a purchase on our marketplace. We also saw a 46% year-over-year increase in accounts with at least $50,000 annual spend.</w:t>
      </w:r>
    </w:p>
    <w:p>
      <w:pPr>
        <w:spacing w:after="0" w:line="80" w:lineRule="exact"/>
        <w:rPr>
          <w:sz w:val="20"/>
          <w:szCs w:val="20"/>
          <w:color w:val="auto"/>
        </w:rPr>
      </w:pPr>
    </w:p>
    <w:p>
      <w:pPr>
        <w:ind w:left="880" w:right="60" w:hanging="224"/>
        <w:spacing w:after="0" w:line="24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nearly 5,000 sellers brings together a range of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industry-specific knowledge.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79" w:lineRule="exact"/>
        <w:rPr>
          <w:rFonts w:ascii="Arial" w:cs="Arial" w:eastAsia="Arial" w:hAnsi="Arial"/>
          <w:sz w:val="18"/>
          <w:szCs w:val="18"/>
          <w:color w:val="auto"/>
        </w:rPr>
      </w:pPr>
    </w:p>
    <w:p>
      <w:pPr>
        <w:ind w:left="880" w:right="200" w:hanging="224"/>
        <w:spacing w:after="0" w:line="24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Mission-Driven Culture. </w:t>
      </w:r>
      <w:r>
        <w:rPr>
          <w:rFonts w:ascii="Arial" w:cs="Arial" w:eastAsia="Arial" w:hAnsi="Arial"/>
          <w:sz w:val="18"/>
          <w:szCs w:val="18"/>
          <w:color w:val="auto"/>
        </w:rPr>
        <w:t>As we accelerate innovation in manufacturing, we remain focused on empowering local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Growth Strategy</w:t>
      </w:r>
    </w:p>
    <w:p>
      <w:pPr>
        <w:spacing w:after="0" w:line="23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grown significantly since our first transaction in 2014 and our importance to buyers and sellers in the global manufacturing market is evident in the volume and scale at which we now conduct business. We have accomplished a lot in just seven years, but we believe we still have a massive underpenetrated addressable opportunity ahead of us.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elements of our growth strategy include the following:</w:t>
      </w:r>
    </w:p>
    <w:p>
      <w:pPr>
        <w:spacing w:after="0" w:line="82"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b w:val="1"/>
          <w:bCs w:val="1"/>
          <w:color w:val="auto"/>
        </w:rPr>
        <w:t xml:space="preserve">Attract new buyers and grow wallet share with existing buyers. </w:t>
      </w:r>
      <w:r>
        <w:rPr>
          <w:rFonts w:ascii="Arial" w:cs="Arial" w:eastAsia="Arial" w:hAnsi="Arial"/>
          <w:sz w:val="18"/>
          <w:szCs w:val="18"/>
          <w:color w:val="auto"/>
        </w:rPr>
        <w:t>We intend to continue investing in acquiring new buyers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traditional paid sales and marketing techniques as well as leveraging our strong organic referral network to drive awareness and build trust. Once we acquire a buyer, we seek to expand the breadth and scale of the services sold to that buyer and leverage the relationship to gain additional users within the buyer’s account through a combination of product offerings, customer relationship marketing, sales and account management. In 2020, we had 386 accounts with at least $50,000 annual spend. We will remain focused on increasing wallet share with our existing buyers through a number of deliberate strategies. With each positive experience and the expansion of our manufacturing processes through acquiring new sellers we will continue building our buyers’ spend and opportunities on our marketplace. We will also leverage engagement tools including case studies and design-for-manufacturing content, and deliberate customer and sales support to ensure buyer needs are met and they feel supported throughout the entire transaction journey.</w:t>
      </w:r>
    </w:p>
    <w:p>
      <w:pPr>
        <w:spacing w:after="0" w:line="183"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our entire platform. We are focused on attracting new sellers, recognizing the massive opportunity still in front of us and the intrinsic benefit an active, diverse seller population brings to the overall platform. Sellers are essential to our buyers, our platform’s network effects and our reputation as a powerful partner to source on-demand manufacturing. Our enduring relationships help us to form new ones through strong referral networks and seller experiences. In particular, we are focused on ensuring that our seller network is diverse and sustainable, adding to our wide range of manufacturing processes. As of December 31, 2020, our sellers offered six key manufacturing processes. These processes can also be combined with over 50 finishes and thousands of raw material and color combinations. We will continue to extend our platform by attracting new sellers with the ability and expertise to deliver additional processes like extrusion, finishes and materials.</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color w:val="auto"/>
        </w:rPr>
        <w:t xml:space="preserve">Become an enterprise solution for our sellers. </w:t>
      </w:r>
      <w:r>
        <w:rPr>
          <w:rFonts w:ascii="Arial" w:cs="Arial" w:eastAsia="Arial" w:hAnsi="Arial"/>
          <w:sz w:val="18"/>
          <w:szCs w:val="18"/>
          <w:color w:val="auto"/>
        </w:rPr>
        <w:t>Over time, our data and corresponding ability to improve our AI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enabling us to provide increasingly sophisticated data insights and analytics to our sellers. With our workflow management software, sellers on and off our platform will be empowered with our AI-enabled pricing, lead time, and manufacturing tools for their manufacturing opportunities and available on their own websites. Sellers will be equipped with sophisticated order management, shipping, and collaboration tools, so that every job they execute, on and off our platform, can be centralized in one tool, increasing efficiency and helping to better predict capacity and revenue streams. For sellers active on our platform, our resourcing tools will enable us to offer intelligent procurement integrations, directed sourcing for materials and tools, and business management insights to help our sellers achieve their business goals and produce outstanding products for our buyers.</w:t>
      </w:r>
    </w:p>
    <w:p>
      <w:pPr>
        <w:spacing w:after="0" w:line="18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color w:val="auto"/>
        </w:rPr>
        <w:t xml:space="preserve">Enhance and offer additional seller products and services. </w:t>
      </w:r>
      <w:r>
        <w:rPr>
          <w:rFonts w:ascii="Arial" w:cs="Arial" w:eastAsia="Arial" w:hAnsi="Arial"/>
          <w:sz w:val="18"/>
          <w:szCs w:val="18"/>
          <w:color w:val="auto"/>
        </w:rPr>
        <w:t>Our seller products and services allow us to deepen seller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and increase engagement. For the year ended December 31, 2020, 40% of our active sellers used our seller services. In 2020, we introduced a new suite of financial services for sellers that offer us attractive growth opportunities as we aggressively market the Xometry Pay platform to all U.S. sellers, enhance features that allow quicker conversion of purchase orders to cash, and build toward a full-service digital wallet for sellers to use for payouts and purchases.</w:t>
      </w:r>
    </w:p>
    <w:p>
      <w:pPr>
        <w:spacing w:after="0" w:line="176"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like Xometry. With operations throughout the majority of the contiguous United States and customers in Europe and Asia we have established footholds in major markets around the world. For the years ended December 31, 2020 and 2019, we had sales to customers in 51 countries with over 95% of our revenue generated from buyers located in the United States. We believe our expanding geographic footprint presents an opportunity for future growth. We will continue to dedicate sales and marketing resources to develop our seller networks and attract buyers to our marketplace in other regions.</w:t>
      </w:r>
    </w:p>
    <w:p>
      <w:pPr>
        <w:spacing w:after="0" w:line="179"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for targeted investments and acquisitions to strengthen our competitive position and processes. In 2018, we acquired MakeTime, an on-demand manufacturing platform with enterprise expertise to bolster our enterprise capability. In 2019, we acquired Shift, a Munich-based startup, as part of our expansion into Europe. We will continue to evaluate and pursue strategic M&amp;A opportunities that are additive to our marketplace and technological capabilities or bring talent and experience to our team.</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Our sales ecosystem is designed to partner with our buyers and sellers, providing them with exceptional customer service and working in tandem to realize and to achieve their full potential on our platform.</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our buyers, we have dedicated enterprise and account management teams that are aligned by either expertise across one of our key verticals (Aerospace and Defense, Healthcare, Automotive, Consumer Goods, Industrial, Robotics, Government and Education) or based on first point of contact with our platform. All enterprise and account managers follow a defined sales process to ensure consistency in our approach and customer experience. We leverage the RFM (Recency, Frequency and Monetary) model, Lifetime Value data and other data points like lead scoring to better understand their unique needs, challenges and goals and to drive higher engagement with our platform.</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our sellers, our team leverages our diverse product offerings to create a powerful and integrated sales and marketing funnel. All sellers are supported through dedicated operations and partner management teams. These teams are embedded within our Sales and Marketing function to ensure full knowledge of products and seller support at all stages, from invoicing to job sourcing as well as identifying opportunities for cross-sales or advancement down the funnel. Sales representatives support sellers from the initial education process with accessible content on business operations, manufacturing processes, and our platform, through any materials procurement leveraging our competitively priced recommendations on Xometry Supplies and finally to introducing our financial services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use highly targeted, SEO-optimized, engineering and supply chain content and digital advertising to drive awareness and build trust. We work with our buyers and sellers to build and share success stories, case-studies, design guides, how-to videos, webinars and other helpful content for our target audience. For our buyers specifically, we also utilize video, radio, podcasts and other digital marketing to engage with key influencers and communities where on-demand manufacturing content is highly relevant. Our unaided brand awareness as a provider of 3D manufacturing services among manufacturing professionals has more than doubled between 2018 (12%) and 2020 (26%) according to Digital Engineering. For our sellers specifically, our content is amplified through social media traffic (paid and earned), content partnerships with machining influencers and a strong presence in leading manufacturing publications and podcasts, as well as both in-person and virtual events.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Technology</w:t>
      </w:r>
    </w:p>
    <w:p>
      <w:pPr>
        <w:spacing w:after="0" w:line="234"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We utilize AI and machine learning to continuously improve the speed and accuracy of our pricing and placement activity. Our use of services-oriented architecture and cloud infrastructure ensures scalability and helps reduce the time to market for new features. We are able to easily test new features and validate product/market fit prior to large scale introduction.</w:t>
      </w:r>
    </w:p>
    <w:p>
      <w:pPr>
        <w:spacing w:after="0" w:line="181"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User research, data science and experimentation are critical to increasing the efficiency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on-demand manufacturing and are the core of everything we do. We rely on user research, data science, machine learning, and A/B and multivariate testing to continually improve user experiences, develop new offerings, drive optimization, and create operating leverage across our ecommerce and marketplace platform. We utilize data to increase the effectiveness of our brand and performance marketing, enhance the customer experience, analyze market dynamics at scale, and to calibrate our pricing. We also use data science for experimentation allowing us to fine tune our supply, sourcing and logistics models.</w:t>
      </w:r>
    </w:p>
    <w:p>
      <w:pPr>
        <w:spacing w:after="0" w:line="179"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b w:val="1"/>
          <w:bCs w:val="1"/>
          <w:color w:val="auto"/>
        </w:rPr>
        <w:t xml:space="preserve">Data Analytics. </w:t>
      </w:r>
      <w:r>
        <w:rPr>
          <w:rFonts w:ascii="Arial" w:cs="Arial" w:eastAsia="Arial" w:hAnsi="Arial"/>
          <w:sz w:val="18"/>
          <w:szCs w:val="18"/>
          <w:color w:val="auto"/>
        </w:rPr>
        <w:t>In an industry that historically used intuition and basic industry-wide data to drive purchasing and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we are moving our customers from intuition to predictive algorithms. We are expanding and continuously improving our access to data, employing data science and machine learning across our business to maximize efficiency. Our proprietary technology, machine learning and data analytics models continuously optimize our marketing investments and conversion funnel.</w:t>
      </w:r>
    </w:p>
    <w:p>
      <w:pPr>
        <w:spacing w:after="0" w:line="17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A key element of our proprietary platform is software that is capable of 3D Geometry and feature recognition, enabling</w:t>
      </w:r>
      <w:r>
        <w:rPr>
          <w:rFonts w:ascii="Arial" w:cs="Arial" w:eastAsia="Arial" w:hAnsi="Arial"/>
          <w:sz w:val="18"/>
          <w:szCs w:val="18"/>
          <w:b w:val="1"/>
          <w:bCs w:val="1"/>
          <w:color w:val="auto"/>
        </w:rPr>
        <w:t xml:space="preserve"> </w:t>
      </w:r>
      <w:r>
        <w:rPr>
          <w:rFonts w:ascii="Arial" w:cs="Arial" w:eastAsia="Arial" w:hAnsi="Arial"/>
          <w:sz w:val="18"/>
          <w:szCs w:val="18"/>
          <w:color w:val="auto"/>
        </w:rPr>
        <w:t>us to capitalize on the overall digitization of the manufacturing industry. Our platform analyzes and understands complex geometries in seconds, enhancing our pricing accuracy, identifying issues in part designs, and matching manufacturing orders with suppliers who have a proven track record with similar material, size and feature sets. This creates greater price transparency for both buyers and sellers and helps us find the best match for each order in real time.</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Product Development</w:t>
      </w:r>
    </w:p>
    <w:p>
      <w:pPr>
        <w:spacing w:after="0" w:line="23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product development efforts are focused on the following priorities that will help us achieve our plans for growth and enable our marketplace. The data received throughout the development, beta testing, and post implementation processes helps inform our future product development priorities and technology pipeline.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our leading priorities are:</w:t>
      </w:r>
    </w:p>
    <w:p>
      <w:pPr>
        <w:spacing w:after="0" w:line="8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b w:val="1"/>
          <w:bCs w:val="1"/>
          <w:color w:val="auto"/>
        </w:rPr>
        <w:t>Enterprise integration</w:t>
      </w:r>
      <w:r>
        <w:rPr>
          <w:rFonts w:ascii="Arial" w:cs="Arial" w:eastAsia="Arial" w:hAnsi="Arial"/>
          <w:sz w:val="18"/>
          <w:szCs w:val="18"/>
          <w:color w:val="auto"/>
        </w:rPr>
        <w:t>. We are pursuing a strategy to further embed our platform into our various buyers’ workflows—whether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instant pricing available inside CAD software from Dassault, Autodesk, and PTC or streamlined purchasing support in procurement software like Ariba and Coupa. This is made possible by “productizing” our internal AI and workflow engine for novel uses.</w:t>
      </w:r>
    </w:p>
    <w:p>
      <w:pPr>
        <w:spacing w:after="0" w:line="169"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b w:val="1"/>
          <w:bCs w:val="1"/>
          <w:color w:val="auto"/>
        </w:rPr>
        <w:t xml:space="preserve">Seller Services. </w:t>
      </w:r>
      <w:r>
        <w:rPr>
          <w:rFonts w:ascii="Arial" w:cs="Arial" w:eastAsia="Arial" w:hAnsi="Arial"/>
          <w:sz w:val="18"/>
          <w:szCs w:val="18"/>
          <w:color w:val="auto"/>
        </w:rPr>
        <w:t>Financial products, sales and marketing support, and access to our proprietary algorithms are all ways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can improve the seller experience and increase efficiency of our network and marketplace. These new products and services are prioritized by our product development teams.</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Values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prioritize the following core values:</w:t>
      </w:r>
    </w:p>
    <w:p>
      <w:pPr>
        <w:spacing w:after="0" w:line="82"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b w:val="1"/>
          <w:bCs w:val="1"/>
          <w:color w:val="auto"/>
        </w:rPr>
        <w:t xml:space="preserve">We are customer and partner focused. </w:t>
      </w:r>
      <w:r>
        <w:rPr>
          <w:rFonts w:ascii="Arial" w:cs="Arial" w:eastAsia="Arial" w:hAnsi="Arial"/>
          <w:sz w:val="18"/>
          <w:szCs w:val="18"/>
          <w:color w:val="auto"/>
        </w:rPr>
        <w:t>Customer satisfaction drives our business and we are singularly focused on building a</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that benefits our buyers and sellers. We have created a marketplace in which the success of our buyers and sellers is interdependent, and we will continue to seek new and creative ways to serve the evolving needs of our ecosystem. As the ancient Greek poet Archilochus of Paros wrote, “The fox knows many things, but the hedgehog knows one big thing.” We are hedgehogs, not foxes.</w:t>
      </w:r>
    </w:p>
    <w:p>
      <w:pPr>
        <w:spacing w:after="0" w:line="174" w:lineRule="exact"/>
        <w:rPr>
          <w:sz w:val="20"/>
          <w:szCs w:val="20"/>
          <w:color w:val="auto"/>
        </w:rPr>
      </w:pPr>
    </w:p>
    <w:p>
      <w:pPr>
        <w:ind w:left="120" w:right="140" w:firstLine="551"/>
        <w:spacing w:after="0" w:line="253" w:lineRule="auto"/>
        <w:rPr>
          <w:sz w:val="20"/>
          <w:szCs w:val="20"/>
          <w:color w:val="auto"/>
        </w:rPr>
      </w:pPr>
      <w:r>
        <w:rPr>
          <w:rFonts w:ascii="Arial" w:cs="Arial" w:eastAsia="Arial" w:hAnsi="Arial"/>
          <w:sz w:val="18"/>
          <w:szCs w:val="18"/>
          <w:b w:val="1"/>
          <w:bCs w:val="1"/>
          <w:color w:val="auto"/>
        </w:rPr>
        <w:t xml:space="preserve">We enable equitable manufacturing. </w:t>
      </w:r>
      <w:r>
        <w:rPr>
          <w:rFonts w:ascii="Arial" w:cs="Arial" w:eastAsia="Arial" w:hAnsi="Arial"/>
          <w:sz w:val="18"/>
          <w:szCs w:val="18"/>
          <w:color w:val="auto"/>
        </w:rPr>
        <w:t>We serve businesses of a variety of sizes, from Fortune 100 companies to brand-new</w:t>
      </w:r>
      <w:r>
        <w:rPr>
          <w:rFonts w:ascii="Arial" w:cs="Arial" w:eastAsia="Arial" w:hAnsi="Arial"/>
          <w:sz w:val="18"/>
          <w:szCs w:val="18"/>
          <w:b w:val="1"/>
          <w:bCs w:val="1"/>
          <w:color w:val="auto"/>
        </w:rPr>
        <w:t xml:space="preserve"> </w:t>
      </w:r>
      <w:r>
        <w:rPr>
          <w:rFonts w:ascii="Arial" w:cs="Arial" w:eastAsia="Arial" w:hAnsi="Arial"/>
          <w:sz w:val="18"/>
          <w:szCs w:val="18"/>
          <w:color w:val="auto"/>
        </w:rPr>
        <w:t>start-ups, providing demonstrable value by increasing efficiency and accelerating speed to market. We aspire to revolutionize how global manufacturing functions in a digital world.</w:t>
      </w:r>
    </w:p>
    <w:p>
      <w:pPr>
        <w:spacing w:after="0" w:line="169" w:lineRule="exact"/>
        <w:rPr>
          <w:sz w:val="20"/>
          <w:szCs w:val="20"/>
          <w:color w:val="auto"/>
        </w:rPr>
      </w:pPr>
    </w:p>
    <w:p>
      <w:pPr>
        <w:ind w:left="120" w:right="480" w:firstLine="551"/>
        <w:spacing w:after="0" w:line="247" w:lineRule="auto"/>
        <w:rPr>
          <w:sz w:val="20"/>
          <w:szCs w:val="20"/>
          <w:color w:val="auto"/>
        </w:rPr>
      </w:pPr>
      <w:r>
        <w:rPr>
          <w:rFonts w:ascii="Arial" w:cs="Arial" w:eastAsia="Arial" w:hAnsi="Arial"/>
          <w:sz w:val="18"/>
          <w:szCs w:val="18"/>
          <w:b w:val="1"/>
          <w:bCs w:val="1"/>
          <w:color w:val="auto"/>
        </w:rPr>
        <w:t xml:space="preserve">We are people focused. </w:t>
      </w:r>
      <w:r>
        <w:rPr>
          <w:rFonts w:ascii="Arial" w:cs="Arial" w:eastAsia="Arial" w:hAnsi="Arial"/>
          <w:sz w:val="18"/>
          <w:szCs w:val="18"/>
          <w:color w:val="auto"/>
        </w:rPr>
        <w:t>Our employees are critical to our success. We embrace our team members for who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celebrating and leveraging the diversity of their backgrounds as a point of strength. We thrive as a business with excited, driven colleagues, who push and challenge each other and force us to continually improve as a business. Xometry invests in programs and systems to ensure we are a favorite place to work and that our work environment attracts and retains key talent.</w:t>
      </w:r>
    </w:p>
    <w:p>
      <w:pPr>
        <w:spacing w:after="0" w:line="174"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b w:val="1"/>
          <w:bCs w:val="1"/>
          <w:color w:val="auto"/>
        </w:rPr>
        <w:t xml:space="preserve">We are a company of doers. </w:t>
      </w:r>
      <w:r>
        <w:rPr>
          <w:rFonts w:ascii="Arial" w:cs="Arial" w:eastAsia="Arial" w:hAnsi="Arial"/>
          <w:sz w:val="18"/>
          <w:szCs w:val="18"/>
          <w:color w:val="auto"/>
        </w:rPr>
        <w:t>Talk is great, but action is better. We empower our team to take actions at every level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will benefit our marketplace, our customers, and our platform. We believe that the next big product idea or process innovation can come from anyone in our organization and because of that Xometry fosters a collaborative environment where employees can freely develop and exchange innovative concepts. We believe in “initiate, own and execute.”</w:t>
      </w:r>
    </w:p>
    <w:p>
      <w:pPr>
        <w:spacing w:after="0" w:line="17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b w:val="1"/>
          <w:bCs w:val="1"/>
          <w:color w:val="auto"/>
        </w:rPr>
        <w:t xml:space="preserve">We create efficiencies. </w:t>
      </w:r>
      <w:r>
        <w:rPr>
          <w:rFonts w:ascii="Arial" w:cs="Arial" w:eastAsia="Arial" w:hAnsi="Arial"/>
          <w:sz w:val="18"/>
          <w:szCs w:val="18"/>
          <w:color w:val="auto"/>
        </w:rPr>
        <w:t>We seek to transform the complex global manufacturing market with simple to use solutions.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in reducing friction and increasing efficiency through the smart use of artificial intelligence, our talented team and our industry expertise. We acknowledge this a difficult task and we continue to aim for this ambitious target.</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Employees</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90 employees. Our employees are continuously innovating, and our structure rewards productivity. We also encourage employees to invest in themselves by contributing to continuing education tuition. As of March 31, 2021, we had 386 employees.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Commitment to Diversity and Inclusion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committed to growing and empowering inclusive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82"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b w:val="1"/>
          <w:bCs w:val="1"/>
          <w:color w:val="auto"/>
        </w:rPr>
        <w:t>Diverse Manufacturers</w:t>
      </w:r>
      <w:r>
        <w:rPr>
          <w:rFonts w:ascii="Arial" w:cs="Arial" w:eastAsia="Arial" w:hAnsi="Arial"/>
          <w:sz w:val="18"/>
          <w:szCs w:val="18"/>
          <w:color w:val="auto"/>
        </w:rPr>
        <w:t>. We help to provide work to thousands of small machine shops that typically do not have exposure to</w:t>
      </w:r>
      <w:r>
        <w:rPr>
          <w:rFonts w:ascii="Arial" w:cs="Arial" w:eastAsia="Arial" w:hAnsi="Arial"/>
          <w:sz w:val="18"/>
          <w:szCs w:val="18"/>
          <w:b w:val="1"/>
          <w:bCs w:val="1"/>
          <w:color w:val="auto"/>
        </w:rPr>
        <w:t xml:space="preserve"> </w:t>
      </w:r>
      <w:r>
        <w:rPr>
          <w:rFonts w:ascii="Arial" w:cs="Arial" w:eastAsia="Arial" w:hAnsi="Arial"/>
          <w:sz w:val="18"/>
          <w:szCs w:val="18"/>
          <w:color w:val="auto"/>
        </w:rPr>
        <w:t>jobs from large corporations. Our partners include hundreds of minority, veteran, and women-owned companies.</w:t>
      </w:r>
    </w:p>
    <w:p>
      <w:pPr>
        <w:spacing w:after="0" w:line="154"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b w:val="1"/>
          <w:bCs w:val="1"/>
          <w:color w:val="auto"/>
        </w:rPr>
        <w:t>Talent</w:t>
      </w:r>
      <w:r>
        <w:rPr>
          <w:rFonts w:ascii="Arial" w:cs="Arial" w:eastAsia="Arial" w:hAnsi="Arial"/>
          <w:sz w:val="18"/>
          <w:szCs w:val="18"/>
          <w:color w:val="auto"/>
        </w:rPr>
        <w:t>. We are increasing and broadening the pools of candidates from which we hire, both externally and internally,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refining the requirements, assessment criteria and selection process for each of our roles.</w:t>
      </w:r>
    </w:p>
    <w:p>
      <w:pPr>
        <w:spacing w:after="0" w:line="154"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 We devote considerable time and resources to the continuing education of our employees. This effort begins on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first day and remains part of our employee’s experience through regular panel discussions and focus groups to ignite conversations and ideas around DEI priorities.</w:t>
      </w:r>
    </w:p>
    <w:p>
      <w:pPr>
        <w:spacing w:after="0" w:line="169"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b w:val="1"/>
          <w:bCs w:val="1"/>
          <w:color w:val="auto"/>
        </w:rPr>
        <w:t>Culture</w:t>
      </w:r>
      <w:r>
        <w:rPr>
          <w:rFonts w:ascii="Arial" w:cs="Arial" w:eastAsia="Arial" w:hAnsi="Arial"/>
          <w:sz w:val="18"/>
          <w:szCs w:val="18"/>
          <w:color w:val="auto"/>
        </w:rPr>
        <w:t>. We are in the process of establishing a DEI Advisory Council that will take an active role not only in our programs but</w:t>
      </w:r>
      <w:r>
        <w:rPr>
          <w:rFonts w:ascii="Arial" w:cs="Arial" w:eastAsia="Arial" w:hAnsi="Arial"/>
          <w:sz w:val="18"/>
          <w:szCs w:val="18"/>
          <w:b w:val="1"/>
          <w:bCs w:val="1"/>
          <w:color w:val="auto"/>
        </w:rPr>
        <w:t xml:space="preserve"> </w:t>
      </w:r>
      <w:r>
        <w:rPr>
          <w:rFonts w:ascii="Arial" w:cs="Arial" w:eastAsia="Arial" w:hAnsi="Arial"/>
          <w:sz w:val="18"/>
          <w:szCs w:val="18"/>
          <w:color w:val="auto"/>
        </w:rPr>
        <w:t>also as thought leaders and change agents.</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Commitment to ESG</w:t>
      </w:r>
    </w:p>
    <w:p>
      <w:pPr>
        <w:spacing w:after="0" w:line="234"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Xometry.org: Manufacturing a Better World</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205"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To fund and support operations of Xometry.org, we will reserve 0.2% of our outstanding capital stock on the date of approval by our Board of Directors. We anticipate further annual stock grants to Xometry.org so our efforts are sustained and consistent.</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Competition</w:t>
      </w:r>
    </w:p>
    <w:p>
      <w:pPr>
        <w:spacing w:after="0" w:line="234"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domestic and global on-demand manufacturing industry is localized and highly fragmented and we compete for both buyers and sellers.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compete for buyers with service bureaus and brokers. Our competitors include vertically integrated service bureaus, the service bureau divisions of the additive OEM companies such as Stratasys and 3D Systems and independent machine shops and 3D printing service bureaus. For buyers, we compete on the basis of competitive pricing, user experience, and superior customer service.</w:t>
      </w:r>
    </w:p>
    <w:p>
      <w:pPr>
        <w:spacing w:after="0" w:line="203"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For sellers, we compete with brokers and listing services. Sellers will pay the independent brokers commissions to connect with buyers as well as list their services in offline trade publications and online listing services. We also compete with companies that sell software and services to sellers, enabling them to sell from their own website or otherwise run their business independently of our platform. We are able to compete for sellers on the basis of providing real-time access to orders, cash flow stability, global access to customers and seller services and financial products.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Intellectual Property</w:t>
      </w:r>
    </w:p>
    <w:p>
      <w:pPr>
        <w:spacing w:after="0" w:line="23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90"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As of March 31, 2021, we own six issued United States patents directed to the use of machine learning for generating fabrication and manufacturing predictions, such as price, manufacturability and suitable materials and two pending United States patent applications and one pending European patent application directed to similar technologies. Our issued patents in the U.S. will expire between 2036 and 2037 and the pending patent applications, if issued, are expected to expire between 2039 and 2040, excluding any extension of patent term that may be available.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As of March 31, 2021, we have three registered U.S. trademarks and six registered foreign trademarks in the European Union and various other jurisdictions for our name and certain words and phrases that we use in our business, and we rely on copyright laws and licenses to use and protect software and certain other elements of our proprietary technologies. We also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2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203"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See the section titled “Risk Factors—Risks Related to Our Business” for a more comprehensive description of risks related to our intellectual property and proprietary rights.</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Facilities / Properties</w:t>
      </w:r>
    </w:p>
    <w:p>
      <w:pPr>
        <w:spacing w:after="0" w:line="234"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Our headquarters are located in Montgomery County, Maryland where we occupy facilities encompassing approximately 40,000 square feet. We have regional offices in Lexington, KY, Jackson, TN, and Munich, Germany. All of our offices are leased and we do not own any real property. Our leases range in expiration from December 2021 to July 2024. We believe that these facilities are generally suitable to meet our needs.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our executive officers and directors as of April 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4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8"/>
              </w:rPr>
              <w:t>Age</w:t>
            </w:r>
          </w:p>
        </w:tc>
        <w:tc>
          <w:tcPr>
            <w:tcW w:w="594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80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720" w:type="dxa"/>
            <w:vAlign w:val="bottom"/>
            <w:tcBorders>
              <w:top w:val="single" w:sz="8" w:color="auto"/>
            </w:tcBorders>
          </w:tcPr>
          <w:p>
            <w:pPr>
              <w:spacing w:after="0"/>
              <w:rPr>
                <w:sz w:val="15"/>
                <w:szCs w:val="15"/>
                <w:color w:val="auto"/>
              </w:rPr>
            </w:pP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Randolph Altschuler</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50</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Executive Officer, Co-Founder and 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James Rallo</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55</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Goguen</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57</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Operating Officer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Bill Cronin</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48</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Revenue Officer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Kathy Mayerhofer</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58</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Sales Officer</w:t>
            </w:r>
          </w:p>
        </w:tc>
      </w:tr>
      <w:tr>
        <w:trPr>
          <w:trHeight w:val="184"/>
        </w:trPr>
        <w:tc>
          <w:tcPr>
            <w:tcW w:w="4800" w:type="dxa"/>
            <w:vAlign w:val="bottom"/>
            <w:gridSpan w:val="2"/>
          </w:tcPr>
          <w:p>
            <w:pPr>
              <w:ind w:left="360"/>
              <w:spacing w:after="0" w:line="184" w:lineRule="exact"/>
              <w:rPr>
                <w:sz w:val="20"/>
                <w:szCs w:val="20"/>
                <w:color w:val="auto"/>
              </w:rPr>
            </w:pPr>
            <w:r>
              <w:rPr>
                <w:rFonts w:ascii="Arial" w:cs="Arial" w:eastAsia="Arial" w:hAnsi="Arial"/>
                <w:sz w:val="18"/>
                <w:szCs w:val="18"/>
                <w:color w:val="auto"/>
              </w:rPr>
              <w:t>Laurence Zuriff</w:t>
            </w:r>
          </w:p>
        </w:tc>
        <w:tc>
          <w:tcPr>
            <w:tcW w:w="280" w:type="dxa"/>
            <w:vAlign w:val="bottom"/>
          </w:tcPr>
          <w:p>
            <w:pPr>
              <w:spacing w:after="0" w:line="184" w:lineRule="exact"/>
              <w:rPr>
                <w:sz w:val="20"/>
                <w:szCs w:val="20"/>
                <w:color w:val="auto"/>
              </w:rPr>
            </w:pPr>
            <w:r>
              <w:rPr>
                <w:rFonts w:ascii="Arial" w:cs="Arial" w:eastAsia="Arial" w:hAnsi="Arial"/>
                <w:sz w:val="18"/>
                <w:szCs w:val="18"/>
                <w:color w:val="auto"/>
              </w:rPr>
              <w:t>53</w:t>
            </w:r>
          </w:p>
        </w:tc>
        <w:tc>
          <w:tcPr>
            <w:tcW w:w="5940" w:type="dxa"/>
            <w:vAlign w:val="bottom"/>
            <w:gridSpan w:val="2"/>
          </w:tcPr>
          <w:p>
            <w:pPr>
              <w:ind w:left="220"/>
              <w:spacing w:after="0" w:line="184" w:lineRule="exact"/>
              <w:rPr>
                <w:sz w:val="20"/>
                <w:szCs w:val="20"/>
                <w:color w:val="auto"/>
              </w:rPr>
            </w:pPr>
            <w:r>
              <w:rPr>
                <w:rFonts w:ascii="Arial" w:cs="Arial" w:eastAsia="Arial" w:hAnsi="Arial"/>
                <w:sz w:val="18"/>
                <w:szCs w:val="18"/>
                <w:color w:val="auto"/>
              </w:rPr>
              <w:t>Chief Strategy Officer, Co-Founder and Director</w:t>
            </w: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George Hornig(4)(5)</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66</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 and Chairman of the Board</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Emily Rollins(1)</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51</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Seth Levine(2)</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48</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Deborah Bial(5)</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55</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Craig Driscoll(5)</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49</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Ulrich Quay(4)</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49</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Fabio Rosati(5)</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56</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Hunter Somerville(4)</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39</w:t>
            </w:r>
          </w:p>
        </w:tc>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Katharine Weymouth(4)</w:t>
            </w:r>
          </w:p>
        </w:tc>
        <w:tc>
          <w:tcPr>
            <w:tcW w:w="280" w:type="dxa"/>
            <w:vAlign w:val="bottom"/>
          </w:tcPr>
          <w:p>
            <w:pPr>
              <w:spacing w:after="0"/>
              <w:rPr>
                <w:sz w:val="20"/>
                <w:szCs w:val="20"/>
                <w:color w:val="auto"/>
              </w:rPr>
            </w:pPr>
            <w:r>
              <w:rPr>
                <w:rFonts w:ascii="Arial" w:cs="Arial" w:eastAsia="Arial" w:hAnsi="Arial"/>
                <w:sz w:val="18"/>
                <w:szCs w:val="18"/>
                <w:color w:val="auto"/>
              </w:rPr>
              <w:t>54</w:t>
            </w:r>
          </w:p>
        </w:tc>
        <w:tc>
          <w:tcPr>
            <w:tcW w:w="59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hanging="544"/>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Chairperson of the Audit Committee.</w:t>
      </w:r>
    </w:p>
    <w:p>
      <w:pPr>
        <w:ind w:left="660" w:hanging="544"/>
        <w:spacing w:after="0" w:line="23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Chairperson of the Compensation Committee.</w:t>
      </w:r>
    </w:p>
    <w:p>
      <w:pPr>
        <w:ind w:left="660" w:hanging="544"/>
        <w:spacing w:after="0" w:line="23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w:t>
      </w:r>
    </w:p>
    <w:p>
      <w:pPr>
        <w:ind w:left="660" w:hanging="544"/>
        <w:spacing w:after="0" w:line="23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660" w:hanging="544"/>
        <w:spacing w:after="0" w:line="23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660" w:hanging="544"/>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left="120" w:right="60" w:firstLine="551"/>
        <w:spacing w:after="0" w:line="254" w:lineRule="auto"/>
        <w:rPr>
          <w:sz w:val="20"/>
          <w:szCs w:val="20"/>
          <w:color w:val="auto"/>
        </w:rPr>
      </w:pPr>
      <w:r>
        <w:rPr>
          <w:rFonts w:ascii="Arial" w:cs="Arial" w:eastAsia="Arial" w:hAnsi="Arial"/>
          <w:sz w:val="17"/>
          <w:szCs w:val="17"/>
          <w:b w:val="1"/>
          <w:bCs w:val="1"/>
          <w:color w:val="auto"/>
        </w:rPr>
        <w:t xml:space="preserve">Randolph Altschuler </w:t>
      </w:r>
      <w:r>
        <w:rPr>
          <w:rFonts w:ascii="Arial" w:cs="Arial" w:eastAsia="Arial" w:hAnsi="Arial"/>
          <w:sz w:val="17"/>
          <w:szCs w:val="17"/>
          <w:color w:val="auto"/>
        </w:rPr>
        <w:t>is our co-founder and has served as our Chief Executive Officer and as a member of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w:t>
      </w:r>
    </w:p>
    <w:p>
      <w:pPr>
        <w:ind w:left="120" w:right="80"/>
        <w:spacing w:after="0"/>
        <w:rPr>
          <w:sz w:val="20"/>
          <w:szCs w:val="20"/>
          <w:color w:val="auto"/>
        </w:rPr>
      </w:pPr>
      <w:r>
        <w:rPr>
          <w:rFonts w:ascii="Arial" w:cs="Arial" w:eastAsia="Arial" w:hAnsi="Arial"/>
          <w:sz w:val="18"/>
          <w:szCs w:val="18"/>
          <w:color w:val="auto"/>
        </w:rPr>
        <w:t>Mr. Altschuler received a B.A. from Princeton University and an M.B.A. from Harvard Business School. Mr. Altschuler was awarded a Fulbright Scholarship and studied at the University of Vienna in Austria. We believe that Mr. Altschuler is qualified to serve on the board of directors because of his experience building and leading our business since inception.</w:t>
      </w:r>
    </w:p>
    <w:p>
      <w:pPr>
        <w:spacing w:after="0" w:line="181"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b w:val="1"/>
          <w:bCs w:val="1"/>
          <w:color w:val="auto"/>
        </w:rPr>
        <w:t xml:space="preserve">James Rallo </w:t>
      </w:r>
      <w:r>
        <w:rPr>
          <w:rFonts w:ascii="Arial" w:cs="Arial" w:eastAsia="Arial" w:hAnsi="Arial"/>
          <w:sz w:val="18"/>
          <w:szCs w:val="18"/>
          <w:color w:val="auto"/>
        </w:rPr>
        <w:t>has served as our Chief Financial Officer since April 2020. Prior to joining Xometry, Mr. Rallo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Liquidity Services, a network of e -commerce marketplaces, from February 2005 to April 2019. Between roles at Liquidity Services and Xometry, Mr. Rallo briefly served as Chief Financial Officer of Stimwave Technologies Incorporated, a medical device company. Mr. Rallo is a Certified Public Accountant and received a B.S. in Business and Accounting from Washington and Lee University and an M.B.A. from the University of Maryland College Park.</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firstLine="551"/>
        <w:spacing w:after="0" w:line="244" w:lineRule="auto"/>
        <w:rPr>
          <w:sz w:val="20"/>
          <w:szCs w:val="20"/>
          <w:color w:val="auto"/>
        </w:rPr>
      </w:pPr>
      <w:r>
        <w:rPr>
          <w:rFonts w:ascii="Arial" w:cs="Arial" w:eastAsia="Arial" w:hAnsi="Arial"/>
          <w:sz w:val="18"/>
          <w:szCs w:val="18"/>
          <w:b w:val="1"/>
          <w:bCs w:val="1"/>
          <w:color w:val="auto"/>
        </w:rPr>
        <w:t xml:space="preserve">Peter Goguen </w:t>
      </w:r>
      <w:r>
        <w:rPr>
          <w:rFonts w:ascii="Arial" w:cs="Arial" w:eastAsia="Arial" w:hAnsi="Arial"/>
          <w:sz w:val="18"/>
          <w:szCs w:val="18"/>
          <w:color w:val="auto"/>
        </w:rPr>
        <w:t>has served as our Chief Operating Officer since March 2018. Prior to joining Xometry, Mr. Goguen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76"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color w:val="auto"/>
        </w:rPr>
        <w:t xml:space="preserve">Bill Cronin </w:t>
      </w:r>
      <w:r>
        <w:rPr>
          <w:rFonts w:ascii="Arial" w:cs="Arial" w:eastAsia="Arial" w:hAnsi="Arial"/>
          <w:sz w:val="18"/>
          <w:szCs w:val="18"/>
          <w:color w:val="auto"/>
        </w:rPr>
        <w:t>has served as our Chief Revenue Office since September 2018, and has served as our Senior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76" w:lineRule="exact"/>
        <w:rPr>
          <w:sz w:val="20"/>
          <w:szCs w:val="20"/>
          <w:color w:val="auto"/>
        </w:rPr>
      </w:pPr>
    </w:p>
    <w:p>
      <w:pPr>
        <w:ind w:left="120" w:right="260" w:firstLine="551"/>
        <w:spacing w:after="0" w:line="247" w:lineRule="auto"/>
        <w:rPr>
          <w:sz w:val="20"/>
          <w:szCs w:val="20"/>
          <w:color w:val="auto"/>
        </w:rPr>
      </w:pPr>
      <w:r>
        <w:rPr>
          <w:rFonts w:ascii="Arial" w:cs="Arial" w:eastAsia="Arial" w:hAnsi="Arial"/>
          <w:sz w:val="18"/>
          <w:szCs w:val="18"/>
          <w:b w:val="1"/>
          <w:bCs w:val="1"/>
          <w:color w:val="auto"/>
        </w:rPr>
        <w:t xml:space="preserve">Kathy Mayerhofer </w:t>
      </w:r>
      <w:r>
        <w:rPr>
          <w:rFonts w:ascii="Arial" w:cs="Arial" w:eastAsia="Arial" w:hAnsi="Arial"/>
          <w:sz w:val="18"/>
          <w:szCs w:val="18"/>
          <w:color w:val="auto"/>
        </w:rPr>
        <w:t>has served as our Chief Sales Officer since February 2020, and previously served as our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74"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color w:val="auto"/>
        </w:rPr>
        <w:t xml:space="preserve">Laurence Zuriff </w:t>
      </w:r>
      <w:r>
        <w:rPr>
          <w:rFonts w:ascii="Arial" w:cs="Arial" w:eastAsia="Arial" w:hAnsi="Arial"/>
          <w:sz w:val="18"/>
          <w:szCs w:val="18"/>
          <w:color w:val="auto"/>
        </w:rPr>
        <w:t>is our co-founder and has served as our Chief Strategy Officer since April 2020, and as a member of our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since our incorporation on May 29, 2013. Mr. Zuriff also continues to manage the investments for ZFI Capital (Zuriff Family Investments). He previously served as our Chief Financial Officer from September 2013 to April 2020. Mr. Zuriff received a B.A. in International Relations from Brown University and an M.A. in International Relations and International Economics from The John Hopkins University. We believe that Mr. Zuriff is qualified to serve on the board of directors because of his deep knowledge of our company and his industry experience.</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b w:val="1"/>
          <w:bCs w:val="1"/>
          <w:color w:val="auto"/>
        </w:rPr>
        <w:t xml:space="preserve">George Hornig </w:t>
      </w:r>
      <w:r>
        <w:rPr>
          <w:rFonts w:ascii="Arial" w:cs="Arial" w:eastAsia="Arial" w:hAnsi="Arial"/>
          <w:sz w:val="18"/>
          <w:szCs w:val="18"/>
          <w:color w:val="auto"/>
        </w:rPr>
        <w:t>has served as a member of our board of directors since October 2013 and as our Chairman of the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2021. Mr. Hornig serves as the Chairman and Founding Partner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was the Chairman of the Audit Committee for KBL Merger Corp. IV from April 2017 to August 2020. From November 1996 to May 2018, Mr. Hornig served as Audit Committee Chairman of the Board of Forrester Research. Mr. Hornig received an A.B. in Economics from Harvard University, a J.D. from Harvard Law School and an M.B.A from Harvard Business School. We believe that Mr. Hornig is qualified to serve on the board of directors because of his experience in manufacturing, consumer products and outsourcing of business services.</w:t>
      </w:r>
    </w:p>
    <w:p>
      <w:pPr>
        <w:spacing w:after="0" w:line="180"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b w:val="1"/>
          <w:bCs w:val="1"/>
          <w:color w:val="auto"/>
        </w:rPr>
        <w:t xml:space="preserve">Emily Rollins </w:t>
      </w:r>
      <w:r>
        <w:rPr>
          <w:rFonts w:ascii="Arial" w:cs="Arial" w:eastAsia="Arial" w:hAnsi="Arial"/>
          <w:sz w:val="18"/>
          <w:szCs w:val="18"/>
          <w:color w:val="auto"/>
        </w:rPr>
        <w:t>has served as a member of our board of directors and as the chairperson of our audit committee since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2021. From September 1992 to September 2020, Ms. Rollins served in various positions at Deloitte &amp; Touche LLP including most recently as an Audit &amp; Assurance Partner, specializing in the technology, venture capital and life sciences industries. She currently serves on the board of Dolby Laboratories, Inc., a position she has held since February 2021. Ms. Rollins holds a B.A. in Accounting and International Relations from Claremont McKenna College. We believe that Ms. Rollins is qualified to serve on our board of directors due to her board and management experience with complex audit and reporting processes for technology and media companies.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color w:val="auto"/>
        </w:rPr>
        <w:t xml:space="preserve">Seth Levine </w:t>
      </w:r>
      <w:r>
        <w:rPr>
          <w:rFonts w:ascii="Arial" w:cs="Arial" w:eastAsia="Arial" w:hAnsi="Arial"/>
          <w:sz w:val="18"/>
          <w:szCs w:val="18"/>
          <w:color w:val="auto"/>
        </w:rPr>
        <w:t>has served on our board of directors since June 2018 and is currently chairperson of our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Mr. Levine is the Managing Director of Foundry Group, an early stage focused venture capital fund, a position he has held since January 2007. Prior to joining the Foundry Group, Mr. Levine was a Principal at Mobius Venture Capital, an early-stage venture capital firm, from September 2001 to December 2013. Mr. Levine sits on the Board of Trustees for Macalester College, and is an advisory board member of Sadara Ventures – The Middle East Venture Capital Fund, High Country Ventures, Matchstick Ventures, and The Starting Line. Mr. Levine received a B.A in Psychology and Economics from Macalester College. We believe that Mr. Levine is qualified to serve on the board of directors because of his history with the Company and his experience working in a variety of industries at both public and private companies.</w:t>
      </w:r>
    </w:p>
    <w:p>
      <w:pPr>
        <w:spacing w:after="0" w:line="180" w:lineRule="exact"/>
        <w:rPr>
          <w:sz w:val="20"/>
          <w:szCs w:val="20"/>
          <w:color w:val="auto"/>
        </w:rPr>
      </w:pPr>
    </w:p>
    <w:p>
      <w:pPr>
        <w:ind w:left="120" w:right="60" w:firstLine="551"/>
        <w:spacing w:after="0" w:line="247" w:lineRule="auto"/>
        <w:rPr>
          <w:sz w:val="20"/>
          <w:szCs w:val="20"/>
          <w:color w:val="auto"/>
        </w:rPr>
      </w:pPr>
      <w:r>
        <w:rPr>
          <w:rFonts w:ascii="Arial" w:cs="Arial" w:eastAsia="Arial" w:hAnsi="Arial"/>
          <w:sz w:val="18"/>
          <w:szCs w:val="18"/>
          <w:b w:val="1"/>
          <w:bCs w:val="1"/>
          <w:color w:val="auto"/>
        </w:rPr>
        <w:t xml:space="preserve">Deborah Bial </w:t>
      </w:r>
      <w:r>
        <w:rPr>
          <w:rFonts w:ascii="Arial" w:cs="Arial" w:eastAsia="Arial" w:hAnsi="Arial"/>
          <w:sz w:val="18"/>
          <w:szCs w:val="18"/>
          <w:color w:val="auto"/>
        </w:rPr>
        <w:t>has served as a member of our board of directors since October 2020. Ms. Bial is the founder and president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 Foundation, a youth leadership-development and college- success organization, a position she has held since 1989. Ms. Bial received a B.A. from Brandeis University and an Ed.M and Ed.D. from Harvard University. We believe that Ms. Bial is qualified to serve on the board of directors because of her extensive experience and leadership abilities.</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color w:val="auto"/>
        </w:rPr>
        <w:t xml:space="preserve">Craig Driscoll </w:t>
      </w:r>
      <w:r>
        <w:rPr>
          <w:rFonts w:ascii="Arial" w:cs="Arial" w:eastAsia="Arial" w:hAnsi="Arial"/>
          <w:sz w:val="18"/>
          <w:szCs w:val="18"/>
          <w:color w:val="auto"/>
        </w:rPr>
        <w:t>has served as a member of our board of directors since May 2019. Mr. Driscoll serves as General Partner of</w:t>
      </w:r>
      <w:r>
        <w:rPr>
          <w:rFonts w:ascii="Arial" w:cs="Arial" w:eastAsia="Arial" w:hAnsi="Arial"/>
          <w:sz w:val="18"/>
          <w:szCs w:val="18"/>
          <w:b w:val="1"/>
          <w:bCs w:val="1"/>
          <w:color w:val="auto"/>
        </w:rPr>
        <w:t xml:space="preserve"> </w:t>
      </w:r>
      <w:r>
        <w:rPr>
          <w:rFonts w:ascii="Arial" w:cs="Arial" w:eastAsia="Arial" w:hAnsi="Arial"/>
          <w:sz w:val="18"/>
          <w:szCs w:val="18"/>
          <w:color w:val="auto"/>
        </w:rPr>
        <w:t>Highland Capital Partners, a global venture capital firm, a position he has held since June 2017 and previously served as a Talent Partner from February 2006 to May 2017. In addition to serving on the board of Xometry, Mr. Driscoll serves on the board of directors of WhyHotel, an alternative hospitality service provider. Mr. Driscoll received a M.E. in Mechanical Engineering from Vanderbilt University. We believe that Mr. Driscoll is qualified to serve on the board of directors because of his experience in business development and team building experience building and advising companies from the earliest stages of growth.</w:t>
      </w:r>
    </w:p>
    <w:p>
      <w:pPr>
        <w:spacing w:after="0" w:line="179" w:lineRule="exact"/>
        <w:rPr>
          <w:sz w:val="20"/>
          <w:szCs w:val="20"/>
          <w:color w:val="auto"/>
        </w:rPr>
      </w:pPr>
    </w:p>
    <w:p>
      <w:pPr>
        <w:ind w:left="120" w:right="280" w:firstLine="551"/>
        <w:spacing w:after="0" w:line="242" w:lineRule="auto"/>
        <w:rPr>
          <w:sz w:val="20"/>
          <w:szCs w:val="20"/>
          <w:color w:val="auto"/>
        </w:rPr>
      </w:pPr>
      <w:r>
        <w:rPr>
          <w:rFonts w:ascii="Arial" w:cs="Arial" w:eastAsia="Arial" w:hAnsi="Arial"/>
          <w:sz w:val="18"/>
          <w:szCs w:val="18"/>
          <w:b w:val="1"/>
          <w:bCs w:val="1"/>
          <w:color w:val="auto"/>
        </w:rPr>
        <w:t xml:space="preserve">Ulrich Quay </w:t>
      </w:r>
      <w:r>
        <w:rPr>
          <w:rFonts w:ascii="Arial" w:cs="Arial" w:eastAsia="Arial" w:hAnsi="Arial"/>
          <w:sz w:val="18"/>
          <w:szCs w:val="18"/>
          <w:color w:val="auto"/>
        </w:rPr>
        <w:t>has served as a member of our board of directors since June 2017. Mr. Quay is the head of BMW I Ventures, a</w:t>
      </w:r>
      <w:r>
        <w:rPr>
          <w:rFonts w:ascii="Arial" w:cs="Arial" w:eastAsia="Arial" w:hAnsi="Arial"/>
          <w:sz w:val="18"/>
          <w:szCs w:val="18"/>
          <w:b w:val="1"/>
          <w:bCs w:val="1"/>
          <w:color w:val="auto"/>
        </w:rPr>
        <w:t xml:space="preserve"> </w:t>
      </w:r>
      <w:r>
        <w:rPr>
          <w:rFonts w:ascii="Arial" w:cs="Arial" w:eastAsia="Arial" w:hAnsi="Arial"/>
          <w:sz w:val="18"/>
          <w:szCs w:val="18"/>
          <w:color w:val="auto"/>
        </w:rPr>
        <w:t>hybrid venture capital firm, a position he has held since July 2011. Mr. Quay is a board member of Tekion Corp., Fair.com and Scoop Technologies, Inc. Mr. Quay has also served on the board of ChargePoint, Inc. since July 2012. Mr. Quay holds degrees from Ruhruniversität Bochum, the University of Lausanne and a Law Degree in International Law and Legal Studies in International Contract Law from the University of Freiburg. We believe that Mr. Quay is qualified to serve on our board of directors due to his extensive knowledge and experience with technology companies.</w:t>
      </w:r>
    </w:p>
    <w:p>
      <w:pPr>
        <w:spacing w:after="0" w:line="17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color w:val="auto"/>
        </w:rPr>
        <w:t xml:space="preserve">Fabio Rosati </w:t>
      </w:r>
      <w:r>
        <w:rPr>
          <w:rFonts w:ascii="Arial" w:cs="Arial" w:eastAsia="Arial" w:hAnsi="Arial"/>
          <w:sz w:val="18"/>
          <w:szCs w:val="18"/>
          <w:color w:val="auto"/>
        </w:rPr>
        <w:t>has served as a member of our board of directors since December 2017. Mr. Rosati is the Executive Chairman of</w:t>
      </w:r>
      <w:r>
        <w:rPr>
          <w:rFonts w:ascii="Arial" w:cs="Arial" w:eastAsia="Arial" w:hAnsi="Arial"/>
          <w:sz w:val="18"/>
          <w:szCs w:val="18"/>
          <w:b w:val="1"/>
          <w:bCs w:val="1"/>
          <w:color w:val="auto"/>
        </w:rPr>
        <w:t xml:space="preserve"> </w:t>
      </w:r>
      <w:r>
        <w:rPr>
          <w:rFonts w:ascii="Arial" w:cs="Arial" w:eastAsia="Arial" w:hAnsi="Arial"/>
          <w:sz w:val="18"/>
          <w:szCs w:val="18"/>
          <w:color w:val="auto"/>
        </w:rPr>
        <w:t>Snagajob, a 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and Skysthelimit.org. Mr. Rosati received a B.S. in Finance and Accounting from Georgetown University. We believe that Mr. Rosati is qualified to serve on the board of directors because of his experience in the technology space.</w:t>
      </w:r>
    </w:p>
    <w:p>
      <w:pPr>
        <w:spacing w:after="0" w:line="185"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b w:val="1"/>
          <w:bCs w:val="1"/>
          <w:color w:val="auto"/>
        </w:rPr>
        <w:t xml:space="preserve">Hunter Somerville </w:t>
      </w:r>
      <w:r>
        <w:rPr>
          <w:rFonts w:ascii="Arial" w:cs="Arial" w:eastAsia="Arial" w:hAnsi="Arial"/>
          <w:sz w:val="18"/>
          <w:szCs w:val="18"/>
          <w:color w:val="auto"/>
        </w:rPr>
        <w:t>has served as a member of our board of directors since May 2019. Mr. Somerville is a General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Greenspring Associates, a venture capital firm investing in the information technology, biotechnology, healthcare and telecommunications sectors, a position he has held since February 2019, prior to that position he served as a Partner from February 2017 to February 2019 and Principal from June 2014 to February 2017. Mr. Somerville received his B.A. in International Relations from the University of Pennsylvania and an M.B.A from the University of Maryland. We believe that Mr. Somerville is qualified to serve on the board of directors because of his extensive experience with emerging growth companies.</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color w:val="auto"/>
        </w:rPr>
        <w:t xml:space="preserve">Katharine Weymouth </w:t>
      </w:r>
      <w:r>
        <w:rPr>
          <w:rFonts w:ascii="Arial" w:cs="Arial" w:eastAsia="Arial" w:hAnsi="Arial"/>
          <w:sz w:val="18"/>
          <w:szCs w:val="18"/>
          <w:color w:val="auto"/>
        </w:rPr>
        <w:t>has served as a member of our board of directors since October 2020. Ms. Weymouth is the Co-Founder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Senior Advisor of The Chef Market (formerly DineXpert), an on demand platform for restaurants. Ms. Weymouth has been in this role since 2019 and has been with DineXpert since June of 2017. Ms. Weymouth was the Publisher and Chief Executive Officer of the Washington Post from February 2008 to September 2014. Since January 2015, Ms. Weymouth has served as a Trustee of the Philip L Graham Fund. Ms. Weymouth is a board member of Republic Services, Inc, Cable One, Inc., Sequoia Mutual Fund and The Graham Holdings Company. Ms. Weymouth received a B.A. in English Literature from Harvard University and a J.D. from Stanford Law School. We believe that Ms. Weymouth is qualified to serve on the board of directors because of her extensive executive and public company board experience.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11 directors. Nine of our directors currently serve on the board of directors pursuant to the provisions of a voting agreement between us and several of our stockholders. Following the completion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ectPr>
          <w:pgSz w:w="11900" w:h="16838" w:orient="portrait"/>
          <w:cols w:equalWidth="0" w:num="1">
            <w:col w:w="11120"/>
          </w:cols>
          <w:pgMar w:left="320" w:top="459" w:right="459" w:bottom="1440" w:gutter="0" w:footer="0" w:header="0"/>
        </w:sectPr>
      </w:pPr>
    </w:p>
    <w:p>
      <w:pPr>
        <w:spacing w:after="0" w:line="108"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whose terms will expire at the first annual meeting of stockholders to be</w:t>
      </w:r>
    </w:p>
    <w:p>
      <w:pPr>
        <w:spacing w:after="0" w:line="10" w:lineRule="exact"/>
        <w:rPr>
          <w:sz w:val="20"/>
          <w:szCs w:val="20"/>
          <w:color w:val="auto"/>
        </w:rPr>
      </w:pPr>
    </w:p>
    <w:p>
      <w:pPr>
        <w:sectPr>
          <w:pgSz w:w="11900" w:h="16838" w:orient="portrait"/>
          <w:cols w:equalWidth="0" w:num="3">
            <w:col w:w="3200" w:space="720"/>
            <w:col w:w="420" w:space="720"/>
            <w:col w:w="6060"/>
          </w:cols>
          <w:pgMar w:left="320" w:top="459" w:right="45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held in 2022;</w:t>
      </w:r>
    </w:p>
    <w:p>
      <w:pPr>
        <w:sectPr>
          <w:pgSz w:w="11900" w:h="16838" w:orient="portrait"/>
          <w:cols w:equalWidth="0" w:num="1">
            <w:col w:w="11120"/>
          </w:cols>
          <w:pgMar w:left="320" w:top="459" w:right="459" w:bottom="1440" w:gutter="0" w:footer="0" w:header="0"/>
          <w:type w:val="continuous"/>
        </w:sectPr>
      </w:pPr>
    </w:p>
    <w:p>
      <w:pPr>
        <w:spacing w:after="0" w:line="114"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 directors will be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whose terms will expire at the second annual meeting of stockholders to</w:t>
      </w:r>
    </w:p>
    <w:p>
      <w:pPr>
        <w:spacing w:after="0" w:line="10" w:lineRule="exact"/>
        <w:rPr>
          <w:sz w:val="20"/>
          <w:szCs w:val="20"/>
          <w:color w:val="auto"/>
        </w:rPr>
      </w:pPr>
    </w:p>
    <w:p>
      <w:pPr>
        <w:sectPr>
          <w:pgSz w:w="11900" w:h="16838" w:orient="portrait"/>
          <w:cols w:equalWidth="0" w:num="3">
            <w:col w:w="3200" w:space="720"/>
            <w:col w:w="420" w:space="720"/>
            <w:col w:w="6060"/>
          </w:cols>
          <w:pgMar w:left="320" w:top="459" w:right="45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be held in 2023; and</w:t>
      </w:r>
    </w:p>
    <w:p>
      <w:pPr>
        <w:sectPr>
          <w:pgSz w:w="11900" w:h="16838" w:orient="portrait"/>
          <w:cols w:equalWidth="0" w:num="1">
            <w:col w:w="11120"/>
          </w:cols>
          <w:pgMar w:left="320" w:top="459" w:right="459" w:bottom="1440" w:gutter="0" w:footer="0" w:header="0"/>
          <w:type w:val="continuous"/>
        </w:sectPr>
      </w:pPr>
    </w:p>
    <w:p>
      <w:pPr>
        <w:spacing w:after="0" w:line="114"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III director will be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whose terms will expire at the third annual meeting of stockholders to be</w:t>
      </w:r>
    </w:p>
    <w:p>
      <w:pPr>
        <w:spacing w:after="0" w:line="10" w:lineRule="exact"/>
        <w:rPr>
          <w:sz w:val="20"/>
          <w:szCs w:val="20"/>
          <w:color w:val="auto"/>
        </w:rPr>
      </w:pPr>
    </w:p>
    <w:p>
      <w:pPr>
        <w:sectPr>
          <w:pgSz w:w="11900" w:h="16838" w:orient="portrait"/>
          <w:cols w:equalWidth="0" w:num="3">
            <w:col w:w="3160" w:space="720"/>
            <w:col w:w="420" w:space="720"/>
            <w:col w:w="6100"/>
          </w:cols>
          <w:pgMar w:left="320" w:top="459" w:right="45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held in 2024.</w:t>
      </w:r>
    </w:p>
    <w:p>
      <w:pPr>
        <w:sectPr>
          <w:pgSz w:w="11900" w:h="16838" w:orient="portrait"/>
          <w:cols w:equalWidth="0" w:num="1">
            <w:col w:w="11120"/>
          </w:cols>
          <w:pgMar w:left="320" w:top="459" w:right="459" w:bottom="1440" w:gutter="0" w:footer="0" w:header="0"/>
          <w:type w:val="continuous"/>
        </w:sectPr>
      </w:pPr>
    </w:p>
    <w:p>
      <w:pPr>
        <w:spacing w:after="0" w:line="20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w:t>
      </w:r>
    </w:p>
    <w:p>
      <w:pPr>
        <w:ind w:left="120"/>
        <w:spacing w:after="0"/>
        <w:tabs>
          <w:tab w:leader="none" w:pos="10000" w:val="left"/>
        </w:tabs>
        <w:rPr>
          <w:sz w:val="20"/>
          <w:szCs w:val="20"/>
          <w:color w:val="auto"/>
        </w:rPr>
      </w:pPr>
      <w:r>
        <w:rPr>
          <w:rFonts w:ascii="Arial" w:cs="Arial" w:eastAsia="Arial" w:hAnsi="Arial"/>
          <w:sz w:val="18"/>
          <w:szCs w:val="18"/>
          <w:color w:val="auto"/>
        </w:rPr>
        <w:t>director concerning her or his background, employment and affiliations, our board of directors has determined that</w:t>
      </w:r>
      <w:r>
        <w:rPr>
          <w:sz w:val="20"/>
          <w:szCs w:val="20"/>
          <w:color w:val="auto"/>
        </w:rPr>
        <w:tab/>
      </w:r>
      <w:r>
        <w:rPr>
          <w:rFonts w:ascii="Arial" w:cs="Arial" w:eastAsia="Arial" w:hAnsi="Arial"/>
          <w:sz w:val="13"/>
          <w:szCs w:val="13"/>
          <w:color w:val="auto"/>
        </w:rPr>
        <w:t>,</w:t>
      </w:r>
    </w:p>
    <w:p>
      <w:pPr>
        <w:ind w:left="120"/>
        <w:spacing w:after="0" w:line="235" w:lineRule="auto"/>
        <w:tabs>
          <w:tab w:leader="none" w:pos="13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do not have relationships that would interfere with the exercise of independent judgment in carrying out the responsibilities</w:t>
      </w:r>
    </w:p>
    <w:p>
      <w:pPr>
        <w:spacing w:after="0" w:line="1" w:lineRule="exact"/>
        <w:rPr>
          <w:sz w:val="20"/>
          <w:szCs w:val="20"/>
          <w:color w:val="auto"/>
        </w:rPr>
      </w:pPr>
    </w:p>
    <w:p>
      <w:pPr>
        <w:ind w:left="120" w:right="240"/>
        <w:spacing w:after="0" w:line="261" w:lineRule="auto"/>
        <w:rPr>
          <w:sz w:val="20"/>
          <w:szCs w:val="20"/>
          <w:color w:val="auto"/>
        </w:rPr>
      </w:pPr>
      <w:r>
        <w:rPr>
          <w:rFonts w:ascii="Arial" w:cs="Arial" w:eastAsia="Arial" w:hAnsi="Arial"/>
          <w:sz w:val="17"/>
          <w:szCs w:val="17"/>
          <w:color w:val="auto"/>
        </w:rPr>
        <w:t>of a director and that each of these directors 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20"/>
        <w:spacing w:after="0" w:line="246" w:lineRule="auto"/>
        <w:rPr>
          <w:sz w:val="20"/>
          <w:szCs w:val="20"/>
          <w:color w:val="auto"/>
        </w:rPr>
      </w:pPr>
      <w:r>
        <w:rPr>
          <w:rFonts w:ascii="Arial" w:cs="Arial" w:eastAsia="Arial" w:hAnsi="Arial"/>
          <w:sz w:val="18"/>
          <w:szCs w:val="18"/>
          <w:color w:val="auto"/>
        </w:rPr>
        <w:t>beneficial ownership of our shares by each non-employee director and the transactions described in the section titled “Certain Relationships and Related Party Transactions.”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board of directors has established an audit committee and a compensation committee, and will establish a nominating and corporate governance committee prior to the completion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consists of Emily Rollins, George Hornig, Ulrich Quay, Hunter Somerville and Katharine Weymouth. Our board</w:t>
      </w:r>
    </w:p>
    <w:p>
      <w:pPr>
        <w:ind w:left="120"/>
        <w:spacing w:after="0" w:line="234" w:lineRule="auto"/>
        <w:tabs>
          <w:tab w:leader="none" w:pos="3520" w:val="left"/>
          <w:tab w:leader="none" w:pos="8160" w:val="left"/>
        </w:tabs>
        <w:rPr>
          <w:sz w:val="20"/>
          <w:szCs w:val="20"/>
          <w:color w:val="auto"/>
        </w:rPr>
      </w:pPr>
      <w:r>
        <w:rPr>
          <w:rFonts w:ascii="Arial" w:cs="Arial" w:eastAsia="Arial" w:hAnsi="Arial"/>
          <w:sz w:val="18"/>
          <w:szCs w:val="18"/>
          <w:color w:val="auto"/>
        </w:rPr>
        <w:t>of directors has determined that</w:t>
      </w:r>
      <w:r>
        <w:rPr>
          <w:sz w:val="20"/>
          <w:szCs w:val="20"/>
          <w:color w:val="auto"/>
        </w:rPr>
        <w:tab/>
      </w:r>
      <w:r>
        <w:rPr>
          <w:rFonts w:ascii="Arial" w:cs="Arial" w:eastAsia="Arial" w:hAnsi="Arial"/>
          <w:sz w:val="18"/>
          <w:szCs w:val="18"/>
          <w:color w:val="auto"/>
        </w:rPr>
        <w:t>satisfies the independence requirements under</w:t>
      </w:r>
      <w:r>
        <w:rPr>
          <w:sz w:val="20"/>
          <w:szCs w:val="20"/>
          <w:color w:val="auto"/>
        </w:rPr>
        <w:tab/>
      </w:r>
      <w:r>
        <w:rPr>
          <w:rFonts w:ascii="Arial" w:cs="Arial" w:eastAsia="Arial" w:hAnsi="Arial"/>
          <w:sz w:val="18"/>
          <w:szCs w:val="18"/>
          <w:color w:val="auto"/>
        </w:rPr>
        <w:t>listing standards and</w:t>
      </w:r>
    </w:p>
    <w:p>
      <w:pPr>
        <w:spacing w:after="0" w:line="1" w:lineRule="exact"/>
        <w:rPr>
          <w:sz w:val="20"/>
          <w:szCs w:val="20"/>
          <w:color w:val="auto"/>
        </w:rPr>
      </w:pPr>
    </w:p>
    <w:p>
      <w:pPr>
        <w:ind w:left="120" w:right="160"/>
        <w:spacing w:after="0" w:line="257" w:lineRule="auto"/>
        <w:rPr>
          <w:sz w:val="20"/>
          <w:szCs w:val="20"/>
          <w:color w:val="auto"/>
        </w:rPr>
      </w:pPr>
      <w:r>
        <w:rPr>
          <w:rFonts w:ascii="Arial" w:cs="Arial" w:eastAsia="Arial" w:hAnsi="Arial"/>
          <w:sz w:val="17"/>
          <w:szCs w:val="17"/>
          <w:color w:val="auto"/>
        </w:rPr>
        <w:t>Rule 10A-3(b)(1) of the Exchange Act. The chair of our audit committee is Emily Rollins,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9" w:lineRule="exact"/>
        <w:rPr>
          <w:sz w:val="20"/>
          <w:szCs w:val="20"/>
          <w:color w:val="auto"/>
        </w:rPr>
      </w:pPr>
    </w:p>
    <w:p>
      <w:pPr>
        <w:ind w:left="120" w:right="420" w:firstLine="551"/>
        <w:spacing w:after="0"/>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08" w:lineRule="exact"/>
        <w:rPr>
          <w:sz w:val="20"/>
          <w:szCs w:val="20"/>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880" w:right="86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2"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7" w:lineRule="exact"/>
        <w:rPr>
          <w:rFonts w:ascii="Arial" w:cs="Arial" w:eastAsia="Arial" w:hAnsi="Arial"/>
          <w:sz w:val="18"/>
          <w:szCs w:val="18"/>
          <w:color w:val="auto"/>
        </w:rPr>
      </w:pPr>
    </w:p>
    <w:p>
      <w:pPr>
        <w:jc w:val="both"/>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08" w:lineRule="exact"/>
        <w:rPr>
          <w:rFonts w:ascii="Arial" w:cs="Arial" w:eastAsia="Arial" w:hAnsi="Arial"/>
          <w:sz w:val="18"/>
          <w:szCs w:val="18"/>
          <w:color w:val="auto"/>
        </w:rPr>
      </w:pPr>
    </w:p>
    <w:p>
      <w:pPr>
        <w:ind w:left="880" w:right="74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w:t>
      </w:r>
    </w:p>
    <w:p>
      <w:pPr>
        <w:ind w:left="120"/>
        <w:spacing w:after="0"/>
        <w:tabs>
          <w:tab w:leader="none" w:pos="3600" w:val="left"/>
        </w:tabs>
        <w:rPr>
          <w:sz w:val="20"/>
          <w:szCs w:val="20"/>
          <w:color w:val="auto"/>
        </w:rPr>
      </w:pPr>
      <w:r>
        <w:rPr>
          <w:rFonts w:ascii="Arial" w:cs="Arial" w:eastAsia="Arial" w:hAnsi="Arial"/>
          <w:sz w:val="18"/>
          <w:szCs w:val="18"/>
          <w:color w:val="auto"/>
        </w:rPr>
        <w:t>applicable listing standards of the</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533"/>
        </w:trPr>
        <w:tc>
          <w:tcPr>
            <w:tcW w:w="818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Compensation Committee</w:t>
            </w: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96"/>
        </w:trPr>
        <w:tc>
          <w:tcPr>
            <w:tcW w:w="620" w:type="dxa"/>
            <w:vAlign w:val="bottom"/>
          </w:tcPr>
          <w:p>
            <w:pPr>
              <w:spacing w:after="0"/>
              <w:rPr>
                <w:sz w:val="24"/>
                <w:szCs w:val="24"/>
                <w:color w:val="auto"/>
              </w:rPr>
            </w:pPr>
          </w:p>
        </w:tc>
        <w:tc>
          <w:tcPr>
            <w:tcW w:w="10380" w:type="dxa"/>
            <w:vAlign w:val="bottom"/>
            <w:gridSpan w:val="4"/>
          </w:tcPr>
          <w:p>
            <w:pPr>
              <w:ind w:left="40"/>
              <w:spacing w:after="0"/>
              <w:rPr>
                <w:sz w:val="20"/>
                <w:szCs w:val="20"/>
                <w:color w:val="auto"/>
              </w:rPr>
            </w:pPr>
            <w:r>
              <w:rPr>
                <w:rFonts w:ascii="Arial" w:cs="Arial" w:eastAsia="Arial" w:hAnsi="Arial"/>
                <w:sz w:val="18"/>
                <w:szCs w:val="18"/>
                <w:color w:val="auto"/>
              </w:rPr>
              <w:t>Our compensation committee consists of Seth Levine, George Hornig, Deborah Bial, Craig Driscoll and Fabio Rosati. The chair of</w:t>
            </w:r>
          </w:p>
        </w:tc>
      </w:tr>
      <w:tr>
        <w:trPr>
          <w:trHeight w:val="203"/>
        </w:trPr>
        <w:tc>
          <w:tcPr>
            <w:tcW w:w="81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our compensation committee is Seth Levine. Our board of directors has determined that each of</w:t>
            </w:r>
          </w:p>
        </w:tc>
        <w:tc>
          <w:tcPr>
            <w:tcW w:w="1200" w:type="dxa"/>
            <w:vAlign w:val="bottom"/>
          </w:tcPr>
          <w:p>
            <w:pPr>
              <w:ind w:left="460"/>
              <w:spacing w:after="0" w:line="202" w:lineRule="exact"/>
              <w:rPr>
                <w:sz w:val="20"/>
                <w:szCs w:val="20"/>
                <w:color w:val="auto"/>
              </w:rPr>
            </w:pPr>
            <w:r>
              <w:rPr>
                <w:rFonts w:ascii="Arial" w:cs="Arial" w:eastAsia="Arial" w:hAnsi="Arial"/>
                <w:sz w:val="18"/>
                <w:szCs w:val="18"/>
                <w:color w:val="auto"/>
              </w:rPr>
              <w:t>and</w:t>
            </w:r>
          </w:p>
        </w:tc>
        <w:tc>
          <w:tcPr>
            <w:tcW w:w="1620" w:type="dxa"/>
            <w:vAlign w:val="bottom"/>
          </w:tcPr>
          <w:p>
            <w:pPr>
              <w:ind w:left="460"/>
              <w:spacing w:after="0" w:line="202" w:lineRule="exact"/>
              <w:rPr>
                <w:sz w:val="20"/>
                <w:szCs w:val="20"/>
                <w:color w:val="auto"/>
              </w:rPr>
            </w:pPr>
            <w:r>
              <w:rPr>
                <w:rFonts w:ascii="Arial" w:cs="Arial" w:eastAsia="Arial" w:hAnsi="Arial"/>
                <w:sz w:val="18"/>
                <w:szCs w:val="18"/>
                <w:color w:val="auto"/>
                <w:w w:val="97"/>
              </w:rPr>
              <w:t>is independent</w:t>
            </w:r>
          </w:p>
        </w:tc>
      </w:tr>
      <w:tr>
        <w:trPr>
          <w:trHeight w:val="217"/>
        </w:trPr>
        <w:tc>
          <w:tcPr>
            <w:tcW w:w="620" w:type="dxa"/>
            <w:vAlign w:val="bottom"/>
          </w:tcPr>
          <w:p>
            <w:pPr>
              <w:ind w:left="120"/>
              <w:spacing w:after="0"/>
              <w:rPr>
                <w:sz w:val="20"/>
                <w:szCs w:val="20"/>
                <w:color w:val="auto"/>
              </w:rPr>
            </w:pPr>
            <w:r>
              <w:rPr>
                <w:rFonts w:ascii="Arial" w:cs="Arial" w:eastAsia="Arial" w:hAnsi="Arial"/>
                <w:sz w:val="18"/>
                <w:szCs w:val="18"/>
                <w:color w:val="auto"/>
              </w:rPr>
              <w:t>under</w:t>
            </w:r>
          </w:p>
        </w:tc>
        <w:tc>
          <w:tcPr>
            <w:tcW w:w="740" w:type="dxa"/>
            <w:vAlign w:val="bottom"/>
          </w:tcPr>
          <w:p>
            <w:pPr>
              <w:spacing w:after="0"/>
              <w:rPr>
                <w:sz w:val="18"/>
                <w:szCs w:val="18"/>
                <w:color w:val="auto"/>
              </w:rPr>
            </w:pPr>
          </w:p>
        </w:tc>
        <w:tc>
          <w:tcPr>
            <w:tcW w:w="9640" w:type="dxa"/>
            <w:vAlign w:val="bottom"/>
            <w:gridSpan w:val="3"/>
          </w:tcPr>
          <w:p>
            <w:pPr>
              <w:ind w:left="120"/>
              <w:spacing w:after="0"/>
              <w:rPr>
                <w:sz w:val="20"/>
                <w:szCs w:val="20"/>
                <w:color w:val="auto"/>
              </w:rPr>
            </w:pPr>
            <w:r>
              <w:rPr>
                <w:rFonts w:ascii="Arial" w:cs="Arial" w:eastAsia="Arial" w:hAnsi="Arial"/>
                <w:sz w:val="18"/>
                <w:szCs w:val="18"/>
                <w:color w:val="auto"/>
              </w:rPr>
              <w:t>listing standards, a “non-employee director” as defined in Rule 16b-3 promulgated under the Exchange Act.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120" w:right="100" w:firstLine="551"/>
        <w:spacing w:after="0"/>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08"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succession plans for our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08" w:lineRule="exact"/>
        <w:rPr>
          <w:rFonts w:ascii="Arial" w:cs="Arial" w:eastAsia="Arial" w:hAnsi="Arial"/>
          <w:sz w:val="18"/>
          <w:szCs w:val="18"/>
          <w:color w:val="auto"/>
        </w:rPr>
      </w:pPr>
    </w:p>
    <w:p>
      <w:pPr>
        <w:ind w:left="880" w:right="660" w:hanging="224"/>
        <w:spacing w:after="0" w:line="24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w:t>
      </w:r>
    </w:p>
    <w:p>
      <w:pPr>
        <w:ind w:left="120"/>
        <w:spacing w:after="0"/>
        <w:tabs>
          <w:tab w:leader="none" w:pos="4600" w:val="left"/>
        </w:tabs>
        <w:rPr>
          <w:sz w:val="20"/>
          <w:szCs w:val="20"/>
          <w:color w:val="auto"/>
        </w:rPr>
      </w:pPr>
      <w:r>
        <w:rPr>
          <w:rFonts w:ascii="Arial" w:cs="Arial" w:eastAsia="Arial" w:hAnsi="Arial"/>
          <w:sz w:val="18"/>
          <w:szCs w:val="18"/>
          <w:color w:val="auto"/>
        </w:rPr>
        <w:t>satisfies the applicable listing standards of the</w:t>
      </w:r>
      <w:r>
        <w:rPr>
          <w:sz w:val="20"/>
          <w:szCs w:val="20"/>
          <w:color w:val="auto"/>
        </w:rPr>
        <w:tab/>
      </w:r>
      <w:r>
        <w:rPr>
          <w:rFonts w:ascii="Arial" w:cs="Arial" w:eastAsia="Arial" w:hAnsi="Arial"/>
          <w:sz w:val="18"/>
          <w:szCs w:val="18"/>
          <w:color w:val="auto"/>
        </w:rPr>
        <w: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120" w:right="400" w:firstLine="551"/>
        <w:spacing w:after="0"/>
        <w:rPr>
          <w:sz w:val="20"/>
          <w:szCs w:val="20"/>
          <w:color w:val="auto"/>
        </w:rPr>
      </w:pPr>
      <w:r>
        <w:rPr>
          <w:rFonts w:ascii="Arial" w:cs="Arial" w:eastAsia="Arial" w:hAnsi="Arial"/>
          <w:sz w:val="18"/>
          <w:szCs w:val="18"/>
          <w:color w:val="auto"/>
        </w:rPr>
        <w:t>Our nominating and corporate governance committee will consist of and . The chair of our nominating and corporate governance committee will be . Our board of directors has determined that each member of the nominating and corporate governance committee is independent under the listing standards.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117" w:lineRule="exact"/>
        <w:rPr>
          <w:sz w:val="20"/>
          <w:szCs w:val="20"/>
          <w:color w:val="auto"/>
        </w:rPr>
      </w:pPr>
    </w:p>
    <w:p>
      <w:pPr>
        <w:ind w:left="880" w:right="116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2" w:lineRule="exact"/>
        <w:rPr>
          <w:rFonts w:ascii="Arial" w:cs="Arial" w:eastAsia="Arial" w:hAnsi="Arial"/>
          <w:sz w:val="18"/>
          <w:szCs w:val="18"/>
          <w:color w:val="auto"/>
        </w:rPr>
      </w:pPr>
    </w:p>
    <w:p>
      <w:pPr>
        <w:ind w:left="880" w:right="82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45"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w:t>
      </w:r>
    </w:p>
    <w:p>
      <w:pPr>
        <w:ind w:left="120"/>
        <w:spacing w:after="0"/>
        <w:tabs>
          <w:tab w:leader="none" w:pos="5980" w:val="left"/>
        </w:tabs>
        <w:rPr>
          <w:sz w:val="20"/>
          <w:szCs w:val="20"/>
          <w:color w:val="auto"/>
        </w:rPr>
      </w:pPr>
      <w:r>
        <w:rPr>
          <w:rFonts w:ascii="Arial" w:cs="Arial" w:eastAsia="Arial" w:hAnsi="Arial"/>
          <w:sz w:val="18"/>
          <w:szCs w:val="18"/>
          <w:color w:val="auto"/>
        </w:rPr>
        <w:t>this offering, that satisfies the applicable listing standards of the</w:t>
      </w:r>
      <w:r>
        <w:rPr>
          <w:sz w:val="20"/>
          <w:szCs w:val="20"/>
          <w:color w:val="auto"/>
        </w:rPr>
        <w:tab/>
      </w:r>
      <w:r>
        <w:rPr>
          <w:rFonts w:ascii="Arial" w:cs="Arial" w:eastAsia="Arial" w:hAnsi="Arial"/>
          <w:sz w:val="18"/>
          <w:szCs w:val="18"/>
          <w:color w:val="auto"/>
        </w:rPr>
        <w:t>.</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Code of Conduct</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www.xometry.com.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34"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The following table sets forth information regarding compensation earned by or paid to our non-employee directors for the year ended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6960" w:type="dxa"/>
            <w:vAlign w:val="bottom"/>
            <w:vMerge w:val="restart"/>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6960" w:type="dxa"/>
            <w:vAlign w:val="bottom"/>
            <w:vMerge w:val="continue"/>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 in Cash</w:t>
            </w:r>
          </w:p>
        </w:tc>
        <w:tc>
          <w:tcPr>
            <w:tcW w:w="7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Awards(1)</w:t>
            </w:r>
          </w:p>
        </w:tc>
        <w:tc>
          <w:tcPr>
            <w:tcW w:w="72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7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George Hornig</w:t>
            </w:r>
          </w:p>
        </w:tc>
        <w:tc>
          <w:tcPr>
            <w:tcW w:w="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   —</w:t>
            </w:r>
          </w:p>
        </w:tc>
        <w:tc>
          <w:tcPr>
            <w:tcW w:w="7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Emily Rollins(2)</w:t>
            </w:r>
          </w:p>
        </w:tc>
        <w:tc>
          <w:tcPr>
            <w:tcW w:w="44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Seth Levine</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Deborah Bial</w:t>
            </w:r>
          </w:p>
        </w:tc>
        <w:tc>
          <w:tcPr>
            <w:tcW w:w="44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Craig Driscoll</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Ulrich Quay</w:t>
            </w:r>
          </w:p>
        </w:tc>
        <w:tc>
          <w:tcPr>
            <w:tcW w:w="44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Fabio Rosati</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Hunter Somerville</w:t>
            </w:r>
          </w:p>
        </w:tc>
        <w:tc>
          <w:tcPr>
            <w:tcW w:w="44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Katharine Weymouth</w:t>
            </w: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660" w:right="280" w:hanging="544"/>
        <w:spacing w:after="0" w:line="23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options granted to our directors during 2020 under our 2016 Plan, computed in accordance with Financial Accounting Standard Board Accounting Standards Codification, Topic 718, or ASC Topic 718. The assumptions used in calculating the grant date fair value of the stock options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3" w:lineRule="exact"/>
        <w:rPr>
          <w:rFonts w:ascii="Arial" w:cs="Arial" w:eastAsia="Arial" w:hAnsi="Arial"/>
          <w:sz w:val="18"/>
          <w:szCs w:val="18"/>
          <w:color w:val="auto"/>
        </w:rPr>
      </w:pPr>
    </w:p>
    <w:p>
      <w:pPr>
        <w:ind w:left="660" w:hanging="54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Ms. Rollins joined our board in March 2021.</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Each of Mr. Altschuler, our co-founder and Chief Executive Officer, and Mr. Zuriff, our co-founder and Chief Strategy Officer, is also a director but does not receive any additional compensation for his service as a director. See the section titled “Executive Compensation” for more information regarding the compensation earned by these executive officers.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intend to adopt a non-employee director compensation policy following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40"/>
          </w:cols>
          <w:pgMar w:left="320" w:top="459"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Our named executive officers, consisting of our principal executive officer and the next two most highly compensated executive officers, as of December 31, 2020, were:</w:t>
      </w:r>
    </w:p>
    <w:p>
      <w:pPr>
        <w:spacing w:after="0" w:line="102"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Randolph Altschuler, our Co-Founder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James Rallo, our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Peter Goguen, our Chief Operating Officer.</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34"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year ended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Incentive Plan</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Name and Principal Position</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gridSpan w:val="2"/>
            <w:vMerge w:val="continue"/>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color w:val="auto"/>
              </w:rPr>
              <w:t>Randolph Altschuler</w:t>
            </w: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125,000</w:t>
            </w: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100,000</w:t>
            </w:r>
          </w:p>
        </w:tc>
        <w:tc>
          <w:tcPr>
            <w:tcW w:w="480" w:type="dxa"/>
            <w:vAlign w:val="bottom"/>
            <w:tcBorders>
              <w:top w:val="single" w:sz="8" w:color="CCEEFF"/>
            </w:tcBorders>
            <w:shd w:val="clear" w:color="auto" w:fill="CCEEFF"/>
          </w:tcPr>
          <w:p>
            <w:pPr>
              <w:jc w:val="right"/>
              <w:ind w:right="170"/>
              <w:spacing w:after="0" w:line="177" w:lineRule="exact"/>
              <w:rPr>
                <w:sz w:val="20"/>
                <w:szCs w:val="20"/>
                <w:color w:val="auto"/>
              </w:rPr>
            </w:pPr>
            <w:r>
              <w:rPr>
                <w:rFonts w:ascii="Arial" w:cs="Arial" w:eastAsia="Arial" w:hAnsi="Arial"/>
                <w:sz w:val="18"/>
                <w:szCs w:val="18"/>
                <w:color w:val="auto"/>
                <w:w w:val="90"/>
              </w:rPr>
              <w:t>(2)</w:t>
            </w:r>
          </w:p>
        </w:tc>
        <w:tc>
          <w:tcPr>
            <w:tcW w:w="860" w:type="dxa"/>
            <w:vAlign w:val="bottom"/>
            <w:tcBorders>
              <w:top w:val="single" w:sz="8" w:color="auto"/>
            </w:tcBorders>
            <w:shd w:val="clear" w:color="auto" w:fill="CCEEFF"/>
          </w:tcPr>
          <w:p>
            <w:pPr>
              <w:ind w:left="580"/>
              <w:spacing w:after="0" w:line="177"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740"/>
              <w:spacing w:after="0" w:line="177"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740"/>
              <w:spacing w:after="0" w:line="177"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60" w:type="dxa"/>
            <w:vAlign w:val="bottom"/>
            <w:gridSpan w:val="2"/>
          </w:tcPr>
          <w:p>
            <w:pPr>
              <w:spacing w:after="0" w:line="183" w:lineRule="exact"/>
              <w:rPr>
                <w:sz w:val="20"/>
                <w:szCs w:val="20"/>
                <w:color w:val="auto"/>
              </w:rPr>
            </w:pPr>
            <w:r>
              <w:rPr>
                <w:rFonts w:ascii="Arial" w:cs="Arial" w:eastAsia="Arial" w:hAnsi="Arial"/>
                <w:sz w:val="18"/>
                <w:szCs w:val="18"/>
                <w:color w:val="auto"/>
              </w:rPr>
              <w:t>James Rallo(3)</w:t>
            </w:r>
          </w:p>
        </w:tc>
        <w:tc>
          <w:tcPr>
            <w:tcW w:w="98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223,125</w:t>
            </w:r>
          </w:p>
        </w:tc>
        <w:tc>
          <w:tcPr>
            <w:tcW w:w="1180" w:type="dxa"/>
            <w:vAlign w:val="bottom"/>
            <w:gridSpan w:val="2"/>
          </w:tcPr>
          <w:p>
            <w:pPr>
              <w:ind w:left="420"/>
              <w:spacing w:after="0" w:line="18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1,674,700</w:t>
            </w:r>
          </w:p>
        </w:tc>
        <w:tc>
          <w:tcPr>
            <w:tcW w:w="1480" w:type="dxa"/>
            <w:vAlign w:val="bottom"/>
            <w:gridSpan w:val="2"/>
          </w:tcPr>
          <w:p>
            <w:pPr>
              <w:ind w:left="460"/>
              <w:spacing w:after="0" w:line="183" w:lineRule="exact"/>
              <w:rPr>
                <w:sz w:val="20"/>
                <w:szCs w:val="20"/>
                <w:color w:val="auto"/>
              </w:rPr>
            </w:pPr>
            <w:r>
              <w:rPr>
                <w:rFonts w:ascii="Arial" w:cs="Arial" w:eastAsia="Arial" w:hAnsi="Arial"/>
                <w:sz w:val="18"/>
                <w:szCs w:val="18"/>
                <w:color w:val="auto"/>
              </w:rPr>
              <w:t>74,696(4)</w:t>
            </w:r>
          </w:p>
        </w:tc>
        <w:tc>
          <w:tcPr>
            <w:tcW w:w="1280" w:type="dxa"/>
            <w:vAlign w:val="bottom"/>
            <w:gridSpan w:val="2"/>
          </w:tcPr>
          <w:p>
            <w:pPr>
              <w:ind w:left="740"/>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1,972,521</w:t>
            </w:r>
          </w:p>
        </w:tc>
        <w:tc>
          <w:tcPr>
            <w:tcW w:w="0" w:type="dxa"/>
            <w:vAlign w:val="bottom"/>
          </w:tcPr>
          <w:p>
            <w:pPr>
              <w:spacing w:after="0"/>
              <w:rPr>
                <w:sz w:val="1"/>
                <w:szCs w:val="1"/>
                <w:color w:val="auto"/>
              </w:rPr>
            </w:pPr>
          </w:p>
        </w:tc>
      </w:tr>
      <w:tr>
        <w:trPr>
          <w:trHeight w:val="235"/>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Peter Goguen</w:t>
            </w:r>
          </w:p>
        </w:tc>
        <w:tc>
          <w:tcPr>
            <w:tcW w:w="9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333,800</w:t>
            </w:r>
          </w:p>
        </w:tc>
        <w:tc>
          <w:tcPr>
            <w:tcW w:w="118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8"/>
                <w:szCs w:val="18"/>
                <w:color w:val="auto"/>
              </w:rPr>
              <w:t>182,500</w:t>
            </w:r>
          </w:p>
        </w:tc>
        <w:tc>
          <w:tcPr>
            <w:tcW w:w="1480" w:type="dxa"/>
            <w:vAlign w:val="bottom"/>
            <w:gridSpan w:val="2"/>
            <w:shd w:val="clear" w:color="auto" w:fill="CCEEFF"/>
          </w:tcPr>
          <w:p>
            <w:pPr>
              <w:ind w:left="460"/>
              <w:spacing w:after="0" w:line="183" w:lineRule="exact"/>
              <w:rPr>
                <w:sz w:val="20"/>
                <w:szCs w:val="20"/>
                <w:color w:val="auto"/>
              </w:rPr>
            </w:pPr>
            <w:r>
              <w:rPr>
                <w:rFonts w:ascii="Arial" w:cs="Arial" w:eastAsia="Arial" w:hAnsi="Arial"/>
                <w:sz w:val="18"/>
                <w:szCs w:val="18"/>
                <w:color w:val="auto"/>
              </w:rPr>
              <w:t>91,911</w:t>
            </w:r>
          </w:p>
        </w:tc>
        <w:tc>
          <w:tcPr>
            <w:tcW w:w="1280" w:type="dxa"/>
            <w:vAlign w:val="bottom"/>
            <w:gridSpan w:val="2"/>
            <w:shd w:val="clear" w:color="auto" w:fill="CCEEFF"/>
          </w:tcPr>
          <w:p>
            <w:pPr>
              <w:ind w:left="740"/>
              <w:spacing w:after="0" w:line="18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608,211</w:t>
            </w:r>
          </w:p>
        </w:tc>
        <w:tc>
          <w:tcPr>
            <w:tcW w:w="0" w:type="dxa"/>
            <w:vAlign w:val="bottom"/>
          </w:tcPr>
          <w:p>
            <w:pPr>
              <w:spacing w:after="0"/>
              <w:rPr>
                <w:sz w:val="1"/>
                <w:szCs w:val="1"/>
                <w:color w:val="auto"/>
              </w:rPr>
            </w:pPr>
          </w:p>
        </w:tc>
      </w:tr>
      <w:tr>
        <w:trPr>
          <w:trHeight w:val="235"/>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Operating Officer</w:t>
            </w: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80" w:hanging="544"/>
        <w:spacing w:after="0" w:line="23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financial statements included in this prospectus.</w:t>
      </w:r>
    </w:p>
    <w:p>
      <w:pPr>
        <w:spacing w:after="0" w:line="4"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Rallo joined the Company in April 2020.</w:t>
      </w:r>
    </w:p>
    <w:p>
      <w:pPr>
        <w:ind w:left="660" w:hanging="544"/>
        <w:spacing w:after="0" w:line="23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 discretionary bonus earned by Mr. Altschuler in 2020 and paid in March 2021.</w:t>
      </w:r>
    </w:p>
    <w:p>
      <w:pPr>
        <w:ind w:left="660" w:right="20" w:hanging="54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Rallo is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26"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The 2020 base salaries for our named executive officers were as stated in the table above.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Xometry’s board of directors and compensation committee will oversee the compensation policies, plans and programs and review and determine compensation to be paid to Xometry’s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executive officers, directors and other senior management, as appropriate. The compensation policies followed by Xometry will be intended to provide for compensation that is sufficient to attract, motivate and retain executives and other individuals and to establish an appropriate relationship between executive compensation and the creation of stockholder value.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Equity-based compensation has been and will continue to be an important foundation in executive compensation packages, as Xometry believes it is important to maintain a strong link between executive incentives and the creation of stockholder value. Xometry believes that performance and equity-based compensation can be an important component of the total executive compensation package for maximizing stockholder value while, at the same time, attracting, motivating and retaining high-quality executives.</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Formal guidelines for the allocation of equity-based compensation to the named executive officers by Xometry have not yet been determined, but it is expected that equity-based compensation will be an important element of Xometry’s compensation arrangements for both executive officers and directors, and that the executive officers will also be eligible to participate in future equity or employee stock purchase plans.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of directors. We have historically established target bonus amounts which we felt was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of directors or committee thereof of the essential need to attract and retain these executive officers.</w:t>
      </w:r>
    </w:p>
    <w:p>
      <w:pPr>
        <w:spacing w:after="0" w:line="20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For 2020, although Mr. Altschuler was not eligible to receive a target bonus based on the attainment of company performance goals set by the compensation committee, Mr. Altschuler earned a discretionary bonus of $100,000 which was paid in March 2021.</w:t>
      </w:r>
    </w:p>
    <w:p>
      <w:pPr>
        <w:spacing w:after="0" w:line="197"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For 2020, Mr. Rallo received a guaranteed target bonus of $74,696 which was based on his 33% annual performance target prorated for the number of days he was employed by the Company. Going forward, he is eligible to receive an annual performance bonus with a target amount of 33% of his annual base salary, based on the bonus plan formula used for our senior executives.</w:t>
      </w:r>
    </w:p>
    <w:p>
      <w:pPr>
        <w:spacing w:after="0" w:line="20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For 2020, Mr. Goguen was eligible to receive a target bonus of $100,140, or 30% of his base salary, based on the attainment of company performance goals set by the compensation committee. Mr. Goguen received an aggregate target bonus of $91,911 in 2020. Mr. Goguen’s bonus target decreased from 30% to 20% effective February 2021.</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w:t>
      </w:r>
    </w:p>
    <w:p>
      <w:pPr>
        <w:spacing w:after="0" w:line="234"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Awards(1)</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4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Number of</w:t>
            </w:r>
          </w:p>
        </w:tc>
        <w:tc>
          <w:tcPr>
            <w:tcW w:w="1400" w:type="dxa"/>
            <w:vAlign w:val="bottom"/>
            <w:gridSpan w:val="2"/>
          </w:tcPr>
          <w:p>
            <w:pPr>
              <w:jc w:val="center"/>
              <w:ind w:right="364"/>
              <w:spacing w:after="0" w:line="14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Securities</w:t>
            </w:r>
          </w:p>
        </w:tc>
        <w:tc>
          <w:tcPr>
            <w:tcW w:w="140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Underlying</w:t>
            </w:r>
          </w:p>
        </w:tc>
        <w:tc>
          <w:tcPr>
            <w:tcW w:w="140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Unexercised</w:t>
            </w:r>
          </w:p>
        </w:tc>
        <w:tc>
          <w:tcPr>
            <w:tcW w:w="140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60" w:type="dxa"/>
            <w:vAlign w:val="bottom"/>
            <w:vMerge w:val="restart"/>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Exercisable</w:t>
            </w:r>
          </w:p>
        </w:tc>
        <w:tc>
          <w:tcPr>
            <w:tcW w:w="140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Price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6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Randolph Altschuler</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145,832</w:t>
            </w:r>
          </w:p>
        </w:tc>
        <w:tc>
          <w:tcPr>
            <w:tcW w:w="4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54,168</w:t>
            </w:r>
          </w:p>
        </w:tc>
        <w:tc>
          <w:tcPr>
            <w:tcW w:w="420" w:type="dxa"/>
            <w:vAlign w:val="bottom"/>
            <w:tcBorders>
              <w:top w:val="single" w:sz="8" w:color="CCEEFF"/>
            </w:tcBorders>
            <w:shd w:val="clear" w:color="auto" w:fill="CCEEFF"/>
          </w:tcPr>
          <w:p>
            <w:pPr>
              <w:jc w:val="right"/>
              <w:ind w:right="164"/>
              <w:spacing w:after="0" w:line="168" w:lineRule="exact"/>
              <w:rPr>
                <w:sz w:val="20"/>
                <w:szCs w:val="20"/>
                <w:color w:val="auto"/>
              </w:rPr>
            </w:pPr>
            <w:r>
              <w:rPr>
                <w:rFonts w:ascii="Arial" w:cs="Arial" w:eastAsia="Arial" w:hAnsi="Arial"/>
                <w:sz w:val="15"/>
                <w:szCs w:val="15"/>
                <w:color w:val="auto"/>
                <w:w w:val="87"/>
              </w:rPr>
              <w:t>(2)</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1.65</w:t>
            </w:r>
          </w:p>
        </w:tc>
        <w:tc>
          <w:tcPr>
            <w:tcW w:w="4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102,195</w:t>
            </w:r>
          </w:p>
        </w:tc>
        <w:tc>
          <w:tcPr>
            <w:tcW w:w="140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155,984</w:t>
            </w:r>
            <w:r>
              <w:rPr>
                <w:rFonts w:ascii="Arial" w:cs="Arial" w:eastAsia="Arial" w:hAnsi="Arial"/>
                <w:sz w:val="15"/>
                <w:szCs w:val="15"/>
                <w:color w:val="auto"/>
              </w:rPr>
              <w:t>(3)</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3.65</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8/7/2029</w:t>
            </w:r>
          </w:p>
        </w:tc>
        <w:tc>
          <w:tcPr>
            <w:tcW w:w="0" w:type="dxa"/>
            <w:vAlign w:val="bottom"/>
          </w:tcPr>
          <w:p>
            <w:pPr>
              <w:spacing w:after="0"/>
              <w:rPr>
                <w:sz w:val="1"/>
                <w:szCs w:val="1"/>
                <w:color w:val="auto"/>
              </w:rPr>
            </w:pP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Rallo</w:t>
            </w:r>
          </w:p>
        </w:tc>
        <w:tc>
          <w:tcPr>
            <w:tcW w:w="13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458,822</w:t>
            </w:r>
            <w:r>
              <w:rPr>
                <w:rFonts w:ascii="Arial" w:cs="Arial" w:eastAsia="Arial" w:hAnsi="Arial"/>
                <w:sz w:val="15"/>
                <w:szCs w:val="15"/>
                <w:color w:val="auto"/>
              </w:rPr>
              <w:t>(4)</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3.65</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5/5/2030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Peter Goguen</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50,000</w:t>
            </w:r>
          </w:p>
        </w:tc>
        <w:tc>
          <w:tcPr>
            <w:tcW w:w="1400" w:type="dxa"/>
            <w:vAlign w:val="bottom"/>
            <w:gridSpan w:val="2"/>
          </w:tcPr>
          <w:p>
            <w:pPr>
              <w:jc w:val="right"/>
              <w:ind w:right="444"/>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1.65</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4/05/2028</w:t>
            </w: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19,166</w:t>
            </w:r>
          </w:p>
        </w:tc>
        <w:tc>
          <w:tcPr>
            <w:tcW w:w="140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20,834</w:t>
            </w:r>
            <w:r>
              <w:rPr>
                <w:rFonts w:ascii="Arial" w:cs="Arial" w:eastAsia="Arial" w:hAnsi="Arial"/>
                <w:sz w:val="15"/>
                <w:szCs w:val="15"/>
                <w:color w:val="auto"/>
              </w:rPr>
              <w:t>(5)</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2/19/2029</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4"/>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right="740" w:hanging="544"/>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option awards listed in this table were granted pursuant to our 2016 Plan, the terms of which are described below under “Executive Compensation—Employee Benefit Plans”.</w:t>
      </w:r>
    </w:p>
    <w:p>
      <w:pPr>
        <w:spacing w:after="0" w:line="1" w:lineRule="exact"/>
        <w:rPr>
          <w:rFonts w:ascii="Arial" w:cs="Arial" w:eastAsia="Arial" w:hAnsi="Arial"/>
          <w:sz w:val="18"/>
          <w:szCs w:val="18"/>
          <w:color w:val="auto"/>
        </w:rPr>
      </w:pPr>
    </w:p>
    <w:p>
      <w:pPr>
        <w:ind w:left="660" w:right="160" w:hanging="544"/>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of the shares underlying this option vested on January 1, 2019, with the remaining 75% vesting in equal monthly installments over the three years thereafter, subject to Mr. Altschuler’s continuous service through each such vesting date.</w:t>
      </w:r>
    </w:p>
    <w:p>
      <w:pPr>
        <w:spacing w:after="0" w:line="1" w:lineRule="exact"/>
        <w:rPr>
          <w:rFonts w:ascii="Arial" w:cs="Arial" w:eastAsia="Arial" w:hAnsi="Arial"/>
          <w:sz w:val="18"/>
          <w:szCs w:val="18"/>
          <w:color w:val="auto"/>
        </w:rPr>
      </w:pPr>
    </w:p>
    <w:p>
      <w:pPr>
        <w:ind w:left="660" w:right="60" w:hanging="544"/>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of the shares underlying this option vested on May 2, 2020, with the remaining 75% vesting in equal monthly installments over the three years thereafter, subject to Mr. Altschuler’s continuous service through each such vesting date.</w:t>
      </w:r>
    </w:p>
    <w:p>
      <w:pPr>
        <w:spacing w:after="0" w:line="1" w:lineRule="exact"/>
        <w:rPr>
          <w:rFonts w:ascii="Arial" w:cs="Arial" w:eastAsia="Arial" w:hAnsi="Arial"/>
          <w:sz w:val="18"/>
          <w:szCs w:val="18"/>
          <w:color w:val="auto"/>
        </w:rPr>
      </w:pPr>
    </w:p>
    <w:p>
      <w:pPr>
        <w:ind w:left="660" w:right="240" w:hanging="544"/>
        <w:spacing w:after="0" w:line="24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25% of the shares underlying this option will vest on April 13, 2021, with the remaining 75% vesting in equal monthly installments over the three years thereafter, subject in each case to Mr. Rallo’s continuous service through each such vesting date.</w:t>
      </w:r>
    </w:p>
    <w:p>
      <w:pPr>
        <w:spacing w:after="0" w:line="1" w:lineRule="exact"/>
        <w:rPr>
          <w:rFonts w:ascii="Arial" w:cs="Arial" w:eastAsia="Arial" w:hAnsi="Arial"/>
          <w:sz w:val="17"/>
          <w:szCs w:val="17"/>
          <w:color w:val="auto"/>
        </w:rPr>
      </w:pPr>
    </w:p>
    <w:p>
      <w:pPr>
        <w:ind w:left="660" w:right="160" w:hanging="544"/>
        <w:spacing w:after="0" w:line="23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of the shares underlying this option vested on January 1, 2020, with the remaining 75% vesting in equal monthly installments over the three years thereafter, subject to Mr. Goguen’s continuous service through each such vesting date.</w:t>
      </w:r>
    </w:p>
    <w:p>
      <w:pPr>
        <w:spacing w:after="0" w:line="1" w:lineRule="exact"/>
        <w:rPr>
          <w:rFonts w:ascii="Arial" w:cs="Arial" w:eastAsia="Arial" w:hAnsi="Arial"/>
          <w:sz w:val="18"/>
          <w:szCs w:val="18"/>
          <w:color w:val="auto"/>
        </w:rPr>
      </w:pPr>
    </w:p>
    <w:p>
      <w:pPr>
        <w:ind w:left="660" w:right="240" w:hanging="544"/>
        <w:spacing w:after="0" w:line="274"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25% of the shares underlying this option will vest on April 28, 2021, with the remaining 75% vesting in equal monthly installments over the three years thereafter, subject in each case to Mr. Goguen’s continuous service through each such vesting date.</w:t>
      </w:r>
    </w:p>
    <w:p>
      <w:pPr>
        <w:spacing w:after="0" w:line="26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named executive officers is an at-will employee.</w:t>
      </w:r>
    </w:p>
    <w:p>
      <w:pPr>
        <w:spacing w:after="0" w:line="19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b w:val="1"/>
          <w:bCs w:val="1"/>
          <w:i w:val="1"/>
          <w:iCs w:val="1"/>
          <w:color w:val="auto"/>
        </w:rPr>
        <w:t xml:space="preserve">James Rallo. </w:t>
      </w:r>
      <w:r>
        <w:rPr>
          <w:rFonts w:ascii="Arial" w:cs="Arial" w:eastAsia="Arial" w:hAnsi="Arial"/>
          <w:sz w:val="18"/>
          <w:szCs w:val="18"/>
          <w:color w:val="auto"/>
        </w:rPr>
        <w:t>In 2020, we entered into an employment agreement with James Rallo, our Chief Financial Officer.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agreement has no specific term and provides for at-will employment. At the time of his agreement, Mr. Rallo was entitled to an initial annual base salary of $ 315,000. Additionally, he is eligible to receive an annual performance bonus with a target amount of 33% of his annual base salary, based on the bonus plan formula used for our senior executives. In 2020, Mr. Rallo was entitled to a guaranteed target bonus, prorated for the number of days he was employed, subject to his continued employment through December 31, 2020. In addition, pursuant to the employment agreement, in May 2020 Mr. Rallo was granted an incentive stock option to purchase 458,822 shares of our common stock pursuant to the 2016 Plan, vesting 25% on the first anniversary of the start date and afterward in thirty-six equal monthly installments, subject to Mr. Rallo’s continued employment through the applicable vesting date.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Pursuant to Mr. Rallo’s employment agreement, if he resigns for Good Reason or we terminate his employment without Cause (each as defined in his employment agreement) not in connection with a Change in Control (as defined in the company’s 2016 Equity Incentive Plan), then he will be eligible to receive the following severance benefits: (1) nine months of base salary, less applicable tax withholdings and paid in accordance with our regular payroll practices; and (2) up to nine months of COBRA premiums paid by the company. In addition, if Mr. Rallo resigns for Good Reason or we terminate his employment without Cause within three months prior to or twelve months following the effective date of a Change in Control, then he will also be eligible to receive the following severance benefits:</w:t>
      </w:r>
    </w:p>
    <w:p>
      <w:pPr>
        <w:ind w:left="380" w:hanging="264"/>
        <w:spacing w:after="0" w:line="238" w:lineRule="auto"/>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pro-rated target annual performance bonus for the calendar year in which his termination occurs, less applicable tax withholdings;</w:t>
      </w:r>
    </w:p>
    <w:p>
      <w:pPr>
        <w:jc w:val="both"/>
        <w:ind w:left="120" w:right="160" w:hanging="4"/>
        <w:spacing w:after="0" w:line="238" w:lineRule="auto"/>
        <w:tabs>
          <w:tab w:leader="none" w:pos="3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annual performance bonus for the preceding bonus year if his termination occurs between January 1 and March 15 and such annual performance bonus has not yet been paid by the company; and (3) all of the outstanding and unvested equity awards he held immediately prior to his termination date will become fully vested and immediately exercisable. As a condition to receiving the severance benefits set forth above, Mr. Rallo must sign and comply with a general release agreement in a form presented by us.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 Benefit Plans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26" w:lineRule="exact"/>
        <w:rPr>
          <w:sz w:val="20"/>
          <w:szCs w:val="20"/>
          <w:color w:val="auto"/>
        </w:rPr>
      </w:pPr>
    </w:p>
    <w:p>
      <w:pPr>
        <w:ind w:left="120" w:right="420" w:firstLine="551"/>
        <w:spacing w:after="0" w:line="234" w:lineRule="auto"/>
        <w:rPr>
          <w:sz w:val="20"/>
          <w:szCs w:val="20"/>
          <w:color w:val="auto"/>
        </w:rPr>
      </w:pPr>
      <w:r>
        <w:rPr>
          <w:rFonts w:ascii="Arial" w:cs="Arial" w:eastAsia="Arial" w:hAnsi="Arial"/>
          <w:sz w:val="18"/>
          <w:szCs w:val="18"/>
          <w:color w:val="auto"/>
        </w:rPr>
        <w:t>Xometry provides a retirement savings plan for the benefit of its employees, including its named executive officers. The plan is intended to qualify as a tax-qualified 401(k) plan so that contributions to</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Employee Benefits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Xometry’s named executive officers are eligible to participate in Xometry’s health and welfare plans to the same extent as all full-time employees.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Incentive Plans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following summary describes the material terms of Xometry’s 2016 Equity Incentive Plan, which was adopted by Xometry’s board of directors and approved by Xometry’s stockholders in February 2016. The 2016 Plan was most recently amended by our board of directors and stockholders in March 2021.</w:t>
      </w:r>
    </w:p>
    <w:p>
      <w:pPr>
        <w:spacing w:after="0" w:line="181"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2016 Plan provides for the grant of incentive stock options (“ISOs”), nonstatutory stock options (“NSOs”),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rights, restricted stock, restricted stock units, and other stock awards (collectively, “Awards”) to Xometry’s employees, directors, and consultants who provide services to Xometry. Xometry has granted ISOs and NSOs under the 2016 Plan. ISOs may only be granted to our employees, or employees of a parent corporation or subisidiary corporation of Xometry. Ten percent stockholders may not be granted ISOs unless the exercise price of the option is at least 110% of fair market value on the date of grant and the option is not exercisable after five years from the date of grant.</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Subject to certain capitalization adjustments, the aggregate number of shares of Xometry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may be issued pursuant to stock awards under the 2016 Plan will not exceed 5,694,149 shares. The maximum number of shares of Xometry common stock that may be issued pursuant to the exercise of ISOs under the 2016 Plan is 28,470,745 shares.</w:t>
      </w:r>
    </w:p>
    <w:p>
      <w:pPr>
        <w:spacing w:after="0" w:line="191"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Shares subject to awards granted under the 2016 Plan that expire or terminate without being exercised in full or that are settled in cash rather than in shares do not reduce the number of shares available for issuance under the 2016 Plan. Additionally, if any shares issued pursuant to a stock award are forfeited back to Xometry or repurchased because of the failure to meet a contingency or condition required to vest, then the shares that are forfeited or repurchased will revert to and again become available for issuance under the 2016 Plan. Shares used to pay the exercise or purchase price of a stock award or reacquired by us in order to satisfy the tax withholding obligations related to a stock award will also become available for issuance under the 2016 Plan.</w:t>
      </w:r>
    </w:p>
    <w:p>
      <w:pPr>
        <w:spacing w:after="0" w:line="18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2016 Plan is administered by Xometry’s board of directors, or a duly authorized committee of its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is referred to as the “plan administrator” herein. Subject to the provisions of the 2016 Plan, the plan administrator will determine in its discretion the persons to whom and the times at which Awards are granted, the sizes of such Awards and all of their terms and conditions. The plan administrator will have the authority to construe and interpret the terms of the 2016 Plan and Awards granted under it. The plan administrator may also delegate to one or more of Xometry’s officers the authority to (1) designate employees (other than officers) to receive specified awards and (2) determine the number of shares subject to such awards.</w:t>
      </w:r>
    </w:p>
    <w:p>
      <w:pPr>
        <w:spacing w:after="0" w:line="201"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Under the 2016 Plan, the plan administrator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March 31, 2021, options to purchase 3,846,570 shares of Xometry’s common stock were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2016 Plan. ISOs and NSOs are granted under stock option agreements adopted by the plan administrator. The plan administrator determines the exercise price for stock options, within the terms and conditions of the 2016 Plan, provided that the exercise price of a stock option generally cannot be less than 100% of the fair market value of Xometry common stock on the date of grant. Options granted under the 2016 Plan vest at the rate specified in the stock option agreement as determined by the plan administrator. The standard form of option award agreement under the 2016 Plan provides that options will vest 25% on the first anniversary of the vesting commencement date with the remainder vesting ratably over the next 36 months, subject to continued service through each applicable date. Under the 2016 Plan, the plan administrator has the authority to grant Awards with early exercise rights and to provide for accelerated vesting.</w:t>
      </w:r>
    </w:p>
    <w:p>
      <w:pPr>
        <w:spacing w:after="0" w:line="200" w:lineRule="exact"/>
        <w:rPr>
          <w:sz w:val="20"/>
          <w:szCs w:val="20"/>
          <w:color w:val="auto"/>
        </w:rPr>
      </w:pP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plan administrator determines the term of stock options granted under the 2016 Plan, up to a maximum of 10 years. If an optionholder’s service relationship with Xometry or any of its affiliates ceases for any reason other than disability, death or cause, the optionholder may generally exercise any vested options for a period of three months following the cessation of service. If an optionholder’s service relationship with Xometry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Xometry or any of its affiliates ceases due to disability, the optionholder may generally exercise any vested options for a period of 12 months following the cessation of service. In no event may an option be exercised beyond the expiration of its term. If an optionholder’s service relationship with Xometry or any of its affiliates ceases due to termination for Cause, the optionholder will be prohibited from exercising options from and after the date of termination.</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Xometry common stock previously owned by the optionholder, (4) a net exercise of the option if it is an NSO, (5) a deferred payment arrangement (including by promissory note) or (6) other legal consideration approved by the plan administrator.</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3"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b w:val="1"/>
          <w:bCs w:val="1"/>
          <w:i w:val="1"/>
          <w:iCs w:val="1"/>
          <w:color w:val="auto"/>
        </w:rPr>
        <w:t xml:space="preserve">Tax Limitations on ISOs. </w:t>
      </w:r>
      <w:r>
        <w:rPr>
          <w:rFonts w:ascii="Arial" w:cs="Arial" w:eastAsia="Arial" w:hAnsi="Arial"/>
          <w:sz w:val="18"/>
          <w:szCs w:val="18"/>
          <w:color w:val="auto"/>
        </w:rPr>
        <w:t>The aggregate fair market value, determined at the time of grant, of Xometry common stock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ISOs that are exercisable for the first time by an optionholder during any calendar year under all of Xometry’s stock plans may not exceed $100,000. Options or portions thereof that exceed such limit will generally be treated as NSOs. No ISO may be granted to any person who, at the time of the grant, owns or is deemed to own stock possessing more than 10% of Xometry’s total combined voting power or that of any of its affiliates unless (1) the option exercise price is at least 110% of the fair market value of the stock subject to the option on the date of grant and (2) the term of the ISO does not exceed five years from the date of grant.</w:t>
      </w:r>
    </w:p>
    <w:p>
      <w:pPr>
        <w:spacing w:after="0" w:line="17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Restricted stock unit awards are granted under restricted stock unit award agreements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administrator. Restricted stock unit awards may be granted in consideration for any form of legal consideration that may be acceptable to Xometry’s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 restricted stock award may be awarded in consideration for cash, cash equivalents, past or future services to Xometry, or any other form of legal consideration that may be acceptable to Xometry’s board of directors and permissible under applicable law. The plan administrator determines the terms and conditions of restricted stock awards, including vesting and forfeiture terms. If a participant’s service relationship with Xometry ends for any reason, Xometry may receive any or all of the shares of common stock held by the participant that have not vested as of the date the participant terminates service with Xometry through a forfeiture condition and/or a repurchase or reacquisition right. The restricted stock award agreement may provide that any dividends paid on restricted stock awards will be subject to the same vesting and forfeiture restrictions as apply to the underlying shares of restricted stock.</w:t>
      </w:r>
    </w:p>
    <w:p>
      <w:pPr>
        <w:spacing w:after="0" w:line="180"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Changes to Capital Structure. </w:t>
      </w:r>
      <w:r>
        <w:rPr>
          <w:rFonts w:ascii="Arial" w:cs="Arial" w:eastAsia="Arial" w:hAnsi="Arial"/>
          <w:sz w:val="18"/>
          <w:szCs w:val="18"/>
          <w:color w:val="auto"/>
        </w:rPr>
        <w:t>In the event there is a specified type of change in Xometry’s capital structure, such as a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split, reverse stock split or recapitalization, appropriate adjustments will be made to (1) the class and maximum number of shares reserved for issuance under the 2016 Plan, (2) the class and maximum number of shares that may be issued on the exercise of ISOs and (3) the class and number of shares and exercise price, strike price, or purchase price, if applicable, of all outstanding stock awards.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The 2016 Plan provides that in the event of certain specified significant transactions (described below)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(defined below), unless otherwise provided in an award agreement or other written agreement between Xometry and the award holder, the plan administrator may take one or more of the following actions with respect to such stock awards:</w:t>
      </w:r>
    </w:p>
    <w:p>
      <w:pPr>
        <w:spacing w:after="0" w:line="96"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corporation;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Xometry to the surviving or acquiring corporation;</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(if applicable) at or before the effective time of the transaction;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Xometry;</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before the effective time of the transaction, in exchange for a consideration, if any; and</w:t>
      </w:r>
    </w:p>
    <w:p>
      <w:pPr>
        <w:spacing w:after="0" w:line="102" w:lineRule="exact"/>
        <w:rPr>
          <w:rFonts w:ascii="Arial" w:cs="Arial" w:eastAsia="Arial" w:hAnsi="Arial"/>
          <w:sz w:val="18"/>
          <w:szCs w:val="18"/>
          <w:color w:val="auto"/>
        </w:rPr>
      </w:pPr>
    </w:p>
    <w:p>
      <w:pPr>
        <w:ind w:left="880" w:right="22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20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The plan administrator is not obligated to treat all stock awards or portions of stock awards in the same manner and is not obligated to treat all participants in the same manner.</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2016 Plan, a transaction is generally the consummation of: (1) a sale of all or substantially all of Xometry’s assets, (2) the sale or disposition of at least 50% of Xometry’s outstanding securities, (3) a merger or consolidation in which Xometry is not the surviving corporation, or (4) a merger or consolidation in which Xometry is the surviving corporation but the shares of Xometry common stock outstanding immediately before such transaction are converted or exchanged into other property by virtue of the transaction.</w:t>
      </w:r>
    </w:p>
    <w:p>
      <w:pPr>
        <w:spacing w:after="0" w:line="183" w:lineRule="exact"/>
        <w:rPr>
          <w:sz w:val="20"/>
          <w:szCs w:val="20"/>
          <w:color w:val="auto"/>
        </w:rPr>
      </w:pPr>
    </w:p>
    <w:p>
      <w:pPr>
        <w:jc w:val="both"/>
        <w:ind w:left="120" w:right="60" w:firstLine="551"/>
        <w:spacing w:after="0" w:line="253" w:lineRule="auto"/>
        <w:rPr>
          <w:sz w:val="20"/>
          <w:szCs w:val="20"/>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In addition to the above, the plan administrator may provide, in an individual award agreement that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subject to additional acceleration of vesting and exercisability in the event of a change in control, but in the absence of such a provision, no acceleration will occur upon a change in control.</w:t>
      </w:r>
    </w:p>
    <w:p>
      <w:pPr>
        <w:spacing w:after="0" w:line="191"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Under the 2016 Plan, a change in control is generally (1) the acquisition by any person or company of more than 50% of the combined voting power of Xometry’s then outstanding stock, other than by virtue of a merger, consolidation or similar transaction (2) a merger, consolidation or similar transaction in which Xometry’s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 other disposition of all or substantially all of Xometry’s assets other than to an entity more than 50% of the combined voting power of which is owned by its stockholders in substantially the same proportions as their ownership of Xometry’s outstanding voting securities immediately prior to such transaction. Xometry’s initial public offering any subsequent public offering or another capital raising event is not a change in control.</w:t>
      </w:r>
    </w:p>
    <w:p>
      <w:pPr>
        <w:spacing w:after="0" w:line="186"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Plan Amendment or Termination. </w:t>
      </w:r>
      <w:r>
        <w:rPr>
          <w:rFonts w:ascii="Arial" w:cs="Arial" w:eastAsia="Arial" w:hAnsi="Arial"/>
          <w:sz w:val="18"/>
          <w:szCs w:val="18"/>
          <w:color w:val="auto"/>
        </w:rPr>
        <w:t>Xometry’s board of directors has the authority to amend, suspend, or terminate the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provided that such action does not impair the existing rights of</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any participant without such participant’s written consent. Certain material amendments also require the approval of Xometry’s stockholders. Unless terminated sooner, the 2016 Plan will automatically terminate on February 2, 2026. No stock awards may be granted under the 2016 Plan while it is suspended or after it is terminated.</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10"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authorize us to indemnify our directors, officers, employees and other agents to the fullest extent permitted by Delaware law. Our amended and restated bylaws that will be in effect on the completion of this offering will provide that we are required to indemnify our directors and officers to the fullest extent permitted by Delaware law and may indemnify our other employees and agents. Our amended and restated bylaws that will be in effect 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10b5-1 Sales Plans</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102"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Third Party Tender Offer</w:t>
      </w:r>
    </w:p>
    <w:p>
      <w:pPr>
        <w:spacing w:after="0" w:line="23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In August, 2020, the Company entered into an agreement with certain investors, including T. Rowe Price Associates, Highland Capital Partners, Foundry Group, BMW I Ventures SCS, SICAV RAIF and Greenspring Associates, LLC (together with their respective affiliates), pursuant to which we agreed to waive certain transfer restrictions in connection with, and assist in the administration of, a tender offer that such investors proposed to commence. In August 2020, these investors commenced a tender offer to purchase shares of our capital stock from certain of our stockholders at a price of $8.00 per share, pursuant to an offer to purchase to which we were not a party.</w:t>
      </w:r>
    </w:p>
    <w:p>
      <w:pPr>
        <w:spacing w:after="0" w:line="190"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Each of Laurence Zuriff, our co-founder and Chief Strategy Officer and a member of our board of directors, and his affiliated entity, ZFI Capital, and George Hornig the Chairman of our Board of Directors sold shares of Series Seed-1 and Series Seed-2 Preferred Stock in the tender offer.</w:t>
      </w:r>
    </w:p>
    <w:p>
      <w:pPr>
        <w:spacing w:after="0" w:line="203" w:lineRule="exact"/>
        <w:rPr>
          <w:sz w:val="20"/>
          <w:szCs w:val="20"/>
          <w:color w:val="auto"/>
        </w:rPr>
      </w:pPr>
    </w:p>
    <w:p>
      <w:pPr>
        <w:ind w:left="120" w:right="480" w:firstLine="551"/>
        <w:spacing w:after="0"/>
        <w:rPr>
          <w:sz w:val="20"/>
          <w:szCs w:val="20"/>
          <w:color w:val="auto"/>
        </w:rPr>
      </w:pPr>
      <w:r>
        <w:rPr>
          <w:rFonts w:ascii="Arial" w:cs="Arial" w:eastAsia="Arial" w:hAnsi="Arial"/>
          <w:sz w:val="18"/>
          <w:szCs w:val="18"/>
          <w:color w:val="auto"/>
        </w:rPr>
        <w:t>Each of Randolph Altschuler, Laurence Zuriff, T. Rowe Price Associates, Highland Capital Partners, Foundry Group, BMW i Ventures SCS, SICAV RAIF, and Greenspring Associates and their respective affiliates are beneficial holders of more than 5% of our outstanding capital stock.</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 Financing</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$52,653,589.65.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Contract with Peter Goguen</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A-2</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B</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2840" w:type="dxa"/>
            <w:vAlign w:val="bottom"/>
            <w:vMerge w:val="restart"/>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Highland Capital Partners</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89,985</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30,888</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32,100</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24,912</w:t>
            </w:r>
          </w:p>
        </w:tc>
        <w:tc>
          <w:tcPr>
            <w:tcW w:w="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180,170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4,168,550.53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BMW i Ventures SCS, SICAV RAIF</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42,521</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14,592</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15,161</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11,761</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85,137</w:t>
            </w:r>
          </w:p>
        </w:tc>
        <w:tc>
          <w:tcPr>
            <w:tcW w:w="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1,969,577.50</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Greenspring Associates</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41,667</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14,303</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14,864</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11,536</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83,425</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1,930,213.85</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Foundry Group</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59,633</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20,470</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21,273</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16,510</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119,399</w:t>
            </w:r>
          </w:p>
        </w:tc>
        <w:tc>
          <w:tcPr>
            <w:tcW w:w="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2,762,518.76</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 Rowe Price Associates, Inc.</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654,011</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224,493</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233,298</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181,056</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1,309,467</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30,296,809.69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Series D Preferred Stock Financing</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$54,999,975.96. All investors purchasing shares in the foregoing transaction are entitled to specified registration rights. See the section titled “Description of Capital Stock—Registration Rights” for more information regarding these registration rights. The following table summarizes the preferred stock purchased by our executive officers, members of our board of directors or their affiliates, and holders of more than 5% of our outstanding capital stock.</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Series</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w:t>
            </w:r>
          </w:p>
        </w:tc>
        <w:tc>
          <w:tcPr>
            <w:tcW w:w="2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800" w:type="dxa"/>
            <w:vAlign w:val="bottom"/>
            <w:vMerge w:val="restart"/>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6800" w:type="dxa"/>
            <w:vAlign w:val="bottom"/>
            <w:vMerge w:val="continue"/>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24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8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Highland Capital Partners</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399,573</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4,000,045.40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BMW i Ventures SCS, SICAV RAIF</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372,548</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3,729,503.52</w:t>
            </w: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Greenspring Associates</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2,497,300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24,999,970.85</w:t>
            </w:r>
          </w:p>
        </w:tc>
        <w:tc>
          <w:tcPr>
            <w:tcW w:w="0" w:type="dxa"/>
            <w:vAlign w:val="bottom"/>
          </w:tcPr>
          <w:p>
            <w:pPr>
              <w:spacing w:after="0"/>
              <w:rPr>
                <w:sz w:val="1"/>
                <w:szCs w:val="1"/>
                <w:color w:val="auto"/>
              </w:rPr>
            </w:pPr>
          </w:p>
        </w:tc>
      </w:tr>
      <w:tr>
        <w:trPr>
          <w:trHeight w:val="217"/>
        </w:trPr>
        <w:tc>
          <w:tcPr>
            <w:tcW w:w="8240" w:type="dxa"/>
            <w:vAlign w:val="bottom"/>
            <w:gridSpan w:val="2"/>
          </w:tcPr>
          <w:p>
            <w:pPr>
              <w:spacing w:after="0"/>
              <w:rPr>
                <w:sz w:val="20"/>
                <w:szCs w:val="20"/>
                <w:color w:val="auto"/>
              </w:rPr>
            </w:pPr>
            <w:r>
              <w:rPr>
                <w:rFonts w:ascii="Arial" w:cs="Arial" w:eastAsia="Arial" w:hAnsi="Arial"/>
                <w:sz w:val="18"/>
                <w:szCs w:val="18"/>
                <w:color w:val="auto"/>
              </w:rPr>
              <w:t>Foundry Group</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787,238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7,880,882.18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 Agreements</w:t>
      </w:r>
    </w:p>
    <w:p>
      <w:pPr>
        <w:spacing w:after="0" w:line="234"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In connection with our preferred stock financings, we entered into certain stockholder agreements, including an investors’ rights agreement, a voting agreement and a right of first refusal and co-sale agreement, which contain, among other things, registration rights, information rights, voting rights with respect to the election of directors, co-sale rights and rights of first refusal, with certain holders of our capital stock. The parties to these stockholder agreements include: Randolph Altschuler and entities affiliated with Randolph Altschuler, Laurence Zuriff and entities affiliated with Laurence Zuriff, George Hornig, entities affiliated with Highland Capital Partners, where our director, Craig Driscoll, is a general partner; entities affiliated with Foundry Group, where our director, Seth Levine, is a managing director; entities affiliated with BMW i Ventures SCS, SICAV RAIF, where our director, Ulrich Quay is a managing partner; and entities affiliated with Greenspring Associates, where our director, Hunter Somerville is a general partner.</w:t>
      </w:r>
    </w:p>
    <w:p>
      <w:pPr>
        <w:spacing w:after="0" w:line="20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investors’ rights agreement, voting agreement, and right of first refusal and co-sale agreement will terminate upon the completion of this offering, except with respect to registration rights, as more fully described in the section titled “Description of Capital Stock—Stockholder Registration Rights.” See also the section titled “Principal Stockholders” for additional information regarding beneficial ownership of our capital stock.</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“Management—Non-Employee Director Compensation” and “Executive Compensation.”</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left="120" w:right="180" w:firstLine="551"/>
        <w:spacing w:after="0" w:line="274" w:lineRule="auto"/>
        <w:rPr>
          <w:sz w:val="20"/>
          <w:szCs w:val="20"/>
          <w:color w:val="auto"/>
        </w:rPr>
      </w:pPr>
      <w:r>
        <w:rPr>
          <w:rFonts w:ascii="Arial" w:cs="Arial" w:eastAsia="Arial" w:hAnsi="Arial"/>
          <w:sz w:val="17"/>
          <w:szCs w:val="17"/>
          <w:color w:val="auto"/>
        </w:rPr>
        <w:t>We have entered into employment agreements with certain of our executive officers. For more information regarding employment agreements with our named executive officers, see the section titled “Executive Compensation—Employment Arrangements.”</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contain provisions limiting the liability of directors, and our amended and restated bylaws that will be in effect on the completion of this offering will provide that we will indemnify each of our directors and officers to the fullest extent permitted under Delaware law. Our amended and restated certificate of incorporation and amended and restated bylaws that will be in effect 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34"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18"/>
          <w:szCs w:val="18"/>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w:t>
      </w:r>
    </w:p>
    <w:p>
      <w:pPr>
        <w:spacing w:after="0" w:line="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foregoing persons, in which the amount involved exceeds $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information with respect to the beneficial ownership of our shares as of February 28, 2021 by:</w:t>
      </w:r>
    </w:p>
    <w:p>
      <w:pPr>
        <w:spacing w:after="0" w:line="117"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common stock (by number or by voting power).</w:t>
      </w:r>
    </w:p>
    <w:p>
      <w:pPr>
        <w:spacing w:after="0" w:line="212"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ectPr>
          <w:pgSz w:w="11900" w:h="16838" w:orient="portrait"/>
          <w:cols w:equalWidth="0" w:num="1">
            <w:col w:w="11080"/>
          </w:cols>
          <w:pgMar w:left="320" w:top="459" w:right="499" w:bottom="1440" w:gutter="0" w:footer="0" w:header="0"/>
        </w:sectPr>
      </w:pP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Applicable percentage ownership before the offering is based on shares of common stock outstanding as of assuming the automatic conversion of all outstanding shares of preferred stock into shares of common stock. Applicable percentage ownership after the offering is based on (1) shares of common stock outstanding immediately after the completion of this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4" w:lineRule="exact"/>
        <w:rPr>
          <w:sz w:val="20"/>
          <w:szCs w:val="20"/>
          <w:color w:val="auto"/>
        </w:rPr>
      </w:pPr>
    </w:p>
    <w:p>
      <w:pPr>
        <w:sectPr>
          <w:pgSz w:w="11900" w:h="16838" w:orient="portrait"/>
          <w:cols w:equalWidth="0" w:num="2">
            <w:col w:w="10600" w:space="160"/>
            <w:col w:w="320"/>
          </w:cols>
          <w:pgMar w:left="320" w:top="459" w:right="499" w:bottom="1440" w:gutter="0" w:footer="0" w:header="0"/>
          <w:type w:val="continuous"/>
        </w:sectPr>
      </w:pPr>
    </w:p>
    <w:p>
      <w:pPr>
        <w:ind w:left="120" w:right="180"/>
        <w:spacing w:after="0" w:line="242" w:lineRule="auto"/>
        <w:rPr>
          <w:sz w:val="20"/>
          <w:szCs w:val="20"/>
          <w:color w:val="auto"/>
        </w:rPr>
      </w:pPr>
      <w:r>
        <w:rPr>
          <w:rFonts w:ascii="Arial" w:cs="Arial" w:eastAsia="Arial" w:hAnsi="Arial"/>
          <w:sz w:val="17"/>
          <w:szCs w:val="17"/>
          <w:color w:val="auto"/>
        </w:rPr>
        <w:t>offering, assuming no exercise by the underwriters of their option to purchase additional shares of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w:t>
      </w:r>
    </w:p>
    <w:p>
      <w:pPr>
        <w:spacing w:after="0" w:line="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conditions within 60 days of . However, except as described above, we did not deem such shares outstanding for the purpose of computing the percentage ownership of any other person.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Unless otherwise indicated, the address for each beneficial owner listed in the table below is c/o Xometry, Inc., 7529 Standish Place, Suite 200, Derwood, MD 20855.</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9" w:lineRule="exact"/>
        <w:rPr>
          <w:sz w:val="20"/>
          <w:szCs w:val="20"/>
          <w:color w:val="auto"/>
        </w:rPr>
      </w:pPr>
    </w:p>
    <w:p>
      <w:pPr>
        <w:ind w:left="120" w:right="780"/>
        <w:spacing w:after="0" w:line="234" w:lineRule="auto"/>
        <w:rPr>
          <w:sz w:val="20"/>
          <w:szCs w:val="20"/>
          <w:color w:val="auto"/>
        </w:rPr>
      </w:pPr>
      <w:r>
        <w:rPr>
          <w:rFonts w:ascii="Arial" w:cs="Arial" w:eastAsia="Arial" w:hAnsi="Arial"/>
          <w:sz w:val="18"/>
          <w:szCs w:val="18"/>
          <w:color w:val="auto"/>
        </w:rPr>
        <w:t>Entities associated with Highland Capital Partners Entities associated with T. Rowe Price Associates, Inc. Entities associated with Foundry Group BMW i Ventures SCS, SICAV RAIF</w:t>
      </w:r>
    </w:p>
    <w:p>
      <w:pPr>
        <w:ind w:left="120"/>
        <w:spacing w:after="0" w:line="238" w:lineRule="auto"/>
        <w:rPr>
          <w:sz w:val="20"/>
          <w:szCs w:val="20"/>
          <w:color w:val="auto"/>
        </w:rPr>
      </w:pPr>
      <w:r>
        <w:rPr>
          <w:rFonts w:ascii="Arial" w:cs="Arial" w:eastAsia="Arial" w:hAnsi="Arial"/>
          <w:sz w:val="18"/>
          <w:szCs w:val="18"/>
          <w:color w:val="auto"/>
        </w:rPr>
        <w:t>Entities associated with Greenspring Associates, LLC</w:t>
      </w:r>
    </w:p>
    <w:p>
      <w:pPr>
        <w:ind w:left="120"/>
        <w:spacing w:after="0" w:line="234" w:lineRule="auto"/>
        <w:rPr>
          <w:sz w:val="20"/>
          <w:szCs w:val="20"/>
          <w:color w:val="auto"/>
        </w:rPr>
      </w:pPr>
      <w:r>
        <w:rPr>
          <w:rFonts w:ascii="Arial" w:cs="Arial" w:eastAsia="Arial" w:hAnsi="Arial"/>
          <w:sz w:val="18"/>
          <w:szCs w:val="18"/>
          <w:color w:val="auto"/>
        </w:rPr>
        <w:t>Randolph Altschuler</w:t>
      </w:r>
    </w:p>
    <w:p>
      <w:pPr>
        <w:ind w:left="120"/>
        <w:spacing w:after="0" w:line="235" w:lineRule="auto"/>
        <w:rPr>
          <w:sz w:val="20"/>
          <w:szCs w:val="20"/>
          <w:color w:val="auto"/>
        </w:rPr>
      </w:pPr>
      <w:r>
        <w:rPr>
          <w:rFonts w:ascii="Arial" w:cs="Arial" w:eastAsia="Arial" w:hAnsi="Arial"/>
          <w:sz w:val="18"/>
          <w:szCs w:val="18"/>
          <w:color w:val="auto"/>
        </w:rPr>
        <w:t>Laurence Zuriff</w:t>
      </w:r>
    </w:p>
    <w:p>
      <w:pPr>
        <w:ind w:left="120"/>
        <w:spacing w:after="0" w:line="235" w:lineRule="auto"/>
        <w:rPr>
          <w:sz w:val="20"/>
          <w:szCs w:val="20"/>
          <w:color w:val="auto"/>
        </w:rPr>
      </w:pPr>
      <w:r>
        <w:rPr>
          <w:rFonts w:ascii="Arial" w:cs="Arial" w:eastAsia="Arial" w:hAnsi="Arial"/>
          <w:sz w:val="18"/>
          <w:szCs w:val="18"/>
          <w:b w:val="1"/>
          <w:bCs w:val="1"/>
          <w:color w:val="auto"/>
        </w:rPr>
        <w:t>Directors and Named Executive Officers:</w:t>
      </w:r>
    </w:p>
    <w:p>
      <w:pPr>
        <w:ind w:left="120"/>
        <w:spacing w:after="0" w:line="235" w:lineRule="auto"/>
        <w:rPr>
          <w:sz w:val="20"/>
          <w:szCs w:val="20"/>
          <w:color w:val="auto"/>
        </w:rPr>
      </w:pPr>
      <w:r>
        <w:rPr>
          <w:rFonts w:ascii="Arial" w:cs="Arial" w:eastAsia="Arial" w:hAnsi="Arial"/>
          <w:sz w:val="18"/>
          <w:szCs w:val="18"/>
          <w:color w:val="auto"/>
        </w:rPr>
        <w:t>Randolph Altschuler</w:t>
      </w:r>
    </w:p>
    <w:p>
      <w:pPr>
        <w:ind w:left="120"/>
        <w:spacing w:after="0" w:line="235" w:lineRule="auto"/>
        <w:rPr>
          <w:sz w:val="20"/>
          <w:szCs w:val="20"/>
          <w:color w:val="auto"/>
        </w:rPr>
      </w:pPr>
      <w:r>
        <w:rPr>
          <w:rFonts w:ascii="Arial" w:cs="Arial" w:eastAsia="Arial" w:hAnsi="Arial"/>
          <w:sz w:val="18"/>
          <w:szCs w:val="18"/>
          <w:color w:val="auto"/>
        </w:rPr>
        <w:t>James Rallo</w:t>
      </w:r>
    </w:p>
    <w:p>
      <w:pPr>
        <w:ind w:left="120"/>
        <w:spacing w:after="0" w:line="234" w:lineRule="auto"/>
        <w:rPr>
          <w:sz w:val="20"/>
          <w:szCs w:val="20"/>
          <w:color w:val="auto"/>
        </w:rPr>
      </w:pPr>
      <w:r>
        <w:rPr>
          <w:rFonts w:ascii="Arial" w:cs="Arial" w:eastAsia="Arial" w:hAnsi="Arial"/>
          <w:sz w:val="18"/>
          <w:szCs w:val="18"/>
          <w:color w:val="auto"/>
        </w:rPr>
        <w:t>Peter Goguen</w:t>
      </w:r>
    </w:p>
    <w:p>
      <w:pPr>
        <w:ind w:left="120"/>
        <w:spacing w:after="0" w:line="235" w:lineRule="auto"/>
        <w:rPr>
          <w:sz w:val="20"/>
          <w:szCs w:val="20"/>
          <w:color w:val="auto"/>
        </w:rPr>
      </w:pPr>
      <w:r>
        <w:rPr>
          <w:rFonts w:ascii="Arial" w:cs="Arial" w:eastAsia="Arial" w:hAnsi="Arial"/>
          <w:sz w:val="18"/>
          <w:szCs w:val="18"/>
          <w:color w:val="auto"/>
        </w:rPr>
        <w:t>Laurence Zuriff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George Hornig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Emily Rollins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Seth Levine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Deborah Bial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Craig Driscoll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Ulrich Quay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Fabio Rosati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Hunter Somerville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Katharine Weymouth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directors and executive officers as a group (15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Beneficial Ownership</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Beneficial Ownership</w:t>
            </w:r>
          </w:p>
        </w:tc>
      </w:tr>
      <w:tr>
        <w:trPr>
          <w:trHeight w:val="175"/>
        </w:trPr>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Before the Offering</w:t>
            </w:r>
          </w:p>
        </w:tc>
        <w:tc>
          <w:tcPr>
            <w:tcW w:w="6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After the Offering</w:t>
            </w:r>
          </w:p>
        </w:tc>
      </w:tr>
      <w:tr>
        <w:trPr>
          <w:trHeight w:val="142"/>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268"/>
              <w:spacing w:after="0" w:line="143" w:lineRule="exact"/>
              <w:rPr>
                <w:sz w:val="20"/>
                <w:szCs w:val="20"/>
                <w:color w:val="auto"/>
              </w:rPr>
            </w:pPr>
            <w:r>
              <w:rPr>
                <w:rFonts w:ascii="Arial" w:cs="Arial" w:eastAsia="Arial" w:hAnsi="Arial"/>
                <w:sz w:val="14"/>
                <w:szCs w:val="14"/>
                <w:b w:val="1"/>
                <w:bCs w:val="1"/>
                <w:color w:val="auto"/>
              </w:rPr>
              <w:t>% of</w:t>
            </w:r>
          </w:p>
        </w:tc>
      </w:tr>
      <w:tr>
        <w:trPr>
          <w:trHeight w:val="162"/>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rPr>
              <w:t>Total</w:t>
            </w:r>
          </w:p>
        </w:tc>
      </w:tr>
      <w:tr>
        <w:trPr>
          <w:trHeight w:val="162"/>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Voting</w:t>
            </w:r>
          </w:p>
        </w:tc>
      </w:tr>
      <w:tr>
        <w:trPr>
          <w:trHeight w:val="162"/>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Voting</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9"/>
              </w:rPr>
              <w:t>Power</w:t>
            </w:r>
          </w:p>
        </w:tc>
      </w:tr>
      <w:tr>
        <w:trPr>
          <w:trHeight w:val="162"/>
        </w:trPr>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Power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rPr>
              <w:t>After</w:t>
            </w:r>
          </w:p>
        </w:tc>
      </w:tr>
      <w:tr>
        <w:trPr>
          <w:trHeight w:val="162"/>
        </w:trPr>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Before</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center"/>
              <w:ind w:right="628"/>
              <w:spacing w:after="0"/>
              <w:rPr>
                <w:sz w:val="20"/>
                <w:szCs w:val="20"/>
                <w:color w:val="auto"/>
              </w:rPr>
            </w:pPr>
            <w:r>
              <w:rPr>
                <w:rFonts w:ascii="Arial" w:cs="Arial" w:eastAsia="Arial" w:hAnsi="Arial"/>
                <w:sz w:val="14"/>
                <w:szCs w:val="14"/>
                <w:b w:val="1"/>
                <w:bCs w:val="1"/>
                <w:color w:val="auto"/>
              </w:rPr>
              <w:t>the</w:t>
            </w:r>
          </w:p>
        </w:tc>
      </w:tr>
      <w:tr>
        <w:trPr>
          <w:trHeight w:val="176"/>
        </w:trPr>
        <w:tc>
          <w:tcPr>
            <w:tcW w:w="84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the</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5"/>
                <w:szCs w:val="15"/>
                <w:color w:val="auto"/>
              </w:rPr>
            </w:pPr>
          </w:p>
        </w:tc>
        <w:tc>
          <w:tcPr>
            <w:tcW w:w="1280" w:type="dxa"/>
            <w:vAlign w:val="bottom"/>
            <w:gridSpan w:val="2"/>
          </w:tcPr>
          <w:p>
            <w:pPr>
              <w:jc w:val="center"/>
              <w:ind w:right="268"/>
              <w:spacing w:after="0" w:line="176" w:lineRule="exact"/>
              <w:rPr>
                <w:sz w:val="20"/>
                <w:szCs w:val="20"/>
                <w:color w:val="auto"/>
              </w:rPr>
            </w:pPr>
            <w:r>
              <w:rPr>
                <w:rFonts w:ascii="Arial" w:cs="Arial" w:eastAsia="Arial" w:hAnsi="Arial"/>
                <w:sz w:val="12"/>
                <w:szCs w:val="12"/>
                <w:b w:val="1"/>
                <w:bCs w:val="1"/>
                <w:color w:val="auto"/>
              </w:rPr>
              <w:t>Offering</w:t>
            </w:r>
            <w:r>
              <w:rPr>
                <w:rFonts w:ascii="Arial" w:cs="Arial" w:eastAsia="Arial" w:hAnsi="Arial"/>
                <w:sz w:val="20"/>
                <w:szCs w:val="20"/>
                <w:b w:val="1"/>
                <w:bCs w:val="1"/>
                <w:color w:val="auto"/>
                <w:vertAlign w:val="superscript"/>
              </w:rPr>
              <w:t>(1)</w:t>
            </w:r>
          </w:p>
        </w:tc>
      </w:tr>
      <w:tr>
        <w:trPr>
          <w:trHeight w:val="155"/>
        </w:trPr>
        <w:tc>
          <w:tcPr>
            <w:tcW w:w="66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Offering</w:t>
            </w:r>
          </w:p>
        </w:tc>
        <w:tc>
          <w:tcPr>
            <w:tcW w:w="6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3"/>
                <w:szCs w:val="13"/>
                <w:color w:val="auto"/>
              </w:rPr>
            </w:pPr>
          </w:p>
        </w:tc>
        <w:tc>
          <w:tcPr>
            <w:tcW w:w="34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Shares</w:t>
            </w:r>
          </w:p>
        </w:tc>
      </w:tr>
      <w:tr>
        <w:trPr>
          <w:trHeight w:val="20"/>
        </w:trPr>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-8255</wp:posOffset>
            </wp:positionV>
            <wp:extent cx="699516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257175</wp:posOffset>
            </wp:positionV>
            <wp:extent cx="699516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514350</wp:posOffset>
            </wp:positionV>
            <wp:extent cx="699516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771525</wp:posOffset>
            </wp:positionV>
            <wp:extent cx="6995160" cy="128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2827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1028700</wp:posOffset>
            </wp:positionV>
            <wp:extent cx="699516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1285875</wp:posOffset>
            </wp:positionV>
            <wp:extent cx="699516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1543050</wp:posOffset>
            </wp:positionV>
            <wp:extent cx="699516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1808480</wp:posOffset>
            </wp:positionV>
            <wp:extent cx="6995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2082800</wp:posOffset>
            </wp:positionV>
            <wp:extent cx="69951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2357120</wp:posOffset>
            </wp:positionV>
            <wp:extent cx="699516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2631440</wp:posOffset>
            </wp:positionV>
            <wp:extent cx="699516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2905760</wp:posOffset>
            </wp:positionV>
            <wp:extent cx="699516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963"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660" w:hanging="54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ind w:left="660" w:right="300" w:hanging="54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our common stock, as a single class. The holders of our common stock are entitled to one vote per share. See the section titled “Description of Capital Stock—Common Stock” for additional information about the voting rights of our common stock.</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completion of this offering.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the completion of this offering, our amended and restated certificate of incorporation will provide for one class of common stock. In addition, our amended and restated certificate of incorporation that will be in effect on the completion of this offering will authorize shares of undesignated preferred stock, the rights, preferences and privileges of which may be designated from time to time by our board of directors.</w:t>
      </w:r>
    </w:p>
    <w:p>
      <w:pPr>
        <w:sectPr>
          <w:pgSz w:w="11900" w:h="16838" w:orient="portrait"/>
          <w:cols w:equalWidth="0" w:num="1">
            <w:col w:w="11100"/>
          </w:cols>
          <w:pgMar w:left="320" w:top="459" w:right="479" w:bottom="1440" w:gutter="0" w:footer="0" w:header="0"/>
        </w:sectPr>
      </w:pPr>
    </w:p>
    <w:p>
      <w:pPr>
        <w:spacing w:after="0" w:line="205"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Upon the completion of this offering, our authorized capital stock will consist of per share, of which:</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shares, all with a par value of $0.000001</w:t>
      </w:r>
    </w:p>
    <w:p>
      <w:pPr>
        <w:spacing w:after="0" w:line="330" w:lineRule="exact"/>
        <w:rPr>
          <w:sz w:val="20"/>
          <w:szCs w:val="20"/>
          <w:color w:val="auto"/>
        </w:rPr>
      </w:pPr>
    </w:p>
    <w:p>
      <w:pPr>
        <w:sectPr>
          <w:pgSz w:w="11900" w:h="16838" w:orient="portrait"/>
          <w:cols w:equalWidth="0" w:num="2">
            <w:col w:w="7080" w:space="720"/>
            <w:col w:w="3300"/>
          </w:cols>
          <w:pgMar w:left="320" w:top="459" w:right="47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shares are designated common stock; and</w:t>
      </w:r>
    </w:p>
    <w:p>
      <w:pPr>
        <w:spacing w:after="0" w:line="117" w:lineRule="exact"/>
        <w:rPr>
          <w:sz w:val="20"/>
          <w:szCs w:val="20"/>
          <w:color w:val="auto"/>
        </w:rPr>
      </w:pPr>
    </w:p>
    <w:p>
      <w:pPr>
        <w:sectPr>
          <w:pgSz w:w="11900" w:h="16838" w:orient="portrait"/>
          <w:cols w:equalWidth="0" w:num="2">
            <w:col w:w="1000" w:space="720"/>
            <w:col w:w="9380"/>
          </w:cols>
          <w:pgMar w:left="320" w:top="459" w:right="47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preferred stock.</w:t>
      </w:r>
    </w:p>
    <w:p>
      <w:pPr>
        <w:spacing w:after="0" w:line="200" w:lineRule="exact"/>
        <w:rPr>
          <w:sz w:val="20"/>
          <w:szCs w:val="20"/>
          <w:color w:val="auto"/>
        </w:rPr>
      </w:pPr>
    </w:p>
    <w:p>
      <w:pPr>
        <w:sectPr>
          <w:pgSz w:w="11900" w:h="16838" w:orient="portrait"/>
          <w:cols w:equalWidth="0" w:num="2">
            <w:col w:w="1000" w:space="720"/>
            <w:col w:w="9380"/>
          </w:cols>
          <w:pgMar w:left="320" w:top="459" w:right="479" w:bottom="1440" w:gutter="0" w:footer="0" w:header="0"/>
          <w:type w:val="continuous"/>
        </w:sectPr>
      </w:pPr>
    </w:p>
    <w:p>
      <w:pPr>
        <w:spacing w:after="0" w:line="2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As of , we had outstanding shares of common stock, which assumes the conversion of shares of preferred stock into shares of common stock.</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outstanding</w:t>
      </w:r>
    </w:p>
    <w:p>
      <w:pPr>
        <w:spacing w:after="0" w:line="420" w:lineRule="exact"/>
        <w:rPr>
          <w:sz w:val="20"/>
          <w:szCs w:val="20"/>
          <w:color w:val="auto"/>
        </w:rPr>
      </w:pPr>
    </w:p>
    <w:p>
      <w:pPr>
        <w:sectPr>
          <w:pgSz w:w="11900" w:h="16838" w:orient="portrait"/>
          <w:cols w:equalWidth="0" w:num="2">
            <w:col w:w="9120" w:space="720"/>
            <w:col w:w="1260"/>
          </w:cols>
          <w:pgMar w:left="320" w:top="459" w:right="479" w:bottom="1440" w:gutter="0" w:footer="0" w:header="0"/>
          <w:type w:val="continuous"/>
        </w:sectPr>
      </w:pPr>
    </w:p>
    <w:p>
      <w:pPr>
        <w:spacing w:after="0" w:line="5" w:lineRule="exact"/>
        <w:rPr>
          <w:sz w:val="20"/>
          <w:szCs w:val="20"/>
          <w:color w:val="auto"/>
        </w:rPr>
      </w:pPr>
    </w:p>
    <w:p>
      <w:pPr>
        <w:jc w:val="both"/>
        <w:ind w:left="120" w:right="80" w:firstLine="551"/>
        <w:spacing w:after="0" w:line="243" w:lineRule="auto"/>
        <w:rPr>
          <w:sz w:val="20"/>
          <w:szCs w:val="20"/>
          <w:color w:val="auto"/>
        </w:rPr>
      </w:pPr>
      <w:r>
        <w:rPr>
          <w:rFonts w:ascii="Arial" w:cs="Arial" w:eastAsia="Arial" w:hAnsi="Arial"/>
          <w:sz w:val="18"/>
          <w:szCs w:val="18"/>
          <w:color w:val="auto"/>
        </w:rPr>
        <w:t>Our outstanding capital stock was held by stockholders of record as of authorized, without stockholder approval except as required by the listing standards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Our board of directors will be</w:t>
      </w:r>
    </w:p>
    <w:p>
      <w:pPr>
        <w:spacing w:after="0"/>
        <w:rPr>
          <w:sz w:val="20"/>
          <w:szCs w:val="20"/>
          <w:color w:val="auto"/>
        </w:rPr>
      </w:pPr>
      <w:r>
        <w:rPr>
          <w:rFonts w:ascii="Arial" w:cs="Arial" w:eastAsia="Arial" w:hAnsi="Arial"/>
          <w:sz w:val="18"/>
          <w:szCs w:val="18"/>
          <w:color w:val="auto"/>
        </w:rPr>
        <w:t>, to issue additional shares of our capital</w:t>
      </w:r>
    </w:p>
    <w:p>
      <w:pPr>
        <w:spacing w:after="0" w:line="10" w:lineRule="exact"/>
        <w:rPr>
          <w:sz w:val="20"/>
          <w:szCs w:val="20"/>
          <w:color w:val="auto"/>
        </w:rPr>
      </w:pPr>
    </w:p>
    <w:p>
      <w:pPr>
        <w:sectPr>
          <w:pgSz w:w="11900" w:h="16838" w:orient="portrait"/>
          <w:cols w:equalWidth="0" w:num="2">
            <w:col w:w="7080" w:space="720"/>
            <w:col w:w="3300"/>
          </w:cols>
          <w:pgMar w:left="320" w:top="459" w:right="479" w:bottom="1440" w:gutter="0" w:footer="0" w:header="0"/>
          <w:type w:val="continuous"/>
        </w:sectPr>
      </w:pPr>
    </w:p>
    <w:p>
      <w:pPr>
        <w:ind w:left="120"/>
        <w:spacing w:after="0" w:line="235" w:lineRule="auto"/>
        <w:rPr>
          <w:sz w:val="20"/>
          <w:szCs w:val="20"/>
          <w:color w:val="auto"/>
        </w:rPr>
      </w:pPr>
      <w:r>
        <w:rPr>
          <w:rFonts w:ascii="Arial" w:cs="Arial" w:eastAsia="Arial" w:hAnsi="Arial"/>
          <w:sz w:val="18"/>
          <w:szCs w:val="18"/>
          <w:color w:val="auto"/>
        </w:rPr>
        <w:t>stock.</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common stock is entitled to one vote per share on any matter that is submitted to a vote of our stockholders. Holders of shares of common stock will vote together as a single class on all matters (including the election of directors) submitted to a vote of stockholders. The affirmative vote of holders of at least 66</w:t>
      </w:r>
      <w:r>
        <w:rPr>
          <w:rFonts w:ascii="Arial" w:cs="Arial" w:eastAsia="Arial" w:hAnsi="Arial"/>
          <w:sz w:val="15"/>
          <w:szCs w:val="15"/>
          <w:color w:val="auto"/>
        </w:rPr>
        <w:t>2/3</w:t>
      </w:r>
      <w:r>
        <w:rPr>
          <w:rFonts w:ascii="Arial" w:cs="Arial" w:eastAsia="Arial" w:hAnsi="Arial"/>
          <w:sz w:val="18"/>
          <w:szCs w:val="18"/>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05"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Our amended and restated certificate of incorporation that will be in effect on the completion of this offering will not provide for cumulative voting for the election of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Rights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Except as otherwise will be expressly provided in our amended and restated certificate of incorporation that will be in effect on the completion of this offering or required by applicable law, all shares of common stock will have the same rights and privileges and rank equally, share ratably and be identical in all respects for all matters, including those described below.</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Dividends and Distributions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preferred stock outstanding at the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76"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liquidation, dissolution or winding-up, the holders of common stock will be entitled to share equally,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7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b w:val="1"/>
          <w:bCs w:val="1"/>
          <w:i w:val="1"/>
          <w:iCs w:val="1"/>
          <w:color w:val="auto"/>
        </w:rPr>
        <w:t>Change of Control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common stock will be treated equally and identically with respect to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3" w:lineRule="exact"/>
        <w:rPr>
          <w:sz w:val="20"/>
          <w:szCs w:val="20"/>
          <w:color w:val="auto"/>
        </w:rPr>
      </w:pPr>
    </w:p>
    <w:p>
      <w:pPr>
        <w:ind w:left="120" w:right="960" w:firstLine="551"/>
        <w:spacing w:after="0" w:line="271" w:lineRule="auto"/>
        <w:rPr>
          <w:sz w:val="20"/>
          <w:szCs w:val="20"/>
          <w:color w:val="auto"/>
        </w:rPr>
      </w:pPr>
      <w:r>
        <w:rPr>
          <w:rFonts w:ascii="Arial" w:cs="Arial" w:eastAsia="Arial" w:hAnsi="Arial"/>
          <w:sz w:val="18"/>
          <w:szCs w:val="18"/>
          <w:b w:val="1"/>
          <w:bCs w:val="1"/>
          <w:i w:val="1"/>
          <w:iCs w:val="1"/>
          <w:color w:val="auto"/>
        </w:rPr>
        <w:t>Subdivisions and Combinations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subdivide or combine in any manner outstanding shares common stock,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shares of the other classes will be subdivided or combined in the same manner.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In connection with this offering, our legal counsel will opine that the shares of our common stock to be issued under this offering will be fully paid and non-assessable.</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60"/>
        <w:spacing w:after="0"/>
        <w:tabs>
          <w:tab w:leader="none" w:pos="1860" w:val="left"/>
          <w:tab w:leader="none" w:pos="3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there were</w:t>
      </w:r>
      <w:r>
        <w:rPr>
          <w:sz w:val="20"/>
          <w:szCs w:val="20"/>
          <w:color w:val="auto"/>
        </w:rPr>
        <w:tab/>
      </w:r>
      <w:r>
        <w:rPr>
          <w:rFonts w:ascii="Arial" w:cs="Arial" w:eastAsia="Arial" w:hAnsi="Arial"/>
          <w:sz w:val="18"/>
          <w:szCs w:val="18"/>
          <w:color w:val="auto"/>
        </w:rPr>
        <w:t>shares of our preferred stock outstanding. In connection with this offering, each outstanding</w:t>
      </w:r>
    </w:p>
    <w:p>
      <w:pPr>
        <w:ind w:left="120"/>
        <w:spacing w:after="0"/>
        <w:rPr>
          <w:sz w:val="20"/>
          <w:szCs w:val="20"/>
          <w:color w:val="auto"/>
        </w:rPr>
      </w:pPr>
      <w:r>
        <w:rPr>
          <w:rFonts w:ascii="Arial" w:cs="Arial" w:eastAsia="Arial" w:hAnsi="Arial"/>
          <w:sz w:val="18"/>
          <w:szCs w:val="18"/>
          <w:color w:val="auto"/>
        </w:rPr>
        <w:t>share of our preferred stock will convert into one share of our common stock.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 the completion of this offering and under our amended and restated certificate of incorporation that will be in effect on the</w:t>
      </w:r>
    </w:p>
    <w:p>
      <w:pPr>
        <w:jc w:val="center"/>
        <w:ind w:right="-39"/>
        <w:spacing w:after="0" w:line="234" w:lineRule="auto"/>
        <w:rPr>
          <w:sz w:val="20"/>
          <w:szCs w:val="20"/>
          <w:color w:val="auto"/>
        </w:rPr>
      </w:pPr>
      <w:r>
        <w:rPr>
          <w:rFonts w:ascii="Arial" w:cs="Arial" w:eastAsia="Arial" w:hAnsi="Arial"/>
          <w:sz w:val="18"/>
          <w:szCs w:val="18"/>
          <w:color w:val="auto"/>
        </w:rPr>
        <w:t>completion of this offering, our board of directors may, without further action by our stockholders, fix the rights, preferences, privileges and</w:t>
      </w:r>
    </w:p>
    <w:p>
      <w:pPr>
        <w:spacing w:after="0" w:line="1"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restrictions of up to an aggregate of shares of preferred stock in one or more series and authorize their issuance. These rights, preferences and privileges could include dividend rights, conversion rights, voting rights, terms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have no present plan to issue any shares of preferred stock.</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100"/>
          </w:cols>
          <w:pgMar w:left="320" w:top="459" w:right="479" w:bottom="1440" w:gutter="0" w:footer="0" w:header="0"/>
        </w:sectPr>
      </w:pP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As of , we had outstanding options to purchase price of approximately $ per share, under our 2016 Plan.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with a weighted-average exercise</w:t>
      </w:r>
    </w:p>
    <w:p>
      <w:pPr>
        <w:spacing w:after="0" w:line="428" w:lineRule="exact"/>
        <w:rPr>
          <w:sz w:val="20"/>
          <w:szCs w:val="20"/>
          <w:color w:val="auto"/>
        </w:rPr>
      </w:pPr>
    </w:p>
    <w:p>
      <w:pPr>
        <w:sectPr>
          <w:pgSz w:w="11900" w:h="16838" w:orient="portrait"/>
          <w:cols w:equalWidth="0" w:num="2">
            <w:col w:w="5360" w:space="600"/>
            <w:col w:w="5140"/>
          </w:cols>
          <w:pgMar w:left="320" w:top="459" w:right="479" w:bottom="1440" w:gutter="0" w:footer="0" w:header="0"/>
          <w:type w:val="continuous"/>
        </w:sectPr>
      </w:pP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Warrants</w:t>
      </w:r>
    </w:p>
    <w:p>
      <w:pPr>
        <w:sectPr>
          <w:pgSz w:w="11900" w:h="16838" w:orient="portrait"/>
          <w:cols w:equalWidth="0" w:num="1">
            <w:col w:w="11100"/>
          </w:cols>
          <w:pgMar w:left="320" w:top="459" w:right="479" w:bottom="1440" w:gutter="0" w:footer="0" w:header="0"/>
          <w:type w:val="continuous"/>
        </w:sectPr>
      </w:pPr>
    </w:p>
    <w:p>
      <w:pPr>
        <w:spacing w:after="0" w:line="245"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As of , we had outstanding warrants to purchase price of approximately $ per share.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with a weighted-average exercise</w:t>
      </w:r>
    </w:p>
    <w:p>
      <w:pPr>
        <w:spacing w:after="0" w:line="417" w:lineRule="exact"/>
        <w:rPr>
          <w:sz w:val="20"/>
          <w:szCs w:val="20"/>
          <w:color w:val="auto"/>
        </w:rPr>
      </w:pPr>
    </w:p>
    <w:p>
      <w:pPr>
        <w:sectPr>
          <w:pgSz w:w="11900" w:h="16838" w:orient="portrait"/>
          <w:cols w:equalWidth="0" w:num="2">
            <w:col w:w="5340" w:space="720"/>
            <w:col w:w="5040"/>
          </w:cols>
          <w:pgMar w:left="320" w:top="459" w:right="479" w:bottom="1440" w:gutter="0" w:footer="0" w:header="0"/>
          <w:type w:val="continuous"/>
        </w:sectPr>
      </w:pP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Registration Rights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This investor rights agreement was entered into in July 17, 2020.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is a part,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1" w:lineRule="exact"/>
        <w:rPr>
          <w:sz w:val="20"/>
          <w:szCs w:val="20"/>
          <w:color w:val="auto"/>
        </w:rPr>
      </w:pPr>
    </w:p>
    <w:p>
      <w:pPr>
        <w:ind w:left="660"/>
        <w:spacing w:after="0"/>
        <w:tabs>
          <w:tab w:leader="none" w:pos="390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8"/>
          <w:szCs w:val="18"/>
          <w:color w:val="auto"/>
        </w:rPr>
        <w:t>shares of our common stock will be entitled to certain demand registration rights. At any</w:t>
      </w:r>
    </w:p>
    <w:p>
      <w:pPr>
        <w:jc w:val="both"/>
        <w:ind w:left="120" w:right="500"/>
        <w:spacing w:after="0"/>
        <w:rPr>
          <w:sz w:val="20"/>
          <w:szCs w:val="20"/>
          <w:color w:val="auto"/>
        </w:rPr>
      </w:pPr>
      <w:r>
        <w:rPr>
          <w:rFonts w:ascii="Arial" w:cs="Arial" w:eastAsia="Arial" w:hAnsi="Arial"/>
          <w:sz w:val="18"/>
          <w:szCs w:val="18"/>
          <w:color w:val="auto"/>
        </w:rPr>
        <w:t>time beginning 180 days after the completion of this offering, the holders of at least 40% of these shares may, on not more than one occasion, request that we register all or a portion of their shares. Such request for registration must cover shares with an anticipated aggregate offering price, net of underwriting discounts and commissions, of at least $5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ectPr>
          <w:pgSz w:w="11900" w:h="16838" w:orient="portrait"/>
          <w:cols w:equalWidth="0" w:num="1">
            <w:col w:w="11100"/>
          </w:cols>
          <w:pgMar w:left="320" w:top="459" w:right="479" w:bottom="1440" w:gutter="0" w:footer="0" w:header="0"/>
          <w:type w:val="continuous"/>
        </w:sectPr>
      </w:pPr>
    </w:p>
    <w:p>
      <w:pPr>
        <w:spacing w:after="0" w:line="126"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7"/>
          <w:szCs w:val="17"/>
          <w:color w:val="auto"/>
        </w:rPr>
        <w:t>In connection with this offering, the holders of an aggregate of necessary percentage of holders waived, their rights to notice of this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were entitled to, and the</w:t>
      </w:r>
    </w:p>
    <w:p>
      <w:pPr>
        <w:spacing w:after="0" w:line="346" w:lineRule="exact"/>
        <w:rPr>
          <w:sz w:val="20"/>
          <w:szCs w:val="20"/>
          <w:color w:val="auto"/>
        </w:rPr>
      </w:pPr>
    </w:p>
    <w:p>
      <w:pPr>
        <w:sectPr>
          <w:pgSz w:w="11900" w:h="16838" w:orient="portrait"/>
          <w:cols w:equalWidth="0" w:num="2">
            <w:col w:w="5660" w:space="720"/>
            <w:col w:w="472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100"/>
          </w:cols>
          <w:pgMar w:left="320" w:top="459" w:right="47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The holders of an aggregate of shares of common stock will be entitled to certain Form S-3 registration rights. The holders of at least 30% of these shares can make a request that we register their shares on Form S-3 if we are qualified to file a registration</w:t>
      </w:r>
    </w:p>
    <w:p>
      <w:pPr>
        <w:spacing w:after="0" w:line="1"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color w:val="auto"/>
        </w:rPr>
        <w:t>statement on Form S-3 and if the reasonably anticipated aggregate gross proceeds of the shares offered would equal or exceed $3 million. We will not be required to effect more than two registrations on Form S-3 within any 12-month period.</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Anti-Takeover Provisions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on the Completion of this Offering</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completion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our chief executive officer or our lead independent director. Our amended and restated bylaws to be effective on the completion of this offering will establish an advance notice procedure for stockholder proposals to be brought before an annual meeting of our stockholders, including proposed nominations of persons for election to our board of directors.</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amended and restated certificate of incorporation to be effective on the completion of this offering will further provide for a dual-class common stock structure, which provides our current investors, officers and employees with control over all matters requiring stockholder approval, including the election of directors and significant corporate transactions, such as a merger or other sale of our company or its assets.</w:t>
      </w:r>
    </w:p>
    <w:p>
      <w:pPr>
        <w:spacing w:after="0" w:line="205"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In accordance with our amended and restated certificate of incorporation to be effective on the completion of this offering, immediately after this offering, our board of directors will be divided into three classes with staggered three-year terms.</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2"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after completion of this offering, facilitate our continued product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6"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to be effective on the completion of this offering will provide that the Court of</w:t>
      </w:r>
    </w:p>
    <w:p>
      <w:pPr>
        <w:ind w:left="120"/>
        <w:spacing w:after="0" w:line="234" w:lineRule="auto"/>
        <w:rPr>
          <w:sz w:val="20"/>
          <w:szCs w:val="20"/>
          <w:color w:val="auto"/>
        </w:rPr>
      </w:pPr>
      <w:r>
        <w:rPr>
          <w:rFonts w:ascii="Arial" w:cs="Arial" w:eastAsia="Arial" w:hAnsi="Arial"/>
          <w:sz w:val="18"/>
          <w:szCs w:val="18"/>
          <w:color w:val="auto"/>
        </w:rPr>
        <w:t>Chancery of the State of Delaware be the exclusive forum for actions or proceedings brought under Delaware statutory or common law:</w:t>
      </w:r>
    </w:p>
    <w:p>
      <w:pPr>
        <w:spacing w:after="0" w:line="1" w:lineRule="exact"/>
        <w:rPr>
          <w:sz w:val="20"/>
          <w:szCs w:val="20"/>
          <w:color w:val="auto"/>
        </w:rPr>
      </w:pPr>
    </w:p>
    <w:p>
      <w:pPr>
        <w:ind w:left="120" w:right="20" w:hanging="4"/>
        <w:spacing w:after="0" w:line="237" w:lineRule="auto"/>
        <w:tabs>
          <w:tab w:leader="none" w:pos="3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currently not listed on any securities exchange. We intend to apply to have our common stock approved for</w:t>
      </w:r>
    </w:p>
    <w:p>
      <w:pPr>
        <w:ind w:left="120"/>
        <w:spacing w:after="0"/>
        <w:tabs>
          <w:tab w:leader="none" w:pos="1700" w:val="left"/>
          <w:tab w:leader="none" w:pos="4000" w:val="left"/>
        </w:tabs>
        <w:rPr>
          <w:sz w:val="20"/>
          <w:szCs w:val="20"/>
          <w:color w:val="auto"/>
        </w:rPr>
      </w:pPr>
      <w:r>
        <w:rPr>
          <w:rFonts w:ascii="Arial" w:cs="Arial" w:eastAsia="Arial" w:hAnsi="Arial"/>
          <w:sz w:val="18"/>
          <w:szCs w:val="18"/>
          <w:color w:val="auto"/>
        </w:rPr>
        <w:t>listing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6"/>
          <w:szCs w:val="16"/>
          <w:color w:val="auto"/>
        </w:rPr>
        <w: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ectPr>
          <w:pgSz w:w="11900" w:h="16838" w:orient="portrait"/>
          <w:cols w:equalWidth="0" w:num="1">
            <w:col w:w="11100"/>
          </w:cols>
          <w:pgMar w:left="320" w:top="459" w:right="479" w:bottom="1440" w:gutter="0" w:footer="0" w:header="0"/>
        </w:sectPr>
      </w:pP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On the completion of this offering, the transfer agent and registrar for our common stock will be address is .</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The transfer agent’s</w:t>
      </w:r>
    </w:p>
    <w:p>
      <w:pPr>
        <w:spacing w:after="0" w:line="357" w:lineRule="exact"/>
        <w:rPr>
          <w:sz w:val="20"/>
          <w:szCs w:val="20"/>
          <w:color w:val="auto"/>
        </w:rPr>
      </w:pPr>
    </w:p>
    <w:p>
      <w:pPr>
        <w:sectPr>
          <w:pgSz w:w="11900" w:h="16838" w:orient="portrait"/>
          <w:cols w:equalWidth="0" w:num="2">
            <w:col w:w="8340" w:space="720"/>
            <w:col w:w="20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100"/>
          </w:cols>
          <w:pgMar w:left="320" w:top="459" w:right="47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200" w:lineRule="exact"/>
        <w:rPr>
          <w:sz w:val="20"/>
          <w:szCs w:val="20"/>
          <w:color w:val="auto"/>
        </w:rPr>
      </w:pPr>
    </w:p>
    <w:p>
      <w:pPr>
        <w:ind w:left="660"/>
        <w:spacing w:after="0"/>
        <w:tabs>
          <w:tab w:leader="none" w:pos="4520" w:val="left"/>
          <w:tab w:leader="none" w:pos="8920" w:val="left"/>
        </w:tabs>
        <w:rPr>
          <w:sz w:val="20"/>
          <w:szCs w:val="20"/>
          <w:color w:val="auto"/>
        </w:rPr>
      </w:pPr>
      <w:r>
        <w:rPr>
          <w:rFonts w:ascii="Arial" w:cs="Arial" w:eastAsia="Arial" w:hAnsi="Arial"/>
          <w:sz w:val="18"/>
          <w:szCs w:val="18"/>
          <w:color w:val="auto"/>
        </w:rPr>
        <w:t>Based on our shares outstanding as of</w:t>
      </w:r>
      <w:r>
        <w:rPr>
          <w:sz w:val="20"/>
          <w:szCs w:val="20"/>
          <w:color w:val="auto"/>
        </w:rPr>
        <w:tab/>
      </w:r>
      <w:r>
        <w:rPr>
          <w:rFonts w:ascii="Arial" w:cs="Arial" w:eastAsia="Arial" w:hAnsi="Arial"/>
          <w:sz w:val="18"/>
          <w:szCs w:val="18"/>
          <w:color w:val="auto"/>
        </w:rPr>
        <w:t>, on the completion of this offering, a total of</w:t>
      </w:r>
      <w:r>
        <w:rPr>
          <w:sz w:val="20"/>
          <w:szCs w:val="20"/>
          <w:color w:val="auto"/>
        </w:rPr>
        <w:tab/>
      </w:r>
      <w:r>
        <w:rPr>
          <w:rFonts w:ascii="Arial" w:cs="Arial" w:eastAsia="Arial" w:hAnsi="Arial"/>
          <w:sz w:val="17"/>
          <w:szCs w:val="17"/>
          <w:color w:val="auto"/>
        </w:rPr>
        <w:t>shares of common stock</w:t>
      </w:r>
    </w:p>
    <w:p>
      <w:pPr>
        <w:ind w:left="120"/>
        <w:spacing w:after="0" w:line="234" w:lineRule="auto"/>
        <w:rPr>
          <w:sz w:val="20"/>
          <w:szCs w:val="20"/>
          <w:color w:val="auto"/>
        </w:rPr>
      </w:pPr>
      <w:r>
        <w:rPr>
          <w:rFonts w:ascii="Arial" w:cs="Arial" w:eastAsia="Arial" w:hAnsi="Arial"/>
          <w:sz w:val="18"/>
          <w:szCs w:val="18"/>
          <w:color w:val="auto"/>
        </w:rPr>
        <w:t>will be outstanding, assuming the automatic conversion of all of our outstanding shares of preferred stock into an aggregate of</w:t>
      </w:r>
    </w:p>
    <w:p>
      <w:pPr>
        <w:ind w:left="120"/>
        <w:spacing w:after="0" w:line="235" w:lineRule="auto"/>
        <w:rPr>
          <w:sz w:val="20"/>
          <w:szCs w:val="20"/>
          <w:color w:val="auto"/>
        </w:rPr>
      </w:pPr>
      <w:r>
        <w:rPr>
          <w:rFonts w:ascii="Arial" w:cs="Arial" w:eastAsia="Arial" w:hAnsi="Arial"/>
          <w:sz w:val="18"/>
          <w:szCs w:val="18"/>
          <w:color w:val="auto"/>
        </w:rPr>
        <w:t>shares of common stock. Of these shares, all of the common stock sold in this offering by us, plus any shares sold by us on exercise of</w:t>
      </w:r>
    </w:p>
    <w:p>
      <w:pPr>
        <w:ind w:left="120"/>
        <w:spacing w:after="0" w:line="235" w:lineRule="auto"/>
        <w:rPr>
          <w:sz w:val="20"/>
          <w:szCs w:val="20"/>
          <w:color w:val="auto"/>
        </w:rPr>
      </w:pPr>
      <w:r>
        <w:rPr>
          <w:rFonts w:ascii="Arial" w:cs="Arial" w:eastAsia="Arial" w:hAnsi="Arial"/>
          <w:sz w:val="18"/>
          <w:szCs w:val="18"/>
          <w:color w:val="auto"/>
        </w:rPr>
        <w:t>the underwriters’ option to purchase additional common stock, will be freely tradable in the public market without restriction or further</w:t>
      </w:r>
    </w:p>
    <w:p>
      <w:pPr>
        <w:ind w:left="120"/>
        <w:spacing w:after="0" w:line="235" w:lineRule="auto"/>
        <w:rPr>
          <w:sz w:val="20"/>
          <w:szCs w:val="20"/>
          <w:color w:val="auto"/>
        </w:rPr>
      </w:pPr>
      <w:r>
        <w:rPr>
          <w:rFonts w:ascii="Arial" w:cs="Arial" w:eastAsia="Arial" w:hAnsi="Arial"/>
          <w:sz w:val="18"/>
          <w:szCs w:val="18"/>
          <w:color w:val="auto"/>
        </w:rPr>
        <w:t>registration under the Securities Act, unless these shares are held by “affiliates,” as that term is defined in Rule 144 under the Securities</w:t>
      </w:r>
    </w:p>
    <w:p>
      <w:pPr>
        <w:ind w:left="120"/>
        <w:spacing w:after="0"/>
        <w:rPr>
          <w:sz w:val="20"/>
          <w:szCs w:val="20"/>
          <w:color w:val="auto"/>
        </w:rPr>
      </w:pPr>
      <w:r>
        <w:rPr>
          <w:rFonts w:ascii="Arial" w:cs="Arial" w:eastAsia="Arial" w:hAnsi="Arial"/>
          <w:sz w:val="18"/>
          <w:szCs w:val="18"/>
          <w:color w:val="auto"/>
        </w:rPr>
        <w:t>Act.</w:t>
      </w:r>
    </w:p>
    <w:p>
      <w:pPr>
        <w:spacing w:after="0" w:line="21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The remaining shares of common stock will be, and shares of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202"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20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10" w:lineRule="exact"/>
        <w:rPr>
          <w:sz w:val="20"/>
          <w:szCs w:val="20"/>
          <w:color w:val="auto"/>
        </w:rPr>
      </w:pPr>
    </w:p>
    <w:p>
      <w:pPr>
        <w:ind w:left="880" w:right="320" w:hanging="219"/>
        <w:spacing w:after="0" w:line="246" w:lineRule="auto"/>
        <w:tabs>
          <w:tab w:leader="none" w:pos="860" w:val="left"/>
        </w:tabs>
        <w:rPr>
          <w:sz w:val="20"/>
          <w:szCs w:val="20"/>
          <w:color w:val="auto"/>
        </w:rPr>
      </w:pPr>
      <w:r>
        <w:rPr>
          <w:rFonts w:ascii="Arial" w:cs="Arial" w:eastAsia="Arial" w:hAnsi="Arial"/>
          <w:sz w:val="18"/>
          <w:szCs w:val="18"/>
          <w:color w:val="auto"/>
        </w:rPr>
        <w:t>•</w:t>
        <w:tab/>
        <w:t>1% of the number of common stock then outstanding, which will equal approximately shares immediately after this offering, assuming no exercise of the underwriters’ option to purchase additional shares of common stock from us; 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0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519"/>
        </w:trPr>
        <w:tc>
          <w:tcPr>
            <w:tcW w:w="6380" w:type="dxa"/>
            <w:vAlign w:val="bottom"/>
            <w:gridSpan w:val="2"/>
          </w:tcPr>
          <w:p>
            <w:pPr>
              <w:ind w:left="660"/>
              <w:spacing w:after="0"/>
              <w:rPr>
                <w:sz w:val="20"/>
                <w:szCs w:val="20"/>
                <w:color w:val="auto"/>
              </w:rPr>
            </w:pPr>
            <w:r>
              <w:rPr>
                <w:rFonts w:ascii="Arial" w:cs="Arial" w:eastAsia="Arial" w:hAnsi="Arial"/>
                <w:sz w:val="18"/>
                <w:szCs w:val="18"/>
                <w:color w:val="auto"/>
              </w:rPr>
              <w:t>•  the average weekly trading volume of our common stock on the</w:t>
            </w:r>
          </w:p>
        </w:tc>
        <w:tc>
          <w:tcPr>
            <w:tcW w:w="4660" w:type="dxa"/>
            <w:vAlign w:val="bottom"/>
          </w:tcPr>
          <w:p>
            <w:pPr>
              <w:ind w:left="440"/>
              <w:spacing w:after="0"/>
              <w:rPr>
                <w:sz w:val="20"/>
                <w:szCs w:val="20"/>
                <w:color w:val="auto"/>
              </w:rPr>
            </w:pPr>
            <w:r>
              <w:rPr>
                <w:rFonts w:ascii="Arial" w:cs="Arial" w:eastAsia="Arial" w:hAnsi="Arial"/>
                <w:sz w:val="18"/>
                <w:szCs w:val="18"/>
                <w:color w:val="auto"/>
                <w:w w:val="99"/>
              </w:rPr>
              <w:t>during the four calendar weeks preceding the filing of</w:t>
            </w:r>
          </w:p>
        </w:tc>
      </w:tr>
      <w:tr>
        <w:trPr>
          <w:trHeight w:val="217"/>
        </w:trPr>
        <w:tc>
          <w:tcPr>
            <w:tcW w:w="6380" w:type="dxa"/>
            <w:vAlign w:val="bottom"/>
            <w:gridSpan w:val="2"/>
          </w:tcPr>
          <w:p>
            <w:pPr>
              <w:ind w:left="880"/>
              <w:spacing w:after="0"/>
              <w:rPr>
                <w:sz w:val="20"/>
                <w:szCs w:val="20"/>
                <w:color w:val="auto"/>
              </w:rPr>
            </w:pPr>
            <w:r>
              <w:rPr>
                <w:rFonts w:ascii="Arial" w:cs="Arial" w:eastAsia="Arial" w:hAnsi="Arial"/>
                <w:sz w:val="18"/>
                <w:szCs w:val="18"/>
                <w:color w:val="auto"/>
              </w:rPr>
              <w:t>a notice on Form 144 with respect to such sale.</w:t>
            </w:r>
          </w:p>
        </w:tc>
        <w:tc>
          <w:tcPr>
            <w:tcW w:w="466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20" w:firstLine="551"/>
        <w:spacing w:after="0" w:line="246"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S-8 Registration Statements</w:t>
      </w:r>
    </w:p>
    <w:p>
      <w:pPr>
        <w:spacing w:after="0" w:line="234"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common stock that are issuable under our 2016 Plan, 2021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Lock-up Arrangements</w:t>
      </w:r>
    </w:p>
    <w:p>
      <w:pPr>
        <w:spacing w:after="0" w:line="23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7"/>
          <w:szCs w:val="17"/>
          <w:color w:val="auto"/>
        </w:rPr>
        <w:t>We, and all of our directors, executive officers and the holders of substantially all of our common stock and securities exercisable for or convertible into our common stock outstanding immediately on the completion of this offering, have agreed, or will agree, with the</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underwriters that, until days after the date of this prospectus, we and they will not, without the prior written consent of Goldman Sachs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Goldman Sachs &amp; Co. LLC and J.P. Morgan Securities LLC may, in its sole discretion, release any of the securities subject to these lock-up agreements at any time.</w:t>
      </w:r>
    </w:p>
    <w:p>
      <w:pPr>
        <w:spacing w:after="0" w:line="20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including option agreements with all of our option holders that contain market stand-off provisions imposing restrictions on the ability of such option holders to offer, sell or transfer our equity securities for a period of 180 days following the date of this prospectus.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660"/>
        <w:spacing w:after="0"/>
        <w:tabs>
          <w:tab w:leader="none" w:pos="552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7"/>
          <w:szCs w:val="17"/>
          <w:color w:val="auto"/>
        </w:rPr>
        <w:t>shares of our common stock or their transferees, will be entitled to</w:t>
      </w:r>
    </w:p>
    <w:p>
      <w:pPr>
        <w:jc w:val="right"/>
        <w:ind w:left="120" w:right="5240"/>
        <w:spacing w:after="0" w:line="418" w:lineRule="auto"/>
        <w:rPr>
          <w:sz w:val="20"/>
          <w:szCs w:val="20"/>
          <w:color w:val="auto"/>
        </w:rPr>
      </w:pPr>
      <w:r>
        <w:rPr>
          <w:rFonts w:ascii="Arial" w:cs="Arial" w:eastAsia="Arial" w:hAnsi="Arial"/>
          <w:sz w:val="18"/>
          <w:szCs w:val="18"/>
          <w:color w:val="auto"/>
        </w:rPr>
        <w:t>certain rights with respect to the registration of the offer and sale of their 131</w:t>
      </w:r>
    </w:p>
    <w:p>
      <w:pPr>
        <w:sectPr>
          <w:pgSz w:w="11900" w:h="16838" w:orient="portrait"/>
          <w:cols w:equalWidth="0" w:num="1">
            <w:col w:w="11080"/>
          </w:cols>
          <w:pgMar w:left="320" w:top="445"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0"/>
          </w:cols>
          <w:pgMar w:left="320" w:top="459" w:right="5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relating thereto, does not deal with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common stock under the constructive sale provisions of the Code.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21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This discussion is for informational purposes only and is not tax advice. Persons considering the purchase of our common stock pursuant to this offering should consult their own tax advisors concerning the U.S. federal income, gift, estate, and other tax consequences of acquiring, owning, and disposing of our common stock in light of their particular situations as well as any consequences arising under the laws of any other taxing jurisdiction, including any state, local, or non-U.S. tax consequences, or under any applicable income tax treaty.</w:t>
      </w:r>
    </w:p>
    <w:p>
      <w:pPr>
        <w:spacing w:after="0" w:line="20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110"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right="360" w:hanging="224"/>
        <w:spacing w:after="0" w:line="248"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(within the meaning of Section 7701(a)(30) of the Code) have the authority to control all substantial decisions of the trust or</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(2) has a valid election in effect under applicable U.S. Treasury Regulations to be treated as a United States person.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21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Disposition of Our Common Stock</w:t>
      </w:r>
    </w:p>
    <w:p>
      <w:pPr>
        <w:spacing w:after="0" w:line="126"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w:t>
      </w:r>
    </w:p>
    <w:p>
      <w:pPr>
        <w:spacing w:after="0" w:line="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Section 897(c)(2) at any time within the shorter of the five-year period preceding such disposition or such holder’s holding period in our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in our common stock and (2) our common stock is “regularly traded,” as defined by applicable Treasury Regulations, on an established securities market. There can be no assurance that our common stock will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203"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26"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Information returns are required to be filed with the IRS in connection with payments of distributions on our common stock. Unless you comply with certification procedures to establish that you are not a U.S. person, information returns may also be filed with the IRS in connection with the proceeds from a sale or other disposition of our common stock. You may be subject to backup withholding on payments on our common stock or on the proceeds from a sale or other disposition of our common stock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Accounts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w:t>
      </w:r>
    </w:p>
    <w:p>
      <w:pPr>
        <w:spacing w:after="0" w:line="202"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J.P. Morgan Securities LLC and UBS Securities LLC are the representatives of the underwriters.</w:t>
      </w:r>
    </w:p>
    <w:p>
      <w:pPr>
        <w:spacing w:after="0" w:line="214" w:lineRule="exact"/>
        <w:rPr>
          <w:sz w:val="20"/>
          <w:szCs w:val="20"/>
          <w:color w:val="auto"/>
        </w:rPr>
      </w:pPr>
    </w:p>
    <w:p>
      <w:pPr>
        <w:ind w:left="120"/>
        <w:spacing w:after="0"/>
        <w:tabs>
          <w:tab w:leader="none" w:pos="988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4" w:lineRule="auto"/>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Citigroup Global Markets Inc.</w:t>
      </w:r>
    </w:p>
    <w:p>
      <w:pPr>
        <w:ind w:left="120"/>
        <w:spacing w:after="0" w:line="235" w:lineRule="auto"/>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RBC Capital Markets, LLC</w:t>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-1905</wp:posOffset>
            </wp:positionV>
            <wp:extent cx="746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14605</wp:posOffset>
            </wp:positionV>
            <wp:extent cx="746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46"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jc w:val="both"/>
        <w:ind w:left="120" w:right="20" w:firstLine="551"/>
        <w:spacing w:after="0" w:line="238" w:lineRule="auto"/>
        <w:rPr>
          <w:sz w:val="20"/>
          <w:szCs w:val="20"/>
          <w:color w:val="auto"/>
        </w:rPr>
      </w:pPr>
      <w:r>
        <w:rPr>
          <w:rFonts w:ascii="Arial" w:cs="Arial" w:eastAsia="Arial" w:hAnsi="Arial"/>
          <w:sz w:val="18"/>
          <w:szCs w:val="18"/>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w:t>
      </w:r>
    </w:p>
    <w:tbl>
      <w:tblPr>
        <w:tblLayout w:type="fixed"/>
        <w:tblInd w:w="120" w:type="dxa"/>
        <w:tblCellMar>
          <w:top w:w="0" w:type="dxa"/>
          <w:left w:w="0" w:type="dxa"/>
          <w:bottom w:w="0" w:type="dxa"/>
          <w:right w:w="0" w:type="dxa"/>
        </w:tblCellMar>
      </w:tblPr>
      <w:tr>
        <w:trPr>
          <w:trHeight w:val="203"/>
        </w:trPr>
        <w:tc>
          <w:tcPr>
            <w:tcW w:w="10060" w:type="dxa"/>
            <w:vAlign w:val="bottom"/>
            <w:gridSpan w:val="6"/>
          </w:tcPr>
          <w:p>
            <w:pPr>
              <w:spacing w:after="0" w:line="202"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8880" w:type="dxa"/>
            <w:vAlign w:val="bottom"/>
            <w:gridSpan w:val="5"/>
          </w:tcPr>
          <w:p>
            <w:pPr>
              <w:ind w:left="360"/>
              <w:spacing w:after="0"/>
              <w:rPr>
                <w:sz w:val="20"/>
                <w:szCs w:val="20"/>
                <w:color w:val="auto"/>
              </w:rPr>
            </w:pPr>
            <w:r>
              <w:rPr>
                <w:rFonts w:ascii="Arial" w:cs="Arial" w:eastAsia="Arial" w:hAnsi="Arial"/>
                <w:sz w:val="18"/>
                <w:szCs w:val="18"/>
                <w:color w:val="auto"/>
              </w:rPr>
              <w:t>additional shares.</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8"/>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Paid by the Company</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1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4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Total</w:t>
            </w:r>
          </w:p>
        </w:tc>
        <w:tc>
          <w:tcPr>
            <w:tcW w:w="8300" w:type="dxa"/>
            <w:vAlign w:val="bottom"/>
            <w:gridSpan w:val="4"/>
          </w:tcPr>
          <w:p>
            <w:pPr>
              <w:ind w:left="7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120" w:right="30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5"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our common stock during the period from the date of this prospectus continuing through the date that is days after the date of this prospectus, except with the prior written consent of the representatives, subject to certain exceptions. See “Shares Available for Future Sale” for a discussion of certain transfer restrictions.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of the underwriters.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202" w:lineRule="exact"/>
        <w:rPr>
          <w:sz w:val="20"/>
          <w:szCs w:val="20"/>
          <w:color w:val="auto"/>
        </w:rPr>
      </w:pPr>
    </w:p>
    <w:p>
      <w:pPr>
        <w:ind w:left="660"/>
        <w:spacing w:after="0"/>
        <w:tabs>
          <w:tab w:leader="none" w:pos="6040" w:val="left"/>
          <w:tab w:leader="none" w:pos="8320" w:val="left"/>
        </w:tabs>
        <w:rPr>
          <w:sz w:val="20"/>
          <w:szCs w:val="20"/>
          <w:color w:val="auto"/>
        </w:rPr>
      </w:pPr>
      <w:r>
        <w:rPr>
          <w:rFonts w:ascii="Arial" w:cs="Arial" w:eastAsia="Arial" w:hAnsi="Arial"/>
          <w:sz w:val="18"/>
          <w:szCs w:val="18"/>
          <w:color w:val="auto"/>
        </w:rPr>
        <w:t>We intend to apply to list our common stock for trading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120" w:right="100" w:firstLine="55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w:t>
      </w:r>
    </w:p>
    <w:p>
      <w:pPr>
        <w:spacing w:after="0" w:line="2"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these activities and may end any of these activities at any time. These transactions may be effected on , in the over-the-counter market or otherwise.</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w:t>
      </w:r>
    </w:p>
    <w:p>
      <w:pPr>
        <w:spacing w:after="0" w:line="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Regulation, except that offers of shares may be made to the public in that Relevant State at any time under the following exemptions under the Prospectus Regulation:</w:t>
      </w:r>
    </w:p>
    <w:p>
      <w:pPr>
        <w:spacing w:after="0" w:line="102"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300" w:right="400" w:hanging="644"/>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jc w:val="both"/>
        <w:ind w:left="1300" w:right="2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the shares of shares shall require the us or any underwriter to publish a prospectus pursuant to Article 3 of the Prospectus Regulation or supplement a prospectus pursuant to Article 23 of the Prospectus Regulation.</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05"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08"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17" w:lineRule="exact"/>
        <w:rPr>
          <w:rFonts w:ascii="Arial" w:cs="Arial" w:eastAsia="Arial" w:hAnsi="Arial"/>
          <w:sz w:val="18"/>
          <w:szCs w:val="18"/>
          <w:color w:val="auto"/>
        </w:rPr>
      </w:pPr>
    </w:p>
    <w:p>
      <w:pPr>
        <w:ind w:left="880" w:right="980" w:hanging="224"/>
        <w:spacing w:after="0" w:line="24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provided that no such offer of shares shall require the Issuer or any representative to publish a prospectus pursuant to section 85 of the FSMA or supplement a prospectus pursuant to Article 23 of the UK Prospectus Regulation.</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03"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34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pursuant to Section 274 of the SFA, (ii) to a relevant person (as defined in Section 275(2) of the SFA) pursuant to Section 275(1) of the SFA, or any person pursuant to Section 275(1A),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w:t>
      </w:r>
    </w:p>
    <w:p>
      <w:pPr>
        <w:spacing w:after="0" w:line="20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8" w:lineRule="exact"/>
        <w:rPr>
          <w:sz w:val="20"/>
          <w:szCs w:val="20"/>
          <w:color w:val="auto"/>
        </w:rPr>
      </w:pPr>
    </w:p>
    <w:p>
      <w:pPr>
        <w:ind w:left="880" w:right="680" w:hanging="224"/>
        <w:spacing w:after="0" w:line="24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 w:hanging="224"/>
        <w:spacing w:after="0" w:line="24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97" w:lineRule="exact"/>
        <w:rPr>
          <w:sz w:val="20"/>
          <w:szCs w:val="20"/>
          <w:color w:val="auto"/>
        </w:rPr>
      </w:pPr>
    </w:p>
    <w:p>
      <w:pPr>
        <w:ind w:left="120" w:right="160" w:firstLine="551"/>
        <w:spacing w:after="0" w:line="261" w:lineRule="auto"/>
        <w:rPr>
          <w:sz w:val="20"/>
          <w:szCs w:val="20"/>
          <w:color w:val="auto"/>
        </w:rPr>
      </w:pPr>
      <w:r>
        <w:rPr>
          <w:rFonts w:ascii="Arial" w:cs="Arial" w:eastAsia="Arial" w:hAnsi="Arial"/>
          <w:sz w:val="17"/>
          <w:szCs w:val="17"/>
          <w:color w:val="auto"/>
        </w:rPr>
        <w:t>Notification under Section 309B(1) of the SFA—The shares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estimates that its share of the total expenses of the offering, excluding underwriting discounts and commissions, will</w:t>
      </w:r>
    </w:p>
    <w:p>
      <w:pPr>
        <w:ind w:left="120" w:right="140"/>
        <w:spacing w:after="0" w:line="246" w:lineRule="auto"/>
        <w:rPr>
          <w:sz w:val="20"/>
          <w:szCs w:val="20"/>
          <w:color w:val="auto"/>
        </w:rPr>
      </w:pPr>
      <w:r>
        <w:rPr>
          <w:rFonts w:ascii="Arial" w:cs="Arial" w:eastAsia="Arial" w:hAnsi="Arial"/>
          <w:sz w:val="18"/>
          <w:szCs w:val="18"/>
          <w:color w:val="auto"/>
        </w:rPr>
        <w:t>be approximately $ . The Company has agreed to reimburse the underwriters for expenses relating to clearance of this offering with the Financial Industry Regulatory Authority up to $ .</w:t>
      </w:r>
    </w:p>
    <w:p>
      <w:pPr>
        <w:spacing w:after="0" w:line="197"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of 1933.</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2"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Cooley LLP, Washington, D.C., which has acted as our counsel in connection with this offering, will pass on certain legal matters with respect to U.S. federal law in connection with this offering. Davis Polk &amp; Wardwell LLP, Menlo Park, California has acted as counsel to the underwriters in connection with this offering.</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consolidated financial statements of Xometry, Inc. as of and for the years ended December 31, 2020 and 2019, have been included herein and in the registration statement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99" w:lineRule="exact"/>
        <w:rPr>
          <w:sz w:val="20"/>
          <w:szCs w:val="20"/>
          <w:color w:val="auto"/>
        </w:rPr>
      </w:pPr>
    </w:p>
    <w:p>
      <w:pPr>
        <w:jc w:val="both"/>
        <w:ind w:left="120" w:right="100" w:firstLine="551"/>
        <w:spacing w:after="0"/>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203"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We also maintain a website at www.xometry.com. Information contained in, or accessible through, our website is not a part of this prospectus, and the inclusion of our website address in this prospectus is only as an inactive textual reference.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XOMETRY, INC. AND SUBSIDIARIES</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Financial Statements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December 31, 2020 and 2019</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Page(s)</w:t>
            </w:r>
          </w:p>
        </w:tc>
      </w:tr>
      <w:tr>
        <w:trPr>
          <w:trHeight w:val="263"/>
        </w:trPr>
        <w:tc>
          <w:tcPr>
            <w:tcW w:w="23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Independent Auditors’ Report</w:t>
            </w:r>
          </w:p>
        </w:tc>
        <w:tc>
          <w:tcPr>
            <w:tcW w:w="8100" w:type="dxa"/>
            <w:vAlign w:val="bottom"/>
            <w:gridSpan w:val="7"/>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31"/>
        </w:trPr>
        <w:tc>
          <w:tcPr>
            <w:tcW w:w="1044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520" w:type="dxa"/>
            <w:vAlign w:val="bottom"/>
          </w:tcPr>
          <w:p>
            <w:pPr>
              <w:spacing w:after="0"/>
              <w:rPr>
                <w:sz w:val="24"/>
                <w:szCs w:val="24"/>
                <w:color w:val="auto"/>
              </w:rPr>
            </w:pPr>
          </w:p>
        </w:tc>
      </w:tr>
      <w:tr>
        <w:trPr>
          <w:trHeight w:val="270"/>
        </w:trPr>
        <w:tc>
          <w:tcPr>
            <w:tcW w:w="360" w:type="dxa"/>
            <w:vAlign w:val="bottom"/>
          </w:tcPr>
          <w:p>
            <w:pPr>
              <w:spacing w:after="0"/>
              <w:rPr>
                <w:sz w:val="23"/>
                <w:szCs w:val="23"/>
                <w:color w:val="auto"/>
              </w:rPr>
            </w:pPr>
          </w:p>
        </w:tc>
        <w:tc>
          <w:tcPr>
            <w:tcW w:w="1008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Balance Sheets as of December 31, 2020 and 2019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0"/>
        </w:trPr>
        <w:tc>
          <w:tcPr>
            <w:tcW w:w="36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50">
              <w:r>
                <w:rPr>
                  <w:rFonts w:ascii="Arial" w:cs="Arial" w:eastAsia="Arial" w:hAnsi="Arial"/>
                  <w:sz w:val="18"/>
                  <w:szCs w:val="18"/>
                  <w:color w:val="0000EE"/>
                  <w:w w:val="99"/>
                </w:rPr>
                <w:t>Consolidated Statements of Operations and Comprehensive Loss for the years ended December 31, 2020 and 2019</w:t>
              </w:r>
            </w:hyperlink>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90"/>
        </w:trPr>
        <w:tc>
          <w:tcPr>
            <w:tcW w:w="360" w:type="dxa"/>
            <w:vAlign w:val="bottom"/>
          </w:tcPr>
          <w:p>
            <w:pPr>
              <w:spacing w:after="0"/>
              <w:rPr>
                <w:sz w:val="24"/>
                <w:szCs w:val="24"/>
                <w:color w:val="auto"/>
              </w:rPr>
            </w:pPr>
          </w:p>
        </w:tc>
        <w:tc>
          <w:tcPr>
            <w:tcW w:w="90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Consolidated Statements of Changes in Convertible Preferred Stock and Stockholders’ Deficit for the years ended</w:t>
            </w:r>
          </w:p>
        </w:tc>
        <w:tc>
          <w:tcPr>
            <w:tcW w:w="10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December 31, 2020 and 2019</w:t>
            </w:r>
          </w:p>
        </w:tc>
        <w:tc>
          <w:tcPr>
            <w:tcW w:w="7520" w:type="dxa"/>
            <w:vAlign w:val="bottom"/>
            <w:gridSpan w:val="6"/>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291"/>
        </w:trPr>
        <w:tc>
          <w:tcPr>
            <w:tcW w:w="360" w:type="dxa"/>
            <w:vAlign w:val="bottom"/>
          </w:tcPr>
          <w:p>
            <w:pPr>
              <w:spacing w:after="0"/>
              <w:rPr>
                <w:sz w:val="24"/>
                <w:szCs w:val="24"/>
                <w:color w:val="auto"/>
              </w:rPr>
            </w:pPr>
          </w:p>
        </w:tc>
        <w:tc>
          <w:tcPr>
            <w:tcW w:w="10080" w:type="dxa"/>
            <w:vAlign w:val="bottom"/>
            <w:gridSpan w:val="9"/>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Consolidated Statements of Cash Flows for the years ended December 31, 2020 and 2019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6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0"/>
        </w:trPr>
        <w:tc>
          <w:tcPr>
            <w:tcW w:w="3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53">
              <w:r>
                <w:rPr>
                  <w:rFonts w:ascii="Arial" w:cs="Arial" w:eastAsia="Arial" w:hAnsi="Arial"/>
                  <w:sz w:val="18"/>
                  <w:szCs w:val="18"/>
                  <w:color w:val="0000EE"/>
                  <w:w w:val="99"/>
                </w:rPr>
                <w:t>Notes to Consolidated Financial Statements</w:t>
              </w:r>
            </w:hyperlink>
          </w:p>
        </w:tc>
        <w:tc>
          <w:tcPr>
            <w:tcW w:w="69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F-7</w:t>
            </w:r>
          </w:p>
        </w:tc>
      </w:tr>
    </w:tbl>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ind w:left="120"/>
        <w:spacing w:after="0"/>
        <w:rPr>
          <w:sz w:val="20"/>
          <w:szCs w:val="20"/>
          <w:color w:val="auto"/>
        </w:rPr>
      </w:pPr>
      <w:r>
        <w:rPr>
          <w:rFonts w:ascii="Arial" w:cs="Arial" w:eastAsia="Arial" w:hAnsi="Arial"/>
          <w:sz w:val="18"/>
          <w:szCs w:val="18"/>
          <w:color w:val="auto"/>
        </w:rPr>
        <w:t>Xometry, Inc.:</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Xometry, Inc. and subsidiaries (the Company) as of December 31, 2020 and 2019, the related consolidated statements of operations and comprehensive loss, changes in convertible preferred stock and stockholders’ deficit, and cash flows for each of the years then ended, and the related notes and financial statement schedule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then ended, in conformity with U.S. generally accepted accounting principles.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22"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as of January 1, 2019 due to the adoption of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McLean, Virginia</w:t>
      </w:r>
    </w:p>
    <w:p>
      <w:pPr>
        <w:ind w:left="120"/>
        <w:spacing w:after="0"/>
        <w:rPr>
          <w:sz w:val="20"/>
          <w:szCs w:val="20"/>
          <w:color w:val="auto"/>
        </w:rPr>
      </w:pPr>
      <w:r>
        <w:rPr>
          <w:rFonts w:ascii="Arial" w:cs="Arial" w:eastAsia="Arial" w:hAnsi="Arial"/>
          <w:sz w:val="18"/>
          <w:szCs w:val="18"/>
          <w:color w:val="auto"/>
        </w:rPr>
        <w:t>April 13, 2021</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XOMETRY, INC. AND SUBSIDIARIES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jc w:val="center"/>
        <w:ind w:right="-99"/>
        <w:spacing w:after="0" w:line="234" w:lineRule="auto"/>
        <w:rPr>
          <w:sz w:val="20"/>
          <w:szCs w:val="20"/>
          <w:color w:val="auto"/>
        </w:rPr>
      </w:pPr>
      <w:r>
        <w:rPr>
          <w:rFonts w:ascii="Arial" w:cs="Arial" w:eastAsia="Arial" w:hAnsi="Arial"/>
          <w:sz w:val="18"/>
          <w:szCs w:val="18"/>
          <w:color w:val="auto"/>
        </w:rPr>
        <w:t>December 31, 2020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142"/>
        </w:trPr>
        <w:tc>
          <w:tcPr>
            <w:tcW w:w="93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93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59,874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40,122</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10,860</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less allowance for doubtful accounts of $0.6 million in 2020 and $0.4 million in 2019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12,405</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1,314</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4"/>
                <w:szCs w:val="14"/>
                <w:color w:val="auto"/>
              </w:rPr>
            </w:pPr>
          </w:p>
        </w:tc>
      </w:tr>
      <w:tr>
        <w:trPr>
          <w:trHeight w:val="169"/>
        </w:trPr>
        <w:tc>
          <w:tcPr>
            <w:tcW w:w="9360" w:type="dxa"/>
            <w:vAlign w:val="bottom"/>
          </w:tcPr>
          <w:p>
            <w:pPr>
              <w:ind w:left="58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77,655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65,408</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4,216</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Operating lease right-of-use lease assets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2,863</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311</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2,425</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14"/>
                <w:szCs w:val="14"/>
                <w:color w:val="auto"/>
              </w:rPr>
            </w:pPr>
          </w:p>
        </w:tc>
      </w:tr>
      <w:tr>
        <w:trPr>
          <w:trHeight w:val="169"/>
        </w:trPr>
        <w:tc>
          <w:tcPr>
            <w:tcW w:w="9360" w:type="dxa"/>
            <w:vAlign w:val="bottom"/>
          </w:tcPr>
          <w:p>
            <w:pPr>
              <w:ind w:left="58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88,963</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77,411</w:t>
            </w: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936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936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7,935</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13,606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5,010</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1,821</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Operating lease liabilities, current portion</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1,013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1,002</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lease liabilities, current portion</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w:t>
            </w:r>
          </w:p>
        </w:tc>
      </w:tr>
      <w:tr>
        <w:trPr>
          <w:trHeight w:val="169"/>
        </w:trPr>
        <w:tc>
          <w:tcPr>
            <w:tcW w:w="9360" w:type="dxa"/>
            <w:vAlign w:val="bottom"/>
          </w:tcPr>
          <w:p>
            <w:pPr>
              <w:ind w:left="280"/>
              <w:spacing w:after="0"/>
              <w:rPr>
                <w:sz w:val="20"/>
                <w:szCs w:val="20"/>
                <w:color w:val="auto"/>
              </w:rPr>
            </w:pPr>
            <w:r>
              <w:rPr>
                <w:rFonts w:ascii="Arial" w:cs="Arial" w:eastAsia="Arial" w:hAnsi="Arial"/>
                <w:sz w:val="14"/>
                <w:szCs w:val="14"/>
                <w:color w:val="auto"/>
              </w:rPr>
              <w:t>Short-term debt</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15,753</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93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38,381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15,855</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11,433</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net of current portion</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2,050</w:t>
            </w:r>
          </w:p>
        </w:tc>
      </w:tr>
      <w:tr>
        <w:trPr>
          <w:trHeight w:val="169"/>
        </w:trPr>
        <w:tc>
          <w:tcPr>
            <w:tcW w:w="9360" w:type="dxa"/>
            <w:vAlign w:val="bottom"/>
          </w:tcPr>
          <w:p>
            <w:pPr>
              <w:ind w:left="280"/>
              <w:spacing w:after="0"/>
              <w:rPr>
                <w:sz w:val="20"/>
                <w:szCs w:val="20"/>
                <w:color w:val="auto"/>
              </w:rPr>
            </w:pPr>
            <w:r>
              <w:rPr>
                <w:rFonts w:ascii="Arial" w:cs="Arial" w:eastAsia="Arial" w:hAnsi="Arial"/>
                <w:sz w:val="14"/>
                <w:szCs w:val="14"/>
                <w:color w:val="auto"/>
              </w:rPr>
              <w:t>Finance lease liabilities, net of current portion</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r>
      <w:tr>
        <w:trPr>
          <w:trHeight w:val="162"/>
        </w:trPr>
        <w:tc>
          <w:tcPr>
            <w:tcW w:w="93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39,499</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29,352</w:t>
            </w:r>
          </w:p>
        </w:tc>
      </w:tr>
      <w:tr>
        <w:trPr>
          <w:trHeight w:val="184"/>
        </w:trPr>
        <w:tc>
          <w:tcPr>
            <w:tcW w:w="9360" w:type="dxa"/>
            <w:vAlign w:val="bottom"/>
          </w:tcPr>
          <w:p>
            <w:pPr>
              <w:spacing w:after="0"/>
              <w:rPr>
                <w:sz w:val="20"/>
                <w:szCs w:val="20"/>
                <w:color w:val="auto"/>
              </w:rPr>
            </w:pPr>
            <w:r>
              <w:rPr>
                <w:rFonts w:ascii="Arial" w:cs="Arial" w:eastAsia="Arial" w:hAnsi="Arial"/>
                <w:sz w:val="14"/>
                <w:szCs w:val="14"/>
                <w:b w:val="1"/>
                <w:bCs w:val="1"/>
                <w:color w:val="auto"/>
              </w:rPr>
              <w:t>Commitments and contingencies (Note 13)</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9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9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9360" w:type="dxa"/>
            <w:vAlign w:val="bottom"/>
          </w:tcPr>
          <w:p>
            <w:pPr>
              <w:ind w:left="280"/>
              <w:spacing w:after="0"/>
              <w:rPr>
                <w:sz w:val="20"/>
                <w:szCs w:val="20"/>
                <w:color w:val="auto"/>
              </w:rPr>
            </w:pPr>
            <w:r>
              <w:rPr>
                <w:rFonts w:ascii="Arial" w:cs="Arial" w:eastAsia="Arial" w:hAnsi="Arial"/>
                <w:sz w:val="14"/>
                <w:szCs w:val="14"/>
                <w:color w:val="auto"/>
              </w:rPr>
              <w:t>Convertible preferred stock – Seed-1, $0.000001 par value. 4,200,000 shares authorized, issued and outstanding as of December 31, 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9360" w:type="dxa"/>
            <w:vAlign w:val="bottom"/>
          </w:tcPr>
          <w:p>
            <w:pPr>
              <w:ind w:left="420"/>
              <w:spacing w:after="0" w:line="157" w:lineRule="exact"/>
              <w:rPr>
                <w:sz w:val="20"/>
                <w:szCs w:val="20"/>
                <w:color w:val="auto"/>
              </w:rPr>
            </w:pPr>
            <w:r>
              <w:rPr>
                <w:rFonts w:ascii="Arial" w:cs="Arial" w:eastAsia="Arial" w:hAnsi="Arial"/>
                <w:sz w:val="14"/>
                <w:szCs w:val="14"/>
                <w:color w:val="auto"/>
              </w:rPr>
              <w:t>and 2019</w:t>
            </w: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4,200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4,200</w:t>
            </w:r>
          </w:p>
        </w:tc>
      </w:tr>
      <w:tr>
        <w:trPr>
          <w:trHeight w:val="16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 Seed-2, $0.000001 par value. 2,188,322 shares authorized, issued and outstanding as of December 31, 2020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93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and 2019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2,998</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2,998</w:t>
            </w:r>
          </w:p>
        </w:tc>
      </w:tr>
      <w:tr>
        <w:trPr>
          <w:trHeight w:val="167"/>
        </w:trPr>
        <w:tc>
          <w:tcPr>
            <w:tcW w:w="9360" w:type="dxa"/>
            <w:vAlign w:val="bottom"/>
          </w:tcPr>
          <w:p>
            <w:pPr>
              <w:ind w:left="280"/>
              <w:spacing w:after="0"/>
              <w:rPr>
                <w:sz w:val="20"/>
                <w:szCs w:val="20"/>
                <w:color w:val="auto"/>
              </w:rPr>
            </w:pPr>
            <w:r>
              <w:rPr>
                <w:rFonts w:ascii="Arial" w:cs="Arial" w:eastAsia="Arial" w:hAnsi="Arial"/>
                <w:sz w:val="14"/>
                <w:szCs w:val="14"/>
                <w:color w:val="auto"/>
              </w:rPr>
              <w:t>Convertible preferred stock – Series A-1, $0.000001 par value. 4,211,094 shares authorized, issued and outstanding as of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9360" w:type="dxa"/>
            <w:vAlign w:val="bottom"/>
          </w:tcPr>
          <w:p>
            <w:pPr>
              <w:ind w:left="420"/>
              <w:spacing w:after="0" w:line="157" w:lineRule="exact"/>
              <w:rPr>
                <w:sz w:val="20"/>
                <w:szCs w:val="20"/>
                <w:color w:val="auto"/>
              </w:rPr>
            </w:pPr>
            <w:r>
              <w:rPr>
                <w:rFonts w:ascii="Arial" w:cs="Arial" w:eastAsia="Arial" w:hAnsi="Arial"/>
                <w:sz w:val="14"/>
                <w:szCs w:val="14"/>
                <w:color w:val="auto"/>
              </w:rPr>
              <w:t>2020 and 2019</w:t>
            </w: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8,704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8,704</w:t>
            </w:r>
          </w:p>
        </w:tc>
      </w:tr>
      <w:tr>
        <w:trPr>
          <w:trHeight w:val="16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 Series A-2, $0.000001 par value. 1,591,230 shares authorized, issued and outstanding as of December 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93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2020 and 2019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12,839</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6,957</w:t>
            </w:r>
          </w:p>
        </w:tc>
      </w:tr>
      <w:tr>
        <w:trPr>
          <w:trHeight w:val="167"/>
        </w:trPr>
        <w:tc>
          <w:tcPr>
            <w:tcW w:w="9360" w:type="dxa"/>
            <w:vAlign w:val="bottom"/>
          </w:tcPr>
          <w:p>
            <w:pPr>
              <w:ind w:left="280"/>
              <w:spacing w:after="0"/>
              <w:rPr>
                <w:sz w:val="20"/>
                <w:szCs w:val="20"/>
                <w:color w:val="auto"/>
              </w:rPr>
            </w:pPr>
            <w:r>
              <w:rPr>
                <w:rFonts w:ascii="Arial" w:cs="Arial" w:eastAsia="Arial" w:hAnsi="Arial"/>
                <w:sz w:val="14"/>
                <w:szCs w:val="14"/>
                <w:color w:val="auto"/>
              </w:rPr>
              <w:t>Convertible preferred stock – Series B, $0.000001 par value. 4,132,055 shares authorized and 4,044,271 issued and outstanding as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9360" w:type="dxa"/>
            <w:vAlign w:val="bottom"/>
          </w:tcPr>
          <w:p>
            <w:pPr>
              <w:ind w:left="420"/>
              <w:spacing w:after="0" w:line="157" w:lineRule="exact"/>
              <w:rPr>
                <w:sz w:val="20"/>
                <w:szCs w:val="20"/>
                <w:color w:val="auto"/>
              </w:rPr>
            </w:pPr>
            <w:r>
              <w:rPr>
                <w:rFonts w:ascii="Arial" w:cs="Arial" w:eastAsia="Arial" w:hAnsi="Arial"/>
                <w:sz w:val="14"/>
                <w:szCs w:val="14"/>
                <w:color w:val="auto"/>
              </w:rPr>
              <w:t>December 31, 2020 and 2019</w:t>
            </w: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20,347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18,612</w:t>
            </w:r>
          </w:p>
        </w:tc>
      </w:tr>
      <w:tr>
        <w:trPr>
          <w:trHeight w:val="16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 Series C, $0.000001 par value. 3,754,201 shares authorized, issued and outstanding as of December 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93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2020 and 2019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26,004</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24,756</w:t>
            </w:r>
          </w:p>
        </w:tc>
      </w:tr>
      <w:tr>
        <w:trPr>
          <w:trHeight w:val="167"/>
        </w:trPr>
        <w:tc>
          <w:tcPr>
            <w:tcW w:w="9360" w:type="dxa"/>
            <w:vAlign w:val="bottom"/>
          </w:tcPr>
          <w:p>
            <w:pPr>
              <w:ind w:left="280"/>
              <w:spacing w:after="0"/>
              <w:rPr>
                <w:sz w:val="20"/>
                <w:szCs w:val="20"/>
                <w:color w:val="auto"/>
              </w:rPr>
            </w:pPr>
            <w:r>
              <w:rPr>
                <w:rFonts w:ascii="Arial" w:cs="Arial" w:eastAsia="Arial" w:hAnsi="Arial"/>
                <w:sz w:val="14"/>
                <w:szCs w:val="14"/>
                <w:color w:val="auto"/>
              </w:rPr>
              <w:t>Convertible preferred stock – Series D, $0.000001 par value. 5,494,064 and 5,600,000 shares authorized and 5,494,064 shares issued and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9360" w:type="dxa"/>
            <w:vAlign w:val="bottom"/>
          </w:tcPr>
          <w:p>
            <w:pPr>
              <w:ind w:left="420"/>
              <w:spacing w:after="0" w:line="157" w:lineRule="exact"/>
              <w:rPr>
                <w:sz w:val="20"/>
                <w:szCs w:val="20"/>
                <w:color w:val="auto"/>
              </w:rPr>
            </w:pPr>
            <w:r>
              <w:rPr>
                <w:rFonts w:ascii="Arial" w:cs="Arial" w:eastAsia="Arial" w:hAnsi="Arial"/>
                <w:sz w:val="14"/>
                <w:szCs w:val="14"/>
                <w:color w:val="auto"/>
              </w:rPr>
              <w:t>outstanding as of December 31, 2020 and 2019</w:t>
            </w: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54,864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54,929</w:t>
            </w:r>
          </w:p>
        </w:tc>
      </w:tr>
      <w:tr>
        <w:trPr>
          <w:trHeight w:val="16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 – Series E, $0.000001 par value. 2,400,000 shares authorized and 2,275,759 shares issued and outstanding</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93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as of December 31, 2020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30,757</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r>
      <w:tr>
        <w:trPr>
          <w:trHeight w:val="230"/>
        </w:trPr>
        <w:tc>
          <w:tcPr>
            <w:tcW w:w="9360" w:type="dxa"/>
            <w:vAlign w:val="bottom"/>
          </w:tcPr>
          <w:p>
            <w:pPr>
              <w:spacing w:after="0"/>
              <w:rPr>
                <w:sz w:val="20"/>
                <w:szCs w:val="20"/>
                <w:color w:val="auto"/>
              </w:rPr>
            </w:pPr>
            <w:r>
              <w:rPr>
                <w:rFonts w:ascii="Arial" w:cs="Arial" w:eastAsia="Arial" w:hAnsi="Arial"/>
                <w:sz w:val="14"/>
                <w:szCs w:val="14"/>
                <w:b w:val="1"/>
                <w:bCs w:val="1"/>
                <w:color w:val="auto"/>
              </w:rPr>
              <w:t>Stockholders’ deficit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$0.000001 par value. Authorized 42,000,000 shares and 39,600,000 shares; 7,755,782 shares and 7,289,571 shares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93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issued and outstanding as of December 31, 2020 and 2019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4,512</w:t>
            </w:r>
          </w:p>
        </w:tc>
      </w:tr>
      <w:tr>
        <w:trPr>
          <w:trHeight w:val="162"/>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62"/>
        </w:trPr>
        <w:tc>
          <w:tcPr>
            <w:tcW w:w="9360" w:type="dxa"/>
            <w:vAlign w:val="bottom"/>
          </w:tcPr>
          <w:p>
            <w:pPr>
              <w:ind w:left="28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(111,962)</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(77,609)</w:t>
            </w: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93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Total stockholders’ deficit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(111,249)</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(73,097)</w:t>
            </w:r>
          </w:p>
        </w:tc>
      </w:tr>
      <w:tr>
        <w:trPr>
          <w:trHeight w:val="169"/>
        </w:trPr>
        <w:tc>
          <w:tcPr>
            <w:tcW w:w="9360" w:type="dxa"/>
            <w:vAlign w:val="bottom"/>
          </w:tcPr>
          <w:p>
            <w:pPr>
              <w:ind w:left="580"/>
              <w:spacing w:after="0"/>
              <w:rPr>
                <w:sz w:val="20"/>
                <w:szCs w:val="20"/>
                <w:color w:val="auto"/>
              </w:rPr>
            </w:pPr>
            <w:r>
              <w:rPr>
                <w:rFonts w:ascii="Arial" w:cs="Arial" w:eastAsia="Arial" w:hAnsi="Arial"/>
                <w:sz w:val="14"/>
                <w:szCs w:val="14"/>
                <w:b w:val="1"/>
                <w:bCs w:val="1"/>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88,963</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77,411</w:t>
            </w:r>
          </w:p>
        </w:tc>
        <w:tc>
          <w:tcPr>
            <w:tcW w:w="100" w:type="dxa"/>
            <w:vAlign w:val="bottom"/>
          </w:tcPr>
          <w:p>
            <w:pPr>
              <w:spacing w:after="0"/>
              <w:rPr>
                <w:sz w:val="14"/>
                <w:szCs w:val="14"/>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XOMETRY, INC. AND SUBSIDIARIES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color w:val="auto"/>
        </w:rPr>
        <w:t>Years ended December 31, 2020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141,406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80,228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108,120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33,286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22,567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14,599</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Operations and support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14,111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12,186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12,046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09"/>
        </w:trPr>
        <w:tc>
          <w:tcPr>
            <w:tcW w:w="8520" w:type="dxa"/>
            <w:vAlign w:val="bottom"/>
          </w:tcPr>
          <w:p>
            <w:pPr>
              <w:spacing w:after="0" w:line="202" w:lineRule="exact"/>
              <w:rPr>
                <w:sz w:val="20"/>
                <w:szCs w:val="20"/>
                <w:color w:val="auto"/>
              </w:rPr>
            </w:pPr>
            <w:r>
              <w:rPr>
                <w:rFonts w:ascii="Arial" w:cs="Arial" w:eastAsia="Arial" w:hAnsi="Arial"/>
                <w:sz w:val="18"/>
                <w:szCs w:val="18"/>
                <w:color w:val="auto"/>
              </w:rPr>
              <w:t>Impairment of goodwill and intangible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62,502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45,285</w:t>
            </w:r>
          </w:p>
        </w:tc>
        <w:tc>
          <w:tcPr>
            <w:tcW w:w="0" w:type="dxa"/>
            <w:vAlign w:val="bottom"/>
          </w:tcPr>
          <w:p>
            <w:pPr>
              <w:spacing w:after="0"/>
              <w:rPr>
                <w:sz w:val="1"/>
                <w:szCs w:val="1"/>
                <w:color w:val="auto"/>
              </w:rPr>
            </w:pPr>
          </w:p>
        </w:tc>
      </w:tr>
      <w:tr>
        <w:trPr>
          <w:trHeight w:val="203"/>
        </w:trPr>
        <w:tc>
          <w:tcPr>
            <w:tcW w:w="8520" w:type="dxa"/>
            <w:vAlign w:val="bottom"/>
          </w:tcPr>
          <w:p>
            <w:pPr>
              <w:ind w:left="360"/>
              <w:spacing w:after="0" w:line="202" w:lineRule="exact"/>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(29,216)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(30,549)</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tcPr>
          <w:p>
            <w:pPr>
              <w:spacing w:after="0"/>
              <w:rPr>
                <w:sz w:val="20"/>
                <w:szCs w:val="20"/>
                <w:color w:val="auto"/>
              </w:rPr>
            </w:pPr>
            <w:r>
              <w:rPr>
                <w:rFonts w:ascii="Arial" w:cs="Arial" w:eastAsia="Arial" w:hAnsi="Arial"/>
                <w:sz w:val="18"/>
                <w:szCs w:val="18"/>
                <w:color w:val="auto"/>
              </w:rPr>
              <w:t>Total other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(31,085)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spacing w:after="0"/>
              <w:rPr>
                <w:sz w:val="20"/>
                <w:szCs w:val="20"/>
                <w:color w:val="auto"/>
              </w:rPr>
            </w:pPr>
            <w:r>
              <w:rPr>
                <w:rFonts w:ascii="Arial" w:cs="Arial" w:eastAsia="Arial" w:hAnsi="Arial"/>
                <w:sz w:val="18"/>
                <w:szCs w:val="18"/>
                <w:color w:val="auto"/>
              </w:rPr>
              <w:t>Deemed dividend to preferred stockholders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(8,801)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Net loss attributable to common stockholders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(39,886)</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(5.32)</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shares outstanding used to compute net loss per share attributable to</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common stockholders, basic and diluted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9"/>
              </w:rPr>
              <w:t>7,492,876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w w:val="99"/>
              </w:rPr>
              <w:t>6,345,498</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currency translation</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ind w:left="72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(31,085)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(30,875)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right"/>
        <w:ind w:left="120" w:right="5340"/>
        <w:spacing w:after="0" w:line="443"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XOMETRY, INC. AND SUBSIDIARIES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Changes in Convertible Preferred Stock and Stockholders’ Deficit</w:t>
      </w: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80"/>
        </w:trPr>
        <w:tc>
          <w:tcPr>
            <w:tcW w:w="1260" w:type="dxa"/>
            <w:vAlign w:val="bottom"/>
          </w:tcPr>
          <w:p>
            <w:pPr>
              <w:spacing w:after="0"/>
              <w:rPr>
                <w:sz w:val="7"/>
                <w:szCs w:val="7"/>
                <w:color w:val="auto"/>
              </w:rPr>
            </w:pPr>
          </w:p>
        </w:tc>
        <w:tc>
          <w:tcPr>
            <w:tcW w:w="78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Preferred Stock</w:t>
            </w:r>
          </w:p>
        </w:tc>
        <w:tc>
          <w:tcPr>
            <w:tcW w:w="880" w:type="dxa"/>
            <w:vAlign w:val="bottom"/>
            <w:gridSpan w:val="4"/>
            <w:vMerge w:val="restart"/>
          </w:tcPr>
          <w:p>
            <w:pPr>
              <w:jc w:val="right"/>
              <w:ind w:right="220"/>
              <w:spacing w:after="0"/>
              <w:rPr>
                <w:sz w:val="20"/>
                <w:szCs w:val="20"/>
                <w:color w:val="auto"/>
              </w:rPr>
            </w:pPr>
            <w:r>
              <w:rPr>
                <w:rFonts w:ascii="Arial" w:cs="Arial" w:eastAsia="Arial" w:hAnsi="Arial"/>
                <w:sz w:val="7"/>
                <w:szCs w:val="7"/>
                <w:b w:val="1"/>
                <w:bCs w:val="1"/>
                <w:color w:val="auto"/>
              </w:rPr>
              <w:t>Preferred Stock</w:t>
            </w:r>
          </w:p>
        </w:tc>
        <w:tc>
          <w:tcPr>
            <w:tcW w:w="840" w:type="dxa"/>
            <w:vAlign w:val="bottom"/>
            <w:gridSpan w:val="4"/>
            <w:vMerge w:val="restart"/>
          </w:tcPr>
          <w:p>
            <w:pPr>
              <w:jc w:val="right"/>
              <w:ind w:right="20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4"/>
            <w:vMerge w:val="restart"/>
          </w:tcPr>
          <w:p>
            <w:pPr>
              <w:ind w:left="120"/>
              <w:spacing w:after="0"/>
              <w:rPr>
                <w:sz w:val="20"/>
                <w:szCs w:val="20"/>
                <w:color w:val="auto"/>
              </w:rPr>
            </w:pPr>
            <w:r>
              <w:rPr>
                <w:rFonts w:ascii="Arial" w:cs="Arial" w:eastAsia="Arial" w:hAnsi="Arial"/>
                <w:sz w:val="7"/>
                <w:szCs w:val="7"/>
                <w:b w:val="1"/>
                <w:bCs w:val="1"/>
                <w:color w:val="auto"/>
              </w:rPr>
              <w:t>Preferred stock</w:t>
            </w:r>
          </w:p>
        </w:tc>
        <w:tc>
          <w:tcPr>
            <w:tcW w:w="860" w:type="dxa"/>
            <w:vAlign w:val="bottom"/>
            <w:gridSpan w:val="5"/>
            <w:vMerge w:val="restart"/>
          </w:tcPr>
          <w:p>
            <w:pPr>
              <w:jc w:val="center"/>
              <w:ind w:right="120"/>
              <w:spacing w:after="0"/>
              <w:rPr>
                <w:sz w:val="20"/>
                <w:szCs w:val="20"/>
                <w:color w:val="auto"/>
              </w:rPr>
            </w:pPr>
            <w:r>
              <w:rPr>
                <w:rFonts w:ascii="Arial" w:cs="Arial" w:eastAsia="Arial" w:hAnsi="Arial"/>
                <w:sz w:val="7"/>
                <w:szCs w:val="7"/>
                <w:b w:val="1"/>
                <w:bCs w:val="1"/>
                <w:color w:val="auto"/>
              </w:rPr>
              <w:t>Preferred stock</w:t>
            </w:r>
          </w:p>
        </w:tc>
        <w:tc>
          <w:tcPr>
            <w:tcW w:w="82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7"/>
                <w:szCs w:val="7"/>
                <w:b w:val="1"/>
                <w:bCs w:val="1"/>
                <w:color w:val="auto"/>
              </w:rPr>
              <w:t>Preferred Stock</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rPr>
              <w:t>Accumulated</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8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820" w:type="dxa"/>
            <w:vAlign w:val="bottom"/>
            <w:tcBorders>
              <w:right w:val="single" w:sz="8" w:color="auto"/>
            </w:tcBorders>
            <w:gridSpan w:val="5"/>
            <w:vMerge w:val="continue"/>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vMerge w:val="restart"/>
          </w:tcPr>
          <w:p>
            <w:pPr>
              <w:spacing w:after="0"/>
              <w:rPr>
                <w:sz w:val="20"/>
                <w:szCs w:val="20"/>
                <w:color w:val="auto"/>
              </w:rPr>
            </w:pPr>
            <w:r>
              <w:rPr>
                <w:rFonts w:ascii="Arial" w:cs="Arial" w:eastAsia="Arial" w:hAnsi="Arial"/>
                <w:sz w:val="7"/>
                <w:szCs w:val="7"/>
                <w:b w:val="1"/>
                <w:bCs w:val="1"/>
                <w:color w:val="auto"/>
                <w:w w:val="81"/>
              </w:rPr>
              <w:t>Additional</w:t>
            </w:r>
          </w:p>
        </w:tc>
        <w:tc>
          <w:tcPr>
            <w:tcW w:w="140" w:type="dxa"/>
            <w:vAlign w:val="bottom"/>
          </w:tcPr>
          <w:p>
            <w:pPr>
              <w:spacing w:after="0"/>
              <w:rPr>
                <w:sz w:val="2"/>
                <w:szCs w:val="2"/>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7"/>
                <w:szCs w:val="7"/>
                <w:b w:val="1"/>
                <w:bCs w:val="1"/>
                <w:color w:val="auto"/>
                <w:w w:val="96"/>
              </w:rPr>
              <w:t>Other</w:t>
            </w: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vMerge w:val="restart"/>
          </w:tcPr>
          <w:p>
            <w:pPr>
              <w:jc w:val="right"/>
              <w:ind w:right="24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line="20" w:lineRule="exact"/>
              <w:rPr>
                <w:sz w:val="1"/>
                <w:szCs w:val="1"/>
                <w:color w:val="auto"/>
              </w:rPr>
            </w:pPr>
          </w:p>
        </w:tc>
      </w:tr>
      <w:tr>
        <w:trPr>
          <w:trHeight w:val="54"/>
        </w:trPr>
        <w:tc>
          <w:tcPr>
            <w:tcW w:w="1260" w:type="dxa"/>
            <w:vAlign w:val="bottom"/>
          </w:tcPr>
          <w:p>
            <w:pPr>
              <w:spacing w:after="0"/>
              <w:rPr>
                <w:sz w:val="4"/>
                <w:szCs w:val="4"/>
                <w:color w:val="auto"/>
              </w:rPr>
            </w:pPr>
          </w:p>
        </w:tc>
        <w:tc>
          <w:tcPr>
            <w:tcW w:w="500" w:type="dxa"/>
            <w:vAlign w:val="bottom"/>
            <w:gridSpan w:val="3"/>
            <w:vMerge w:val="restart"/>
          </w:tcPr>
          <w:p>
            <w:pPr>
              <w:ind w:left="240"/>
              <w:spacing w:after="0"/>
              <w:rPr>
                <w:sz w:val="20"/>
                <w:szCs w:val="20"/>
                <w:color w:val="auto"/>
              </w:rPr>
            </w:pPr>
            <w:r>
              <w:rPr>
                <w:rFonts w:ascii="Arial" w:cs="Arial" w:eastAsia="Arial" w:hAnsi="Arial"/>
                <w:sz w:val="7"/>
                <w:szCs w:val="7"/>
                <w:b w:val="1"/>
                <w:bCs w:val="1"/>
                <w:color w:val="auto"/>
              </w:rPr>
              <w:t>Seed-1</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3"/>
            <w:vMerge w:val="restart"/>
          </w:tcPr>
          <w:p>
            <w:pPr>
              <w:ind w:left="240"/>
              <w:spacing w:after="0"/>
              <w:rPr>
                <w:sz w:val="20"/>
                <w:szCs w:val="20"/>
                <w:color w:val="auto"/>
              </w:rPr>
            </w:pPr>
            <w:r>
              <w:rPr>
                <w:rFonts w:ascii="Arial" w:cs="Arial" w:eastAsia="Arial" w:hAnsi="Arial"/>
                <w:sz w:val="7"/>
                <w:szCs w:val="7"/>
                <w:b w:val="1"/>
                <w:bCs w:val="1"/>
                <w:color w:val="auto"/>
              </w:rPr>
              <w:t>Seed-2</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3"/>
            <w:vMerge w:val="restart"/>
          </w:tcPr>
          <w:p>
            <w:pPr>
              <w:ind w:left="180"/>
              <w:spacing w:after="0"/>
              <w:rPr>
                <w:sz w:val="20"/>
                <w:szCs w:val="20"/>
                <w:color w:val="auto"/>
              </w:rPr>
            </w:pPr>
            <w:r>
              <w:rPr>
                <w:rFonts w:ascii="Arial" w:cs="Arial" w:eastAsia="Arial" w:hAnsi="Arial"/>
                <w:sz w:val="7"/>
                <w:szCs w:val="7"/>
                <w:b w:val="1"/>
                <w:bCs w:val="1"/>
                <w:color w:val="auto"/>
                <w:w w:val="99"/>
              </w:rPr>
              <w:t>Series A-1</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4"/>
            <w:vMerge w:val="restart"/>
          </w:tcPr>
          <w:p>
            <w:pPr>
              <w:jc w:val="right"/>
              <w:ind w:right="320"/>
              <w:spacing w:after="0"/>
              <w:rPr>
                <w:sz w:val="20"/>
                <w:szCs w:val="20"/>
                <w:color w:val="auto"/>
              </w:rPr>
            </w:pPr>
            <w:r>
              <w:rPr>
                <w:rFonts w:ascii="Arial" w:cs="Arial" w:eastAsia="Arial" w:hAnsi="Arial"/>
                <w:sz w:val="7"/>
                <w:szCs w:val="7"/>
                <w:b w:val="1"/>
                <w:bCs w:val="1"/>
                <w:color w:val="auto"/>
              </w:rPr>
              <w:t>Series A-2</w:t>
            </w:r>
          </w:p>
        </w:tc>
        <w:tc>
          <w:tcPr>
            <w:tcW w:w="840" w:type="dxa"/>
            <w:vAlign w:val="bottom"/>
            <w:gridSpan w:val="4"/>
            <w:vMerge w:val="restart"/>
          </w:tcPr>
          <w:p>
            <w:pPr>
              <w:jc w:val="right"/>
              <w:ind w:right="320"/>
              <w:spacing w:after="0"/>
              <w:rPr>
                <w:sz w:val="20"/>
                <w:szCs w:val="20"/>
                <w:color w:val="auto"/>
              </w:rPr>
            </w:pPr>
            <w:r>
              <w:rPr>
                <w:rFonts w:ascii="Arial" w:cs="Arial" w:eastAsia="Arial" w:hAnsi="Arial"/>
                <w:sz w:val="7"/>
                <w:szCs w:val="7"/>
                <w:b w:val="1"/>
                <w:bCs w:val="1"/>
                <w:color w:val="auto"/>
              </w:rPr>
              <w:t>Series B</w:t>
            </w:r>
          </w:p>
        </w:tc>
        <w:tc>
          <w:tcPr>
            <w:tcW w:w="860" w:type="dxa"/>
            <w:vAlign w:val="bottom"/>
            <w:gridSpan w:val="4"/>
            <w:vMerge w:val="restart"/>
          </w:tcPr>
          <w:p>
            <w:pPr>
              <w:ind w:left="240"/>
              <w:spacing w:after="0"/>
              <w:rPr>
                <w:sz w:val="20"/>
                <w:szCs w:val="20"/>
                <w:color w:val="auto"/>
              </w:rPr>
            </w:pPr>
            <w:r>
              <w:rPr>
                <w:rFonts w:ascii="Arial" w:cs="Arial" w:eastAsia="Arial" w:hAnsi="Arial"/>
                <w:sz w:val="7"/>
                <w:szCs w:val="7"/>
                <w:b w:val="1"/>
                <w:bCs w:val="1"/>
                <w:color w:val="auto"/>
              </w:rPr>
              <w:t>Series C</w:t>
            </w:r>
          </w:p>
        </w:tc>
        <w:tc>
          <w:tcPr>
            <w:tcW w:w="520" w:type="dxa"/>
            <w:vAlign w:val="bottom"/>
            <w:gridSpan w:val="3"/>
            <w:vMerge w:val="restart"/>
          </w:tcPr>
          <w:p>
            <w:pPr>
              <w:jc w:val="center"/>
              <w:ind w:left="184"/>
              <w:spacing w:after="0"/>
              <w:rPr>
                <w:sz w:val="20"/>
                <w:szCs w:val="20"/>
                <w:color w:val="auto"/>
              </w:rPr>
            </w:pPr>
            <w:r>
              <w:rPr>
                <w:rFonts w:ascii="Arial" w:cs="Arial" w:eastAsia="Arial" w:hAnsi="Arial"/>
                <w:sz w:val="7"/>
                <w:szCs w:val="7"/>
                <w:b w:val="1"/>
                <w:bCs w:val="1"/>
                <w:color w:val="auto"/>
              </w:rPr>
              <w:t>Series D</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3"/>
            <w:vMerge w:val="restart"/>
          </w:tcPr>
          <w:p>
            <w:pPr>
              <w:ind w:left="220"/>
              <w:spacing w:after="0"/>
              <w:rPr>
                <w:sz w:val="20"/>
                <w:szCs w:val="20"/>
                <w:color w:val="auto"/>
              </w:rPr>
            </w:pPr>
            <w:r>
              <w:rPr>
                <w:rFonts w:ascii="Arial" w:cs="Arial" w:eastAsia="Arial" w:hAnsi="Arial"/>
                <w:sz w:val="7"/>
                <w:szCs w:val="7"/>
                <w:b w:val="1"/>
                <w:bCs w:val="1"/>
                <w:color w:val="auto"/>
                <w:w w:val="93"/>
              </w:rPr>
              <w:t>Series E</w:t>
            </w:r>
          </w:p>
        </w:tc>
        <w:tc>
          <w:tcPr>
            <w:tcW w:w="2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740" w:type="dxa"/>
            <w:vAlign w:val="bottom"/>
            <w:gridSpan w:val="4"/>
            <w:vMerge w:val="restart"/>
          </w:tcPr>
          <w:p>
            <w:pPr>
              <w:ind w:left="100"/>
              <w:spacing w:after="0"/>
              <w:rPr>
                <w:sz w:val="20"/>
                <w:szCs w:val="20"/>
                <w:color w:val="auto"/>
              </w:rPr>
            </w:pPr>
            <w:r>
              <w:rPr>
                <w:rFonts w:ascii="Arial" w:cs="Arial" w:eastAsia="Arial" w:hAnsi="Arial"/>
                <w:sz w:val="7"/>
                <w:szCs w:val="7"/>
                <w:b w:val="1"/>
                <w:bCs w:val="1"/>
                <w:color w:val="auto"/>
              </w:rPr>
              <w:t>Common Stock</w:t>
            </w:r>
          </w:p>
        </w:tc>
        <w:tc>
          <w:tcPr>
            <w:tcW w:w="1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vMerge w:val="restart"/>
          </w:tcPr>
          <w:p>
            <w:pPr>
              <w:jc w:val="right"/>
              <w:ind w:right="24"/>
              <w:spacing w:after="0"/>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2"/>
                <w:szCs w:val="2"/>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7"/>
                <w:szCs w:val="7"/>
                <w:b w:val="1"/>
                <w:bCs w:val="1"/>
                <w:color w:val="auto"/>
                <w:w w:val="95"/>
              </w:rPr>
              <w:t>Comprehensive</w:t>
            </w:r>
          </w:p>
        </w:tc>
        <w:tc>
          <w:tcPr>
            <w:tcW w:w="56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Accumulated</w:t>
            </w:r>
          </w:p>
        </w:tc>
        <w:tc>
          <w:tcPr>
            <w:tcW w:w="580" w:type="dxa"/>
            <w:vAlign w:val="bottom"/>
            <w:gridSpan w:val="3"/>
            <w:vMerge w:val="restart"/>
          </w:tcPr>
          <w:p>
            <w:pPr>
              <w:ind w:left="20"/>
              <w:spacing w:after="0"/>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260" w:type="dxa"/>
            <w:vAlign w:val="bottom"/>
          </w:tcPr>
          <w:p>
            <w:pPr>
              <w:spacing w:after="0"/>
              <w:rPr>
                <w:sz w:val="7"/>
                <w:szCs w:val="7"/>
                <w:color w:val="auto"/>
              </w:rPr>
            </w:pPr>
          </w:p>
        </w:tc>
        <w:tc>
          <w:tcPr>
            <w:tcW w:w="340" w:type="dxa"/>
            <w:vAlign w:val="bottom"/>
          </w:tcPr>
          <w:p>
            <w:pPr>
              <w:ind w:left="40"/>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7"/>
                <w:szCs w:val="7"/>
                <w:color w:val="auto"/>
              </w:rPr>
            </w:pPr>
          </w:p>
        </w:tc>
        <w:tc>
          <w:tcPr>
            <w:tcW w:w="36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34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7"/>
                <w:szCs w:val="7"/>
                <w:color w:val="auto"/>
              </w:rPr>
            </w:pPr>
          </w:p>
        </w:tc>
        <w:tc>
          <w:tcPr>
            <w:tcW w:w="38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380" w:type="dxa"/>
            <w:vAlign w:val="bottom"/>
          </w:tcPr>
          <w:p>
            <w:pPr>
              <w:jc w:val="right"/>
              <w:ind w:right="24"/>
              <w:spacing w:after="0"/>
              <w:rPr>
                <w:sz w:val="20"/>
                <w:szCs w:val="20"/>
                <w:color w:val="auto"/>
              </w:rPr>
            </w:pPr>
            <w:r>
              <w:rPr>
                <w:rFonts w:ascii="Arial" w:cs="Arial" w:eastAsia="Arial" w:hAnsi="Arial"/>
                <w:sz w:val="7"/>
                <w:szCs w:val="7"/>
                <w:b w:val="1"/>
                <w:bCs w:val="1"/>
                <w:color w:val="auto"/>
              </w:rPr>
              <w:t>Shares</w:t>
            </w:r>
          </w:p>
        </w:tc>
        <w:tc>
          <w:tcPr>
            <w:tcW w:w="160" w:type="dxa"/>
            <w:vAlign w:val="bottom"/>
          </w:tcPr>
          <w:p>
            <w:pPr>
              <w:spacing w:after="0"/>
              <w:rPr>
                <w:sz w:val="7"/>
                <w:szCs w:val="7"/>
                <w:color w:val="auto"/>
              </w:rPr>
            </w:pPr>
          </w:p>
        </w:tc>
        <w:tc>
          <w:tcPr>
            <w:tcW w:w="340" w:type="dxa"/>
            <w:vAlign w:val="bottom"/>
            <w:gridSpan w:val="2"/>
          </w:tcPr>
          <w:p>
            <w:pPr>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Shares</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w w:val="98"/>
              </w:rPr>
              <w:t>Amount</w:t>
            </w:r>
          </w:p>
        </w:tc>
        <w:tc>
          <w:tcPr>
            <w:tcW w:w="360" w:type="dxa"/>
            <w:vAlign w:val="bottom"/>
          </w:tcPr>
          <w:p>
            <w:pPr>
              <w:ind w:left="60"/>
              <w:spacing w:after="0"/>
              <w:rPr>
                <w:sz w:val="20"/>
                <w:szCs w:val="20"/>
                <w:color w:val="auto"/>
              </w:rPr>
            </w:pPr>
            <w:r>
              <w:rPr>
                <w:rFonts w:ascii="Arial" w:cs="Arial" w:eastAsia="Arial" w:hAnsi="Arial"/>
                <w:sz w:val="7"/>
                <w:szCs w:val="7"/>
                <w:b w:val="1"/>
                <w:bCs w:val="1"/>
                <w:color w:val="auto"/>
              </w:rPr>
              <w:t>Shares</w:t>
            </w:r>
          </w:p>
        </w:tc>
        <w:tc>
          <w:tcPr>
            <w:tcW w:w="100" w:type="dxa"/>
            <w:vAlign w:val="bottom"/>
          </w:tcPr>
          <w:p>
            <w:pPr>
              <w:spacing w:after="0"/>
              <w:rPr>
                <w:sz w:val="7"/>
                <w:szCs w:val="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w w:val="98"/>
              </w:rPr>
              <w:t>Amount</w:t>
            </w:r>
          </w:p>
        </w:tc>
        <w:tc>
          <w:tcPr>
            <w:tcW w:w="4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Shares</w:t>
            </w:r>
          </w:p>
        </w:tc>
        <w:tc>
          <w:tcPr>
            <w:tcW w:w="400" w:type="dxa"/>
            <w:vAlign w:val="bottom"/>
            <w:gridSpan w:val="3"/>
          </w:tcPr>
          <w:p>
            <w:pPr>
              <w:spacing w:after="0"/>
              <w:rPr>
                <w:sz w:val="20"/>
                <w:szCs w:val="20"/>
                <w:color w:val="auto"/>
              </w:rPr>
            </w:pPr>
            <w:r>
              <w:rPr>
                <w:rFonts w:ascii="Arial" w:cs="Arial" w:eastAsia="Arial" w:hAnsi="Arial"/>
                <w:sz w:val="7"/>
                <w:szCs w:val="7"/>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7"/>
                <w:szCs w:val="7"/>
                <w:b w:val="1"/>
                <w:bCs w:val="1"/>
                <w:color w:val="auto"/>
              </w:rPr>
              <w:t>Shares</w:t>
            </w:r>
          </w:p>
        </w:tc>
        <w:tc>
          <w:tcPr>
            <w:tcW w:w="380" w:type="dxa"/>
            <w:vAlign w:val="bottom"/>
            <w:tcBorders>
              <w:right w:val="single" w:sz="8" w:color="auto"/>
            </w:tcBorders>
            <w:gridSpan w:val="3"/>
          </w:tcPr>
          <w:p>
            <w:pPr>
              <w:spacing w:after="0"/>
              <w:rPr>
                <w:sz w:val="20"/>
                <w:szCs w:val="20"/>
                <w:color w:val="auto"/>
              </w:rPr>
            </w:pPr>
            <w:r>
              <w:rPr>
                <w:rFonts w:ascii="Arial" w:cs="Arial" w:eastAsia="Arial" w:hAnsi="Arial"/>
                <w:sz w:val="7"/>
                <w:szCs w:val="7"/>
                <w:b w:val="1"/>
                <w:bCs w:val="1"/>
                <w:color w:val="auto"/>
              </w:rPr>
              <w:t>Amount</w:t>
            </w:r>
          </w:p>
        </w:tc>
        <w:tc>
          <w:tcPr>
            <w:tcW w:w="460" w:type="dxa"/>
            <w:vAlign w:val="bottom"/>
            <w:gridSpan w:val="2"/>
          </w:tcPr>
          <w:p>
            <w:pPr>
              <w:ind w:left="60"/>
              <w:spacing w:after="0"/>
              <w:rPr>
                <w:sz w:val="20"/>
                <w:szCs w:val="20"/>
                <w:color w:val="auto"/>
              </w:rPr>
            </w:pPr>
            <w:r>
              <w:rPr>
                <w:rFonts w:ascii="Arial" w:cs="Arial" w:eastAsia="Arial" w:hAnsi="Arial"/>
                <w:sz w:val="7"/>
                <w:szCs w:val="7"/>
                <w:b w:val="1"/>
                <w:bCs w:val="1"/>
                <w:color w:val="auto"/>
              </w:rPr>
              <w:t>Shares</w:t>
            </w:r>
          </w:p>
        </w:tc>
        <w:tc>
          <w:tcPr>
            <w:tcW w:w="280" w:type="dxa"/>
            <w:vAlign w:val="bottom"/>
            <w:gridSpan w:val="2"/>
          </w:tcPr>
          <w:p>
            <w:pPr>
              <w:spacing w:after="0"/>
              <w:rPr>
                <w:sz w:val="20"/>
                <w:szCs w:val="20"/>
                <w:color w:val="auto"/>
              </w:rPr>
            </w:pPr>
            <w:r>
              <w:rPr>
                <w:rFonts w:ascii="Arial" w:cs="Arial" w:eastAsia="Arial" w:hAnsi="Arial"/>
                <w:sz w:val="7"/>
                <w:szCs w:val="7"/>
                <w:b w:val="1"/>
                <w:bCs w:val="1"/>
                <w:color w:val="auto"/>
                <w:w w:val="98"/>
              </w:rPr>
              <w:t>Amount</w:t>
            </w:r>
          </w:p>
        </w:tc>
        <w:tc>
          <w:tcPr>
            <w:tcW w:w="140" w:type="dxa"/>
            <w:vAlign w:val="bottom"/>
          </w:tcPr>
          <w:p>
            <w:pPr>
              <w:spacing w:after="0"/>
              <w:rPr>
                <w:sz w:val="7"/>
                <w:szCs w:val="7"/>
                <w:color w:val="auto"/>
              </w:rPr>
            </w:pPr>
          </w:p>
        </w:tc>
        <w:tc>
          <w:tcPr>
            <w:tcW w:w="320" w:type="dxa"/>
            <w:vAlign w:val="bottom"/>
          </w:tcPr>
          <w:p>
            <w:pPr>
              <w:jc w:val="right"/>
              <w:ind w:right="24"/>
              <w:spacing w:after="0"/>
              <w:rPr>
                <w:sz w:val="20"/>
                <w:szCs w:val="20"/>
                <w:color w:val="auto"/>
              </w:rPr>
            </w:pPr>
            <w:r>
              <w:rPr>
                <w:rFonts w:ascii="Arial" w:cs="Arial" w:eastAsia="Arial" w:hAnsi="Arial"/>
                <w:sz w:val="7"/>
                <w:szCs w:val="7"/>
                <w:b w:val="1"/>
                <w:bCs w:val="1"/>
                <w:color w:val="auto"/>
              </w:rPr>
              <w:t>Capital</w:t>
            </w:r>
          </w:p>
        </w:tc>
        <w:tc>
          <w:tcPr>
            <w:tcW w:w="140" w:type="dxa"/>
            <w:vAlign w:val="bottom"/>
          </w:tcPr>
          <w:p>
            <w:pPr>
              <w:spacing w:after="0"/>
              <w:rPr>
                <w:sz w:val="7"/>
                <w:szCs w:val="7"/>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rPr>
              <w:t>Income</w:t>
            </w:r>
          </w:p>
        </w:tc>
        <w:tc>
          <w:tcPr>
            <w:tcW w:w="8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100" w:type="dxa"/>
            <w:vAlign w:val="bottom"/>
          </w:tcPr>
          <w:p>
            <w:pPr>
              <w:spacing w:after="0"/>
              <w:rPr>
                <w:sz w:val="7"/>
                <w:szCs w:val="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rPr>
                <w:sz w:val="20"/>
                <w:szCs w:val="20"/>
                <w:color w:val="auto"/>
              </w:rPr>
            </w:pPr>
            <w:r>
              <w:rPr>
                <w:rFonts w:ascii="Arial" w:cs="Arial" w:eastAsia="Arial" w:hAnsi="Arial"/>
                <w:sz w:val="7"/>
                <w:szCs w:val="7"/>
                <w:color w:val="auto"/>
              </w:rPr>
              <w:t>Balance, December 31, 2018</w:t>
            </w: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26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ind w:left="20"/>
              <w:spacing w:after="0" w:line="75" w:lineRule="exact"/>
              <w:rPr>
                <w:sz w:val="20"/>
                <w:szCs w:val="20"/>
                <w:color w:val="auto"/>
              </w:rPr>
            </w:pPr>
            <w:r>
              <w:rPr>
                <w:rFonts w:ascii="Arial" w:cs="Arial" w:eastAsia="Arial" w:hAnsi="Arial"/>
                <w:sz w:val="7"/>
                <w:szCs w:val="7"/>
                <w:color w:val="auto"/>
                <w:w w:val="96"/>
              </w:rPr>
              <w:t>4,200,000</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60"/>
              <w:spacing w:after="0" w:line="75" w:lineRule="exact"/>
              <w:rPr>
                <w:sz w:val="20"/>
                <w:szCs w:val="20"/>
                <w:color w:val="auto"/>
              </w:rPr>
            </w:pPr>
            <w:r>
              <w:rPr>
                <w:rFonts w:ascii="Arial" w:cs="Arial" w:eastAsia="Arial" w:hAnsi="Arial"/>
                <w:sz w:val="7"/>
                <w:szCs w:val="7"/>
                <w:color w:val="auto"/>
              </w:rPr>
              <w:t>4,200</w:t>
            </w:r>
          </w:p>
        </w:tc>
        <w:tc>
          <w:tcPr>
            <w:tcW w:w="440" w:type="dxa"/>
            <w:vAlign w:val="bottom"/>
            <w:gridSpan w:val="2"/>
            <w:shd w:val="clear" w:color="auto" w:fill="CCEEFF"/>
          </w:tcPr>
          <w:p>
            <w:pPr>
              <w:ind w:left="40"/>
              <w:spacing w:after="0" w:line="75" w:lineRule="exact"/>
              <w:rPr>
                <w:sz w:val="20"/>
                <w:szCs w:val="20"/>
                <w:color w:val="auto"/>
              </w:rPr>
            </w:pPr>
            <w:r>
              <w:rPr>
                <w:rFonts w:ascii="Arial" w:cs="Arial" w:eastAsia="Arial" w:hAnsi="Arial"/>
                <w:sz w:val="7"/>
                <w:szCs w:val="7"/>
                <w:color w:val="auto"/>
              </w:rPr>
              <w:t>2,188,322</w:t>
            </w:r>
          </w:p>
        </w:tc>
        <w:tc>
          <w:tcPr>
            <w:tcW w:w="8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300" w:type="dxa"/>
            <w:vAlign w:val="bottom"/>
            <w:gridSpan w:val="2"/>
            <w:shd w:val="clear" w:color="auto" w:fill="CCEEFF"/>
          </w:tcPr>
          <w:p>
            <w:pPr>
              <w:jc w:val="center"/>
              <w:ind w:right="80"/>
              <w:spacing w:after="0" w:line="75" w:lineRule="exact"/>
              <w:rPr>
                <w:sz w:val="20"/>
                <w:szCs w:val="20"/>
                <w:color w:val="auto"/>
              </w:rPr>
            </w:pPr>
            <w:r>
              <w:rPr>
                <w:rFonts w:ascii="Arial" w:cs="Arial" w:eastAsia="Arial" w:hAnsi="Arial"/>
                <w:sz w:val="7"/>
                <w:szCs w:val="7"/>
                <w:color w:val="auto"/>
              </w:rPr>
              <w:t>2,998</w:t>
            </w:r>
          </w:p>
        </w:tc>
        <w:tc>
          <w:tcPr>
            <w:tcW w:w="340" w:type="dxa"/>
            <w:vAlign w:val="bottom"/>
            <w:shd w:val="clear" w:color="auto" w:fill="CCEEFF"/>
          </w:tcPr>
          <w:p>
            <w:pPr>
              <w:ind w:left="20"/>
              <w:spacing w:after="0" w:line="75" w:lineRule="exact"/>
              <w:rPr>
                <w:sz w:val="20"/>
                <w:szCs w:val="20"/>
                <w:color w:val="auto"/>
              </w:rPr>
            </w:pPr>
            <w:r>
              <w:rPr>
                <w:rFonts w:ascii="Arial" w:cs="Arial" w:eastAsia="Arial" w:hAnsi="Arial"/>
                <w:sz w:val="7"/>
                <w:szCs w:val="7"/>
                <w:color w:val="auto"/>
                <w:w w:val="89"/>
              </w:rPr>
              <w:t>4,211,094</w:t>
            </w:r>
          </w:p>
        </w:tc>
        <w:tc>
          <w:tcPr>
            <w:tcW w:w="200" w:type="dxa"/>
            <w:vAlign w:val="bottom"/>
            <w:tcBorders>
              <w:left w:val="single" w:sz="8" w:color="CCEEFF"/>
            </w:tcBorders>
            <w:gridSpan w:val="2"/>
            <w:shd w:val="clear" w:color="auto" w:fill="CCEEFF"/>
          </w:tcPr>
          <w:p>
            <w:pPr>
              <w:ind w:left="100"/>
              <w:spacing w:after="0" w:line="75" w:lineRule="exact"/>
              <w:rPr>
                <w:sz w:val="20"/>
                <w:szCs w:val="20"/>
                <w:color w:val="auto"/>
              </w:rPr>
            </w:pPr>
            <w:r>
              <w:rPr>
                <w:rFonts w:ascii="Arial" w:cs="Arial" w:eastAsia="Arial" w:hAnsi="Arial"/>
                <w:sz w:val="7"/>
                <w:szCs w:val="7"/>
                <w:color w:val="auto"/>
              </w:rPr>
              <w:t>$</w:t>
            </w:r>
          </w:p>
        </w:tc>
        <w:tc>
          <w:tcPr>
            <w:tcW w:w="280" w:type="dxa"/>
            <w:vAlign w:val="bottom"/>
            <w:gridSpan w:val="2"/>
            <w:shd w:val="clear" w:color="auto" w:fill="CCEEFF"/>
          </w:tcPr>
          <w:p>
            <w:pPr>
              <w:jc w:val="center"/>
              <w:ind w:right="100"/>
              <w:spacing w:after="0" w:line="75" w:lineRule="exact"/>
              <w:rPr>
                <w:sz w:val="20"/>
                <w:szCs w:val="20"/>
                <w:color w:val="auto"/>
              </w:rPr>
            </w:pPr>
            <w:r>
              <w:rPr>
                <w:rFonts w:ascii="Arial" w:cs="Arial" w:eastAsia="Arial" w:hAnsi="Arial"/>
                <w:sz w:val="7"/>
                <w:szCs w:val="7"/>
                <w:color w:val="auto"/>
              </w:rPr>
              <w:t>8,704</w:t>
            </w:r>
          </w:p>
        </w:tc>
        <w:tc>
          <w:tcPr>
            <w:tcW w:w="380" w:type="dxa"/>
            <w:vAlign w:val="bottom"/>
            <w:shd w:val="clear" w:color="auto" w:fill="CCEEFF"/>
          </w:tcPr>
          <w:p>
            <w:pPr>
              <w:jc w:val="right"/>
              <w:spacing w:after="0" w:line="75" w:lineRule="exact"/>
              <w:rPr>
                <w:sz w:val="20"/>
                <w:szCs w:val="20"/>
                <w:color w:val="auto"/>
              </w:rPr>
            </w:pPr>
            <w:r>
              <w:rPr>
                <w:rFonts w:ascii="Arial" w:cs="Arial" w:eastAsia="Arial" w:hAnsi="Arial"/>
                <w:sz w:val="7"/>
                <w:szCs w:val="7"/>
                <w:color w:val="auto"/>
              </w:rPr>
              <w:t>1,591,230</w:t>
            </w:r>
          </w:p>
        </w:tc>
        <w:tc>
          <w:tcPr>
            <w:tcW w:w="1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00"/>
              <w:spacing w:after="0" w:line="75" w:lineRule="exact"/>
              <w:rPr>
                <w:sz w:val="20"/>
                <w:szCs w:val="20"/>
                <w:color w:val="auto"/>
              </w:rPr>
            </w:pPr>
            <w:r>
              <w:rPr>
                <w:rFonts w:ascii="Arial" w:cs="Arial" w:eastAsia="Arial" w:hAnsi="Arial"/>
                <w:sz w:val="7"/>
                <w:szCs w:val="7"/>
                <w:color w:val="auto"/>
              </w:rPr>
              <w:t>6,957</w:t>
            </w:r>
          </w:p>
        </w:tc>
        <w:tc>
          <w:tcPr>
            <w:tcW w:w="460" w:type="dxa"/>
            <w:vAlign w:val="bottom"/>
            <w:gridSpan w:val="2"/>
            <w:shd w:val="clear" w:color="auto" w:fill="CCEEFF"/>
          </w:tcPr>
          <w:p>
            <w:pPr>
              <w:jc w:val="right"/>
              <w:ind w:right="100"/>
              <w:spacing w:after="0" w:line="75" w:lineRule="exact"/>
              <w:rPr>
                <w:sz w:val="20"/>
                <w:szCs w:val="20"/>
                <w:color w:val="auto"/>
              </w:rPr>
            </w:pPr>
            <w:r>
              <w:rPr>
                <w:rFonts w:ascii="Arial" w:cs="Arial" w:eastAsia="Arial" w:hAnsi="Arial"/>
                <w:sz w:val="7"/>
                <w:szCs w:val="7"/>
                <w:color w:val="auto"/>
              </w:rPr>
              <w:t>4,044,271</w:t>
            </w:r>
          </w:p>
        </w:tc>
        <w:tc>
          <w:tcPr>
            <w:tcW w:w="380" w:type="dxa"/>
            <w:vAlign w:val="bottom"/>
            <w:gridSpan w:val="2"/>
            <w:shd w:val="clear" w:color="auto" w:fill="CCEEFF"/>
          </w:tcPr>
          <w:p>
            <w:pPr>
              <w:jc w:val="right"/>
              <w:ind w:right="100"/>
              <w:spacing w:after="0" w:line="75" w:lineRule="exact"/>
              <w:rPr>
                <w:sz w:val="20"/>
                <w:szCs w:val="20"/>
                <w:color w:val="auto"/>
              </w:rPr>
            </w:pPr>
            <w:r>
              <w:rPr>
                <w:rFonts w:ascii="Arial" w:cs="Arial" w:eastAsia="Arial" w:hAnsi="Arial"/>
                <w:sz w:val="7"/>
                <w:szCs w:val="7"/>
                <w:color w:val="auto"/>
                <w:w w:val="95"/>
              </w:rPr>
              <w:t>$ 18,612</w:t>
            </w:r>
          </w:p>
        </w:tc>
        <w:tc>
          <w:tcPr>
            <w:tcW w:w="360" w:type="dxa"/>
            <w:vAlign w:val="bottom"/>
            <w:shd w:val="clear" w:color="auto" w:fill="CCEEFF"/>
          </w:tcPr>
          <w:p>
            <w:pPr>
              <w:jc w:val="right"/>
              <w:spacing w:after="0" w:line="75" w:lineRule="exact"/>
              <w:rPr>
                <w:sz w:val="20"/>
                <w:szCs w:val="20"/>
                <w:color w:val="auto"/>
              </w:rPr>
            </w:pPr>
            <w:r>
              <w:rPr>
                <w:rFonts w:ascii="Arial" w:cs="Arial" w:eastAsia="Arial" w:hAnsi="Arial"/>
                <w:sz w:val="7"/>
                <w:szCs w:val="7"/>
                <w:color w:val="auto"/>
              </w:rPr>
              <w:t>3,754,201</w:t>
            </w:r>
          </w:p>
        </w:tc>
        <w:tc>
          <w:tcPr>
            <w:tcW w:w="500" w:type="dxa"/>
            <w:vAlign w:val="bottom"/>
            <w:tcBorders>
              <w:left w:val="single" w:sz="8" w:color="CCEEFF"/>
            </w:tcBorders>
            <w:gridSpan w:val="3"/>
            <w:shd w:val="clear" w:color="auto" w:fill="CCEEFF"/>
          </w:tcPr>
          <w:p>
            <w:pPr>
              <w:jc w:val="right"/>
              <w:ind w:right="100"/>
              <w:spacing w:after="0" w:line="75" w:lineRule="exact"/>
              <w:rPr>
                <w:sz w:val="20"/>
                <w:szCs w:val="20"/>
                <w:color w:val="auto"/>
              </w:rPr>
            </w:pPr>
            <w:r>
              <w:rPr>
                <w:rFonts w:ascii="Arial" w:cs="Arial" w:eastAsia="Arial" w:hAnsi="Arial"/>
                <w:sz w:val="7"/>
                <w:szCs w:val="7"/>
                <w:color w:val="auto"/>
              </w:rPr>
              <w:t>$ 24,756</w:t>
            </w:r>
          </w:p>
        </w:tc>
        <w:tc>
          <w:tcPr>
            <w:tcW w:w="460" w:type="dxa"/>
            <w:vAlign w:val="bottom"/>
            <w:gridSpan w:val="2"/>
            <w:shd w:val="clear" w:color="auto" w:fill="CCEEFF"/>
          </w:tcPr>
          <w:p>
            <w:pPr>
              <w:jc w:val="right"/>
              <w:ind w:right="140"/>
              <w:spacing w:after="0" w:line="75" w:lineRule="exact"/>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340" w:type="dxa"/>
            <w:vAlign w:val="bottom"/>
            <w:gridSpan w:val="2"/>
            <w:shd w:val="clear" w:color="auto" w:fill="CCEEFF"/>
          </w:tcPr>
          <w:p>
            <w:pPr>
              <w:jc w:val="right"/>
              <w:ind w:right="160"/>
              <w:spacing w:after="0" w:line="75" w:lineRule="exact"/>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line="75" w:lineRule="exact"/>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320" w:type="dxa"/>
            <w:vAlign w:val="bottom"/>
            <w:tcBorders>
              <w:right w:val="single" w:sz="8" w:color="auto"/>
            </w:tcBorders>
            <w:gridSpan w:val="2"/>
            <w:shd w:val="clear" w:color="auto" w:fill="CCEEFF"/>
          </w:tcPr>
          <w:p>
            <w:pPr>
              <w:ind w:left="100"/>
              <w:spacing w:after="0" w:line="75" w:lineRule="exact"/>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00"/>
              <w:spacing w:after="0" w:line="75" w:lineRule="exact"/>
              <w:rPr>
                <w:sz w:val="20"/>
                <w:szCs w:val="20"/>
                <w:color w:val="auto"/>
              </w:rPr>
            </w:pPr>
            <w:r>
              <w:rPr>
                <w:rFonts w:ascii="Arial" w:cs="Arial" w:eastAsia="Arial" w:hAnsi="Arial"/>
                <w:sz w:val="7"/>
                <w:szCs w:val="7"/>
                <w:color w:val="auto"/>
              </w:rPr>
              <w:t>6,083,135</w:t>
            </w:r>
          </w:p>
        </w:tc>
        <w:tc>
          <w:tcPr>
            <w:tcW w:w="10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180" w:type="dxa"/>
            <w:vAlign w:val="bottom"/>
            <w:shd w:val="clear" w:color="auto" w:fill="CCEEFF"/>
          </w:tcPr>
          <w:p>
            <w:pPr>
              <w:ind w:left="60"/>
              <w:spacing w:after="0" w:line="75" w:lineRule="exact"/>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
                <w:szCs w:val="1"/>
                <w:color w:val="auto"/>
                <w:w w:val="4294967288"/>
              </w:rPr>
              <w:t>$</w:t>
            </w:r>
          </w:p>
        </w:tc>
        <w:tc>
          <w:tcPr>
            <w:tcW w:w="320" w:type="dxa"/>
            <w:vAlign w:val="bottom"/>
            <w:shd w:val="clear" w:color="auto" w:fill="CCEEFF"/>
          </w:tcPr>
          <w:p>
            <w:pPr>
              <w:jc w:val="right"/>
              <w:spacing w:after="0" w:line="75" w:lineRule="exact"/>
              <w:rPr>
                <w:sz w:val="20"/>
                <w:szCs w:val="20"/>
                <w:color w:val="auto"/>
              </w:rPr>
            </w:pPr>
            <w:r>
              <w:rPr>
                <w:rFonts w:ascii="Arial" w:cs="Arial" w:eastAsia="Arial" w:hAnsi="Arial"/>
                <w:sz w:val="7"/>
                <w:szCs w:val="7"/>
                <w:color w:val="auto"/>
              </w:rPr>
              <w:t>775</w:t>
            </w:r>
          </w:p>
        </w:tc>
        <w:tc>
          <w:tcPr>
            <w:tcW w:w="140" w:type="dxa"/>
            <w:vAlign w:val="bottom"/>
            <w:tcBorders>
              <w:left w:val="single" w:sz="8" w:color="CCEEFF"/>
              <w:right w:val="single" w:sz="8" w:color="CCEEFF"/>
            </w:tcBorders>
            <w:shd w:val="clear" w:color="auto" w:fill="CCEEFF"/>
          </w:tcPr>
          <w:p>
            <w:pPr>
              <w:jc w:val="right"/>
              <w:spacing w:after="0" w:line="75" w:lineRule="exact"/>
              <w:rPr>
                <w:sz w:val="20"/>
                <w:szCs w:val="20"/>
                <w:color w:val="auto"/>
              </w:rPr>
            </w:pPr>
            <w:r>
              <w:rPr>
                <w:rFonts w:ascii="Arial" w:cs="Arial" w:eastAsia="Arial" w:hAnsi="Arial"/>
                <w:sz w:val="7"/>
                <w:szCs w:val="7"/>
                <w:color w:val="auto"/>
              </w:rPr>
              <w:t>$</w:t>
            </w:r>
          </w:p>
        </w:tc>
        <w:tc>
          <w:tcPr>
            <w:tcW w:w="600" w:type="dxa"/>
            <w:vAlign w:val="bottom"/>
            <w:gridSpan w:val="2"/>
            <w:shd w:val="clear" w:color="auto" w:fill="CCEEFF"/>
          </w:tcPr>
          <w:p>
            <w:pPr>
              <w:ind w:left="400"/>
              <w:spacing w:after="0" w:line="75"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80"/>
              <w:spacing w:after="0" w:line="75" w:lineRule="exact"/>
              <w:rPr>
                <w:sz w:val="20"/>
                <w:szCs w:val="20"/>
                <w:color w:val="auto"/>
              </w:rPr>
            </w:pPr>
            <w:r>
              <w:rPr>
                <w:rFonts w:ascii="Arial" w:cs="Arial" w:eastAsia="Arial" w:hAnsi="Arial"/>
                <w:sz w:val="7"/>
                <w:szCs w:val="7"/>
                <w:color w:val="auto"/>
              </w:rPr>
              <w:t>(46,615)</w:t>
            </w:r>
          </w:p>
        </w:tc>
        <w:tc>
          <w:tcPr>
            <w:tcW w:w="100" w:type="dxa"/>
            <w:vAlign w:val="bottom"/>
            <w:shd w:val="clear" w:color="auto" w:fill="CCEEFF"/>
          </w:tcPr>
          <w:p>
            <w:pPr>
              <w:spacing w:after="0" w:line="75" w:lineRule="exact"/>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60"/>
              <w:spacing w:after="0" w:line="75" w:lineRule="exact"/>
              <w:rPr>
                <w:sz w:val="20"/>
                <w:szCs w:val="20"/>
                <w:color w:val="auto"/>
              </w:rPr>
            </w:pPr>
            <w:r>
              <w:rPr>
                <w:rFonts w:ascii="Arial" w:cs="Arial" w:eastAsia="Arial" w:hAnsi="Arial"/>
                <w:sz w:val="7"/>
                <w:szCs w:val="7"/>
                <w:color w:val="auto"/>
              </w:rPr>
              <w:t>(45,840)</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20"/>
                <w:szCs w:val="20"/>
                <w:color w:val="auto"/>
              </w:rPr>
            </w:pPr>
            <w:r>
              <w:rPr>
                <w:rFonts w:ascii="Arial" w:cs="Arial" w:eastAsia="Arial" w:hAnsi="Arial"/>
                <w:sz w:val="7"/>
                <w:szCs w:val="7"/>
                <w:color w:val="auto"/>
              </w:rPr>
              <w:t>Issuance of Common Stock</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8"/>
                <w:szCs w:val="8"/>
                <w:color w:val="auto"/>
              </w:rPr>
            </w:pP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3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600" w:type="dxa"/>
            <w:vAlign w:val="bottom"/>
            <w:gridSpan w:val="2"/>
          </w:tcPr>
          <w:p>
            <w:pPr>
              <w:ind w:left="4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D</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rPr>
              <w:t>5,494,064</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w w:val="93"/>
              </w:rPr>
              <w:t>54,929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455,665</w:t>
            </w:r>
          </w:p>
        </w:tc>
        <w:tc>
          <w:tcPr>
            <w:tcW w:w="100" w:type="dxa"/>
            <w:vAlign w:val="bottom"/>
          </w:tcPr>
          <w:p>
            <w:pPr>
              <w:spacing w:after="0"/>
              <w:rPr>
                <w:sz w:val="8"/>
                <w:szCs w:val="8"/>
                <w:color w:val="auto"/>
              </w:rPr>
            </w:pP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450</w:t>
            </w:r>
          </w:p>
        </w:tc>
        <w:tc>
          <w:tcPr>
            <w:tcW w:w="140" w:type="dxa"/>
            <w:vAlign w:val="bottom"/>
          </w:tcPr>
          <w:p>
            <w:pPr>
              <w:spacing w:after="0"/>
              <w:rPr>
                <w:sz w:val="8"/>
                <w:szCs w:val="8"/>
                <w:color w:val="auto"/>
              </w:rPr>
            </w:pPr>
          </w:p>
        </w:tc>
        <w:tc>
          <w:tcPr>
            <w:tcW w:w="600" w:type="dxa"/>
            <w:vAlign w:val="bottom"/>
            <w:gridSpan w:val="2"/>
          </w:tcPr>
          <w:p>
            <w:pPr>
              <w:ind w:left="4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450</w:t>
            </w:r>
          </w:p>
        </w:tc>
        <w:tc>
          <w:tcPr>
            <w:tcW w:w="0" w:type="dxa"/>
            <w:vAlign w:val="bottom"/>
          </w:tcPr>
          <w:p>
            <w:pPr>
              <w:spacing w:after="0"/>
              <w:rPr>
                <w:sz w:val="1"/>
                <w:szCs w:val="1"/>
                <w:color w:val="auto"/>
              </w:rPr>
            </w:pPr>
          </w:p>
        </w:tc>
      </w:tr>
      <w:tr>
        <w:trPr>
          <w:trHeight w:val="95"/>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7"/>
                <w:szCs w:val="7"/>
                <w:color w:val="auto"/>
              </w:rPr>
              <w:t>544</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544</w:t>
            </w:r>
          </w:p>
        </w:tc>
        <w:tc>
          <w:tcPr>
            <w:tcW w:w="0" w:type="dxa"/>
            <w:vAlign w:val="bottom"/>
          </w:tcPr>
          <w:p>
            <w:pPr>
              <w:spacing w:after="0"/>
              <w:rPr>
                <w:sz w:val="1"/>
                <w:szCs w:val="1"/>
                <w:color w:val="auto"/>
              </w:rPr>
            </w:pPr>
          </w:p>
        </w:tc>
      </w:tr>
      <w:tr>
        <w:trPr>
          <w:trHeight w:val="83"/>
        </w:trPr>
        <w:tc>
          <w:tcPr>
            <w:tcW w:w="1260" w:type="dxa"/>
            <w:vAlign w:val="bottom"/>
          </w:tcPr>
          <w:p>
            <w:pPr>
              <w:spacing w:after="0"/>
              <w:rPr>
                <w:sz w:val="20"/>
                <w:szCs w:val="20"/>
                <w:color w:val="auto"/>
              </w:rPr>
            </w:pPr>
            <w:r>
              <w:rPr>
                <w:rFonts w:ascii="Arial" w:cs="Arial" w:eastAsia="Arial" w:hAnsi="Arial"/>
                <w:sz w:val="7"/>
                <w:szCs w:val="7"/>
                <w:color w:val="auto"/>
              </w:rPr>
              <w:t>Shares issued in connection with</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260" w:type="dxa"/>
            <w:vAlign w:val="bottom"/>
          </w:tcPr>
          <w:p>
            <w:pPr>
              <w:ind w:left="60"/>
              <w:spacing w:after="0" w:line="79" w:lineRule="exact"/>
              <w:rPr>
                <w:sz w:val="20"/>
                <w:szCs w:val="20"/>
                <w:color w:val="auto"/>
              </w:rPr>
            </w:pPr>
            <w:r>
              <w:rPr>
                <w:rFonts w:ascii="Arial" w:cs="Arial" w:eastAsia="Arial" w:hAnsi="Arial"/>
                <w:sz w:val="7"/>
                <w:szCs w:val="7"/>
                <w:color w:val="auto"/>
              </w:rPr>
              <w:t>business combination</w:t>
            </w:r>
          </w:p>
        </w:tc>
        <w:tc>
          <w:tcPr>
            <w:tcW w:w="340" w:type="dxa"/>
            <w:vAlign w:val="bottom"/>
          </w:tcPr>
          <w:p>
            <w:pPr>
              <w:ind w:left="240"/>
              <w:spacing w:after="0" w:line="79"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gridSpan w:val="2"/>
          </w:tcPr>
          <w:p>
            <w:pPr>
              <w:jc w:val="center"/>
              <w:ind w:right="20"/>
              <w:spacing w:after="0" w:line="79" w:lineRule="exact"/>
              <w:rPr>
                <w:sz w:val="20"/>
                <w:szCs w:val="20"/>
                <w:color w:val="auto"/>
              </w:rPr>
            </w:pPr>
            <w:r>
              <w:rPr>
                <w:rFonts w:ascii="Arial" w:cs="Arial" w:eastAsia="Arial" w:hAnsi="Arial"/>
                <w:sz w:val="7"/>
                <w:szCs w:val="7"/>
                <w:color w:val="auto"/>
                <w:w w:val="85"/>
              </w:rPr>
              <w:t>—</w:t>
            </w:r>
          </w:p>
        </w:tc>
        <w:tc>
          <w:tcPr>
            <w:tcW w:w="440" w:type="dxa"/>
            <w:vAlign w:val="bottom"/>
            <w:gridSpan w:val="2"/>
          </w:tcPr>
          <w:p>
            <w:pPr>
              <w:ind w:left="240"/>
              <w:spacing w:after="0" w:line="79"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300" w:type="dxa"/>
            <w:vAlign w:val="bottom"/>
            <w:gridSpan w:val="2"/>
          </w:tcPr>
          <w:p>
            <w:pPr>
              <w:jc w:val="center"/>
              <w:ind w:right="40"/>
              <w:spacing w:after="0" w:line="79" w:lineRule="exact"/>
              <w:rPr>
                <w:sz w:val="20"/>
                <w:szCs w:val="20"/>
                <w:color w:val="auto"/>
              </w:rPr>
            </w:pPr>
            <w:r>
              <w:rPr>
                <w:rFonts w:ascii="Arial" w:cs="Arial" w:eastAsia="Arial" w:hAnsi="Arial"/>
                <w:sz w:val="7"/>
                <w:szCs w:val="7"/>
                <w:color w:val="auto"/>
                <w:w w:val="85"/>
              </w:rPr>
              <w:t>—</w:t>
            </w:r>
          </w:p>
        </w:tc>
        <w:tc>
          <w:tcPr>
            <w:tcW w:w="340" w:type="dxa"/>
            <w:vAlign w:val="bottom"/>
          </w:tcPr>
          <w:p>
            <w:pPr>
              <w:ind w:left="240"/>
              <w:spacing w:after="0" w:line="79" w:lineRule="exact"/>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gridSpan w:val="2"/>
          </w:tcPr>
          <w:p>
            <w:pPr>
              <w:jc w:val="center"/>
              <w:ind w:right="60"/>
              <w:spacing w:after="0" w:line="79" w:lineRule="exact"/>
              <w:rPr>
                <w:sz w:val="20"/>
                <w:szCs w:val="20"/>
                <w:color w:val="auto"/>
              </w:rPr>
            </w:pPr>
            <w:r>
              <w:rPr>
                <w:rFonts w:ascii="Arial" w:cs="Arial" w:eastAsia="Arial" w:hAnsi="Arial"/>
                <w:sz w:val="7"/>
                <w:szCs w:val="7"/>
                <w:color w:val="auto"/>
                <w:w w:val="85"/>
              </w:rPr>
              <w:t>—</w:t>
            </w:r>
          </w:p>
        </w:tc>
        <w:tc>
          <w:tcPr>
            <w:tcW w:w="380" w:type="dxa"/>
            <w:vAlign w:val="bottom"/>
          </w:tcPr>
          <w:p>
            <w:pPr>
              <w:jc w:val="right"/>
              <w:ind w:right="4"/>
              <w:spacing w:after="0" w:line="79"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6"/>
                <w:szCs w:val="6"/>
                <w:color w:val="auto"/>
              </w:rPr>
            </w:pPr>
          </w:p>
        </w:tc>
        <w:tc>
          <w:tcPr>
            <w:tcW w:w="340" w:type="dxa"/>
            <w:vAlign w:val="bottom"/>
            <w:gridSpan w:val="2"/>
          </w:tcPr>
          <w:p>
            <w:pPr>
              <w:jc w:val="right"/>
              <w:ind w:right="140"/>
              <w:spacing w:after="0" w:line="79" w:lineRule="exact"/>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line="79" w:lineRule="exact"/>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40"/>
              <w:spacing w:after="0" w:line="79" w:lineRule="exact"/>
              <w:rPr>
                <w:sz w:val="20"/>
                <w:szCs w:val="20"/>
                <w:color w:val="auto"/>
              </w:rPr>
            </w:pPr>
            <w:r>
              <w:rPr>
                <w:rFonts w:ascii="Arial" w:cs="Arial" w:eastAsia="Arial" w:hAnsi="Arial"/>
                <w:sz w:val="7"/>
                <w:szCs w:val="7"/>
                <w:color w:val="auto"/>
              </w:rPr>
              <w:t>—</w:t>
            </w:r>
          </w:p>
        </w:tc>
        <w:tc>
          <w:tcPr>
            <w:tcW w:w="360" w:type="dxa"/>
            <w:vAlign w:val="bottom"/>
          </w:tcPr>
          <w:p>
            <w:pPr>
              <w:ind w:left="240"/>
              <w:spacing w:after="0" w:line="79"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400" w:type="dxa"/>
            <w:vAlign w:val="bottom"/>
            <w:gridSpan w:val="2"/>
          </w:tcPr>
          <w:p>
            <w:pPr>
              <w:jc w:val="right"/>
              <w:ind w:right="140"/>
              <w:spacing w:after="0" w:line="79" w:lineRule="exact"/>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line="79"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340" w:type="dxa"/>
            <w:vAlign w:val="bottom"/>
            <w:gridSpan w:val="2"/>
          </w:tcPr>
          <w:p>
            <w:pPr>
              <w:jc w:val="right"/>
              <w:ind w:right="160"/>
              <w:spacing w:after="0" w:line="79" w:lineRule="exact"/>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line="79"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6"/>
                <w:szCs w:val="6"/>
                <w:color w:val="auto"/>
              </w:rPr>
            </w:pPr>
          </w:p>
        </w:tc>
        <w:tc>
          <w:tcPr>
            <w:tcW w:w="320" w:type="dxa"/>
            <w:vAlign w:val="bottom"/>
            <w:tcBorders>
              <w:right w:val="single" w:sz="8" w:color="auto"/>
            </w:tcBorders>
            <w:gridSpan w:val="2"/>
          </w:tcPr>
          <w:p>
            <w:pPr>
              <w:ind w:left="100"/>
              <w:spacing w:after="0" w:line="79" w:lineRule="exact"/>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00"/>
              <w:spacing w:after="0" w:line="79" w:lineRule="exact"/>
              <w:rPr>
                <w:sz w:val="20"/>
                <w:szCs w:val="20"/>
                <w:color w:val="auto"/>
              </w:rPr>
            </w:pPr>
            <w:r>
              <w:rPr>
                <w:rFonts w:ascii="Arial" w:cs="Arial" w:eastAsia="Arial" w:hAnsi="Arial"/>
                <w:sz w:val="7"/>
                <w:szCs w:val="7"/>
                <w:color w:val="auto"/>
              </w:rPr>
              <w:t>750,770</w:t>
            </w:r>
          </w:p>
        </w:tc>
        <w:tc>
          <w:tcPr>
            <w:tcW w:w="100" w:type="dxa"/>
            <w:vAlign w:val="bottom"/>
          </w:tcPr>
          <w:p>
            <w:pPr>
              <w:spacing w:after="0"/>
              <w:rPr>
                <w:sz w:val="6"/>
                <w:szCs w:val="6"/>
                <w:color w:val="auto"/>
              </w:rPr>
            </w:pPr>
          </w:p>
        </w:tc>
        <w:tc>
          <w:tcPr>
            <w:tcW w:w="180" w:type="dxa"/>
            <w:vAlign w:val="bottom"/>
          </w:tcPr>
          <w:p>
            <w:pPr>
              <w:ind w:left="60"/>
              <w:spacing w:after="0" w:line="79"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6"/>
                <w:szCs w:val="6"/>
                <w:color w:val="auto"/>
              </w:rPr>
            </w:pPr>
          </w:p>
        </w:tc>
        <w:tc>
          <w:tcPr>
            <w:tcW w:w="320" w:type="dxa"/>
            <w:vAlign w:val="bottom"/>
          </w:tcPr>
          <w:p>
            <w:pPr>
              <w:jc w:val="right"/>
              <w:spacing w:after="0" w:line="79" w:lineRule="exact"/>
              <w:rPr>
                <w:sz w:val="20"/>
                <w:szCs w:val="20"/>
                <w:color w:val="auto"/>
              </w:rPr>
            </w:pPr>
            <w:r>
              <w:rPr>
                <w:rFonts w:ascii="Arial" w:cs="Arial" w:eastAsia="Arial" w:hAnsi="Arial"/>
                <w:sz w:val="7"/>
                <w:szCs w:val="7"/>
                <w:color w:val="auto"/>
              </w:rPr>
              <w:t>2,743</w:t>
            </w:r>
          </w:p>
        </w:tc>
        <w:tc>
          <w:tcPr>
            <w:tcW w:w="140" w:type="dxa"/>
            <w:vAlign w:val="bottom"/>
          </w:tcPr>
          <w:p>
            <w:pPr>
              <w:spacing w:after="0"/>
              <w:rPr>
                <w:sz w:val="6"/>
                <w:szCs w:val="6"/>
                <w:color w:val="auto"/>
              </w:rPr>
            </w:pPr>
          </w:p>
        </w:tc>
        <w:tc>
          <w:tcPr>
            <w:tcW w:w="600" w:type="dxa"/>
            <w:vAlign w:val="bottom"/>
            <w:gridSpan w:val="2"/>
          </w:tcPr>
          <w:p>
            <w:pPr>
              <w:ind w:left="400"/>
              <w:spacing w:after="0" w:line="79"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480" w:type="dxa"/>
            <w:vAlign w:val="bottom"/>
            <w:gridSpan w:val="2"/>
          </w:tcPr>
          <w:p>
            <w:pPr>
              <w:jc w:val="right"/>
              <w:ind w:right="140"/>
              <w:spacing w:after="0" w:line="79"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6"/>
                <w:szCs w:val="6"/>
                <w:color w:val="auto"/>
              </w:rPr>
            </w:pPr>
          </w:p>
        </w:tc>
        <w:tc>
          <w:tcPr>
            <w:tcW w:w="480" w:type="dxa"/>
            <w:vAlign w:val="bottom"/>
            <w:gridSpan w:val="2"/>
          </w:tcPr>
          <w:p>
            <w:pPr>
              <w:jc w:val="right"/>
              <w:ind w:right="80"/>
              <w:spacing w:after="0" w:line="79" w:lineRule="exact"/>
              <w:rPr>
                <w:sz w:val="20"/>
                <w:szCs w:val="20"/>
                <w:color w:val="auto"/>
              </w:rPr>
            </w:pPr>
            <w:r>
              <w:rPr>
                <w:rFonts w:ascii="Arial" w:cs="Arial" w:eastAsia="Arial" w:hAnsi="Arial"/>
                <w:sz w:val="7"/>
                <w:szCs w:val="7"/>
                <w:color w:val="auto"/>
              </w:rPr>
              <w:t>2,743</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Net loss</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24"/>
              <w:spacing w:after="0"/>
              <w:rPr>
                <w:sz w:val="20"/>
                <w:szCs w:val="20"/>
                <w:color w:val="auto"/>
              </w:rPr>
            </w:pPr>
            <w:r>
              <w:rPr>
                <w:rFonts w:ascii="Arial" w:cs="Arial" w:eastAsia="Arial" w:hAnsi="Arial"/>
                <w:sz w:val="7"/>
                <w:szCs w:val="7"/>
                <w:color w:val="auto"/>
                <w:w w:val="85"/>
              </w:rPr>
              <w:t>—</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jc w:val="center"/>
              <w:ind w:left="2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jc w:val="center"/>
              <w:ind w:left="4"/>
              <w:spacing w:after="0"/>
              <w:rPr>
                <w:sz w:val="20"/>
                <w:szCs w:val="20"/>
                <w:color w:val="auto"/>
              </w:rPr>
            </w:pPr>
            <w:r>
              <w:rPr>
                <w:rFonts w:ascii="Arial" w:cs="Arial" w:eastAsia="Arial" w:hAnsi="Arial"/>
                <w:sz w:val="7"/>
                <w:szCs w:val="7"/>
                <w:color w:val="auto"/>
                <w:w w:val="85"/>
              </w:rPr>
              <w:t>—</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3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ind w:left="22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7"/>
                <w:szCs w:val="7"/>
                <w:color w:val="auto"/>
              </w:rPr>
              <w:t>—</w:t>
            </w: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500" w:type="dxa"/>
            <w:vAlign w:val="bottom"/>
            <w:shd w:val="clear" w:color="auto" w:fill="CCEEFF"/>
          </w:tcPr>
          <w:p>
            <w:pPr>
              <w:ind w:left="40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(30,994)</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(30,994)</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2019</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440" w:type="dxa"/>
            <w:vAlign w:val="bottom"/>
            <w:gridSpan w:val="2"/>
          </w:tcPr>
          <w:p>
            <w:pPr>
              <w:ind w:left="40"/>
              <w:spacing w:after="0"/>
              <w:rPr>
                <w:sz w:val="20"/>
                <w:szCs w:val="20"/>
                <w:color w:val="auto"/>
              </w:rPr>
            </w:pPr>
            <w:r>
              <w:rPr>
                <w:rFonts w:ascii="Arial" w:cs="Arial" w:eastAsia="Arial" w:hAnsi="Arial"/>
                <w:sz w:val="7"/>
                <w:szCs w:val="7"/>
                <w:color w:val="auto"/>
              </w:rPr>
              <w:t>2,188,322</w:t>
            </w:r>
          </w:p>
        </w:tc>
        <w:tc>
          <w:tcPr>
            <w:tcW w:w="80" w:type="dxa"/>
            <w:vAlign w:val="bottom"/>
          </w:tcPr>
          <w:p>
            <w:pPr>
              <w:spacing w:after="0"/>
              <w:rPr>
                <w:sz w:val="8"/>
                <w:szCs w:val="8"/>
                <w:color w:val="auto"/>
              </w:rPr>
            </w:pP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rPr>
              <w:t>2,998</w:t>
            </w:r>
          </w:p>
        </w:tc>
        <w:tc>
          <w:tcPr>
            <w:tcW w:w="340" w:type="dxa"/>
            <w:vAlign w:val="bottom"/>
          </w:tcPr>
          <w:p>
            <w:pPr>
              <w:ind w:left="20"/>
              <w:spacing w:after="0"/>
              <w:rPr>
                <w:sz w:val="20"/>
                <w:szCs w:val="20"/>
                <w:color w:val="auto"/>
              </w:rPr>
            </w:pPr>
            <w:r>
              <w:rPr>
                <w:rFonts w:ascii="Arial" w:cs="Arial" w:eastAsia="Arial" w:hAnsi="Arial"/>
                <w:sz w:val="7"/>
                <w:szCs w:val="7"/>
                <w:color w:val="auto"/>
                <w:w w:val="89"/>
              </w:rPr>
              <w:t>4,211,094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380" w:type="dxa"/>
            <w:vAlign w:val="bottom"/>
          </w:tcPr>
          <w:p>
            <w:pPr>
              <w:jc w:val="right"/>
              <w:spacing w:after="0"/>
              <w:rPr>
                <w:sz w:val="20"/>
                <w:szCs w:val="20"/>
                <w:color w:val="auto"/>
              </w:rPr>
            </w:pPr>
            <w:r>
              <w:rPr>
                <w:rFonts w:ascii="Arial" w:cs="Arial" w:eastAsia="Arial" w:hAnsi="Arial"/>
                <w:sz w:val="7"/>
                <w:szCs w:val="7"/>
                <w:color w:val="auto"/>
              </w:rPr>
              <w:t>1,591,230</w:t>
            </w:r>
          </w:p>
        </w:tc>
        <w:tc>
          <w:tcPr>
            <w:tcW w:w="160" w:type="dxa"/>
            <w:vAlign w:val="bottom"/>
          </w:tcPr>
          <w:p>
            <w:pPr>
              <w:spacing w:after="0"/>
              <w:rPr>
                <w:sz w:val="8"/>
                <w:szCs w:val="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7"/>
                <w:szCs w:val="7"/>
                <w:color w:val="auto"/>
              </w:rPr>
              <w:t>6,957</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18,612</w:t>
            </w:r>
          </w:p>
        </w:tc>
        <w:tc>
          <w:tcPr>
            <w:tcW w:w="36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24,756</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5,494,064</w:t>
            </w:r>
          </w:p>
        </w:tc>
        <w:tc>
          <w:tcPr>
            <w:tcW w:w="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54,929</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7,289,571</w:t>
            </w:r>
          </w:p>
        </w:tc>
        <w:tc>
          <w:tcPr>
            <w:tcW w:w="100" w:type="dxa"/>
            <w:vAlign w:val="bottom"/>
          </w:tcPr>
          <w:p>
            <w:pPr>
              <w:spacing w:after="0"/>
              <w:rPr>
                <w:sz w:val="8"/>
                <w:szCs w:val="8"/>
                <w:color w:val="auto"/>
              </w:rPr>
            </w:pP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4,512</w:t>
            </w:r>
          </w:p>
        </w:tc>
        <w:tc>
          <w:tcPr>
            <w:tcW w:w="140" w:type="dxa"/>
            <w:vAlign w:val="bottom"/>
          </w:tcPr>
          <w:p>
            <w:pPr>
              <w:spacing w:after="0"/>
              <w:rPr>
                <w:sz w:val="8"/>
                <w:szCs w:val="8"/>
                <w:color w:val="auto"/>
              </w:rPr>
            </w:pPr>
          </w:p>
        </w:tc>
        <w:tc>
          <w:tcPr>
            <w:tcW w:w="600" w:type="dxa"/>
            <w:vAlign w:val="bottom"/>
            <w:gridSpan w:val="2"/>
          </w:tcPr>
          <w:p>
            <w:pPr>
              <w:ind w:left="4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(77,609)</w:t>
            </w:r>
          </w:p>
        </w:tc>
        <w:tc>
          <w:tcPr>
            <w:tcW w:w="10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(73,097)</w:t>
            </w:r>
          </w:p>
        </w:tc>
        <w:tc>
          <w:tcPr>
            <w:tcW w:w="0" w:type="dxa"/>
            <w:vAlign w:val="bottom"/>
          </w:tcPr>
          <w:p>
            <w:pPr>
              <w:spacing w:after="0"/>
              <w:rPr>
                <w:sz w:val="1"/>
                <w:szCs w:val="1"/>
                <w:color w:val="auto"/>
              </w:rPr>
            </w:pPr>
          </w:p>
        </w:tc>
      </w:tr>
      <w:tr>
        <w:trPr>
          <w:trHeight w:val="95"/>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Repurchase of Stock</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7"/>
                <w:szCs w:val="7"/>
                <w:color w:val="auto"/>
              </w:rPr>
              <w:t>(1,136,622)</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(5,001)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(390,152)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(2,001)</w:t>
            </w:r>
          </w:p>
        </w:tc>
        <w:tc>
          <w:tcPr>
            <w:tcW w:w="360" w:type="dxa"/>
            <w:vAlign w:val="bottom"/>
            <w:shd w:val="clear" w:color="auto" w:fill="CCEEFF"/>
          </w:tcPr>
          <w:p>
            <w:pPr>
              <w:jc w:val="right"/>
              <w:spacing w:after="0"/>
              <w:rPr>
                <w:sz w:val="20"/>
                <w:szCs w:val="20"/>
                <w:color w:val="auto"/>
              </w:rPr>
            </w:pPr>
            <w:r>
              <w:rPr>
                <w:rFonts w:ascii="Arial" w:cs="Arial" w:eastAsia="Arial" w:hAnsi="Arial"/>
                <w:sz w:val="7"/>
                <w:szCs w:val="7"/>
                <w:color w:val="auto"/>
              </w:rPr>
              <w:t>(405,453)</w:t>
            </w:r>
          </w:p>
        </w:tc>
        <w:tc>
          <w:tcPr>
            <w:tcW w:w="50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7"/>
                <w:szCs w:val="7"/>
                <w:color w:val="auto"/>
              </w:rPr>
              <w:t>(2,700)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(314,659)</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7"/>
                <w:szCs w:val="7"/>
                <w:color w:val="auto"/>
                <w:w w:val="98"/>
              </w:rPr>
              <w:t>(3,150)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7"/>
                <w:szCs w:val="7"/>
                <w:color w:val="auto"/>
              </w:rPr>
              <w:t>(5,578)</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(3,223)</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(8,801)</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20"/>
                <w:szCs w:val="20"/>
                <w:color w:val="auto"/>
              </w:rPr>
            </w:pPr>
            <w:r>
              <w:rPr>
                <w:rFonts w:ascii="Arial" w:cs="Arial" w:eastAsia="Arial" w:hAnsi="Arial"/>
                <w:sz w:val="7"/>
                <w:szCs w:val="7"/>
                <w:color w:val="auto"/>
              </w:rPr>
              <w:t>Issuance of Stock</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tcPr>
          <w:p>
            <w:pPr>
              <w:jc w:val="right"/>
              <w:spacing w:after="0"/>
              <w:rPr>
                <w:sz w:val="20"/>
                <w:szCs w:val="20"/>
                <w:color w:val="auto"/>
              </w:rPr>
            </w:pPr>
            <w:r>
              <w:rPr>
                <w:rFonts w:ascii="Arial" w:cs="Arial" w:eastAsia="Arial" w:hAnsi="Arial"/>
                <w:sz w:val="7"/>
                <w:szCs w:val="7"/>
                <w:color w:val="auto"/>
              </w:rPr>
              <w:t>1,136,622</w:t>
            </w:r>
          </w:p>
        </w:tc>
        <w:tc>
          <w:tcPr>
            <w:tcW w:w="160" w:type="dxa"/>
            <w:vAlign w:val="bottom"/>
          </w:tcPr>
          <w:p>
            <w:pPr>
              <w:spacing w:after="0"/>
              <w:rPr>
                <w:sz w:val="8"/>
                <w:szCs w:val="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7"/>
                <w:szCs w:val="7"/>
                <w:color w:val="auto"/>
              </w:rPr>
              <w:t>10,883</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390,152</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rPr>
              <w:t>3,736</w:t>
            </w:r>
          </w:p>
        </w:tc>
        <w:tc>
          <w:tcPr>
            <w:tcW w:w="360" w:type="dxa"/>
            <w:vAlign w:val="bottom"/>
          </w:tcPr>
          <w:p>
            <w:pPr>
              <w:jc w:val="right"/>
              <w:spacing w:after="0"/>
              <w:rPr>
                <w:sz w:val="20"/>
                <w:szCs w:val="20"/>
                <w:color w:val="auto"/>
              </w:rPr>
            </w:pPr>
            <w:r>
              <w:rPr>
                <w:rFonts w:ascii="Arial" w:cs="Arial" w:eastAsia="Arial" w:hAnsi="Arial"/>
                <w:sz w:val="7"/>
                <w:szCs w:val="7"/>
                <w:color w:val="auto"/>
              </w:rPr>
              <w:t>405,453</w:t>
            </w: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3,948</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314,659</w:t>
            </w:r>
          </w:p>
        </w:tc>
        <w:tc>
          <w:tcPr>
            <w:tcW w:w="60" w:type="dxa"/>
            <w:vAlign w:val="bottom"/>
          </w:tcPr>
          <w:p>
            <w:pPr>
              <w:spacing w:after="0"/>
              <w:rPr>
                <w:sz w:val="8"/>
                <w:szCs w:val="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rPr>
              <w:t>3,085</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3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600" w:type="dxa"/>
            <w:vAlign w:val="bottom"/>
            <w:gridSpan w:val="2"/>
          </w:tcPr>
          <w:p>
            <w:pPr>
              <w:ind w:left="4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Issuance of preferred stock – Series E</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2,275,759</w:t>
            </w:r>
          </w:p>
        </w:tc>
        <w:tc>
          <w:tcPr>
            <w:tcW w:w="6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7"/>
                <w:szCs w:val="7"/>
                <w:color w:val="auto"/>
              </w:rPr>
              <w:t>30,757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20"/>
                <w:szCs w:val="20"/>
                <w:color w:val="auto"/>
              </w:rPr>
            </w:pPr>
            <w:r>
              <w:rPr>
                <w:rFonts w:ascii="Arial" w:cs="Arial" w:eastAsia="Arial" w:hAnsi="Arial"/>
                <w:sz w:val="7"/>
                <w:szCs w:val="7"/>
                <w:color w:val="auto"/>
              </w:rPr>
              <w:t>Exercise of common stock options</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466,211</w:t>
            </w:r>
          </w:p>
        </w:tc>
        <w:tc>
          <w:tcPr>
            <w:tcW w:w="100" w:type="dxa"/>
            <w:vAlign w:val="bottom"/>
          </w:tcPr>
          <w:p>
            <w:pPr>
              <w:spacing w:after="0"/>
              <w:rPr>
                <w:sz w:val="8"/>
                <w:szCs w:val="8"/>
                <w:color w:val="auto"/>
              </w:rPr>
            </w:pP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563</w:t>
            </w:r>
          </w:p>
        </w:tc>
        <w:tc>
          <w:tcPr>
            <w:tcW w:w="140" w:type="dxa"/>
            <w:vAlign w:val="bottom"/>
          </w:tcPr>
          <w:p>
            <w:pPr>
              <w:spacing w:after="0"/>
              <w:rPr>
                <w:sz w:val="8"/>
                <w:szCs w:val="8"/>
                <w:color w:val="auto"/>
              </w:rPr>
            </w:pPr>
          </w:p>
        </w:tc>
        <w:tc>
          <w:tcPr>
            <w:tcW w:w="600" w:type="dxa"/>
            <w:vAlign w:val="bottom"/>
            <w:gridSpan w:val="2"/>
          </w:tcPr>
          <w:p>
            <w:pPr>
              <w:ind w:left="4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(45)</w:t>
            </w:r>
          </w:p>
        </w:tc>
        <w:tc>
          <w:tcPr>
            <w:tcW w:w="10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518</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Stock based compensation</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7"/>
                <w:szCs w:val="7"/>
                <w:color w:val="auto"/>
              </w:rPr>
              <w:t>1,006</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1,006</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20"/>
                <w:szCs w:val="20"/>
                <w:color w:val="auto"/>
              </w:rPr>
            </w:pPr>
            <w:r>
              <w:rPr>
                <w:rFonts w:ascii="Arial" w:cs="Arial" w:eastAsia="Arial" w:hAnsi="Arial"/>
                <w:sz w:val="7"/>
                <w:szCs w:val="7"/>
                <w:color w:val="auto"/>
              </w:rPr>
              <w:t>Comprehensive income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ind w:left="140"/>
              <w:spacing w:after="0"/>
              <w:rPr>
                <w:sz w:val="20"/>
                <w:szCs w:val="20"/>
                <w:color w:val="auto"/>
              </w:rPr>
            </w:pPr>
            <w:r>
              <w:rPr>
                <w:rFonts w:ascii="Arial" w:cs="Arial" w:eastAsia="Arial" w:hAnsi="Arial"/>
                <w:sz w:val="7"/>
                <w:szCs w:val="7"/>
                <w:color w:val="auto"/>
              </w:rPr>
              <w:t>Foreign currency translation</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tcBorders>
              <w:lef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7"/>
                <w:szCs w:val="7"/>
                <w:color w:val="auto"/>
              </w:rPr>
              <w:t>—</w:t>
            </w:r>
          </w:p>
        </w:tc>
        <w:tc>
          <w:tcPr>
            <w:tcW w:w="60" w:type="dxa"/>
            <w:vAlign w:val="bottom"/>
            <w:shd w:val="clear" w:color="auto" w:fill="CCEEFF"/>
          </w:tcPr>
          <w:p>
            <w:pPr>
              <w:spacing w:after="0"/>
              <w:rPr>
                <w:sz w:val="8"/>
                <w:szCs w:val="8"/>
                <w:color w:val="auto"/>
              </w:rPr>
            </w:pPr>
          </w:p>
        </w:tc>
        <w:tc>
          <w:tcPr>
            <w:tcW w:w="3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7"/>
                <w:szCs w:val="7"/>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94"/>
        </w:trPr>
        <w:tc>
          <w:tcPr>
            <w:tcW w:w="1260" w:type="dxa"/>
            <w:vAlign w:val="bottom"/>
          </w:tcPr>
          <w:p>
            <w:pPr>
              <w:ind w:left="140"/>
              <w:spacing w:after="0"/>
              <w:rPr>
                <w:sz w:val="20"/>
                <w:szCs w:val="20"/>
                <w:color w:val="auto"/>
              </w:rPr>
            </w:pPr>
            <w:r>
              <w:rPr>
                <w:rFonts w:ascii="Arial" w:cs="Arial" w:eastAsia="Arial" w:hAnsi="Arial"/>
                <w:sz w:val="7"/>
                <w:szCs w:val="7"/>
                <w:color w:val="auto"/>
              </w:rPr>
              <w:t>Net loss</w:t>
            </w:r>
          </w:p>
        </w:tc>
        <w:tc>
          <w:tcPr>
            <w:tcW w:w="340" w:type="dxa"/>
            <w:vAlign w:val="bottom"/>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7"/>
                <w:szCs w:val="7"/>
                <w:color w:val="auto"/>
                <w:w w:val="85"/>
              </w:rPr>
              <w:t>—</w:t>
            </w:r>
          </w:p>
        </w:tc>
        <w:tc>
          <w:tcPr>
            <w:tcW w:w="44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7"/>
                <w:szCs w:val="7"/>
                <w:color w:val="auto"/>
                <w:w w:val="85"/>
              </w:rPr>
              <w:t>—</w:t>
            </w:r>
          </w:p>
        </w:tc>
        <w:tc>
          <w:tcPr>
            <w:tcW w:w="340" w:type="dxa"/>
            <w:vAlign w:val="bottom"/>
          </w:tcPr>
          <w:p>
            <w:pPr>
              <w:ind w:left="240"/>
              <w:spacing w:after="0"/>
              <w:rPr>
                <w:sz w:val="20"/>
                <w:szCs w:val="20"/>
                <w:color w:val="auto"/>
              </w:rPr>
            </w:pPr>
            <w:r>
              <w:rPr>
                <w:rFonts w:ascii="Arial" w:cs="Arial" w:eastAsia="Arial" w:hAnsi="Arial"/>
                <w:sz w:val="7"/>
                <w:szCs w:val="7"/>
                <w:color w:val="auto"/>
                <w:w w:val="85"/>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w w:val="85"/>
              </w:rPr>
              <w:t>—</w:t>
            </w:r>
          </w:p>
        </w:tc>
        <w:tc>
          <w:tcPr>
            <w:tcW w:w="38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60" w:type="dxa"/>
            <w:vAlign w:val="bottom"/>
          </w:tcPr>
          <w:p>
            <w:pPr>
              <w:spacing w:after="0"/>
              <w:rPr>
                <w:sz w:val="8"/>
                <w:szCs w:val="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360" w:type="dxa"/>
            <w:vAlign w:val="bottom"/>
          </w:tcPr>
          <w:p>
            <w:pPr>
              <w:ind w:left="2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440" w:type="dxa"/>
            <w:vAlign w:val="bottom"/>
            <w:gridSpan w:val="2"/>
          </w:tcPr>
          <w:p>
            <w:pPr>
              <w:ind w:left="220"/>
              <w:spacing w:after="0"/>
              <w:rPr>
                <w:sz w:val="20"/>
                <w:szCs w:val="20"/>
                <w:color w:val="auto"/>
              </w:rPr>
            </w:pPr>
            <w:r>
              <w:rPr>
                <w:rFonts w:ascii="Arial" w:cs="Arial" w:eastAsia="Arial" w:hAnsi="Arial"/>
                <w:sz w:val="7"/>
                <w:szCs w:val="7"/>
                <w:color w:val="auto"/>
              </w:rPr>
              <w:t>—</w:t>
            </w:r>
          </w:p>
        </w:tc>
        <w:tc>
          <w:tcPr>
            <w:tcW w:w="60" w:type="dxa"/>
            <w:vAlign w:val="bottom"/>
          </w:tcPr>
          <w:p>
            <w:pPr>
              <w:spacing w:after="0"/>
              <w:rPr>
                <w:sz w:val="8"/>
                <w:szCs w:val="8"/>
                <w:color w:val="auto"/>
              </w:rPr>
            </w:pPr>
          </w:p>
        </w:tc>
        <w:tc>
          <w:tcPr>
            <w:tcW w:w="32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color w:val="auto"/>
              </w:rPr>
              <w:t>—</w:t>
            </w:r>
          </w:p>
        </w:tc>
        <w:tc>
          <w:tcPr>
            <w:tcW w:w="460" w:type="dxa"/>
            <w:vAlign w:val="bottom"/>
            <w:gridSpan w:val="2"/>
          </w:tcPr>
          <w:p>
            <w:pPr>
              <w:ind w:left="24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8"/>
                <w:szCs w:val="8"/>
                <w:color w:val="auto"/>
              </w:rPr>
            </w:pP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3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8"/>
                <w:szCs w:val="8"/>
                <w:color w:val="auto"/>
              </w:rPr>
            </w:pPr>
          </w:p>
        </w:tc>
        <w:tc>
          <w:tcPr>
            <w:tcW w:w="600" w:type="dxa"/>
            <w:vAlign w:val="bottom"/>
            <w:gridSpan w:val="2"/>
          </w:tcPr>
          <w:p>
            <w:pPr>
              <w:ind w:left="4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(31,085)</w:t>
            </w:r>
          </w:p>
        </w:tc>
        <w:tc>
          <w:tcPr>
            <w:tcW w:w="100" w:type="dxa"/>
            <w:vAlign w:val="bottom"/>
          </w:tcPr>
          <w:p>
            <w:pPr>
              <w:spacing w:after="0"/>
              <w:rPr>
                <w:sz w:val="8"/>
                <w:szCs w:val="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(31,085)</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60" w:type="dxa"/>
            <w:vAlign w:val="bottom"/>
            <w:shd w:val="clear" w:color="auto" w:fill="CCEEFF"/>
          </w:tcPr>
          <w:p>
            <w:pPr>
              <w:spacing w:after="0"/>
              <w:rPr>
                <w:sz w:val="20"/>
                <w:szCs w:val="20"/>
                <w:color w:val="auto"/>
              </w:rPr>
            </w:pPr>
            <w:r>
              <w:rPr>
                <w:rFonts w:ascii="Arial" w:cs="Arial" w:eastAsia="Arial" w:hAnsi="Arial"/>
                <w:sz w:val="7"/>
                <w:szCs w:val="7"/>
                <w:color w:val="auto"/>
              </w:rPr>
              <w:t>Total comprehensive loss</w:t>
            </w: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tcBorders>
              <w:left w:val="single" w:sz="8" w:color="CCEEFF"/>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tcBorders>
              <w:left w:val="single" w:sz="8" w:color="CCEEFF"/>
              <w:right w:val="single" w:sz="8" w:color="CCEEFF"/>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7"/>
                <w:szCs w:val="7"/>
                <w:color w:val="auto"/>
              </w:rPr>
              <w:t>(30,875)</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7"/>
                <w:szCs w:val="7"/>
                <w:color w:val="auto"/>
              </w:rPr>
              <w:t>Balance, December 31, 2020</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60" w:type="dxa"/>
            <w:vAlign w:val="bottom"/>
            <w:vMerge w:val="continue"/>
          </w:tcPr>
          <w:p>
            <w:pPr>
              <w:spacing w:after="0"/>
              <w:rPr>
                <w:sz w:val="8"/>
                <w:szCs w:val="8"/>
                <w:color w:val="auto"/>
              </w:rPr>
            </w:pPr>
          </w:p>
        </w:tc>
        <w:tc>
          <w:tcPr>
            <w:tcW w:w="340" w:type="dxa"/>
            <w:vAlign w:val="bottom"/>
          </w:tcPr>
          <w:p>
            <w:pPr>
              <w:ind w:left="20"/>
              <w:spacing w:after="0"/>
              <w:rPr>
                <w:sz w:val="20"/>
                <w:szCs w:val="20"/>
                <w:color w:val="auto"/>
              </w:rPr>
            </w:pPr>
            <w:r>
              <w:rPr>
                <w:rFonts w:ascii="Arial" w:cs="Arial" w:eastAsia="Arial" w:hAnsi="Arial"/>
                <w:sz w:val="7"/>
                <w:szCs w:val="7"/>
                <w:color w:val="auto"/>
                <w:w w:val="96"/>
              </w:rPr>
              <w:t>4,200,000</w:t>
            </w:r>
          </w:p>
        </w:tc>
        <w:tc>
          <w:tcPr>
            <w:tcW w:w="80" w:type="dxa"/>
            <w:vAlign w:val="bottom"/>
          </w:tcPr>
          <w:p>
            <w:pPr>
              <w:spacing w:after="0"/>
              <w:rPr>
                <w:sz w:val="8"/>
                <w:szCs w:val="8"/>
                <w:color w:val="auto"/>
              </w:rPr>
            </w:pP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60"/>
              <w:spacing w:after="0"/>
              <w:rPr>
                <w:sz w:val="20"/>
                <w:szCs w:val="20"/>
                <w:color w:val="auto"/>
              </w:rPr>
            </w:pPr>
            <w:r>
              <w:rPr>
                <w:rFonts w:ascii="Arial" w:cs="Arial" w:eastAsia="Arial" w:hAnsi="Arial"/>
                <w:sz w:val="7"/>
                <w:szCs w:val="7"/>
                <w:color w:val="auto"/>
              </w:rPr>
              <w:t>4,200</w:t>
            </w:r>
          </w:p>
        </w:tc>
        <w:tc>
          <w:tcPr>
            <w:tcW w:w="440" w:type="dxa"/>
            <w:vAlign w:val="bottom"/>
            <w:gridSpan w:val="2"/>
          </w:tcPr>
          <w:p>
            <w:pPr>
              <w:ind w:left="40"/>
              <w:spacing w:after="0"/>
              <w:rPr>
                <w:sz w:val="20"/>
                <w:szCs w:val="20"/>
                <w:color w:val="auto"/>
              </w:rPr>
            </w:pPr>
            <w:r>
              <w:rPr>
                <w:rFonts w:ascii="Arial" w:cs="Arial" w:eastAsia="Arial" w:hAnsi="Arial"/>
                <w:sz w:val="7"/>
                <w:szCs w:val="7"/>
                <w:color w:val="auto"/>
              </w:rPr>
              <w:t>2,188,322</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300" w:type="dxa"/>
            <w:vAlign w:val="bottom"/>
            <w:gridSpan w:val="2"/>
          </w:tcPr>
          <w:p>
            <w:pPr>
              <w:jc w:val="center"/>
              <w:ind w:right="80"/>
              <w:spacing w:after="0"/>
              <w:rPr>
                <w:sz w:val="20"/>
                <w:szCs w:val="20"/>
                <w:color w:val="auto"/>
              </w:rPr>
            </w:pPr>
            <w:r>
              <w:rPr>
                <w:rFonts w:ascii="Arial" w:cs="Arial" w:eastAsia="Arial" w:hAnsi="Arial"/>
                <w:sz w:val="7"/>
                <w:szCs w:val="7"/>
                <w:color w:val="auto"/>
              </w:rPr>
              <w:t>2,998</w:t>
            </w:r>
          </w:p>
        </w:tc>
        <w:tc>
          <w:tcPr>
            <w:tcW w:w="340" w:type="dxa"/>
            <w:vAlign w:val="bottom"/>
          </w:tcPr>
          <w:p>
            <w:pPr>
              <w:ind w:left="20"/>
              <w:spacing w:after="0"/>
              <w:rPr>
                <w:sz w:val="20"/>
                <w:szCs w:val="20"/>
                <w:color w:val="auto"/>
              </w:rPr>
            </w:pPr>
            <w:r>
              <w:rPr>
                <w:rFonts w:ascii="Arial" w:cs="Arial" w:eastAsia="Arial" w:hAnsi="Arial"/>
                <w:sz w:val="7"/>
                <w:szCs w:val="7"/>
                <w:color w:val="auto"/>
                <w:w w:val="89"/>
              </w:rPr>
              <w:t>4,211,094</w:t>
            </w:r>
          </w:p>
        </w:tc>
        <w:tc>
          <w:tcPr>
            <w:tcW w:w="200" w:type="dxa"/>
            <w:vAlign w:val="bottom"/>
            <w:gridSpan w:val="2"/>
          </w:tcPr>
          <w:p>
            <w:pPr>
              <w:ind w:left="100"/>
              <w:spacing w:after="0"/>
              <w:rPr>
                <w:sz w:val="20"/>
                <w:szCs w:val="20"/>
                <w:color w:val="auto"/>
              </w:rPr>
            </w:pPr>
            <w:r>
              <w:rPr>
                <w:rFonts w:ascii="Arial" w:cs="Arial" w:eastAsia="Arial" w:hAnsi="Arial"/>
                <w:sz w:val="7"/>
                <w:szCs w:val="7"/>
                <w:color w:val="auto"/>
              </w:rPr>
              <w:t>$</w:t>
            </w:r>
          </w:p>
        </w:tc>
        <w:tc>
          <w:tcPr>
            <w:tcW w:w="280" w:type="dxa"/>
            <w:vAlign w:val="bottom"/>
            <w:gridSpan w:val="2"/>
          </w:tcPr>
          <w:p>
            <w:pPr>
              <w:jc w:val="center"/>
              <w:ind w:right="100"/>
              <w:spacing w:after="0"/>
              <w:rPr>
                <w:sz w:val="20"/>
                <w:szCs w:val="20"/>
                <w:color w:val="auto"/>
              </w:rPr>
            </w:pPr>
            <w:r>
              <w:rPr>
                <w:rFonts w:ascii="Arial" w:cs="Arial" w:eastAsia="Arial" w:hAnsi="Arial"/>
                <w:sz w:val="7"/>
                <w:szCs w:val="7"/>
                <w:color w:val="auto"/>
              </w:rPr>
              <w:t>8,704</w:t>
            </w:r>
          </w:p>
        </w:tc>
        <w:tc>
          <w:tcPr>
            <w:tcW w:w="380" w:type="dxa"/>
            <w:vAlign w:val="bottom"/>
          </w:tcPr>
          <w:p>
            <w:pPr>
              <w:jc w:val="right"/>
              <w:spacing w:after="0"/>
              <w:rPr>
                <w:sz w:val="20"/>
                <w:szCs w:val="20"/>
                <w:color w:val="auto"/>
              </w:rPr>
            </w:pPr>
            <w:r>
              <w:rPr>
                <w:rFonts w:ascii="Arial" w:cs="Arial" w:eastAsia="Arial" w:hAnsi="Arial"/>
                <w:sz w:val="7"/>
                <w:szCs w:val="7"/>
                <w:color w:val="auto"/>
              </w:rPr>
              <w:t>1,591,230</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100"/>
              <w:spacing w:after="0"/>
              <w:rPr>
                <w:sz w:val="20"/>
                <w:szCs w:val="20"/>
                <w:color w:val="auto"/>
              </w:rPr>
            </w:pPr>
            <w:r>
              <w:rPr>
                <w:rFonts w:ascii="Arial" w:cs="Arial" w:eastAsia="Arial" w:hAnsi="Arial"/>
                <w:sz w:val="7"/>
                <w:szCs w:val="7"/>
                <w:color w:val="auto"/>
              </w:rPr>
              <w:t>12,839</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4,044,271</w:t>
            </w:r>
          </w:p>
        </w:tc>
        <w:tc>
          <w:tcPr>
            <w:tcW w:w="380" w:type="dxa"/>
            <w:vAlign w:val="bottom"/>
            <w:gridSpan w:val="2"/>
          </w:tcPr>
          <w:p>
            <w:pPr>
              <w:jc w:val="right"/>
              <w:ind w:right="100"/>
              <w:spacing w:after="0"/>
              <w:rPr>
                <w:sz w:val="20"/>
                <w:szCs w:val="20"/>
                <w:color w:val="auto"/>
              </w:rPr>
            </w:pPr>
            <w:r>
              <w:rPr>
                <w:rFonts w:ascii="Arial" w:cs="Arial" w:eastAsia="Arial" w:hAnsi="Arial"/>
                <w:sz w:val="7"/>
                <w:szCs w:val="7"/>
                <w:color w:val="auto"/>
                <w:w w:val="95"/>
              </w:rPr>
              <w:t>$ 20,347</w:t>
            </w:r>
          </w:p>
        </w:tc>
        <w:tc>
          <w:tcPr>
            <w:tcW w:w="360" w:type="dxa"/>
            <w:vAlign w:val="bottom"/>
          </w:tcPr>
          <w:p>
            <w:pPr>
              <w:jc w:val="right"/>
              <w:spacing w:after="0"/>
              <w:rPr>
                <w:sz w:val="20"/>
                <w:szCs w:val="20"/>
                <w:color w:val="auto"/>
              </w:rPr>
            </w:pPr>
            <w:r>
              <w:rPr>
                <w:rFonts w:ascii="Arial" w:cs="Arial" w:eastAsia="Arial" w:hAnsi="Arial"/>
                <w:sz w:val="7"/>
                <w:szCs w:val="7"/>
                <w:color w:val="auto"/>
              </w:rPr>
              <w:t>3,754,201</w:t>
            </w: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$ 26,004</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5,494,064</w:t>
            </w:r>
          </w:p>
        </w:tc>
        <w:tc>
          <w:tcPr>
            <w:tcW w:w="60" w:type="dxa"/>
            <w:vAlign w:val="bottom"/>
          </w:tcPr>
          <w:p>
            <w:pPr>
              <w:spacing w:after="0"/>
              <w:rPr>
                <w:sz w:val="20"/>
                <w:szCs w:val="20"/>
                <w:color w:val="auto"/>
              </w:rPr>
            </w:pPr>
            <w:r>
              <w:rPr>
                <w:rFonts w:ascii="Arial" w:cs="Arial" w:eastAsia="Arial" w:hAnsi="Arial"/>
                <w:sz w:val="7"/>
                <w:szCs w:val="7"/>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7"/>
                <w:szCs w:val="7"/>
                <w:color w:val="auto"/>
                <w:w w:val="93"/>
              </w:rPr>
              <w:t>54,864</w:t>
            </w:r>
          </w:p>
        </w:tc>
        <w:tc>
          <w:tcPr>
            <w:tcW w:w="440" w:type="dxa"/>
            <w:vAlign w:val="bottom"/>
            <w:gridSpan w:val="2"/>
          </w:tcPr>
          <w:p>
            <w:pPr>
              <w:ind w:left="20"/>
              <w:spacing w:after="0"/>
              <w:rPr>
                <w:sz w:val="20"/>
                <w:szCs w:val="20"/>
                <w:color w:val="auto"/>
              </w:rPr>
            </w:pPr>
            <w:r>
              <w:rPr>
                <w:rFonts w:ascii="Arial" w:cs="Arial" w:eastAsia="Arial" w:hAnsi="Arial"/>
                <w:sz w:val="7"/>
                <w:szCs w:val="7"/>
                <w:color w:val="auto"/>
              </w:rPr>
              <w:t>2,275,759</w:t>
            </w:r>
          </w:p>
        </w:tc>
        <w:tc>
          <w:tcPr>
            <w:tcW w:w="60" w:type="dxa"/>
            <w:vAlign w:val="bottom"/>
          </w:tcPr>
          <w:p>
            <w:pPr>
              <w:spacing w:after="0"/>
              <w:rPr>
                <w:sz w:val="20"/>
                <w:szCs w:val="20"/>
                <w:color w:val="auto"/>
              </w:rPr>
            </w:pPr>
            <w:r>
              <w:rPr>
                <w:rFonts w:ascii="Arial" w:cs="Arial" w:eastAsia="Arial" w:hAnsi="Arial"/>
                <w:sz w:val="7"/>
                <w:szCs w:val="7"/>
                <w:color w:val="auto"/>
              </w:rPr>
              <w:t>$</w:t>
            </w:r>
          </w:p>
        </w:tc>
        <w:tc>
          <w:tcPr>
            <w:tcW w:w="320" w:type="dxa"/>
            <w:vAlign w:val="bottom"/>
            <w:tcBorders>
              <w:right w:val="single" w:sz="8" w:color="auto"/>
            </w:tcBorders>
            <w:gridSpan w:val="2"/>
          </w:tcPr>
          <w:p>
            <w:pPr>
              <w:spacing w:after="0"/>
              <w:rPr>
                <w:sz w:val="20"/>
                <w:szCs w:val="20"/>
                <w:color w:val="auto"/>
              </w:rPr>
            </w:pPr>
            <w:r>
              <w:rPr>
                <w:rFonts w:ascii="Arial" w:cs="Arial" w:eastAsia="Arial" w:hAnsi="Arial"/>
                <w:sz w:val="7"/>
                <w:szCs w:val="7"/>
                <w:color w:val="auto"/>
              </w:rPr>
              <w:t>30,757</w:t>
            </w:r>
          </w:p>
        </w:tc>
        <w:tc>
          <w:tcPr>
            <w:tcW w:w="460" w:type="dxa"/>
            <w:vAlign w:val="bottom"/>
            <w:gridSpan w:val="2"/>
          </w:tcPr>
          <w:p>
            <w:pPr>
              <w:jc w:val="right"/>
              <w:ind w:right="100"/>
              <w:spacing w:after="0"/>
              <w:rPr>
                <w:sz w:val="20"/>
                <w:szCs w:val="20"/>
                <w:color w:val="auto"/>
              </w:rPr>
            </w:pPr>
            <w:r>
              <w:rPr>
                <w:rFonts w:ascii="Arial" w:cs="Arial" w:eastAsia="Arial" w:hAnsi="Arial"/>
                <w:sz w:val="7"/>
                <w:szCs w:val="7"/>
                <w:color w:val="auto"/>
              </w:rPr>
              <w:t>7,755,782</w:t>
            </w:r>
          </w:p>
        </w:tc>
        <w:tc>
          <w:tcPr>
            <w:tcW w:w="100" w:type="dxa"/>
            <w:vAlign w:val="bottom"/>
          </w:tcPr>
          <w:p>
            <w:pPr>
              <w:spacing w:after="0"/>
              <w:rPr>
                <w:sz w:val="20"/>
                <w:szCs w:val="20"/>
                <w:color w:val="auto"/>
              </w:rPr>
            </w:pPr>
            <w:r>
              <w:rPr>
                <w:rFonts w:ascii="Arial" w:cs="Arial" w:eastAsia="Arial" w:hAnsi="Arial"/>
                <w:sz w:val="7"/>
                <w:szCs w:val="7"/>
                <w:color w:val="auto"/>
              </w:rPr>
              <w:t>$</w:t>
            </w:r>
          </w:p>
        </w:tc>
        <w:tc>
          <w:tcPr>
            <w:tcW w:w="180" w:type="dxa"/>
            <w:vAlign w:val="bottom"/>
          </w:tcPr>
          <w:p>
            <w:pPr>
              <w:ind w:left="60"/>
              <w:spacing w:after="0"/>
              <w:rPr>
                <w:sz w:val="20"/>
                <w:szCs w:val="20"/>
                <w:color w:val="auto"/>
              </w:rPr>
            </w:pPr>
            <w:r>
              <w:rPr>
                <w:rFonts w:ascii="Arial" w:cs="Arial" w:eastAsia="Arial" w:hAnsi="Arial"/>
                <w:sz w:val="7"/>
                <w:szCs w:val="7"/>
                <w:color w:val="auto"/>
              </w:rPr>
              <w:t>—</w:t>
            </w:r>
          </w:p>
        </w:tc>
        <w:tc>
          <w:tcPr>
            <w:tcW w:w="140" w:type="dxa"/>
            <w:vAlign w:val="bottom"/>
          </w:tcPr>
          <w:p>
            <w:pPr>
              <w:ind w:left="100"/>
              <w:spacing w:after="0"/>
              <w:rPr>
                <w:sz w:val="20"/>
                <w:szCs w:val="20"/>
                <w:color w:val="auto"/>
              </w:rPr>
            </w:pPr>
            <w:r>
              <w:rPr>
                <w:rFonts w:ascii="Arial" w:cs="Arial" w:eastAsia="Arial" w:hAnsi="Arial"/>
                <w:sz w:val="1"/>
                <w:szCs w:val="1"/>
                <w:color w:val="auto"/>
                <w:w w:val="4294967288"/>
              </w:rPr>
              <w:t>$</w:t>
            </w:r>
          </w:p>
        </w:tc>
        <w:tc>
          <w:tcPr>
            <w:tcW w:w="320" w:type="dxa"/>
            <w:vAlign w:val="bottom"/>
          </w:tcPr>
          <w:p>
            <w:pPr>
              <w:jc w:val="right"/>
              <w:spacing w:after="0"/>
              <w:rPr>
                <w:sz w:val="20"/>
                <w:szCs w:val="20"/>
                <w:color w:val="auto"/>
              </w:rPr>
            </w:pPr>
            <w:r>
              <w:rPr>
                <w:rFonts w:ascii="Arial" w:cs="Arial" w:eastAsia="Arial" w:hAnsi="Arial"/>
                <w:sz w:val="7"/>
                <w:szCs w:val="7"/>
                <w:color w:val="auto"/>
              </w:rPr>
              <w:t>503</w:t>
            </w:r>
          </w:p>
        </w:tc>
        <w:tc>
          <w:tcPr>
            <w:tcW w:w="140" w:type="dxa"/>
            <w:vAlign w:val="bottom"/>
          </w:tcPr>
          <w:p>
            <w:pPr>
              <w:jc w:val="right"/>
              <w:spacing w:after="0"/>
              <w:rPr>
                <w:sz w:val="20"/>
                <w:szCs w:val="20"/>
                <w:color w:val="auto"/>
              </w:rPr>
            </w:pPr>
            <w:r>
              <w:rPr>
                <w:rFonts w:ascii="Arial" w:cs="Arial" w:eastAsia="Arial" w:hAnsi="Arial"/>
                <w:sz w:val="7"/>
                <w:szCs w:val="7"/>
                <w:color w:val="auto"/>
              </w:rPr>
              <w:t>$</w:t>
            </w:r>
          </w:p>
        </w:tc>
        <w:tc>
          <w:tcPr>
            <w:tcW w:w="600" w:type="dxa"/>
            <w:vAlign w:val="bottom"/>
            <w:gridSpan w:val="2"/>
          </w:tcPr>
          <w:p>
            <w:pPr>
              <w:ind w:left="380"/>
              <w:spacing w:after="0"/>
              <w:rPr>
                <w:sz w:val="20"/>
                <w:szCs w:val="20"/>
                <w:color w:val="auto"/>
              </w:rPr>
            </w:pPr>
            <w:r>
              <w:rPr>
                <w:rFonts w:ascii="Arial" w:cs="Arial" w:eastAsia="Arial" w:hAnsi="Arial"/>
                <w:sz w:val="7"/>
                <w:szCs w:val="7"/>
                <w:color w:val="auto"/>
              </w:rPr>
              <w:t>210</w:t>
            </w:r>
          </w:p>
        </w:tc>
        <w:tc>
          <w:tcPr>
            <w:tcW w:w="80" w:type="dxa"/>
            <w:vAlign w:val="bottom"/>
          </w:tcPr>
          <w:p>
            <w:pPr>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7"/>
                <w:szCs w:val="7"/>
                <w:color w:val="auto"/>
              </w:rPr>
              <w:t>(111,962)</w:t>
            </w:r>
          </w:p>
        </w:tc>
        <w:tc>
          <w:tcPr>
            <w:tcW w:w="100" w:type="dxa"/>
            <w:vAlign w:val="bottom"/>
          </w:tcPr>
          <w:p>
            <w:pPr>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7"/>
                <w:szCs w:val="7"/>
                <w:color w:val="auto"/>
              </w:rPr>
              <w:t>(111,249)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right"/>
        <w:ind w:left="120" w:right="5340"/>
        <w:spacing w:after="0" w:line="443"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XOMETRY, INC. AND SUBSIDIARIES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jc w:val="center"/>
        <w:ind w:right="-99"/>
        <w:spacing w:after="0" w:line="234" w:lineRule="auto"/>
        <w:rPr>
          <w:sz w:val="20"/>
          <w:szCs w:val="20"/>
          <w:color w:val="auto"/>
        </w:rPr>
      </w:pPr>
      <w:r>
        <w:rPr>
          <w:rFonts w:ascii="Arial" w:cs="Arial" w:eastAsia="Arial" w:hAnsi="Arial"/>
          <w:sz w:val="18"/>
          <w:szCs w:val="18"/>
          <w:color w:val="auto"/>
        </w:rPr>
        <w:t>Years ended December 31, 2020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(31,085)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(30,994)</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3,120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of goodwill and intangible assets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1,592</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Reduction in carrying amount of right-of-use asset</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1,006</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Non-cash interest expense</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writeoff</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Gain on sale of property and equipment</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discount on short-term investments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(5,505)</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(2,350)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8,569</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62"/>
        </w:trPr>
        <w:tc>
          <w:tcPr>
            <w:tcW w:w="9440" w:type="dxa"/>
            <w:vAlign w:val="bottom"/>
          </w:tcPr>
          <w:p>
            <w:pPr>
              <w:ind w:left="280"/>
              <w:spacing w:after="0"/>
              <w:rPr>
                <w:sz w:val="20"/>
                <w:szCs w:val="20"/>
                <w:color w:val="auto"/>
              </w:rPr>
            </w:pPr>
            <w:r>
              <w:rPr>
                <w:rFonts w:ascii="Arial" w:cs="Arial" w:eastAsia="Arial" w:hAnsi="Arial"/>
                <w:sz w:val="14"/>
                <w:szCs w:val="14"/>
                <w:color w:val="auto"/>
              </w:rPr>
              <w:t>Lease liabilities</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(1,004)</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4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Net cash used in operating activities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(22,049)</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(27,125)</w:t>
            </w:r>
          </w:p>
        </w:tc>
        <w:tc>
          <w:tcPr>
            <w:tcW w:w="0" w:type="dxa"/>
            <w:vAlign w:val="bottom"/>
          </w:tcPr>
          <w:p>
            <w:pPr>
              <w:spacing w:after="0"/>
              <w:rPr>
                <w:sz w:val="1"/>
                <w:szCs w:val="1"/>
                <w:color w:val="auto"/>
              </w:rPr>
            </w:pPr>
          </w:p>
        </w:tc>
      </w:tr>
      <w:tr>
        <w:trPr>
          <w:trHeight w:val="237"/>
        </w:trPr>
        <w:tc>
          <w:tcPr>
            <w:tcW w:w="94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short-term investments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(17,711)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(28,850)</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short-term investments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28,571</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30,470</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(4,190)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acquisitions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6,670</w:t>
            </w: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(2,350)</w:t>
            </w:r>
          </w:p>
        </w:tc>
        <w:tc>
          <w:tcPr>
            <w:tcW w:w="0" w:type="dxa"/>
            <w:vAlign w:val="bottom"/>
          </w:tcPr>
          <w:p>
            <w:pPr>
              <w:spacing w:after="0"/>
              <w:rPr>
                <w:sz w:val="1"/>
                <w:szCs w:val="1"/>
                <w:color w:val="auto"/>
              </w:rPr>
            </w:pPr>
          </w:p>
        </w:tc>
      </w:tr>
      <w:tr>
        <w:trPr>
          <w:trHeight w:val="74"/>
        </w:trPr>
        <w:tc>
          <w:tcPr>
            <w:tcW w:w="9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issuance of Series A-2 convertible preferred stock, net of issuance costs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10,883</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A-2 convertible preferred stock</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issuance of Series B convertible preferred stock, net of issuance costs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3,736</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stock</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3,948</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C convertible preferred stock</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issuance of Series D convertible preferred stock, net of issuance costs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3,085</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54,929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Series D convertible preferred stock</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(3,150)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stock, net of issuance costs</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30,757</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Deemed dividend to preferred stockholders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(8,801)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stock options exercised</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518</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line of credit, net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other borrowings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4,783</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140"/>
              <w:spacing w:after="0"/>
              <w:rPr>
                <w:sz w:val="20"/>
                <w:szCs w:val="20"/>
                <w:color w:val="auto"/>
              </w:rPr>
            </w:pPr>
            <w:r>
              <w:rPr>
                <w:rFonts w:ascii="Arial" w:cs="Arial" w:eastAsia="Arial" w:hAnsi="Arial"/>
                <w:sz w:val="14"/>
                <w:szCs w:val="14"/>
                <w:color w:val="auto"/>
              </w:rPr>
              <w:t>Repayment of other borrowings</w:t>
            </w: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(4,783)</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finance lease obligations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35,261</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54,715</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19,752</w:t>
            </w: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25,240</w:t>
            </w:r>
          </w:p>
        </w:tc>
        <w:tc>
          <w:tcPr>
            <w:tcW w:w="0" w:type="dxa"/>
            <w:vAlign w:val="bottom"/>
          </w:tcPr>
          <w:p>
            <w:pPr>
              <w:spacing w:after="0"/>
              <w:rPr>
                <w:sz w:val="1"/>
                <w:szCs w:val="1"/>
                <w:color w:val="auto"/>
              </w:rPr>
            </w:pPr>
          </w:p>
        </w:tc>
      </w:tr>
      <w:tr>
        <w:trPr>
          <w:trHeight w:val="53"/>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40,122</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14,882</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4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59,874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40,122</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9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44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1,269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53"/>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activity:</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440" w:type="dxa"/>
            <w:vAlign w:val="bottom"/>
          </w:tcPr>
          <w:p>
            <w:pPr>
              <w:spacing w:after="0"/>
              <w:rPr>
                <w:sz w:val="20"/>
                <w:szCs w:val="20"/>
                <w:color w:val="auto"/>
              </w:rPr>
            </w:pPr>
            <w:r>
              <w:rPr>
                <w:rFonts w:ascii="Arial" w:cs="Arial" w:eastAsia="Arial" w:hAnsi="Arial"/>
                <w:sz w:val="14"/>
                <w:szCs w:val="14"/>
                <w:color w:val="auto"/>
              </w:rPr>
              <w:t>Non-cash consideration issued in connection with the acquisition of Shift GmbH</w:t>
            </w:r>
          </w:p>
        </w:tc>
        <w:tc>
          <w:tcPr>
            <w:tcW w:w="1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right"/>
        <w:ind w:left="120" w:right="5340"/>
        <w:spacing w:after="0" w:line="443" w:lineRule="auto"/>
        <w:rPr>
          <w:sz w:val="20"/>
          <w:szCs w:val="20"/>
          <w:color w:val="auto"/>
        </w:rPr>
      </w:pPr>
      <w:r>
        <w:rPr>
          <w:rFonts w:ascii="Arial" w:cs="Arial" w:eastAsia="Arial" w:hAnsi="Arial"/>
          <w:sz w:val="18"/>
          <w:szCs w:val="18"/>
          <w:b w:val="1"/>
          <w:bCs w:val="1"/>
          <w:color w:val="auto"/>
        </w:rPr>
        <w:t xml:space="preserve">See accompanying notes to the consolidated financial statements. </w:t>
      </w: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XOMETRY, INC. AND SUBSIDIAIRIES</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jc w:val="center"/>
        <w:ind w:right="-199"/>
        <w:spacing w:after="0"/>
        <w:rPr>
          <w:sz w:val="20"/>
          <w:szCs w:val="20"/>
          <w:color w:val="auto"/>
        </w:rPr>
      </w:pPr>
      <w:r>
        <w:rPr>
          <w:rFonts w:ascii="Arial" w:cs="Arial" w:eastAsia="Arial" w:hAnsi="Arial"/>
          <w:sz w:val="18"/>
          <w:szCs w:val="18"/>
          <w:color w:val="auto"/>
        </w:rPr>
        <w:t>Years ended December 31, 2020 and 2019</w:t>
      </w:r>
    </w:p>
    <w:p>
      <w:pPr>
        <w:spacing w:after="0" w:line="338" w:lineRule="exact"/>
        <w:rPr>
          <w:sz w:val="20"/>
          <w:szCs w:val="20"/>
          <w:color w:val="auto"/>
        </w:rPr>
      </w:pPr>
    </w:p>
    <w:p>
      <w:pPr>
        <w:ind w:left="660" w:hanging="544"/>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5" w:lineRule="exact"/>
        <w:rPr>
          <w:rFonts w:ascii="Arial" w:cs="Arial" w:eastAsia="Arial" w:hAnsi="Arial"/>
          <w:sz w:val="18"/>
          <w:szCs w:val="18"/>
          <w:b w:val="1"/>
          <w:bCs w:val="1"/>
          <w:color w:val="auto"/>
        </w:rPr>
      </w:pPr>
    </w:p>
    <w:p>
      <w:pPr>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Xometry Inc. (“Xometry”, or the “Company”)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on-demand, unique parts, including custom components and aftermarket parts for its customers. Xometry operates from its domestic facilities in Maryland, Kentucky, and Tennessee, with its corporate headquarters in Derwood, Maryland. One facility is operated in Munich, Germany.</w:t>
      </w:r>
    </w:p>
    <w:p>
      <w:pPr>
        <w:spacing w:after="0" w:line="94" w:lineRule="exact"/>
        <w:rPr>
          <w:rFonts w:ascii="Arial" w:cs="Arial" w:eastAsia="Arial" w:hAnsi="Arial"/>
          <w:sz w:val="18"/>
          <w:szCs w:val="18"/>
          <w:b w:val="1"/>
          <w:bCs w:val="1"/>
          <w:color w:val="auto"/>
        </w:rPr>
      </w:pPr>
    </w:p>
    <w:p>
      <w:pPr>
        <w:ind w:left="660" w:right="1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96" w:lineRule="exact"/>
        <w:rPr>
          <w:rFonts w:ascii="Arial" w:cs="Arial" w:eastAsia="Arial" w:hAnsi="Arial"/>
          <w:sz w:val="18"/>
          <w:szCs w:val="18"/>
          <w:b w:val="1"/>
          <w:bCs w:val="1"/>
          <w:color w:val="auto"/>
        </w:rPr>
      </w:pPr>
    </w:p>
    <w:p>
      <w:pPr>
        <w:ind w:left="660" w:right="200"/>
        <w:spacing w:after="0"/>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Machine Tool &amp; Supply Corporation (“MTS”), a machine and tool supplier, located in Tennessee and on November 26, 2019, the Company acquired Munich, Germany based Shift, an on-demand manufacturing marketplace in Europe.</w:t>
      </w:r>
    </w:p>
    <w:p>
      <w:pPr>
        <w:spacing w:after="0" w:line="329" w:lineRule="exact"/>
        <w:rPr>
          <w:rFonts w:ascii="Arial" w:cs="Arial" w:eastAsia="Arial" w:hAnsi="Arial"/>
          <w:sz w:val="18"/>
          <w:szCs w:val="18"/>
          <w:b w:val="1"/>
          <w:bCs w:val="1"/>
          <w:color w:val="auto"/>
        </w:rPr>
      </w:pPr>
    </w:p>
    <w:p>
      <w:pPr>
        <w:ind w:left="660" w:hanging="544"/>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Principles of Consolidation and Basis of Presentation</w:t>
      </w:r>
    </w:p>
    <w:p>
      <w:pPr>
        <w:spacing w:after="0" w:line="126" w:lineRule="exact"/>
        <w:rPr>
          <w:sz w:val="20"/>
          <w:szCs w:val="20"/>
          <w:color w:val="auto"/>
        </w:rPr>
      </w:pPr>
    </w:p>
    <w:p>
      <w:pPr>
        <w:ind w:left="1320" w:right="80"/>
        <w:spacing w:after="0" w:line="238" w:lineRule="auto"/>
        <w:rPr>
          <w:sz w:val="20"/>
          <w:szCs w:val="20"/>
          <w:color w:val="auto"/>
        </w:rPr>
      </w:pPr>
      <w:r>
        <w:rPr>
          <w:rFonts w:ascii="Arial" w:cs="Arial" w:eastAsia="Arial" w:hAnsi="Arial"/>
          <w:sz w:val="18"/>
          <w:szCs w:val="18"/>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Europe.</w:t>
      </w:r>
    </w:p>
    <w:p>
      <w:pPr>
        <w:spacing w:after="0" w:line="79"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22" w:lineRule="exact"/>
        <w:rPr>
          <w:sz w:val="20"/>
          <w:szCs w:val="20"/>
          <w:color w:val="auto"/>
        </w:rPr>
      </w:pPr>
    </w:p>
    <w:p>
      <w:pPr>
        <w:ind w:left="1320" w:right="60"/>
        <w:spacing w:after="0" w:line="237" w:lineRule="auto"/>
        <w:rPr>
          <w:sz w:val="20"/>
          <w:szCs w:val="20"/>
          <w:color w:val="auto"/>
        </w:rPr>
      </w:pPr>
      <w:r>
        <w:rPr>
          <w:rFonts w:ascii="Arial" w:cs="Arial" w:eastAsia="Arial" w:hAnsi="Arial"/>
          <w:sz w:val="18"/>
          <w:szCs w:val="18"/>
          <w:color w:val="auto"/>
        </w:rPr>
        <w:t>The U.S. dollar (“USD”) is the functional currency for Xometry’s consolidated subsidiary operating in the U.S. The functional currency for the Company’s consolidated subsidiary operating in Germany is the Euro (“EUR”). For the Company’s consolidated subsidiary whose functional currency is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86"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1320" w:right="160"/>
        <w:spacing w:after="0" w:line="246"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60"/>
          </w:cols>
          <w:pgMar w:left="320" w:top="459"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1320" w:right="40"/>
        <w:spacing w:after="0"/>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8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320" w:right="120"/>
        <w:spacing w:after="0" w:line="236"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Acquisition costs, such as legal and consulting fees, are expensed as incurred.</w:t>
      </w:r>
    </w:p>
    <w:p>
      <w:pPr>
        <w:spacing w:after="0" w:line="91"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Measurements and Financial Instruments</w:t>
      </w:r>
    </w:p>
    <w:p>
      <w:pPr>
        <w:spacing w:after="0" w:line="126" w:lineRule="exact"/>
        <w:rPr>
          <w:sz w:val="20"/>
          <w:szCs w:val="20"/>
          <w:color w:val="auto"/>
        </w:rPr>
      </w:pPr>
    </w:p>
    <w:p>
      <w:pPr>
        <w:ind w:left="1320" w:right="80"/>
        <w:spacing w:after="0" w:line="238"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97" w:lineRule="exact"/>
        <w:rPr>
          <w:sz w:val="20"/>
          <w:szCs w:val="20"/>
          <w:color w:val="auto"/>
        </w:rPr>
      </w:pPr>
    </w:p>
    <w:p>
      <w:pPr>
        <w:jc w:val="both"/>
        <w:ind w:left="1320" w:right="300"/>
        <w:spacing w:after="0"/>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9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0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95" w:lineRule="exact"/>
        <w:rPr>
          <w:sz w:val="20"/>
          <w:szCs w:val="20"/>
          <w:color w:val="auto"/>
        </w:rPr>
      </w:pPr>
    </w:p>
    <w:p>
      <w:pPr>
        <w:ind w:left="1320" w:right="340"/>
        <w:spacing w:after="0"/>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95" w:lineRule="exact"/>
        <w:rPr>
          <w:sz w:val="20"/>
          <w:szCs w:val="20"/>
          <w:color w:val="auto"/>
        </w:rPr>
      </w:pPr>
    </w:p>
    <w:p>
      <w:pPr>
        <w:ind w:left="1320" w:right="100"/>
        <w:spacing w:after="0" w:line="238" w:lineRule="auto"/>
        <w:rPr>
          <w:sz w:val="20"/>
          <w:szCs w:val="20"/>
          <w:color w:val="auto"/>
        </w:rPr>
      </w:pPr>
      <w:r>
        <w:rPr>
          <w:rFonts w:ascii="Arial" w:cs="Arial" w:eastAsia="Arial" w:hAnsi="Arial"/>
          <w:sz w:val="18"/>
          <w:szCs w:val="18"/>
          <w:color w:val="auto"/>
        </w:rPr>
        <w:t>The carrying amounts of certain of the Company’s financial instruments, which include cash equivalents, short-term investments, accounts receivable, prepaid expenses and other assets, accounts payable, accrued expenses and contract liabilities approximate their fair values due to their short maturities. The carrying value of the Company’s long-term debt, which is recorded at cost, approximates its fair value due to its expected repayment in 2021.</w:t>
      </w:r>
    </w:p>
    <w:p>
      <w:pPr>
        <w:spacing w:after="0" w:line="88"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1320" w:right="600"/>
        <w:spacing w:after="0"/>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Short-term Investments</w:t>
      </w:r>
    </w:p>
    <w:p>
      <w:pPr>
        <w:spacing w:after="0" w:line="126" w:lineRule="exact"/>
        <w:rPr>
          <w:sz w:val="20"/>
          <w:szCs w:val="20"/>
          <w:color w:val="auto"/>
        </w:rPr>
      </w:pPr>
    </w:p>
    <w:p>
      <w:pPr>
        <w:ind w:left="1320" w:right="140"/>
        <w:spacing w:after="0" w:line="238" w:lineRule="auto"/>
        <w:rPr>
          <w:sz w:val="20"/>
          <w:szCs w:val="20"/>
          <w:color w:val="auto"/>
        </w:rPr>
      </w:pPr>
      <w:r>
        <w:rPr>
          <w:rFonts w:ascii="Arial" w:cs="Arial" w:eastAsia="Arial" w:hAnsi="Arial"/>
          <w:sz w:val="18"/>
          <w:szCs w:val="18"/>
          <w:color w:val="auto"/>
        </w:rPr>
        <w:t>The Company invested in various short-term debt investments consisting of US Treasury Securities, US Government bonds, and commercial paper. All of the investments have original maturity dates that are 6 months or less. These securities have been classified as held to maturity on the Company’s balance sheet and are recorded at amortized cost. Because of the short-term nature of the investments, carrying value approximates fair value. The Company had no short-term investments at December 31, 2020 and $10.9 million of short-term investments at December 31, 2019.</w:t>
      </w:r>
    </w:p>
    <w:p>
      <w:pPr>
        <w:spacing w:after="0" w:line="86"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126" w:lineRule="exact"/>
        <w:rPr>
          <w:sz w:val="20"/>
          <w:szCs w:val="20"/>
          <w:color w:val="auto"/>
        </w:rPr>
      </w:pPr>
    </w:p>
    <w:p>
      <w:pPr>
        <w:ind w:left="1320" w:right="160"/>
        <w:spacing w:after="0" w:line="237"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86"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Inventory</w:t>
      </w:r>
    </w:p>
    <w:p>
      <w:pPr>
        <w:spacing w:after="0" w:line="126" w:lineRule="exact"/>
        <w:rPr>
          <w:sz w:val="20"/>
          <w:szCs w:val="20"/>
          <w:color w:val="auto"/>
        </w:rPr>
      </w:pPr>
    </w:p>
    <w:p>
      <w:pPr>
        <w:ind w:left="1320" w:right="280"/>
        <w:spacing w:after="0" w:line="238" w:lineRule="auto"/>
        <w:rPr>
          <w:sz w:val="20"/>
          <w:szCs w:val="20"/>
          <w:color w:val="auto"/>
        </w:rPr>
      </w:pPr>
      <w:r>
        <w:rPr>
          <w:rFonts w:ascii="Arial" w:cs="Arial" w:eastAsia="Arial" w:hAnsi="Arial"/>
          <w:sz w:val="18"/>
          <w:szCs w:val="18"/>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88"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126" w:lineRule="exact"/>
        <w:rPr>
          <w:sz w:val="20"/>
          <w:szCs w:val="20"/>
          <w:color w:val="auto"/>
        </w:rPr>
      </w:pPr>
    </w:p>
    <w:p>
      <w:pPr>
        <w:ind w:left="1320" w:right="20"/>
        <w:spacing w:after="0" w:line="238"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97" w:lineRule="exact"/>
        <w:rPr>
          <w:sz w:val="20"/>
          <w:szCs w:val="20"/>
          <w:color w:val="auto"/>
        </w:rPr>
      </w:pPr>
    </w:p>
    <w:p>
      <w:pPr>
        <w:ind w:left="1320"/>
        <w:spacing w:after="0" w:line="237" w:lineRule="auto"/>
        <w:rPr>
          <w:sz w:val="20"/>
          <w:szCs w:val="20"/>
          <w:color w:val="auto"/>
        </w:rPr>
      </w:pPr>
      <w:r>
        <w:rPr>
          <w:rFonts w:ascii="Arial" w:cs="Arial" w:eastAsia="Arial" w:hAnsi="Arial"/>
          <w:sz w:val="18"/>
          <w:szCs w:val="18"/>
          <w:color w:val="auto"/>
        </w:rPr>
        <w:t>Property and equipment and intangibles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5" w:lineRule="exact"/>
        <w:rPr>
          <w:sz w:val="20"/>
          <w:szCs w:val="20"/>
          <w:color w:val="auto"/>
        </w:rPr>
      </w:pPr>
    </w:p>
    <w:p>
      <w:pPr>
        <w:ind w:left="1320"/>
        <w:spacing w:after="0" w:line="237" w:lineRule="auto"/>
        <w:rPr>
          <w:sz w:val="20"/>
          <w:szCs w:val="20"/>
          <w:color w:val="auto"/>
        </w:rPr>
      </w:pPr>
      <w:r>
        <w:rPr>
          <w:rFonts w:ascii="Arial" w:cs="Arial" w:eastAsia="Arial" w:hAnsi="Arial"/>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$3.6 million and $1.5 million in 2020 and 2019,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1320" w:right="120"/>
        <w:spacing w:after="0" w:line="238" w:lineRule="auto"/>
        <w:rPr>
          <w:sz w:val="20"/>
          <w:szCs w:val="20"/>
          <w:color w:val="auto"/>
        </w:rPr>
      </w:pPr>
      <w:r>
        <w:rPr>
          <w:rFonts w:ascii="Arial" w:cs="Arial" w:eastAsia="Arial" w:hAnsi="Arial"/>
          <w:sz w:val="18"/>
          <w:szCs w:val="18"/>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97" w:lineRule="exact"/>
        <w:rPr>
          <w:sz w:val="20"/>
          <w:szCs w:val="20"/>
          <w:color w:val="auto"/>
        </w:rPr>
      </w:pPr>
    </w:p>
    <w:p>
      <w:pPr>
        <w:ind w:left="1320" w:right="120"/>
        <w:spacing w:after="0" w:line="237" w:lineRule="auto"/>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we determine the price for the manufactured part(s) or assembly on a stand-alone basis at order initiation. We recognize revenue from sales to Xometry’s customers upon shipment, at which point control over the part(s) or assembly have transferred.</w:t>
      </w:r>
    </w:p>
    <w:p>
      <w:pPr>
        <w:spacing w:after="0" w:line="95" w:lineRule="exact"/>
        <w:rPr>
          <w:sz w:val="20"/>
          <w:szCs w:val="20"/>
          <w:color w:val="auto"/>
        </w:rPr>
      </w:pPr>
    </w:p>
    <w:p>
      <w:pPr>
        <w:ind w:left="1320" w:right="80"/>
        <w:spacing w:after="0" w:line="236" w:lineRule="auto"/>
        <w:rPr>
          <w:sz w:val="20"/>
          <w:szCs w:val="20"/>
          <w:color w:val="auto"/>
        </w:rPr>
      </w:pPr>
      <w:r>
        <w:rPr>
          <w:rFonts w:ascii="Arial" w:cs="Arial" w:eastAsia="Arial" w:hAnsi="Arial"/>
          <w:sz w:val="18"/>
          <w:szCs w:val="18"/>
          <w:color w:val="auto"/>
        </w:rPr>
        <w:t>The Company has concluded that the Company is principal in the sale of part(s) and assemblies that use our network of third-party manufacturers because the Company controls the manufacturing by obtaining a right to direct a third-party manufacturer to fulfill the performance obligation Xometry has with our customer on Xometry’s behalf. The Company has considered the following conditions of the sale: (i) the Company has the obligation of providing the specified product to the customer, (ii) the Company has discretion with respect to establishing the price of the product and the price we pay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9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Revenue is shown net of estimated returns, refunds, and allowances. At December 31, 2020, the Company has a</w:t>
      </w:r>
    </w:p>
    <w:p>
      <w:pPr>
        <w:ind w:left="1320"/>
        <w:spacing w:after="0" w:line="246" w:lineRule="auto"/>
        <w:rPr>
          <w:sz w:val="20"/>
          <w:szCs w:val="20"/>
          <w:color w:val="auto"/>
        </w:rPr>
      </w:pPr>
      <w:r>
        <w:rPr>
          <w:rFonts w:ascii="Arial" w:cs="Arial" w:eastAsia="Arial" w:hAnsi="Arial"/>
          <w:sz w:val="18"/>
          <w:szCs w:val="18"/>
          <w:color w:val="auto"/>
        </w:rPr>
        <w:t>$0.1 million provision for estimated returns, refunds or allowances. There was no provision for estimated returns, refunds or allowances at December 31, 2019.</w:t>
      </w:r>
    </w:p>
    <w:p>
      <w:pPr>
        <w:spacing w:after="0" w:line="89" w:lineRule="exact"/>
        <w:rPr>
          <w:sz w:val="20"/>
          <w:szCs w:val="20"/>
          <w:color w:val="auto"/>
        </w:rPr>
      </w:pPr>
    </w:p>
    <w:p>
      <w:pPr>
        <w:ind w:left="1320" w:right="160"/>
        <w:spacing w:after="0" w:line="360" w:lineRule="auto"/>
        <w:rPr>
          <w:sz w:val="20"/>
          <w:szCs w:val="20"/>
          <w:color w:val="auto"/>
        </w:rPr>
      </w:pPr>
      <w:r>
        <w:rPr>
          <w:rFonts w:ascii="Arial" w:cs="Arial" w:eastAsia="Arial" w:hAnsi="Arial"/>
          <w:sz w:val="18"/>
          <w:szCs w:val="18"/>
          <w:color w:val="auto"/>
        </w:rPr>
        <w:t xml:space="preserve">In 2020 and 2019, sales tax collected from customers and remitted to governmental authorities is excluded from revenue. </w:t>
      </w:r>
      <w:r>
        <w:rPr>
          <w:rFonts w:ascii="Arial" w:cs="Arial" w:eastAsia="Arial" w:hAnsi="Arial"/>
          <w:sz w:val="18"/>
          <w:szCs w:val="18"/>
          <w:i w:val="1"/>
          <w:iCs w:val="1"/>
          <w:color w:val="auto"/>
        </w:rPr>
        <w:t>Contract Liabilities</w:t>
      </w:r>
    </w:p>
    <w:p>
      <w:pPr>
        <w:ind w:left="1320" w:right="80"/>
        <w:spacing w:after="0" w:line="238" w:lineRule="auto"/>
        <w:rPr>
          <w:sz w:val="20"/>
          <w:szCs w:val="20"/>
          <w:color w:val="auto"/>
        </w:rPr>
      </w:pPr>
      <w:r>
        <w:rPr>
          <w:rFonts w:ascii="Arial" w:cs="Arial" w:eastAsia="Arial" w:hAnsi="Arial"/>
          <w:sz w:val="18"/>
          <w:szCs w:val="18"/>
          <w:color w:val="auto"/>
        </w:rPr>
        <w:t>Contract liabilities are primarily derived from customer credit card payments received at the time an order is placed, for which the associated performance obligations have not been satisfied and revenue has not been recognized based on the Company’s revenue recognition criteria described above. The Company had contract liabilities representing performance obligations of $2.4 million and $1.8 million as of December 31, 2020 and 2019, respectively.</w:t>
      </w:r>
    </w:p>
    <w:p>
      <w:pPr>
        <w:spacing w:after="0" w:line="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is a summary of the contract liabilities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Rollforward of contract liabilities:</w:t>
            </w:r>
          </w:p>
        </w:tc>
        <w:tc>
          <w:tcPr>
            <w:tcW w:w="4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Contract liabilities at December 31, 2018</w:t>
            </w:r>
          </w:p>
        </w:tc>
        <w:tc>
          <w:tcPr>
            <w:tcW w:w="4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$ 1,185</w:t>
            </w:r>
          </w:p>
        </w:tc>
      </w:tr>
      <w:tr>
        <w:trPr>
          <w:trHeight w:val="202"/>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recognized</w:t>
            </w:r>
          </w:p>
        </w:tc>
        <w:tc>
          <w:tcPr>
            <w:tcW w:w="47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(1,185)</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Payments received in advance</w:t>
            </w:r>
          </w:p>
        </w:tc>
        <w:tc>
          <w:tcPr>
            <w:tcW w:w="40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1,821</w:t>
            </w:r>
          </w:p>
        </w:tc>
      </w:tr>
      <w:tr>
        <w:trPr>
          <w:trHeight w:val="27"/>
        </w:trPr>
        <w:tc>
          <w:tcPr>
            <w:tcW w:w="36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liabilities at December 31, 2019</w:t>
            </w:r>
          </w:p>
        </w:tc>
        <w:tc>
          <w:tcPr>
            <w:tcW w:w="40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$ 1,821</w:t>
            </w: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Revenue recognized</w:t>
            </w:r>
          </w:p>
        </w:tc>
        <w:tc>
          <w:tcPr>
            <w:tcW w:w="47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(1,821)</w:t>
            </w: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received in advance</w:t>
            </w:r>
          </w:p>
        </w:tc>
        <w:tc>
          <w:tcPr>
            <w:tcW w:w="40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2,355</w:t>
            </w:r>
          </w:p>
        </w:tc>
      </w:tr>
      <w:tr>
        <w:trPr>
          <w:trHeight w:val="20"/>
        </w:trPr>
        <w:tc>
          <w:tcPr>
            <w:tcW w:w="3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Contract liabilities at December 31, 2020</w:t>
            </w:r>
          </w:p>
        </w:tc>
        <w:tc>
          <w:tcPr>
            <w:tcW w:w="4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$ 2,355</w:t>
            </w:r>
          </w:p>
        </w:tc>
      </w:tr>
      <w:tr>
        <w:trPr>
          <w:trHeight w:val="20"/>
        </w:trPr>
        <w:tc>
          <w:tcPr>
            <w:tcW w:w="3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4740" w:type="dxa"/>
            <w:vAlign w:val="bottom"/>
            <w:gridSpan w:val="3"/>
          </w:tcPr>
          <w:p>
            <w:pPr>
              <w:jc w:val="right"/>
              <w:ind w:right="4000"/>
              <w:spacing w:after="0"/>
              <w:rPr>
                <w:sz w:val="20"/>
                <w:szCs w:val="20"/>
                <w:color w:val="auto"/>
              </w:rPr>
            </w:pPr>
            <w:r>
              <w:rPr>
                <w:rFonts w:ascii="Arial" w:cs="Arial" w:eastAsia="Arial" w:hAnsi="Arial"/>
                <w:sz w:val="18"/>
                <w:szCs w:val="18"/>
                <w:color w:val="auto"/>
              </w:rPr>
              <w:t>F-10</w:t>
            </w:r>
          </w:p>
        </w:tc>
      </w:tr>
    </w:tbl>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Sales Contract Acquisition Costs</w:t>
      </w:r>
    </w:p>
    <w:p>
      <w:pPr>
        <w:spacing w:after="0" w:line="122" w:lineRule="exact"/>
        <w:rPr>
          <w:sz w:val="20"/>
          <w:szCs w:val="20"/>
          <w:color w:val="auto"/>
        </w:rPr>
      </w:pPr>
    </w:p>
    <w:p>
      <w:pPr>
        <w:ind w:left="1320" w:right="60"/>
        <w:spacing w:after="0" w:line="237" w:lineRule="auto"/>
        <w:rPr>
          <w:sz w:val="20"/>
          <w:szCs w:val="20"/>
          <w:color w:val="auto"/>
        </w:rPr>
      </w:pPr>
      <w:r>
        <w:rPr>
          <w:rFonts w:ascii="Arial" w:cs="Arial" w:eastAsia="Arial" w:hAnsi="Arial"/>
          <w:sz w:val="18"/>
          <w:szCs w:val="18"/>
          <w:color w:val="auto"/>
        </w:rPr>
        <w:t>The Company’s incremental costs to obtain a contract may include a sales commission which is generally determined on a per order basis. The Company expenses sales commissions when earned, given the short period until the fulfillment of customer orders. The Company elected the practical expedient, allowed under Topic 606, to expense costs to obtain a contract as incurred when the amortization period would have been one year or less. Sales commissions Xometry pay are included in Xometry’s sales and marketing expenses in the Consolidated Statements of Operations and Comprehensive Loss.</w:t>
      </w:r>
    </w:p>
    <w:p>
      <w:pPr>
        <w:spacing w:after="0" w:line="88"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w:t>
      </w:r>
    </w:p>
    <w:p>
      <w:pPr>
        <w:spacing w:after="0" w:line="126" w:lineRule="exact"/>
        <w:rPr>
          <w:sz w:val="20"/>
          <w:szCs w:val="20"/>
          <w:color w:val="auto"/>
        </w:rPr>
      </w:pPr>
    </w:p>
    <w:p>
      <w:pPr>
        <w:ind w:left="1320" w:right="80"/>
        <w:spacing w:after="0" w:line="246" w:lineRule="auto"/>
        <w:rPr>
          <w:sz w:val="20"/>
          <w:szCs w:val="20"/>
          <w:color w:val="auto"/>
        </w:rPr>
      </w:pPr>
      <w:r>
        <w:rPr>
          <w:rFonts w:ascii="Arial" w:cs="Arial" w:eastAsia="Arial" w:hAnsi="Arial"/>
          <w:sz w:val="18"/>
          <w:szCs w:val="18"/>
          <w:color w:val="auto"/>
        </w:rPr>
        <w:t>Cost of revenue primarily consists of the cost of the products that are manufactured by our sellers for delivery to buyers on Xometry’s platform, internal production costs, shipping costs and certain internal depreciation.</w:t>
      </w:r>
    </w:p>
    <w:p>
      <w:pPr>
        <w:spacing w:after="0" w:line="80"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left="1320" w:right="260"/>
        <w:spacing w:after="0" w:line="245" w:lineRule="auto"/>
        <w:rPr>
          <w:sz w:val="20"/>
          <w:szCs w:val="20"/>
          <w:color w:val="auto"/>
        </w:rPr>
      </w:pPr>
      <w:r>
        <w:rPr>
          <w:rFonts w:ascii="Arial" w:cs="Arial" w:eastAsia="Arial" w:hAnsi="Arial"/>
          <w:sz w:val="18"/>
          <w:szCs w:val="18"/>
          <w:color w:val="auto"/>
        </w:rPr>
        <w:t xml:space="preserve">On January 1, 2019,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method. On January 1, 2019, the Company recognized $2.6 million of right of use (“ROU”) operating lease assets and $2.8 million of operating lease liabilities, including noncurrent operating lease liabilities of $2.2 million, as a result of adopting this standard.</w:t>
      </w:r>
    </w:p>
    <w:p>
      <w:pPr>
        <w:spacing w:after="0" w:line="91" w:lineRule="exact"/>
        <w:rPr>
          <w:sz w:val="20"/>
          <w:szCs w:val="20"/>
          <w:color w:val="auto"/>
        </w:rPr>
      </w:pPr>
    </w:p>
    <w:p>
      <w:pPr>
        <w:ind w:left="1320" w:right="20"/>
        <w:spacing w:after="0" w:line="236" w:lineRule="auto"/>
        <w:rPr>
          <w:sz w:val="20"/>
          <w:szCs w:val="20"/>
          <w:color w:val="auto"/>
        </w:rPr>
      </w:pPr>
      <w:r>
        <w:rPr>
          <w:rFonts w:ascii="Arial" w:cs="Arial" w:eastAsia="Arial" w:hAnsi="Arial"/>
          <w:sz w:val="18"/>
          <w:szCs w:val="18"/>
          <w:color w:val="auto"/>
        </w:rPr>
        <w:t>The new standard provides several optional practical expedients for use in transition. The Company elected to use what the FASB deemed the “package of practical expedients,” which allows the Company not to reassess the Company’s previous conclusions about lease identification, lease classification and the accounting treatment for initial direct costs. The standard also provided several optional practical expedients for the ongoing accounting for leases. The Company has elected the short-term lease recognition exemption for all leases that qualify, meaning that for leases with terms of twelve months or less, the Company will not recognize ROU assets or lease liabilities on the Consolidated Balance Sheets. Additionally, the Company has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99" w:lineRule="exact"/>
        <w:rPr>
          <w:sz w:val="20"/>
          <w:szCs w:val="20"/>
          <w:color w:val="auto"/>
        </w:rPr>
      </w:pPr>
    </w:p>
    <w:p>
      <w:pPr>
        <w:ind w:left="1320" w:right="40"/>
        <w:spacing w:after="0" w:line="238" w:lineRule="auto"/>
        <w:rPr>
          <w:sz w:val="20"/>
          <w:szCs w:val="20"/>
          <w:color w:val="auto"/>
        </w:rPr>
      </w:pPr>
      <w:r>
        <w:rPr>
          <w:rFonts w:ascii="Arial" w:cs="Arial" w:eastAsia="Arial" w:hAnsi="Arial"/>
          <w:sz w:val="18"/>
          <w:szCs w:val="18"/>
          <w:color w:val="auto"/>
        </w:rPr>
        <w:t>The Company determines if an arrangement contains a lease and the classification of that lease, if applicable, at inception. Operating leases are included in operating lease ROU assets, operating lease liabilities and operating lease liabilities (net of current portion) in the Consolidated Balance Sheets. The Company has finance leases as detailed in the Long-Lived Assets section above.</w:t>
      </w:r>
    </w:p>
    <w:p>
      <w:pPr>
        <w:spacing w:after="0" w:line="97" w:lineRule="exact"/>
        <w:rPr>
          <w:sz w:val="20"/>
          <w:szCs w:val="20"/>
          <w:color w:val="auto"/>
        </w:rPr>
      </w:pPr>
    </w:p>
    <w:p>
      <w:pPr>
        <w:ind w:left="1320"/>
        <w:spacing w:after="0" w:line="236"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0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Sales and Marketing</w:t>
      </w:r>
    </w:p>
    <w:p>
      <w:pPr>
        <w:spacing w:after="0" w:line="126" w:lineRule="exact"/>
        <w:rPr>
          <w:sz w:val="20"/>
          <w:szCs w:val="20"/>
          <w:color w:val="auto"/>
        </w:rPr>
      </w:pPr>
    </w:p>
    <w:p>
      <w:pPr>
        <w:ind w:left="1320" w:right="180"/>
        <w:spacing w:after="0" w:line="238" w:lineRule="auto"/>
        <w:rPr>
          <w:sz w:val="20"/>
          <w:szCs w:val="20"/>
          <w:color w:val="auto"/>
        </w:rPr>
      </w:pPr>
      <w:r>
        <w:rPr>
          <w:rFonts w:ascii="Arial" w:cs="Arial" w:eastAsia="Arial" w:hAnsi="Arial"/>
          <w:sz w:val="18"/>
          <w:szCs w:val="18"/>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2020 and 2019, the Company’s advertising costs were $12.0 million and $7.9 million, respectively.</w:t>
      </w:r>
    </w:p>
    <w:p>
      <w:pPr>
        <w:spacing w:after="0" w:line="88"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Operations and Support</w:t>
      </w:r>
    </w:p>
    <w:p>
      <w:pPr>
        <w:spacing w:after="0" w:line="126" w:lineRule="exact"/>
        <w:rPr>
          <w:sz w:val="20"/>
          <w:szCs w:val="20"/>
          <w:color w:val="auto"/>
        </w:rPr>
      </w:pPr>
    </w:p>
    <w:p>
      <w:pPr>
        <w:ind w:left="1320" w:right="20"/>
        <w:spacing w:after="0" w:line="238"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88"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Development</w:t>
      </w:r>
    </w:p>
    <w:p>
      <w:pPr>
        <w:spacing w:after="0" w:line="126" w:lineRule="exact"/>
        <w:rPr>
          <w:sz w:val="20"/>
          <w:szCs w:val="20"/>
          <w:color w:val="auto"/>
        </w:rPr>
      </w:pPr>
    </w:p>
    <w:p>
      <w:pPr>
        <w:jc w:val="both"/>
        <w:ind w:left="1320" w:right="240"/>
        <w:spacing w:after="0"/>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86"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General and Administrative</w:t>
      </w:r>
    </w:p>
    <w:p>
      <w:pPr>
        <w:spacing w:after="0" w:line="126" w:lineRule="exact"/>
        <w:rPr>
          <w:sz w:val="20"/>
          <w:szCs w:val="20"/>
          <w:color w:val="auto"/>
        </w:rPr>
      </w:pPr>
    </w:p>
    <w:p>
      <w:pPr>
        <w:ind w:left="1320" w:right="660"/>
        <w:spacing w:after="0"/>
        <w:rPr>
          <w:sz w:val="20"/>
          <w:szCs w:val="20"/>
          <w:color w:val="auto"/>
        </w:rPr>
      </w:pPr>
      <w:r>
        <w:rPr>
          <w:rFonts w:ascii="Arial" w:cs="Arial" w:eastAsia="Arial" w:hAnsi="Arial"/>
          <w:sz w:val="18"/>
          <w:szCs w:val="18"/>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86"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Stock Based Compensation</w:t>
      </w:r>
    </w:p>
    <w:p>
      <w:pPr>
        <w:spacing w:after="0" w:line="126" w:lineRule="exact"/>
        <w:rPr>
          <w:sz w:val="20"/>
          <w:szCs w:val="20"/>
          <w:color w:val="auto"/>
        </w:rPr>
      </w:pPr>
    </w:p>
    <w:p>
      <w:pPr>
        <w:jc w:val="both"/>
        <w:ind w:left="1320" w:right="40"/>
        <w:spacing w:after="0"/>
        <w:rPr>
          <w:sz w:val="20"/>
          <w:szCs w:val="20"/>
          <w:color w:val="auto"/>
        </w:rPr>
      </w:pPr>
      <w:r>
        <w:rPr>
          <w:rFonts w:ascii="Arial" w:cs="Arial" w:eastAsia="Arial" w:hAnsi="Arial"/>
          <w:sz w:val="18"/>
          <w:szCs w:val="18"/>
          <w:color w:val="auto"/>
        </w:rPr>
        <w:t>Stock option awards are measured at the grant date fair value of the award. The Company estimates grant date fair value using the Black-Scholes option-pricing model. The fair value of stock options is recognized as compensation expense on a straight-line basis over the requisite service period, which is typically four years.</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w:t>
      </w:r>
    </w:p>
    <w:p>
      <w:pPr>
        <w:ind w:left="1320"/>
        <w:spacing w:after="0"/>
        <w:rPr>
          <w:sz w:val="20"/>
          <w:szCs w:val="20"/>
          <w:color w:val="auto"/>
        </w:rPr>
      </w:pPr>
      <w:r>
        <w:rPr>
          <w:rFonts w:ascii="Arial" w:cs="Arial" w:eastAsia="Arial" w:hAnsi="Arial"/>
          <w:sz w:val="18"/>
          <w:szCs w:val="18"/>
          <w:color w:val="auto"/>
        </w:rPr>
        <w:t>These variables include:</w:t>
      </w:r>
    </w:p>
    <w:p>
      <w:pPr>
        <w:spacing w:after="0" w:line="117" w:lineRule="exact"/>
        <w:rPr>
          <w:sz w:val="20"/>
          <w:szCs w:val="20"/>
          <w:color w:val="auto"/>
        </w:rPr>
      </w:pPr>
    </w:p>
    <w:p>
      <w:pPr>
        <w:ind w:left="1980" w:hanging="217"/>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17" w:lineRule="exact"/>
        <w:rPr>
          <w:rFonts w:ascii="Arial" w:cs="Arial" w:eastAsia="Arial" w:hAnsi="Arial"/>
          <w:sz w:val="18"/>
          <w:szCs w:val="18"/>
          <w:color w:val="auto"/>
        </w:rPr>
      </w:pPr>
    </w:p>
    <w:p>
      <w:pPr>
        <w:ind w:left="1980" w:hanging="217"/>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17" w:lineRule="exact"/>
        <w:rPr>
          <w:rFonts w:ascii="Arial" w:cs="Arial" w:eastAsia="Arial" w:hAnsi="Arial"/>
          <w:sz w:val="18"/>
          <w:szCs w:val="18"/>
          <w:color w:val="auto"/>
        </w:rPr>
      </w:pPr>
    </w:p>
    <w:p>
      <w:pPr>
        <w:ind w:left="1980" w:hanging="217"/>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17" w:lineRule="exact"/>
        <w:rPr>
          <w:rFonts w:ascii="Arial" w:cs="Arial" w:eastAsia="Arial" w:hAnsi="Arial"/>
          <w:sz w:val="18"/>
          <w:szCs w:val="18"/>
          <w:color w:val="auto"/>
        </w:rPr>
      </w:pPr>
    </w:p>
    <w:p>
      <w:pPr>
        <w:ind w:left="1980" w:hanging="217"/>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17" w:lineRule="exact"/>
        <w:rPr>
          <w:rFonts w:ascii="Arial" w:cs="Arial" w:eastAsia="Arial" w:hAnsi="Arial"/>
          <w:sz w:val="18"/>
          <w:szCs w:val="18"/>
          <w:color w:val="auto"/>
        </w:rPr>
      </w:pPr>
    </w:p>
    <w:p>
      <w:pPr>
        <w:ind w:left="1980" w:hanging="217"/>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17" w:lineRule="exact"/>
        <w:rPr>
          <w:rFonts w:ascii="Arial" w:cs="Arial" w:eastAsia="Arial" w:hAnsi="Arial"/>
          <w:sz w:val="18"/>
          <w:szCs w:val="18"/>
          <w:color w:val="auto"/>
        </w:rPr>
      </w:pPr>
    </w:p>
    <w:p>
      <w:pPr>
        <w:ind w:left="1980" w:hanging="217"/>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04" w:lineRule="exact"/>
        <w:rPr>
          <w:sz w:val="20"/>
          <w:szCs w:val="20"/>
          <w:color w:val="auto"/>
        </w:rPr>
      </w:pPr>
    </w:p>
    <w:p>
      <w:pPr>
        <w:ind w:left="1320"/>
        <w:spacing w:after="0" w:line="238" w:lineRule="auto"/>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The Company’s common stock is not publicly traded, and therefore, the Company used the historical volatility of the stock price of similar publicly traded peer companies. The Company utilized a dividend yield of zero, as it had no history or plan of declaring dividends on its common stock.</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stock-based compensation cost for the years ended December 31, 2020 and 2019 were $1.0 million and $0.5 million,</w:t>
      </w:r>
    </w:p>
    <w:p>
      <w:pPr>
        <w:ind w:left="1320"/>
        <w:spacing w:after="0" w:line="234" w:lineRule="auto"/>
        <w:rPr>
          <w:sz w:val="20"/>
          <w:szCs w:val="20"/>
          <w:color w:val="auto"/>
        </w:rPr>
      </w:pPr>
      <w:r>
        <w:rPr>
          <w:rFonts w:ascii="Arial" w:cs="Arial" w:eastAsia="Arial" w:hAnsi="Arial"/>
          <w:sz w:val="18"/>
          <w:szCs w:val="18"/>
          <w:color w:val="auto"/>
        </w:rPr>
        <w:t>respectively. For the years ended December 31, 2020 and 2019, $0.2 million and $0.1 million, respectively, is recorded in</w:t>
      </w:r>
    </w:p>
    <w:p>
      <w:pPr>
        <w:ind w:left="1320"/>
        <w:spacing w:after="0" w:line="235" w:lineRule="auto"/>
        <w:rPr>
          <w:sz w:val="20"/>
          <w:szCs w:val="20"/>
          <w:color w:val="auto"/>
        </w:rPr>
      </w:pPr>
      <w:r>
        <w:rPr>
          <w:rFonts w:ascii="Arial" w:cs="Arial" w:eastAsia="Arial" w:hAnsi="Arial"/>
          <w:sz w:val="18"/>
          <w:szCs w:val="18"/>
          <w:color w:val="auto"/>
        </w:rPr>
        <w:t>sales and marketing, $0.3 million and $0.1 million, respectively, is recorded in operations and support, $0.4 million and</w:t>
      </w:r>
    </w:p>
    <w:p>
      <w:pPr>
        <w:ind w:left="1320"/>
        <w:spacing w:after="0" w:line="235" w:lineRule="auto"/>
        <w:rPr>
          <w:sz w:val="20"/>
          <w:szCs w:val="20"/>
          <w:color w:val="auto"/>
        </w:rPr>
      </w:pPr>
      <w:r>
        <w:rPr>
          <w:rFonts w:ascii="Arial" w:cs="Arial" w:eastAsia="Arial" w:hAnsi="Arial"/>
          <w:sz w:val="18"/>
          <w:szCs w:val="18"/>
          <w:color w:val="auto"/>
        </w:rPr>
        <w:t>$0.2 million, respectively, is recorded in product development and $0.1 million and $0.1 million, respectively, is recorded in</w:t>
      </w:r>
    </w:p>
    <w:p>
      <w:pPr>
        <w:ind w:left="1320"/>
        <w:spacing w:after="0"/>
        <w:rPr>
          <w:sz w:val="20"/>
          <w:szCs w:val="20"/>
          <w:color w:val="auto"/>
        </w:rPr>
      </w:pPr>
      <w:r>
        <w:rPr>
          <w:rFonts w:ascii="Arial" w:cs="Arial" w:eastAsia="Arial" w:hAnsi="Arial"/>
          <w:sz w:val="18"/>
          <w:szCs w:val="18"/>
          <w:color w:val="auto"/>
        </w:rPr>
        <w:t>general and administrative.</w:t>
      </w:r>
    </w:p>
    <w:p>
      <w:pPr>
        <w:spacing w:after="0" w:line="95"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left="1320" w:right="160"/>
        <w:spacing w:after="0" w:line="237" w:lineRule="auto"/>
        <w:rPr>
          <w:sz w:val="20"/>
          <w:szCs w:val="20"/>
          <w:color w:val="auto"/>
        </w:rPr>
      </w:pPr>
      <w:r>
        <w:rPr>
          <w:rFonts w:ascii="Arial" w:cs="Arial" w:eastAsia="Arial" w:hAnsi="Arial"/>
          <w:sz w:val="18"/>
          <w:szCs w:val="18"/>
          <w:color w:val="auto"/>
        </w:rPr>
        <w:t>For purposes of calculating net income available to common stockholders the Company increased the net loss by the deemed dividends paid to the preferred stockholders. 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w:t>
      </w:r>
    </w:p>
    <w:p>
      <w:pPr>
        <w:spacing w:after="0" w:line="88"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1320"/>
        <w:spacing w:after="0" w:line="236"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and are measured at the largest amount that is greater than 50% likely of being realized. Changes in recognition or measurement are reflected in the period in which the change in judgment occurs. To the extent that it is not considered to be more likely than not that a deferred tax asset will be realized, a valuation allowance will be established.</w:t>
      </w:r>
    </w:p>
    <w:p>
      <w:pPr>
        <w:spacing w:after="0" w:line="89"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126" w:lineRule="exact"/>
        <w:rPr>
          <w:sz w:val="20"/>
          <w:szCs w:val="20"/>
          <w:color w:val="auto"/>
        </w:rPr>
      </w:pPr>
    </w:p>
    <w:p>
      <w:pPr>
        <w:jc w:val="both"/>
        <w:ind w:left="1320" w:right="300"/>
        <w:spacing w:after="0"/>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86"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w:t>
      </w:r>
    </w:p>
    <w:p>
      <w:pPr>
        <w:spacing w:after="0" w:line="126" w:lineRule="exact"/>
        <w:rPr>
          <w:sz w:val="20"/>
          <w:szCs w:val="20"/>
          <w:color w:val="auto"/>
        </w:rPr>
      </w:pPr>
    </w:p>
    <w:p>
      <w:pPr>
        <w:ind w:left="1320" w:right="280"/>
        <w:spacing w:after="0"/>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86"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320" w:right="200"/>
        <w:spacing w:after="0" w:line="238"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20"/>
        <w:spacing w:after="0" w:line="238" w:lineRule="auto"/>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97" w:lineRule="exact"/>
        <w:rPr>
          <w:sz w:val="20"/>
          <w:szCs w:val="20"/>
          <w:color w:val="auto"/>
        </w:rPr>
      </w:pPr>
    </w:p>
    <w:p>
      <w:pPr>
        <w:ind w:left="1320" w:right="220"/>
        <w:spacing w:after="0" w:line="238"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88"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08"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New Accounting Pronouncements Effective in the Year Ended December 31, 2020</w:t>
      </w:r>
    </w:p>
    <w:p>
      <w:pPr>
        <w:spacing w:after="0" w:line="122" w:lineRule="exact"/>
        <w:rPr>
          <w:sz w:val="20"/>
          <w:szCs w:val="20"/>
          <w:color w:val="auto"/>
        </w:rPr>
      </w:pPr>
    </w:p>
    <w:p>
      <w:pPr>
        <w:ind w:left="1320" w:right="160"/>
        <w:spacing w:after="0" w:line="236" w:lineRule="auto"/>
        <w:rPr>
          <w:sz w:val="20"/>
          <w:szCs w:val="20"/>
          <w:color w:val="auto"/>
        </w:rPr>
      </w:pPr>
      <w:r>
        <w:rPr>
          <w:rFonts w:ascii="Arial" w:cs="Arial" w:eastAsia="Arial" w:hAnsi="Arial"/>
          <w:sz w:val="18"/>
          <w:szCs w:val="18"/>
          <w:color w:val="auto"/>
        </w:rPr>
        <w:t>In August 2018, the FASB issued Accounting Standards Update (“ASU”) 2018-13, Fair Value Measurement (Topic 820), Disclosure Framework-Changes to the Disclosure Requirements for Fair Value Measurement (“ASU 2018-13”). This ASU modifies the disclosure requirements for fair value measurements by removing, modifying, or adding certain disclosures. ASU 2018-13 is effective for annual periods beginning after December 15, 2019 and interim periods within those annual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on January 1, 2020 and it did not materially impact the Company’s consolidated financial statements and related disclosures.</w:t>
      </w:r>
    </w:p>
    <w:p>
      <w:pPr>
        <w:spacing w:after="0" w:line="80"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04" w:lineRule="exact"/>
        <w:rPr>
          <w:sz w:val="20"/>
          <w:szCs w:val="20"/>
          <w:color w:val="auto"/>
        </w:rPr>
      </w:pPr>
    </w:p>
    <w:p>
      <w:pPr>
        <w:ind w:left="1320"/>
        <w:spacing w:after="0" w:line="23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Topic 326 changes the impairment model for most financial assets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79" w:lineRule="exact"/>
        <w:rPr>
          <w:sz w:val="20"/>
          <w:szCs w:val="20"/>
          <w:color w:val="auto"/>
        </w:rPr>
      </w:pPr>
    </w:p>
    <w:p>
      <w:pPr>
        <w:ind w:left="1320" w:right="100"/>
        <w:spacing w:after="0" w:line="239"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Accounting for Convertible Instruments and Contracts in an Entity’s Own Equity </w:t>
      </w:r>
      <w:r>
        <w:rPr>
          <w:rFonts w:ascii="Arial" w:cs="Arial" w:eastAsia="Arial" w:hAnsi="Arial"/>
          <w:sz w:val="18"/>
          <w:szCs w:val="18"/>
          <w:color w:val="auto"/>
        </w:rPr>
        <w:t>(“ASU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expected to simplify and improve comparability of financial reporting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and contracts in an entity’s own equity. The ASU is effective for public business entities for fiscal years beginning after December 15, 2021, including interim periods within those fiscal years. For all other entities, the standard will be effective for fiscal years beginning after December 15, 2023, including interim periods within those fiscal years. Early adoption is permitted. The Company is currently evaluating the impact of ASU 2020-06 on its consolidated financial statements and related disclosures.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spacing w:after="0" w:line="246"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323" w:lineRule="exact"/>
        <w:rPr>
          <w:sz w:val="20"/>
          <w:szCs w:val="20"/>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25" w:lineRule="exact"/>
        <w:rPr>
          <w:rFonts w:ascii="Arial" w:cs="Arial" w:eastAsia="Arial" w:hAnsi="Arial"/>
          <w:sz w:val="18"/>
          <w:szCs w:val="18"/>
          <w:b w:val="1"/>
          <w:bCs w:val="1"/>
          <w:color w:val="auto"/>
        </w:rPr>
      </w:pPr>
    </w:p>
    <w:p>
      <w:pPr>
        <w:ind w:left="660" w:right="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 For 2020, one customer accounted for more than 10% of the Company’s revenue with a total concentration of approximately 11.2%. As of December 31, 2020, no single customer accounted for more than 10% of the Company’s accounts receivable. For 2019, no single customer accounted for more than 10% of the Company’s revenue. As of December 31, 2019, one customer accounted for 16% of the Company’s accounts receivable.</w:t>
      </w:r>
    </w:p>
    <w:p>
      <w:pPr>
        <w:spacing w:after="0" w:line="329" w:lineRule="exact"/>
        <w:rPr>
          <w:rFonts w:ascii="Arial" w:cs="Arial" w:eastAsia="Arial" w:hAnsi="Arial"/>
          <w:sz w:val="18"/>
          <w:szCs w:val="18"/>
          <w:b w:val="1"/>
          <w:bCs w:val="1"/>
          <w:color w:val="auto"/>
        </w:rPr>
      </w:pPr>
    </w:p>
    <w:p>
      <w:pPr>
        <w:ind w:left="660" w:hanging="544"/>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5" w:lineRule="exact"/>
        <w:rPr>
          <w:rFonts w:ascii="Arial" w:cs="Arial" w:eastAsia="Arial" w:hAnsi="Arial"/>
          <w:sz w:val="18"/>
          <w:szCs w:val="18"/>
          <w:b w:val="1"/>
          <w:bCs w:val="1"/>
          <w:color w:val="auto"/>
        </w:rPr>
      </w:pPr>
    </w:p>
    <w:p>
      <w:pPr>
        <w:ind w:left="660" w:right="2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December 31, 2020 and 2019 (in thousands):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Work-in-progress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7"/>
              </w:rPr>
              <w:t>1,247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Tools inventory</w:t>
            </w: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2,294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December 31, 2020 and 2019 (in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tcPr>
          <w:p>
            <w:pPr>
              <w:ind w:left="340"/>
              <w:spacing w:after="0"/>
              <w:rPr>
                <w:sz w:val="20"/>
                <w:szCs w:val="20"/>
                <w:color w:val="auto"/>
              </w:rPr>
            </w:pPr>
            <w:r>
              <w:rPr>
                <w:rFonts w:ascii="Arial" w:cs="Arial" w:eastAsia="Arial" w:hAnsi="Arial"/>
                <w:sz w:val="14"/>
                <w:szCs w:val="14"/>
                <w:b w:val="1"/>
                <w:bCs w:val="1"/>
                <w:color w:val="auto"/>
              </w:rPr>
              <w:t>Useful Life</w:t>
            </w:r>
          </w:p>
        </w:tc>
        <w:tc>
          <w:tcPr>
            <w:tcW w:w="12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Technology hardware</w:t>
            </w:r>
          </w:p>
        </w:tc>
        <w:tc>
          <w:tcPr>
            <w:tcW w:w="24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3 years</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1,452</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Manufacturing equipment</w:t>
            </w:r>
          </w:p>
        </w:tc>
        <w:tc>
          <w:tcPr>
            <w:tcW w:w="2480" w:type="dxa"/>
            <w:vAlign w:val="bottom"/>
          </w:tcPr>
          <w:p>
            <w:pPr>
              <w:spacing w:after="0"/>
              <w:rPr>
                <w:sz w:val="17"/>
                <w:szCs w:val="17"/>
                <w:color w:val="auto"/>
              </w:rPr>
            </w:pPr>
          </w:p>
        </w:tc>
        <w:tc>
          <w:tcPr>
            <w:tcW w:w="186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w w:val="98"/>
              </w:rPr>
              <w:t>5 years</w:t>
            </w:r>
          </w:p>
        </w:tc>
        <w:tc>
          <w:tcPr>
            <w:tcW w:w="12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Capitalized software development</w:t>
            </w:r>
          </w:p>
        </w:tc>
        <w:tc>
          <w:tcPr>
            <w:tcW w:w="24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400"/>
              <w:spacing w:after="0" w:line="202" w:lineRule="exact"/>
              <w:rPr>
                <w:sz w:val="20"/>
                <w:szCs w:val="20"/>
                <w:color w:val="auto"/>
              </w:rPr>
            </w:pPr>
            <w:r>
              <w:rPr>
                <w:rFonts w:ascii="Arial" w:cs="Arial" w:eastAsia="Arial" w:hAnsi="Arial"/>
                <w:sz w:val="18"/>
                <w:szCs w:val="18"/>
                <w:color w:val="auto"/>
                <w:w w:val="98"/>
              </w:rPr>
              <w:t>3 years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8,123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Patent</w:t>
            </w:r>
          </w:p>
        </w:tc>
        <w:tc>
          <w:tcPr>
            <w:tcW w:w="2480" w:type="dxa"/>
            <w:vAlign w:val="bottom"/>
          </w:tcPr>
          <w:p>
            <w:pPr>
              <w:spacing w:after="0"/>
              <w:rPr>
                <w:sz w:val="17"/>
                <w:szCs w:val="17"/>
                <w:color w:val="auto"/>
              </w:rPr>
            </w:pPr>
          </w:p>
        </w:tc>
        <w:tc>
          <w:tcPr>
            <w:tcW w:w="186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rPr>
              <w:t>17 years</w:t>
            </w:r>
          </w:p>
        </w:tc>
        <w:tc>
          <w:tcPr>
            <w:tcW w:w="12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99"/>
              </w:rPr>
              <w:t>Shorter of useful</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9"/>
              </w:rPr>
              <w:t>life or lease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420"/>
              <w:spacing w:after="0" w:line="203" w:lineRule="exact"/>
              <w:rPr>
                <w:sz w:val="20"/>
                <w:szCs w:val="20"/>
                <w:color w:val="auto"/>
              </w:rPr>
            </w:pPr>
            <w:r>
              <w:rPr>
                <w:rFonts w:ascii="Arial" w:cs="Arial" w:eastAsia="Arial" w:hAnsi="Arial"/>
                <w:sz w:val="18"/>
                <w:szCs w:val="18"/>
                <w:color w:val="auto"/>
                <w:w w:val="99"/>
              </w:rPr>
              <w:t>term</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480" w:type="dxa"/>
            <w:vAlign w:val="bottom"/>
          </w:tcPr>
          <w:p>
            <w:pPr>
              <w:spacing w:after="0"/>
              <w:rPr>
                <w:sz w:val="18"/>
                <w:szCs w:val="18"/>
                <w:color w:val="auto"/>
              </w:rPr>
            </w:pPr>
          </w:p>
        </w:tc>
        <w:tc>
          <w:tcPr>
            <w:tcW w:w="186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w w:val="98"/>
              </w:rPr>
              <w:t>7 years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13,727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340" w:type="dxa"/>
            <w:vAlign w:val="bottom"/>
            <w:gridSpan w:val="3"/>
            <w:vMerge w:val="restart"/>
          </w:tcPr>
          <w:p>
            <w:pPr>
              <w:ind w:left="1080"/>
              <w:spacing w:after="0"/>
              <w:rPr>
                <w:sz w:val="20"/>
                <w:szCs w:val="20"/>
                <w:color w:val="auto"/>
              </w:rPr>
            </w:pPr>
            <w:r>
              <w:rPr>
                <w:rFonts w:ascii="Arial" w:cs="Arial" w:eastAsia="Arial" w:hAnsi="Arial"/>
                <w:sz w:val="18"/>
                <w:szCs w:val="18"/>
                <w:color w:val="auto"/>
              </w:rPr>
              <w:t>F-15</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for the years ended December 31, 2020 and 2019 was as follows: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8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Operations support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136</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1,543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975</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7"/>
                <w:szCs w:val="17"/>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2,287</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1,546</w:t>
            </w:r>
          </w:p>
        </w:tc>
      </w:tr>
      <w:tr>
        <w:trPr>
          <w:trHeight w:val="20"/>
        </w:trPr>
        <w:tc>
          <w:tcPr>
            <w:tcW w:w="8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hanging="544"/>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5" w:lineRule="exact"/>
        <w:rPr>
          <w:rFonts w:ascii="Arial" w:cs="Arial" w:eastAsia="Arial" w:hAnsi="Arial"/>
          <w:sz w:val="18"/>
          <w:szCs w:val="18"/>
          <w:b w:val="1"/>
          <w:bCs w:val="1"/>
          <w:color w:val="auto"/>
        </w:rPr>
      </w:pPr>
    </w:p>
    <w:p>
      <w:pPr>
        <w:ind w:left="6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the years ended December 31, 2020 and 2019 was $1.2 million and $0.9 million, respectively. Operating lease expense included in cost of revenue in the accompanying Consolidated Statements of Operations and Comprehensive Loss for each of the years ended December 31, 2020 and 2019 was $0.2 million. Operating lease expense included in general and administrative expenses in the accompanying Consolidated Statements of Operations and Comprehensive Loss for the year ended December 31, 2020 and 2019 was $1.0 million and $0.7 million, respectively.</w:t>
      </w:r>
    </w:p>
    <w:p>
      <w:pPr>
        <w:spacing w:after="0" w:line="94" w:lineRule="exact"/>
        <w:rPr>
          <w:rFonts w:ascii="Arial" w:cs="Arial" w:eastAsia="Arial" w:hAnsi="Arial"/>
          <w:sz w:val="18"/>
          <w:szCs w:val="18"/>
          <w:b w:val="1"/>
          <w:bCs w:val="1"/>
          <w:color w:val="auto"/>
        </w:rPr>
      </w:pPr>
    </w:p>
    <w:p>
      <w:pPr>
        <w:ind w:left="660" w:right="5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includes supplemental cash and non-cash information related to Xometry’s leases for 2020 and 2019 (in thousands):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34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$1,222</w:t>
            </w: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$724</w:t>
            </w: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Financing cash flows from financing leases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164</w:t>
            </w:r>
          </w:p>
        </w:tc>
      </w:tr>
      <w:tr>
        <w:trPr>
          <w:trHeight w:val="202"/>
        </w:trPr>
        <w:tc>
          <w:tcPr>
            <w:tcW w:w="20" w:type="dxa"/>
            <w:vAlign w:val="bottom"/>
          </w:tcPr>
          <w:p>
            <w:pPr>
              <w:spacing w:after="0"/>
              <w:rPr>
                <w:sz w:val="17"/>
                <w:szCs w:val="17"/>
                <w:color w:val="auto"/>
              </w:rPr>
            </w:pPr>
          </w:p>
        </w:tc>
        <w:tc>
          <w:tcPr>
            <w:tcW w:w="8600" w:type="dxa"/>
            <w:vAlign w:val="bottom"/>
            <w:gridSpan w:val="5"/>
          </w:tcPr>
          <w:p>
            <w:pPr>
              <w:spacing w:after="0" w:line="201" w:lineRule="exact"/>
              <w:rPr>
                <w:sz w:val="20"/>
                <w:szCs w:val="20"/>
                <w:color w:val="auto"/>
              </w:rPr>
            </w:pPr>
            <w:r>
              <w:rPr>
                <w:rFonts w:ascii="Arial" w:cs="Arial" w:eastAsia="Arial" w:hAnsi="Arial"/>
                <w:sz w:val="18"/>
                <w:szCs w:val="18"/>
                <w:color w:val="auto"/>
              </w:rPr>
              <w:t>New operating lease right-of-use assets obtained, excluding the amount initially capitalized in</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conjunction with the adoption of Topic 842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95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r>
      <w:tr>
        <w:trPr>
          <w:trHeight w:val="419"/>
        </w:trPr>
        <w:tc>
          <w:tcPr>
            <w:tcW w:w="20" w:type="dxa"/>
            <w:vAlign w:val="bottom"/>
          </w:tcPr>
          <w:p>
            <w:pPr>
              <w:spacing w:after="0"/>
              <w:rPr>
                <w:sz w:val="24"/>
                <w:szCs w:val="24"/>
                <w:color w:val="auto"/>
              </w:rPr>
            </w:pPr>
          </w:p>
        </w:tc>
        <w:tc>
          <w:tcPr>
            <w:tcW w:w="8600" w:type="dxa"/>
            <w:vAlign w:val="bottom"/>
            <w:gridSpan w:val="5"/>
          </w:tcPr>
          <w:p>
            <w:pPr>
              <w:ind w:left="80"/>
              <w:spacing w:after="0"/>
              <w:rPr>
                <w:sz w:val="20"/>
                <w:szCs w:val="20"/>
                <w:color w:val="auto"/>
              </w:rPr>
            </w:pPr>
            <w:r>
              <w:rPr>
                <w:rFonts w:ascii="Arial" w:cs="Arial" w:eastAsia="Arial" w:hAnsi="Arial"/>
                <w:sz w:val="18"/>
                <w:szCs w:val="18"/>
                <w:color w:val="auto"/>
              </w:rPr>
              <w:t>Xometry’s aggregate annual lease obligations at December 31, 2020 are as follows (in thousands):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c>
          <w:tcPr>
            <w:tcW w:w="3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1,153</w:t>
            </w: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557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9"/>
        </w:trPr>
        <w:tc>
          <w:tcPr>
            <w:tcW w:w="20" w:type="dxa"/>
            <w:vAlign w:val="bottom"/>
          </w:tcPr>
          <w:p>
            <w:pPr>
              <w:spacing w:after="0"/>
              <w:rPr>
                <w:sz w:val="18"/>
                <w:szCs w:val="18"/>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undiscounted lease obligations</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2,403</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lease obligations</w:t>
            </w:r>
          </w:p>
        </w:tc>
        <w:tc>
          <w:tcPr>
            <w:tcW w:w="9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2,131</w:t>
            </w:r>
          </w:p>
        </w:tc>
        <w:tc>
          <w:tcPr>
            <w:tcW w:w="5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60"/>
        <w:spacing w:after="0" w:line="246" w:lineRule="auto"/>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2020 and 2019:</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5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40" w:type="dxa"/>
            <w:vAlign w:val="bottom"/>
            <w:tcBorders>
              <w:bottom w:val="single" w:sz="8" w:color="CCEEFF"/>
            </w:tcBorders>
          </w:tcPr>
          <w:p>
            <w:pPr>
              <w:spacing w:after="0"/>
              <w:rPr>
                <w:sz w:val="13"/>
                <w:szCs w:val="13"/>
                <w:color w:val="auto"/>
              </w:rPr>
            </w:pPr>
          </w:p>
        </w:tc>
        <w:tc>
          <w:tcPr>
            <w:tcW w:w="41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4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7"/>
                <w:szCs w:val="17"/>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060" w:type="dxa"/>
            <w:vAlign w:val="bottom"/>
            <w:gridSpan w:val="3"/>
          </w:tcPr>
          <w:p>
            <w:pPr>
              <w:jc w:val="right"/>
              <w:ind w:right="340"/>
              <w:spacing w:after="0"/>
              <w:rPr>
                <w:sz w:val="20"/>
                <w:szCs w:val="20"/>
                <w:color w:val="auto"/>
              </w:rPr>
            </w:pPr>
            <w:r>
              <w:rPr>
                <w:rFonts w:ascii="Arial" w:cs="Arial" w:eastAsia="Arial" w:hAnsi="Arial"/>
                <w:sz w:val="18"/>
                <w:szCs w:val="18"/>
                <w:color w:val="auto"/>
              </w:rPr>
              <w:t>8.45%</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r>
      <w:tr>
        <w:trPr>
          <w:trHeight w:val="350"/>
        </w:trPr>
        <w:tc>
          <w:tcPr>
            <w:tcW w:w="4440" w:type="dxa"/>
            <w:vAlign w:val="bottom"/>
          </w:tcPr>
          <w:p>
            <w:pPr>
              <w:spacing w:after="0"/>
              <w:rPr>
                <w:sz w:val="24"/>
                <w:szCs w:val="24"/>
                <w:color w:val="auto"/>
              </w:rPr>
            </w:pPr>
          </w:p>
        </w:tc>
        <w:tc>
          <w:tcPr>
            <w:tcW w:w="5060" w:type="dxa"/>
            <w:vAlign w:val="bottom"/>
            <w:gridSpan w:val="3"/>
          </w:tcPr>
          <w:p>
            <w:pPr>
              <w:jc w:val="right"/>
              <w:ind w:right="4260"/>
              <w:spacing w:after="0"/>
              <w:rPr>
                <w:sz w:val="20"/>
                <w:szCs w:val="20"/>
                <w:color w:val="auto"/>
              </w:rPr>
            </w:pPr>
            <w:r>
              <w:rPr>
                <w:rFonts w:ascii="Arial" w:cs="Arial" w:eastAsia="Arial" w:hAnsi="Arial"/>
                <w:sz w:val="18"/>
                <w:szCs w:val="18"/>
                <w:color w:val="auto"/>
              </w:rPr>
              <w:t>F-16</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hanging="544"/>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5" w:lineRule="exact"/>
        <w:rPr>
          <w:rFonts w:ascii="Arial" w:cs="Arial" w:eastAsia="Arial" w:hAnsi="Arial"/>
          <w:sz w:val="18"/>
          <w:szCs w:val="18"/>
          <w:b w:val="1"/>
          <w:bCs w:val="1"/>
          <w:color w:val="auto"/>
        </w:rPr>
      </w:pPr>
    </w:p>
    <w:p>
      <w:pPr>
        <w:ind w:left="660" w:right="1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rights upon liquidation, and dissolution of the Company.</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5" w:lineRule="exact"/>
        <w:rPr>
          <w:rFonts w:ascii="Arial" w:cs="Arial" w:eastAsia="Arial" w:hAnsi="Arial"/>
          <w:sz w:val="18"/>
          <w:szCs w:val="18"/>
          <w:b w:val="1"/>
          <w:bCs w:val="1"/>
          <w:color w:val="auto"/>
        </w:rPr>
      </w:pPr>
    </w:p>
    <w:p>
      <w:pPr>
        <w:ind w:left="660" w:right="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 has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02" w:lineRule="exact"/>
        <w:rPr>
          <w:rFonts w:ascii="Arial" w:cs="Arial" w:eastAsia="Arial" w:hAnsi="Arial"/>
          <w:sz w:val="18"/>
          <w:szCs w:val="18"/>
          <w:b w:val="1"/>
          <w:bCs w:val="1"/>
          <w:color w:val="auto"/>
        </w:rPr>
      </w:pPr>
    </w:p>
    <w:p>
      <w:pPr>
        <w:ind w:left="660" w:right="3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and 2019, the numbers of authorized and outstanding shares in the Convertible Preferred Stock, with their total respective liquidation preferences, were as follows (in thousands,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80" w:type="dxa"/>
            <w:vAlign w:val="bottom"/>
            <w:gridSpan w:val="3"/>
          </w:tcPr>
          <w:p>
            <w:pPr>
              <w:jc w:val="right"/>
              <w:ind w:right="1160"/>
              <w:spacing w:after="0" w:line="155"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80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Carrying</w:t>
            </w:r>
          </w:p>
        </w:tc>
      </w:tr>
      <w:tr>
        <w:trPr>
          <w:trHeight w:val="155"/>
        </w:trPr>
        <w:tc>
          <w:tcPr>
            <w:tcW w:w="654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Authorized</w:t>
            </w: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Value</w:t>
            </w:r>
          </w:p>
        </w:tc>
      </w:tr>
      <w:tr>
        <w:trPr>
          <w:trHeight w:val="183"/>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Seed-1 Convertible Preferred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4,200,000</w:t>
            </w:r>
          </w:p>
        </w:tc>
        <w:tc>
          <w:tcPr>
            <w:tcW w:w="168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4,200</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Seed-2 Convertible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2,188,322</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2,998</w:t>
            </w: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A-1 Convertible Preferred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4,211,094</w:t>
            </w:r>
          </w:p>
        </w:tc>
        <w:tc>
          <w:tcPr>
            <w:tcW w:w="168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8,704</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A-2 Convertible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1,591,230</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12,884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12,839</w:t>
            </w: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B Convertible Preferred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4,132,055</w:t>
            </w:r>
          </w:p>
        </w:tc>
        <w:tc>
          <w:tcPr>
            <w:tcW w:w="168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20,764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20,347</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C Convertible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3,754,201</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26,248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26,004</w:t>
            </w: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D Convertible Preferred Stock</w:t>
            </w:r>
          </w:p>
        </w:tc>
        <w:tc>
          <w:tcPr>
            <w:tcW w:w="820" w:type="dxa"/>
            <w:vAlign w:val="bottom"/>
          </w:tcPr>
          <w:p>
            <w:pPr>
              <w:jc w:val="right"/>
              <w:spacing w:after="0"/>
              <w:rPr>
                <w:sz w:val="20"/>
                <w:szCs w:val="20"/>
                <w:color w:val="auto"/>
              </w:rPr>
            </w:pPr>
            <w:r>
              <w:rPr>
                <w:rFonts w:ascii="Arial" w:cs="Arial" w:eastAsia="Arial" w:hAnsi="Arial"/>
                <w:sz w:val="14"/>
                <w:szCs w:val="14"/>
                <w:color w:val="auto"/>
              </w:rPr>
              <w:t>5,494,064</w:t>
            </w:r>
          </w:p>
        </w:tc>
        <w:tc>
          <w:tcPr>
            <w:tcW w:w="168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54,933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54,864</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E Convertible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2,275,759</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30,757</w:t>
            </w: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540" w:type="dxa"/>
            <w:vAlign w:val="bottom"/>
          </w:tcPr>
          <w:p>
            <w:pPr>
              <w:spacing w:after="0"/>
              <w:rPr>
                <w:sz w:val="20"/>
                <w:szCs w:val="20"/>
                <w:color w:val="auto"/>
              </w:rPr>
            </w:pPr>
            <w:r>
              <w:rPr>
                <w:rFonts w:ascii="Arial" w:cs="Arial" w:eastAsia="Arial" w:hAnsi="Arial"/>
                <w:sz w:val="14"/>
                <w:szCs w:val="14"/>
                <w:color w:val="auto"/>
              </w:rPr>
              <w:t>Totals</w:t>
            </w:r>
          </w:p>
        </w:tc>
        <w:tc>
          <w:tcPr>
            <w:tcW w:w="820" w:type="dxa"/>
            <w:vAlign w:val="bottom"/>
          </w:tcPr>
          <w:p>
            <w:pPr>
              <w:jc w:val="right"/>
              <w:spacing w:after="0"/>
              <w:rPr>
                <w:sz w:val="20"/>
                <w:szCs w:val="20"/>
                <w:color w:val="auto"/>
              </w:rPr>
            </w:pPr>
            <w:r>
              <w:rPr>
                <w:rFonts w:ascii="Arial" w:cs="Arial" w:eastAsia="Arial" w:hAnsi="Arial"/>
                <w:sz w:val="14"/>
                <w:szCs w:val="14"/>
                <w:color w:val="auto"/>
              </w:rPr>
              <w:t>27,970,966</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27,758,941</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163,520</w:t>
            </w:r>
          </w:p>
        </w:tc>
        <w:tc>
          <w:tcPr>
            <w:tcW w:w="16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160,713</w:t>
            </w: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3"/>
          </w:tcPr>
          <w:p>
            <w:pPr>
              <w:jc w:val="right"/>
              <w:ind w:right="1160"/>
              <w:spacing w:after="0" w:line="155"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3"/>
                <w:szCs w:val="13"/>
                <w:color w:val="auto"/>
              </w:rPr>
            </w:pPr>
          </w:p>
        </w:tc>
        <w:tc>
          <w:tcPr>
            <w:tcW w:w="80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Carrying</w:t>
            </w:r>
          </w:p>
        </w:tc>
      </w:tr>
      <w:tr>
        <w:trPr>
          <w:trHeight w:val="155"/>
        </w:trPr>
        <w:tc>
          <w:tcPr>
            <w:tcW w:w="654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Authorized</w:t>
            </w: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3"/>
                <w:szCs w:val="13"/>
                <w:color w:val="auto"/>
              </w:rPr>
            </w:pPr>
          </w:p>
        </w:tc>
        <w:tc>
          <w:tcPr>
            <w:tcW w:w="102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Value</w:t>
            </w:r>
          </w:p>
        </w:tc>
      </w:tr>
      <w:tr>
        <w:trPr>
          <w:trHeight w:val="183"/>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Series:</w:t>
            </w: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Seed-1 Convertible Preferred Stock</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4,200,000</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4,200,000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4,200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4,200</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Seed-2 Convertible Preferred Stock</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2,188,322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2,188,322</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2,998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2,998</w:t>
            </w: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A-1 Convertible Preferred Stock</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4,211,094</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4,211,094</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8,800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8,704</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A-2 Convertible Preferred Stock</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1,591,230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1,591,230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6,957</w:t>
            </w: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B Convertible Preferred Stock</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4,132,055</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4,044,271</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18,846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18,612</w:t>
            </w:r>
          </w:p>
        </w:tc>
      </w:tr>
      <w:tr>
        <w:trPr>
          <w:trHeight w:val="162"/>
        </w:trPr>
        <w:tc>
          <w:tcPr>
            <w:tcW w:w="6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C Convertible Preferred Stock</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3,754,201</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3,754,201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24,756</w:t>
            </w:r>
          </w:p>
        </w:tc>
      </w:tr>
      <w:tr>
        <w:trPr>
          <w:trHeight w:val="162"/>
        </w:trPr>
        <w:tc>
          <w:tcPr>
            <w:tcW w:w="6540" w:type="dxa"/>
            <w:vAlign w:val="bottom"/>
          </w:tcPr>
          <w:p>
            <w:pPr>
              <w:ind w:left="280"/>
              <w:spacing w:after="0"/>
              <w:rPr>
                <w:sz w:val="20"/>
                <w:szCs w:val="20"/>
                <w:color w:val="auto"/>
              </w:rPr>
            </w:pPr>
            <w:r>
              <w:rPr>
                <w:rFonts w:ascii="Arial" w:cs="Arial" w:eastAsia="Arial" w:hAnsi="Arial"/>
                <w:sz w:val="14"/>
                <w:szCs w:val="14"/>
                <w:color w:val="auto"/>
              </w:rPr>
              <w:t>Series D Convertible Preferred Stock</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5,600,000</w:t>
            </w:r>
          </w:p>
        </w:tc>
        <w:tc>
          <w:tcPr>
            <w:tcW w:w="1660" w:type="dxa"/>
            <w:vAlign w:val="bottom"/>
            <w:gridSpan w:val="3"/>
          </w:tcPr>
          <w:p>
            <w:pPr>
              <w:jc w:val="right"/>
              <w:ind w:right="320"/>
              <w:spacing w:after="0"/>
              <w:rPr>
                <w:sz w:val="20"/>
                <w:szCs w:val="20"/>
                <w:color w:val="auto"/>
              </w:rPr>
            </w:pPr>
            <w:r>
              <w:rPr>
                <w:rFonts w:ascii="Arial" w:cs="Arial" w:eastAsia="Arial" w:hAnsi="Arial"/>
                <w:sz w:val="14"/>
                <w:szCs w:val="14"/>
                <w:color w:val="auto"/>
              </w:rPr>
              <w:t>5,494,064</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54,929</w:t>
            </w:r>
          </w:p>
        </w:tc>
      </w:tr>
      <w:tr>
        <w:trPr>
          <w:trHeight w:val="27"/>
        </w:trPr>
        <w:tc>
          <w:tcPr>
            <w:tcW w:w="6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540" w:type="dxa"/>
            <w:vAlign w:val="bottom"/>
            <w:shd w:val="clear" w:color="auto" w:fill="CCEEFF"/>
          </w:tcPr>
          <w:p>
            <w:pPr>
              <w:spacing w:after="0"/>
              <w:rPr>
                <w:sz w:val="20"/>
                <w:szCs w:val="20"/>
                <w:color w:val="auto"/>
              </w:rPr>
            </w:pPr>
            <w:r>
              <w:rPr>
                <w:rFonts w:ascii="Arial" w:cs="Arial" w:eastAsia="Arial" w:hAnsi="Arial"/>
                <w:sz w:val="14"/>
                <w:szCs w:val="14"/>
                <w:color w:val="auto"/>
              </w:rPr>
              <w:t>Totals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25,676,902</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25,483,182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121,844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121,156</w:t>
            </w: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is a reconciliation of the Convertible Preferred Stock reacquired and reissued in 2020 (in thousands):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Cash Paid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9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Reaquire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0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Convertible</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Preferred</w:t>
            </w:r>
          </w:p>
        </w:tc>
        <w:tc>
          <w:tcPr>
            <w:tcW w:w="10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29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Repurchased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Issued</w:t>
            </w:r>
          </w:p>
        </w:tc>
        <w:tc>
          <w:tcPr>
            <w:tcW w:w="10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Series:</w:t>
            </w: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7"/>
        </w:trPr>
        <w:tc>
          <w:tcPr>
            <w:tcW w:w="2960" w:type="dxa"/>
            <w:vAlign w:val="bottom"/>
          </w:tcPr>
          <w:p>
            <w:pPr>
              <w:ind w:left="280"/>
              <w:spacing w:after="0"/>
              <w:rPr>
                <w:sz w:val="20"/>
                <w:szCs w:val="20"/>
                <w:color w:val="auto"/>
              </w:rPr>
            </w:pPr>
            <w:r>
              <w:rPr>
                <w:rFonts w:ascii="Arial" w:cs="Arial" w:eastAsia="Arial" w:hAnsi="Arial"/>
                <w:sz w:val="14"/>
                <w:szCs w:val="14"/>
                <w:color w:val="auto"/>
              </w:rPr>
              <w:t>Series Seed-1 Convertible Preferred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2960" w:type="dxa"/>
            <w:vAlign w:val="bottom"/>
          </w:tcPr>
          <w:p>
            <w:pPr>
              <w:ind w:left="420"/>
              <w:spacing w:after="0" w:line="157"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4,200,000</w:t>
            </w:r>
          </w:p>
        </w:tc>
        <w:tc>
          <w:tcPr>
            <w:tcW w:w="11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4,200,000</w:t>
            </w:r>
          </w:p>
        </w:tc>
        <w:tc>
          <w:tcPr>
            <w:tcW w:w="160" w:type="dxa"/>
            <w:vAlign w:val="bottom"/>
            <w:gridSpan w:val="2"/>
          </w:tcPr>
          <w:p>
            <w:pPr>
              <w:ind w:left="80"/>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4,200</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4,200</w:t>
            </w:r>
          </w:p>
        </w:tc>
      </w:tr>
      <w:tr>
        <w:trPr>
          <w:trHeight w:val="167"/>
        </w:trPr>
        <w:tc>
          <w:tcPr>
            <w:tcW w:w="2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Seed-2 Convertible Preferred</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296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Stock</w:t>
            </w: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2,188,322</w:t>
            </w:r>
          </w:p>
        </w:tc>
        <w:tc>
          <w:tcPr>
            <w:tcW w:w="116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2,188,322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2,998</w:t>
            </w:r>
          </w:p>
        </w:tc>
      </w:tr>
      <w:tr>
        <w:trPr>
          <w:trHeight w:val="162"/>
        </w:trPr>
        <w:tc>
          <w:tcPr>
            <w:tcW w:w="2960" w:type="dxa"/>
            <w:vAlign w:val="bottom"/>
          </w:tcPr>
          <w:p>
            <w:pPr>
              <w:ind w:left="280"/>
              <w:spacing w:after="0"/>
              <w:rPr>
                <w:sz w:val="20"/>
                <w:szCs w:val="20"/>
                <w:color w:val="auto"/>
              </w:rPr>
            </w:pPr>
            <w:r>
              <w:rPr>
                <w:rFonts w:ascii="Arial" w:cs="Arial" w:eastAsia="Arial" w:hAnsi="Arial"/>
                <w:sz w:val="14"/>
                <w:szCs w:val="14"/>
                <w:color w:val="auto"/>
              </w:rPr>
              <w:t>Series A-1 Convertible Preferred Stock</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4,211,094</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4,211,094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8,704</w:t>
            </w:r>
          </w:p>
        </w:tc>
        <w:tc>
          <w:tcPr>
            <w:tcW w:w="1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8,704</w:t>
            </w:r>
          </w:p>
        </w:tc>
      </w:tr>
      <w:tr>
        <w:trPr>
          <w:trHeight w:val="162"/>
        </w:trPr>
        <w:tc>
          <w:tcPr>
            <w:tcW w:w="2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A-2 Convertible Preferred Stock</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1,591,230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(1,136,622)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1,136,622</w:t>
            </w: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1,591,230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6,957</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(5,001)</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12,839</w:t>
            </w:r>
          </w:p>
        </w:tc>
      </w:tr>
      <w:tr>
        <w:trPr>
          <w:trHeight w:val="162"/>
        </w:trPr>
        <w:tc>
          <w:tcPr>
            <w:tcW w:w="2960" w:type="dxa"/>
            <w:vAlign w:val="bottom"/>
          </w:tcPr>
          <w:p>
            <w:pPr>
              <w:ind w:left="280"/>
              <w:spacing w:after="0"/>
              <w:rPr>
                <w:sz w:val="20"/>
                <w:szCs w:val="20"/>
                <w:color w:val="auto"/>
              </w:rPr>
            </w:pPr>
            <w:r>
              <w:rPr>
                <w:rFonts w:ascii="Arial" w:cs="Arial" w:eastAsia="Arial" w:hAnsi="Arial"/>
                <w:sz w:val="14"/>
                <w:szCs w:val="14"/>
                <w:color w:val="auto"/>
              </w:rPr>
              <w:t>Series B Convertible Preferred Stock</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4,044,271</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(390,152)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390,152</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4,044,271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18,612</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20,347</w:t>
            </w:r>
          </w:p>
        </w:tc>
      </w:tr>
      <w:tr>
        <w:trPr>
          <w:trHeight w:val="162"/>
        </w:trPr>
        <w:tc>
          <w:tcPr>
            <w:tcW w:w="2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C Convertible Preferred Stock</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3,754,201</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(405,453)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405,453</w:t>
            </w: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3,754,201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24,756</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26,004</w:t>
            </w:r>
          </w:p>
        </w:tc>
      </w:tr>
      <w:tr>
        <w:trPr>
          <w:trHeight w:val="162"/>
        </w:trPr>
        <w:tc>
          <w:tcPr>
            <w:tcW w:w="2960" w:type="dxa"/>
            <w:vAlign w:val="bottom"/>
          </w:tcPr>
          <w:p>
            <w:pPr>
              <w:ind w:left="280"/>
              <w:spacing w:after="0"/>
              <w:rPr>
                <w:sz w:val="20"/>
                <w:szCs w:val="20"/>
                <w:color w:val="auto"/>
              </w:rPr>
            </w:pPr>
            <w:r>
              <w:rPr>
                <w:rFonts w:ascii="Arial" w:cs="Arial" w:eastAsia="Arial" w:hAnsi="Arial"/>
                <w:sz w:val="14"/>
                <w:szCs w:val="14"/>
                <w:color w:val="auto"/>
              </w:rPr>
              <w:t>Series D Convertible Preferred Stock</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5,494,064</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(314,659)</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314,659</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5,494,064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54,929</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(3,150)</w:t>
            </w:r>
          </w:p>
        </w:tc>
        <w:tc>
          <w:tcPr>
            <w:tcW w:w="1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54,864</w:t>
            </w:r>
          </w:p>
        </w:tc>
      </w:tr>
      <w:tr>
        <w:trPr>
          <w:trHeight w:val="162"/>
        </w:trPr>
        <w:tc>
          <w:tcPr>
            <w:tcW w:w="2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E Convertible Preferred Stock</w:t>
            </w:r>
          </w:p>
        </w:tc>
        <w:tc>
          <w:tcPr>
            <w:tcW w:w="8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2,275,759</w:t>
            </w:r>
          </w:p>
        </w:tc>
        <w:tc>
          <w:tcPr>
            <w:tcW w:w="10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2,275,759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30,757</w:t>
            </w:r>
          </w:p>
        </w:tc>
      </w:tr>
      <w:tr>
        <w:trPr>
          <w:trHeight w:val="20"/>
        </w:trPr>
        <w:tc>
          <w:tcPr>
            <w:tcW w:w="2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2960" w:type="dxa"/>
            <w:vAlign w:val="bottom"/>
          </w:tcPr>
          <w:p>
            <w:pPr>
              <w:spacing w:after="0"/>
              <w:rPr>
                <w:sz w:val="20"/>
                <w:szCs w:val="20"/>
                <w:color w:val="auto"/>
              </w:rPr>
            </w:pPr>
            <w:r>
              <w:rPr>
                <w:rFonts w:ascii="Arial" w:cs="Arial" w:eastAsia="Arial" w:hAnsi="Arial"/>
                <w:sz w:val="14"/>
                <w:szCs w:val="14"/>
                <w:color w:val="auto"/>
              </w:rPr>
              <w:t>Totals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25,483,182</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(2,246,886)</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4,522,645</w:t>
            </w:r>
          </w:p>
        </w:tc>
        <w:tc>
          <w:tcPr>
            <w:tcW w:w="10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27,758,941</w:t>
            </w:r>
          </w:p>
        </w:tc>
        <w:tc>
          <w:tcPr>
            <w:tcW w:w="160" w:type="dxa"/>
            <w:vAlign w:val="bottom"/>
            <w:gridSpan w:val="2"/>
          </w:tcPr>
          <w:p>
            <w:pPr>
              <w:ind w:left="80"/>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121,156</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(12,852)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52,409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160,713</w:t>
            </w:r>
          </w:p>
        </w:tc>
      </w:tr>
      <w:tr>
        <w:trPr>
          <w:trHeight w:val="20"/>
        </w:trPr>
        <w:tc>
          <w:tcPr>
            <w:tcW w:w="2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paid to preferred</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9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stockholders</w:t>
            </w: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(8,801)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2960" w:type="dxa"/>
            <w:vAlign w:val="bottom"/>
          </w:tcPr>
          <w:p>
            <w:pPr>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(21,653)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320" w:right="80"/>
        <w:spacing w:after="0" w:line="246" w:lineRule="auto"/>
        <w:rPr>
          <w:sz w:val="20"/>
          <w:szCs w:val="20"/>
          <w:color w:val="auto"/>
        </w:rPr>
      </w:pPr>
      <w:r>
        <w:rPr>
          <w:rFonts w:ascii="Arial" w:cs="Arial" w:eastAsia="Arial" w:hAnsi="Arial"/>
          <w:sz w:val="18"/>
          <w:szCs w:val="18"/>
          <w:color w:val="auto"/>
        </w:rPr>
        <w:t>Each share of Convertible Preferred Stock has voting rights equal to an equivalent number of shares of common stock into which it is convertible and votes together as one class with the common stock.</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320" w:right="20"/>
        <w:spacing w:after="0" w:line="253" w:lineRule="auto"/>
        <w:rPr>
          <w:sz w:val="20"/>
          <w:szCs w:val="20"/>
          <w:color w:val="auto"/>
        </w:rPr>
      </w:pPr>
      <w:r>
        <w:rPr>
          <w:rFonts w:ascii="Arial" w:cs="Arial" w:eastAsia="Arial" w:hAnsi="Arial"/>
          <w:sz w:val="17"/>
          <w:szCs w:val="17"/>
          <w:color w:val="auto"/>
        </w:rPr>
        <w:t>The holders of the Convertible Preferred Stock and the holders of the shares of common stock are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is required to pay a dividend on each outstanding share of Convertible Preferred Stock equal to 8% of the applicable original issue price of such share 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75"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320" w:right="40"/>
        <w:spacing w:after="0" w:line="236" w:lineRule="auto"/>
        <w:rPr>
          <w:sz w:val="20"/>
          <w:szCs w:val="20"/>
          <w:color w:val="auto"/>
        </w:rPr>
      </w:pPr>
      <w:r>
        <w:rPr>
          <w:rFonts w:ascii="Arial" w:cs="Arial" w:eastAsia="Arial" w:hAnsi="Arial"/>
          <w:sz w:val="18"/>
          <w:szCs w:val="18"/>
          <w:color w:val="auto"/>
        </w:rPr>
        <w:t>Each share of Convertible Preferred Stock is convertible, at the option of the holder, into one share of common stock, as determined by dividing its issuance price per share by the applicable conversion price, subject to adjustments. Each share of Convertible Preferred Stock will automatically be converted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shall require the vote or written consent of a majority of the outstanding shares of Series D Convertible Preferred Stock and Series E Convertible Preferred Stock, respectively.</w:t>
      </w:r>
    </w:p>
    <w:p>
      <w:pPr>
        <w:spacing w:after="0" w:line="91"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and Share Preference</w:t>
      </w:r>
    </w:p>
    <w:p>
      <w:pPr>
        <w:spacing w:after="0" w:line="126" w:lineRule="exact"/>
        <w:rPr>
          <w:sz w:val="20"/>
          <w:szCs w:val="20"/>
          <w:color w:val="auto"/>
        </w:rPr>
      </w:pPr>
    </w:p>
    <w:p>
      <w:pPr>
        <w:ind w:left="1320" w:right="100"/>
        <w:spacing w:after="0" w:line="238"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are entitled to liquidation preference equal to the original purchase price plus declared and unpaid dividends. After payment of the amounts above, if assets or funds remain in the Company, all remaining assets and funds shall be distributed pro rata among holders of common stock.</w:t>
      </w:r>
    </w:p>
    <w:p>
      <w:pPr>
        <w:spacing w:after="0" w:line="88"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320"/>
        <w:spacing w:after="0" w:line="236" w:lineRule="auto"/>
        <w:rPr>
          <w:sz w:val="20"/>
          <w:szCs w:val="20"/>
          <w:color w:val="auto"/>
        </w:rPr>
      </w:pPr>
      <w:r>
        <w:rPr>
          <w:rFonts w:ascii="Arial" w:cs="Arial" w:eastAsia="Arial" w:hAnsi="Arial"/>
          <w:sz w:val="18"/>
          <w:szCs w:val="18"/>
          <w:color w:val="auto"/>
        </w:rPr>
        <w:t>The holders of Convertible Preferred Stock have no voluntary rights to redeem their shares. The Convertible Preferred Stock has deemed liquidation provisions which require the shares to be redeemed upon a change in control or other deemed liquidation events. Although the Convertible Preferred Stock is not mandatorily or currently redeemable, a deemed liquidation event would constitute a redemption event outside the Company’s control. As a result of these liquidation features, all shares of Convertible Preferred Stock have been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will be made only if and when it becomes probable the preferred shares will become redeemable.</w:t>
      </w:r>
    </w:p>
    <w:p>
      <w:pPr>
        <w:spacing w:after="0" w:line="333" w:lineRule="exact"/>
        <w:rPr>
          <w:sz w:val="20"/>
          <w:szCs w:val="20"/>
          <w:color w:val="auto"/>
        </w:rPr>
      </w:pPr>
    </w:p>
    <w:p>
      <w:pPr>
        <w:ind w:left="660" w:hanging="544"/>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5" w:lineRule="exact"/>
        <w:rPr>
          <w:rFonts w:ascii="Arial" w:cs="Arial" w:eastAsia="Arial" w:hAnsi="Arial"/>
          <w:sz w:val="18"/>
          <w:szCs w:val="18"/>
          <w:b w:val="1"/>
          <w:bCs w:val="1"/>
          <w:color w:val="auto"/>
        </w:rPr>
      </w:pPr>
    </w:p>
    <w:p>
      <w:pPr>
        <w:ind w:left="660" w:right="100"/>
        <w:spacing w:after="0"/>
        <w:rPr>
          <w:rFonts w:ascii="Arial" w:cs="Arial" w:eastAsia="Arial" w:hAnsi="Arial"/>
          <w:sz w:val="18"/>
          <w:szCs w:val="18"/>
          <w:b w:val="1"/>
          <w:bCs w:val="1"/>
          <w:color w:val="auto"/>
        </w:rPr>
      </w:pPr>
      <w:r>
        <w:rPr>
          <w:rFonts w:ascii="Arial" w:cs="Arial" w:eastAsia="Arial" w:hAnsi="Arial"/>
          <w:sz w:val="18"/>
          <w:szCs w:val="18"/>
          <w:color w:val="auto"/>
        </w:rPr>
        <w:t>In 2016, the Company adopted a new stock compensation plan (the “2016 Equity Incentive Plan”) pursuant to which the Company may grant stock options, stock purchase rights, restricted stock awards, or stock awards to employees, directors and consultants (including prospective employees, directors, and consultants).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fair value of the Company’s common stock has been estimated by management as there is no public market for the Company’s common stock. Xometry’s market-based methodology considers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94"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As of December 31, 2020 and 2019, there were 203,535 and 1,200,489 shares available for the Company to grant under the 2016 Equity Incentive Plan. The weighted average assumptions for 2020 and 2019 are provided in the following table. For the years ended December 31, 2020 and 2019, the Company recognized forfeitures as incurred.</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3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r>
      <w:tr>
        <w:trPr>
          <w:trHeight w:val="183"/>
        </w:trPr>
        <w:tc>
          <w:tcPr>
            <w:tcW w:w="8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Valuation assumptions:</w:t>
            </w: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 %</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w:t>
            </w:r>
          </w:p>
        </w:tc>
        <w:tc>
          <w:tcPr>
            <w:tcW w:w="9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Expected term (years)</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6.0</w:t>
            </w:r>
          </w:p>
        </w:tc>
      </w:tr>
      <w:tr>
        <w:trPr>
          <w:trHeight w:val="203"/>
        </w:trPr>
        <w:tc>
          <w:tcPr>
            <w:tcW w:w="8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0.5%</w:t>
            </w:r>
          </w:p>
        </w:tc>
        <w:tc>
          <w:tcPr>
            <w:tcW w:w="9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17"/>
        </w:trPr>
        <w:tc>
          <w:tcPr>
            <w:tcW w:w="8300" w:type="dxa"/>
            <w:vAlign w:val="bottom"/>
          </w:tcPr>
          <w:p>
            <w:pPr>
              <w:ind w:left="360"/>
              <w:spacing w:after="0"/>
              <w:rPr>
                <w:sz w:val="20"/>
                <w:szCs w:val="20"/>
                <w:color w:val="auto"/>
              </w:rPr>
            </w:pPr>
            <w:r>
              <w:rPr>
                <w:rFonts w:ascii="Arial" w:cs="Arial" w:eastAsia="Arial" w:hAnsi="Arial"/>
                <w:sz w:val="18"/>
                <w:szCs w:val="18"/>
                <w:color w:val="auto"/>
              </w:rPr>
              <w:t>Fair value of share</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$4.46</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$3.65</w:t>
            </w:r>
          </w:p>
        </w:tc>
      </w:tr>
    </w:tbl>
    <w:p>
      <w:pPr>
        <w:spacing w:after="0" w:line="201"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A summary of the status of the Company’s stock option activity at December 31, 2020 and 2019 and the changes during the years then ended are as follows (in millions, except share and per share amounts):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Weighted</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Average</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Remaining</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Contractual</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Per Share</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2,251,098</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6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60"/>
              <w:spacing w:after="0" w:line="196" w:lineRule="exact"/>
              <w:rPr>
                <w:sz w:val="20"/>
                <w:szCs w:val="20"/>
                <w:color w:val="auto"/>
              </w:rPr>
            </w:pPr>
            <w:r>
              <w:rPr>
                <w:rFonts w:ascii="Arial" w:cs="Arial" w:eastAsia="Arial" w:hAnsi="Arial"/>
                <w:sz w:val="18"/>
                <w:szCs w:val="18"/>
                <w:color w:val="auto"/>
                <w:w w:val="87"/>
              </w:rPr>
              <w:t>8.5</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40"/>
              <w:spacing w:after="0" w:line="202" w:lineRule="exact"/>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1,170,598</w:t>
            </w:r>
          </w:p>
        </w:tc>
        <w:tc>
          <w:tcPr>
            <w:tcW w:w="120" w:type="dxa"/>
            <w:vAlign w:val="bottom"/>
          </w:tcPr>
          <w:p>
            <w:pPr>
              <w:spacing w:after="0"/>
              <w:rPr>
                <w:sz w:val="17"/>
                <w:szCs w:val="17"/>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3.18</w:t>
            </w:r>
          </w:p>
        </w:tc>
        <w:tc>
          <w:tcPr>
            <w:tcW w:w="14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9.0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(455,665)</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40"/>
              <w:spacing w:after="0" w:line="202" w:lineRule="exact"/>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(336,784)</w:t>
            </w:r>
          </w:p>
        </w:tc>
        <w:tc>
          <w:tcPr>
            <w:tcW w:w="120" w:type="dxa"/>
            <w:vAlign w:val="bottom"/>
          </w:tcPr>
          <w:p>
            <w:pPr>
              <w:spacing w:after="0"/>
              <w:rPr>
                <w:sz w:val="17"/>
                <w:szCs w:val="17"/>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1.65</w:t>
            </w:r>
          </w:p>
        </w:tc>
        <w:tc>
          <w:tcPr>
            <w:tcW w:w="14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Expired</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(8,720)</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1.47</w:t>
            </w:r>
          </w:p>
        </w:tc>
        <w:tc>
          <w:tcPr>
            <w:tcW w:w="14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2,620,527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2.16</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2019</w:t>
            </w:r>
          </w:p>
        </w:tc>
        <w:tc>
          <w:tcPr>
            <w:tcW w:w="1560" w:type="dxa"/>
            <w:vAlign w:val="bottom"/>
            <w:gridSpan w:val="2"/>
            <w:shd w:val="clear" w:color="auto" w:fill="CCEEFF"/>
          </w:tcPr>
          <w:p>
            <w:pPr>
              <w:jc w:val="right"/>
              <w:ind w:right="700"/>
              <w:spacing w:after="0" w:line="196" w:lineRule="exact"/>
              <w:rPr>
                <w:sz w:val="20"/>
                <w:szCs w:val="20"/>
                <w:color w:val="auto"/>
              </w:rPr>
            </w:pPr>
            <w:r>
              <w:rPr>
                <w:rFonts w:ascii="Arial" w:cs="Arial" w:eastAsia="Arial" w:hAnsi="Arial"/>
                <w:sz w:val="18"/>
                <w:szCs w:val="18"/>
                <w:color w:val="auto"/>
              </w:rPr>
              <w:t>992,914</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1.32</w:t>
            </w:r>
          </w:p>
        </w:tc>
        <w:tc>
          <w:tcPr>
            <w:tcW w:w="146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Balance at December 31, 2019</w:t>
            </w:r>
          </w:p>
        </w:tc>
        <w:tc>
          <w:tcPr>
            <w:tcW w:w="15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2,620,527</w:t>
            </w:r>
          </w:p>
        </w:tc>
        <w:tc>
          <w:tcPr>
            <w:tcW w:w="120" w:type="dxa"/>
            <w:vAlign w:val="bottom"/>
          </w:tcPr>
          <w:p>
            <w:pPr>
              <w:spacing w:after="0"/>
              <w:rPr>
                <w:sz w:val="17"/>
                <w:szCs w:val="17"/>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2.16</w:t>
            </w:r>
          </w:p>
        </w:tc>
        <w:tc>
          <w:tcPr>
            <w:tcW w:w="14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8.3</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1,144,457</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3.98</w:t>
            </w:r>
          </w:p>
        </w:tc>
        <w:tc>
          <w:tcPr>
            <w:tcW w:w="146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2" w:lineRule="exact"/>
              <w:rPr>
                <w:sz w:val="20"/>
                <w:szCs w:val="20"/>
                <w:color w:val="auto"/>
              </w:rPr>
            </w:pPr>
            <w:r>
              <w:rPr>
                <w:rFonts w:ascii="Arial" w:cs="Arial" w:eastAsia="Arial" w:hAnsi="Arial"/>
                <w:sz w:val="18"/>
                <w:szCs w:val="18"/>
                <w:color w:val="auto"/>
              </w:rPr>
              <w:t>Exercised</w:t>
            </w: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(492,839)</w:t>
            </w:r>
          </w:p>
        </w:tc>
        <w:tc>
          <w:tcPr>
            <w:tcW w:w="120" w:type="dxa"/>
            <w:vAlign w:val="bottom"/>
          </w:tcPr>
          <w:p>
            <w:pPr>
              <w:spacing w:after="0"/>
              <w:rPr>
                <w:sz w:val="17"/>
                <w:szCs w:val="17"/>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1.16</w:t>
            </w:r>
          </w:p>
        </w:tc>
        <w:tc>
          <w:tcPr>
            <w:tcW w:w="14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(131,129)</w:t>
            </w: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2.68</w:t>
            </w:r>
          </w:p>
        </w:tc>
        <w:tc>
          <w:tcPr>
            <w:tcW w:w="14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340"/>
              <w:spacing w:after="0" w:line="202" w:lineRule="exact"/>
              <w:rPr>
                <w:sz w:val="20"/>
                <w:szCs w:val="20"/>
                <w:color w:val="auto"/>
              </w:rPr>
            </w:pPr>
            <w:r>
              <w:rPr>
                <w:rFonts w:ascii="Arial" w:cs="Arial" w:eastAsia="Arial" w:hAnsi="Arial"/>
                <w:sz w:val="18"/>
                <w:szCs w:val="18"/>
                <w:color w:val="auto"/>
              </w:rPr>
              <w:t>Expired</w:t>
            </w: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(15,413)</w:t>
            </w:r>
          </w:p>
        </w:tc>
        <w:tc>
          <w:tcPr>
            <w:tcW w:w="120" w:type="dxa"/>
            <w:vAlign w:val="bottom"/>
          </w:tcPr>
          <w:p>
            <w:pPr>
              <w:spacing w:after="0"/>
              <w:rPr>
                <w:sz w:val="18"/>
                <w:szCs w:val="18"/>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1.46</w:t>
            </w:r>
          </w:p>
        </w:tc>
        <w:tc>
          <w:tcPr>
            <w:tcW w:w="14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3,125,603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2.97</w:t>
            </w:r>
          </w:p>
        </w:tc>
        <w:tc>
          <w:tcPr>
            <w:tcW w:w="146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w:t>
            </w:r>
          </w:p>
        </w:tc>
      </w:tr>
      <w:tr>
        <w:trPr>
          <w:trHeight w:val="20"/>
        </w:trPr>
        <w:tc>
          <w:tcPr>
            <w:tcW w:w="47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Exercisable at December 31, 2020</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1,193,301</w:t>
            </w:r>
          </w:p>
        </w:tc>
        <w:tc>
          <w:tcPr>
            <w:tcW w:w="1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2.14</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ind w:left="660" w:right="200"/>
        <w:spacing w:after="0"/>
        <w:rPr>
          <w:sz w:val="20"/>
          <w:szCs w:val="20"/>
          <w:color w:val="auto"/>
        </w:rPr>
      </w:pPr>
      <w:r>
        <w:rPr>
          <w:rFonts w:ascii="Arial" w:cs="Arial" w:eastAsia="Arial" w:hAnsi="Arial"/>
          <w:sz w:val="18"/>
          <w:szCs w:val="18"/>
          <w:color w:val="auto"/>
        </w:rPr>
        <w:t>The weighted average grant date fair value of options granted during 2020 and 2019 was $1.79 and $1.41, respectively. The total intrinsic value of options exercised during the years ended December 31, 2020 and 2019 was $1.6 million and $1.2 million, respectively.</w:t>
      </w:r>
    </w:p>
    <w:p>
      <w:pPr>
        <w:spacing w:after="0" w:line="95" w:lineRule="exact"/>
        <w:rPr>
          <w:sz w:val="20"/>
          <w:szCs w:val="20"/>
          <w:color w:val="auto"/>
        </w:rPr>
      </w:pPr>
    </w:p>
    <w:p>
      <w:pPr>
        <w:jc w:val="both"/>
        <w:ind w:left="660" w:right="360"/>
        <w:spacing w:after="0"/>
        <w:rPr>
          <w:sz w:val="20"/>
          <w:szCs w:val="20"/>
          <w:color w:val="auto"/>
        </w:rPr>
      </w:pPr>
      <w:r>
        <w:rPr>
          <w:rFonts w:ascii="Arial" w:cs="Arial" w:eastAsia="Arial" w:hAnsi="Arial"/>
          <w:sz w:val="18"/>
          <w:szCs w:val="18"/>
          <w:color w:val="auto"/>
        </w:rPr>
        <w:t>At December 31, 2020 and 2019, there was $2.4 million and $1.5 million, respectively, of total unrecognized compensation cost related to unvested stock options granted under the 2016 Equity Incentive Plan. That cost is expected to be recognized over a weighted average period of 2.29 years and 1.26 years at December 31, 2020 and 2019, respectively.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338" w:lineRule="exact"/>
        <w:rPr>
          <w:sz w:val="20"/>
          <w:szCs w:val="20"/>
          <w:color w:val="auto"/>
        </w:rPr>
      </w:pPr>
    </w:p>
    <w:p>
      <w:pPr>
        <w:ind w:left="660" w:hanging="544"/>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5" w:lineRule="exact"/>
        <w:rPr>
          <w:rFonts w:ascii="Arial" w:cs="Arial" w:eastAsia="Arial" w:hAnsi="Arial"/>
          <w:sz w:val="18"/>
          <w:szCs w:val="18"/>
          <w:b w:val="1"/>
          <w:bCs w:val="1"/>
          <w:color w:val="auto"/>
        </w:rPr>
      </w:pPr>
    </w:p>
    <w:p>
      <w:pPr>
        <w:ind w:left="6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had no current or deferred income tax benefit or expense in the U.S. or Germany for the years ended December 31, 2020 and 2019.</w:t>
      </w:r>
    </w:p>
    <w:p>
      <w:pPr>
        <w:spacing w:after="0" w:line="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15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54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3"/>
                <w:szCs w:val="13"/>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tax statutory rate</w:t>
            </w:r>
          </w:p>
        </w:tc>
        <w:tc>
          <w:tcPr>
            <w:tcW w:w="104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Foreign rate difference</w:t>
            </w:r>
          </w:p>
        </w:tc>
        <w:tc>
          <w:tcPr>
            <w:tcW w:w="10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w:t>
            </w:r>
          </w:p>
        </w:tc>
        <w:tc>
          <w:tcPr>
            <w:tcW w:w="5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0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(22)</w:t>
            </w:r>
          </w:p>
        </w:tc>
        <w:tc>
          <w:tcPr>
            <w:tcW w:w="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w:t>
            </w:r>
          </w:p>
        </w:tc>
      </w:tr>
      <w:tr>
        <w:trPr>
          <w:trHeight w:val="27"/>
        </w:trPr>
        <w:tc>
          <w:tcPr>
            <w:tcW w:w="8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8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
        </w:trPr>
        <w:tc>
          <w:tcPr>
            <w:tcW w:w="8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120"/>
        <w:spacing w:after="0"/>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2020 and 2019 are presented below (in thousands):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Deferred tax assets:</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compensation</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Deferred rent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Sec. 163(j) interest limitation carryforward</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Allowance for doubtful accounts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operating loss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25,709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tax assets</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27,463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Less valuation allowance</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8"/>
              </w:rPr>
              <w:t>(26,148)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(21,176)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deferred tax assets, net</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40"/>
              <w:spacing w:after="0" w:line="202" w:lineRule="exact"/>
              <w:rPr>
                <w:sz w:val="20"/>
                <w:szCs w:val="20"/>
                <w:color w:val="auto"/>
              </w:rPr>
            </w:pPr>
            <w:r>
              <w:rPr>
                <w:rFonts w:ascii="Arial" w:cs="Arial" w:eastAsia="Arial" w:hAnsi="Arial"/>
                <w:sz w:val="18"/>
                <w:szCs w:val="18"/>
                <w:color w:val="auto"/>
              </w:rPr>
              <w:t>Fixed assets</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(227)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Acquisition costs and intangibles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b w:val="1"/>
                <w:bCs w:val="1"/>
                <w:color w:val="auto"/>
              </w:rPr>
              <w:t>Total deferred tax liabilities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(1,315)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asset/liability</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Valuation Allowance</w:t>
      </w:r>
    </w:p>
    <w:p>
      <w:pPr>
        <w:spacing w:after="0" w:line="122"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95" w:lineRule="exact"/>
        <w:rPr>
          <w:sz w:val="20"/>
          <w:szCs w:val="20"/>
          <w:color w:val="auto"/>
        </w:rPr>
      </w:pPr>
    </w:p>
    <w:p>
      <w:pPr>
        <w:ind w:left="660" w:right="240"/>
        <w:spacing w:after="0" w:line="238" w:lineRule="auto"/>
        <w:rPr>
          <w:sz w:val="20"/>
          <w:szCs w:val="20"/>
          <w:color w:val="auto"/>
        </w:rPr>
      </w:pPr>
      <w:r>
        <w:rPr>
          <w:rFonts w:ascii="Arial" w:cs="Arial" w:eastAsia="Arial" w:hAnsi="Arial"/>
          <w:sz w:val="18"/>
          <w:szCs w:val="18"/>
          <w:color w:val="auto"/>
        </w:rPr>
        <w:t>As of December 31, 2020, and 2019, the Company had a valuation allowance of $26.1 million and $21.2 million, respectively, against certain deferred tax assets. The valuation allowance relates to the deferred tax assets of the Company’s U.S. entities, including federal and state tax attributes and timing differences, as well as the deferred tax assets of its foreign subsidiary. The increase in the valuation allowance during 2020 is primarily related to the pre-tax losses generated in the U.S and Germany. The Company currently has a full valuation allowance against its net deferred tax assets as a result of cumulative losses.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Company has net operating loss (“NOL”) carryforwards for U.S. federal income tax purposes, and</w:t>
      </w:r>
    </w:p>
    <w:p>
      <w:pPr>
        <w:ind w:left="660"/>
        <w:spacing w:after="0" w:line="234" w:lineRule="auto"/>
        <w:rPr>
          <w:sz w:val="20"/>
          <w:szCs w:val="20"/>
          <w:color w:val="auto"/>
        </w:rPr>
      </w:pPr>
      <w:r>
        <w:rPr>
          <w:rFonts w:ascii="Arial" w:cs="Arial" w:eastAsia="Arial" w:hAnsi="Arial"/>
          <w:sz w:val="18"/>
          <w:szCs w:val="18"/>
          <w:color w:val="auto"/>
        </w:rPr>
        <w:t>similar state amounts, of approximately $90.1 million available to reduce future income subject to income taxes before limitations.</w:t>
      </w:r>
    </w:p>
    <w:p>
      <w:pPr>
        <w:ind w:left="660"/>
        <w:spacing w:after="0" w:line="235" w:lineRule="auto"/>
        <w:rPr>
          <w:sz w:val="20"/>
          <w:szCs w:val="20"/>
          <w:color w:val="auto"/>
        </w:rPr>
      </w:pPr>
      <w:r>
        <w:rPr>
          <w:rFonts w:ascii="Arial" w:cs="Arial" w:eastAsia="Arial" w:hAnsi="Arial"/>
          <w:sz w:val="18"/>
          <w:szCs w:val="18"/>
          <w:color w:val="auto"/>
        </w:rPr>
        <w:t>As of December 31, 2020 the Company had a net operating loss carryforward for tax purposes related to its foreign subsidiary of</w:t>
      </w:r>
    </w:p>
    <w:p>
      <w:pPr>
        <w:ind w:left="660"/>
        <w:spacing w:after="0" w:line="235" w:lineRule="auto"/>
        <w:rPr>
          <w:sz w:val="20"/>
          <w:szCs w:val="20"/>
          <w:color w:val="auto"/>
        </w:rPr>
      </w:pPr>
      <w:r>
        <w:rPr>
          <w:rFonts w:ascii="Arial" w:cs="Arial" w:eastAsia="Arial" w:hAnsi="Arial"/>
          <w:sz w:val="18"/>
          <w:szCs w:val="18"/>
          <w:color w:val="auto"/>
        </w:rPr>
        <w:t>$10.2 million. U.S. federal net operating carryforwards generated prior to 2018 in the approximate amount of $26.6 million will begin</w:t>
      </w:r>
    </w:p>
    <w:p>
      <w:pPr>
        <w:ind w:left="660"/>
        <w:spacing w:after="0" w:line="235" w:lineRule="auto"/>
        <w:rPr>
          <w:sz w:val="20"/>
          <w:szCs w:val="20"/>
          <w:color w:val="auto"/>
        </w:rPr>
      </w:pPr>
      <w:r>
        <w:rPr>
          <w:rFonts w:ascii="Arial" w:cs="Arial" w:eastAsia="Arial" w:hAnsi="Arial"/>
          <w:sz w:val="18"/>
          <w:szCs w:val="18"/>
          <w:color w:val="auto"/>
        </w:rPr>
        <w:t>to expire, if not utilized, in 2033. German net operating loss and U.S. federal net operating losses post 2017 have an indefinite life.</w:t>
      </w:r>
    </w:p>
    <w:p>
      <w:pPr>
        <w:ind w:left="660"/>
        <w:spacing w:after="0" w:line="235" w:lineRule="auto"/>
        <w:rPr>
          <w:sz w:val="20"/>
          <w:szCs w:val="20"/>
          <w:color w:val="auto"/>
        </w:rPr>
      </w:pPr>
      <w:r>
        <w:rPr>
          <w:rFonts w:ascii="Arial" w:cs="Arial" w:eastAsia="Arial" w:hAnsi="Arial"/>
          <w:sz w:val="18"/>
          <w:szCs w:val="18"/>
          <w:color w:val="auto"/>
        </w:rPr>
        <w:t>Under the provisions of U.S. Internal Revenue Code Section 382, certain substantial changes in the Company’s ownership may</w:t>
      </w:r>
    </w:p>
    <w:p>
      <w:pPr>
        <w:ind w:left="660"/>
        <w:spacing w:after="0" w:line="234" w:lineRule="auto"/>
        <w:rPr>
          <w:sz w:val="20"/>
          <w:szCs w:val="20"/>
          <w:color w:val="auto"/>
        </w:rPr>
      </w:pPr>
      <w:r>
        <w:rPr>
          <w:rFonts w:ascii="Arial" w:cs="Arial" w:eastAsia="Arial" w:hAnsi="Arial"/>
          <w:sz w:val="18"/>
          <w:szCs w:val="18"/>
          <w:color w:val="auto"/>
        </w:rPr>
        <w:t>result in a limitation in the amount of U.S. net operating loss carryforwards that can be utilized annually to offset future taxable</w:t>
      </w:r>
    </w:p>
    <w:p>
      <w:pPr>
        <w:ind w:left="660"/>
        <w:spacing w:after="0" w:line="235" w:lineRule="auto"/>
        <w:rPr>
          <w:sz w:val="20"/>
          <w:szCs w:val="20"/>
          <w:color w:val="auto"/>
        </w:rPr>
      </w:pPr>
      <w:r>
        <w:rPr>
          <w:rFonts w:ascii="Arial" w:cs="Arial" w:eastAsia="Arial" w:hAnsi="Arial"/>
          <w:sz w:val="18"/>
          <w:szCs w:val="18"/>
          <w:color w:val="auto"/>
        </w:rPr>
        <w:t>income. As of December 31, 2020 the $90.1 million of U.S. federal net operating losses excludes $14.7 million of acquired net</w:t>
      </w:r>
    </w:p>
    <w:p>
      <w:pPr>
        <w:ind w:left="660"/>
        <w:spacing w:after="0" w:line="235" w:lineRule="auto"/>
        <w:rPr>
          <w:sz w:val="20"/>
          <w:szCs w:val="20"/>
          <w:color w:val="auto"/>
        </w:rPr>
      </w:pPr>
      <w:r>
        <w:rPr>
          <w:rFonts w:ascii="Arial" w:cs="Arial" w:eastAsia="Arial" w:hAnsi="Arial"/>
          <w:sz w:val="18"/>
          <w:szCs w:val="18"/>
          <w:color w:val="auto"/>
        </w:rPr>
        <w:t>operating losses that the Company expects to be substantially limited by Section 382 of the U.S. Internal Revenue Code and does</w:t>
      </w:r>
    </w:p>
    <w:p>
      <w:pPr>
        <w:ind w:left="660"/>
        <w:spacing w:after="0" w:line="235" w:lineRule="auto"/>
        <w:rPr>
          <w:sz w:val="20"/>
          <w:szCs w:val="20"/>
          <w:color w:val="auto"/>
        </w:rPr>
      </w:pPr>
      <w:r>
        <w:rPr>
          <w:rFonts w:ascii="Arial" w:cs="Arial" w:eastAsia="Arial" w:hAnsi="Arial"/>
          <w:sz w:val="18"/>
          <w:szCs w:val="18"/>
          <w:color w:val="auto"/>
        </w:rPr>
        <w:t>not expect to claim on a U.S. Tax Return. As of December 31, 2020 the Company completed an analysis on the remaining</w:t>
      </w:r>
    </w:p>
    <w:p>
      <w:pPr>
        <w:ind w:left="660" w:right="320"/>
        <w:spacing w:after="0" w:line="238" w:lineRule="auto"/>
        <w:rPr>
          <w:sz w:val="20"/>
          <w:szCs w:val="20"/>
          <w:color w:val="auto"/>
        </w:rPr>
      </w:pPr>
      <w:r>
        <w:rPr>
          <w:rFonts w:ascii="Arial" w:cs="Arial" w:eastAsia="Arial" w:hAnsi="Arial"/>
          <w:sz w:val="18"/>
          <w:szCs w:val="18"/>
          <w:color w:val="auto"/>
        </w:rPr>
        <w:t>$90.1 million of U.S. federal net operating losses, pursuant to Section 382 of the U.S. Internal Revenue Code, to determine the impact ownership changes have had on the ability of the company to utilize net operating losses it has generated. Based on the results of this study, the Company expects the $90.1 million of U.S. federal net operating losses to be available to offset future taxable income.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Uncertain Tax Positions</w:t>
      </w:r>
    </w:p>
    <w:p>
      <w:pPr>
        <w:spacing w:after="0" w:line="122"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The Company has not identified any unrecognized tax benefits.</w:t>
      </w:r>
    </w:p>
    <w:p>
      <w:pPr>
        <w:spacing w:after="0" w:line="97"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There were no interest or penalties assessed by income taxing authorities during the years ended December 31, 2020 and 2019. The Company is not currently under examination by any tax jurisdiction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COVID -19</w:t>
      </w:r>
    </w:p>
    <w:p>
      <w:pPr>
        <w:spacing w:after="0" w:line="122" w:lineRule="exact"/>
        <w:rPr>
          <w:sz w:val="20"/>
          <w:szCs w:val="20"/>
          <w:color w:val="auto"/>
        </w:rPr>
      </w:pPr>
    </w:p>
    <w:p>
      <w:pPr>
        <w:jc w:val="both"/>
        <w:ind w:left="660" w:right="220"/>
        <w:spacing w:after="0" w:line="261" w:lineRule="auto"/>
        <w:rPr>
          <w:sz w:val="20"/>
          <w:szCs w:val="20"/>
          <w:color w:val="auto"/>
        </w:rPr>
      </w:pPr>
      <w:r>
        <w:rPr>
          <w:rFonts w:ascii="Arial" w:cs="Arial" w:eastAsia="Arial" w:hAnsi="Arial"/>
          <w:sz w:val="17"/>
          <w:szCs w:val="17"/>
          <w:color w:val="auto"/>
        </w:rPr>
        <w:t>The COVID-19 pandemic has a global reach, and many countries have introduced measures that provide relief to taxpayers in a variety of ways. The Company has evaluated these measures, including the CARES Act in the United States, and has concluded that these did not have a significant impact on its income tax (provision)/benefit for the year ended December 31, 2020.</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hanging="544"/>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5" w:lineRule="exact"/>
        <w:rPr>
          <w:rFonts w:ascii="Arial" w:cs="Arial" w:eastAsia="Arial" w:hAnsi="Arial"/>
          <w:sz w:val="18"/>
          <w:szCs w:val="18"/>
          <w:b w:val="1"/>
          <w:bCs w:val="1"/>
          <w:color w:val="auto"/>
        </w:rPr>
      </w:pPr>
    </w:p>
    <w:p>
      <w:pPr>
        <w:ind w:left="660" w:right="5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(31,085)</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Deemed dividend to preferred stockholders</w:t>
            </w:r>
          </w:p>
        </w:tc>
        <w:tc>
          <w:tcPr>
            <w:tcW w:w="120" w:type="dxa"/>
            <w:vAlign w:val="bottom"/>
          </w:tcPr>
          <w:p>
            <w:pPr>
              <w:spacing w:after="0"/>
              <w:rPr>
                <w:sz w:val="17"/>
                <w:szCs w:val="17"/>
                <w:color w:val="auto"/>
              </w:rPr>
            </w:pPr>
          </w:p>
        </w:tc>
        <w:tc>
          <w:tcPr>
            <w:tcW w:w="15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(8,801)</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(39,886)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used to compute net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7"/>
                <w:szCs w:val="17"/>
                <w:color w:val="auto"/>
              </w:rPr>
            </w:pPr>
          </w:p>
        </w:tc>
        <w:tc>
          <w:tcPr>
            <w:tcW w:w="1500" w:type="dxa"/>
            <w:vAlign w:val="bottom"/>
            <w:gridSpan w:val="2"/>
          </w:tcPr>
          <w:p>
            <w:pPr>
              <w:jc w:val="right"/>
              <w:ind w:right="700"/>
              <w:spacing w:after="0" w:line="203" w:lineRule="exact"/>
              <w:rPr>
                <w:sz w:val="20"/>
                <w:szCs w:val="20"/>
                <w:color w:val="auto"/>
              </w:rPr>
            </w:pPr>
            <w:r>
              <w:rPr>
                <w:rFonts w:ascii="Arial" w:cs="Arial" w:eastAsia="Arial" w:hAnsi="Arial"/>
                <w:sz w:val="18"/>
                <w:szCs w:val="18"/>
                <w:color w:val="auto"/>
                <w:w w:val="97"/>
              </w:rPr>
              <w:t>7,492,876</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6,345,498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40"/>
        <w:spacing w:after="0" w:line="237" w:lineRule="auto"/>
        <w:rPr>
          <w:sz w:val="20"/>
          <w:szCs w:val="20"/>
          <w:color w:val="auto"/>
        </w:rPr>
      </w:pPr>
      <w:r>
        <w:rPr>
          <w:rFonts w:ascii="Arial" w:cs="Arial" w:eastAsia="Arial" w:hAnsi="Arial"/>
          <w:sz w:val="18"/>
          <w:szCs w:val="18"/>
          <w:color w:val="auto"/>
        </w:rPr>
        <w:t>As of December 31, 2020 and 2019, the Company had approximately 28.6 million shares and approximately 26.0 million shares, respectively, that are potentially dilutive securities that were excluded from the computation of diluted net loss per share because including them would have had an anti-dilutive effect. Of these potentially dilutive shares at December 31, 2020 and 2019, approximately 27.8 million shares and approximately 25.5 million shares, respectively are in the form of convertible preferred stock, approximately 836,000 shares and approximately 497,000 shares, respectively are in the form of outstanding stock options and approximately 14,000 shares and approximately 9,000 shares, respectively are in the form of outstanding warrants.</w:t>
      </w:r>
    </w:p>
    <w:p>
      <w:pPr>
        <w:spacing w:after="0" w:line="331" w:lineRule="exact"/>
        <w:rPr>
          <w:sz w:val="20"/>
          <w:szCs w:val="20"/>
          <w:color w:val="auto"/>
        </w:rPr>
      </w:pPr>
    </w:p>
    <w:p>
      <w:pPr>
        <w:ind w:left="660" w:right="6960" w:hanging="544"/>
        <w:spacing w:after="0" w:line="372" w:lineRule="auto"/>
        <w:tabs>
          <w:tab w:leader="none" w:pos="649"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Supplemental Disclosures </w:t>
      </w:r>
      <w:r>
        <w:rPr>
          <w:rFonts w:ascii="Arial" w:cs="Arial" w:eastAsia="Arial" w:hAnsi="Arial"/>
          <w:sz w:val="18"/>
          <w:szCs w:val="18"/>
          <w:i w:val="1"/>
          <w:iCs w:val="1"/>
          <w:color w:val="auto"/>
        </w:rPr>
        <w:t>Accumulated Other Comprehensive Income</w:t>
      </w:r>
    </w:p>
    <w:p>
      <w:pPr>
        <w:spacing w:after="0" w:line="1" w:lineRule="exact"/>
        <w:rPr>
          <w:rFonts w:ascii="Arial" w:cs="Arial" w:eastAsia="Arial" w:hAnsi="Arial"/>
          <w:sz w:val="18"/>
          <w:szCs w:val="18"/>
          <w:b w:val="1"/>
          <w:bCs w:val="1"/>
          <w:color w:val="auto"/>
        </w:rPr>
      </w:pPr>
    </w:p>
    <w:p>
      <w:pPr>
        <w:ind w:left="660" w:right="1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changes in composition of accumulated other comprehensive income, net of tax, as of December 31, 2020 and 2019 were as follows (in thousands):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Foreign Currency</w:t>
            </w:r>
          </w:p>
        </w:tc>
      </w:tr>
      <w:tr>
        <w:trPr>
          <w:trHeight w:val="175"/>
        </w:trPr>
        <w:tc>
          <w:tcPr>
            <w:tcW w:w="84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rPr>
              <w:t>Translation Adjustment</w:t>
            </w: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2019</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ind w:left="118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203"/>
        </w:trPr>
        <w:tc>
          <w:tcPr>
            <w:tcW w:w="84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gain</w:t>
            </w:r>
          </w:p>
        </w:tc>
        <w:tc>
          <w:tcPr>
            <w:tcW w:w="160" w:type="dxa"/>
            <w:vAlign w:val="bottom"/>
          </w:tcPr>
          <w:p>
            <w:pPr>
              <w:spacing w:after="0"/>
              <w:rPr>
                <w:sz w:val="17"/>
                <w:szCs w:val="17"/>
                <w:color w:val="auto"/>
              </w:rPr>
            </w:pPr>
          </w:p>
        </w:tc>
        <w:tc>
          <w:tcPr>
            <w:tcW w:w="1480" w:type="dxa"/>
            <w:vAlign w:val="bottom"/>
            <w:gridSpan w:val="2"/>
          </w:tcPr>
          <w:p>
            <w:pPr>
              <w:ind w:left="1160"/>
              <w:spacing w:after="0" w:line="202" w:lineRule="exact"/>
              <w:rPr>
                <w:sz w:val="20"/>
                <w:szCs w:val="20"/>
                <w:color w:val="auto"/>
              </w:rPr>
            </w:pPr>
            <w:r>
              <w:rPr>
                <w:rFonts w:ascii="Arial" w:cs="Arial" w:eastAsia="Arial" w:hAnsi="Arial"/>
                <w:sz w:val="18"/>
                <w:szCs w:val="18"/>
                <w:color w:val="auto"/>
                <w:w w:val="99"/>
              </w:rPr>
              <w:t>210</w:t>
            </w:r>
          </w:p>
        </w:tc>
        <w:tc>
          <w:tcPr>
            <w:tcW w:w="20" w:type="dxa"/>
            <w:vAlign w:val="bottom"/>
          </w:tcPr>
          <w:p>
            <w:pPr>
              <w:spacing w:after="0"/>
              <w:rPr>
                <w:sz w:val="17"/>
                <w:szCs w:val="17"/>
                <w:color w:val="auto"/>
              </w:rPr>
            </w:pPr>
          </w:p>
        </w:tc>
      </w:tr>
      <w:tr>
        <w:trPr>
          <w:trHeight w:val="203"/>
        </w:trPr>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reclassified from other comprehensive income</w:t>
            </w: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ind w:left="1180"/>
              <w:spacing w:after="0" w:line="202" w:lineRule="exact"/>
              <w:rPr>
                <w:sz w:val="20"/>
                <w:szCs w:val="20"/>
                <w:color w:val="auto"/>
              </w:rPr>
            </w:pPr>
            <w:r>
              <w:rPr>
                <w:rFonts w:ascii="Arial" w:cs="Arial" w:eastAsia="Arial" w:hAnsi="Arial"/>
                <w:sz w:val="18"/>
                <w:szCs w:val="18"/>
                <w:color w:val="auto"/>
              </w:rPr>
              <w:t>—</w:t>
            </w:r>
          </w:p>
        </w:tc>
        <w:tc>
          <w:tcPr>
            <w:tcW w:w="40" w:type="dxa"/>
            <w:vAlign w:val="bottom"/>
            <w:gridSpan w:val="2"/>
            <w:shd w:val="clear" w:color="auto" w:fill="CCEEFF"/>
          </w:tcPr>
          <w:p>
            <w:pPr>
              <w:spacing w:after="0"/>
              <w:rPr>
                <w:sz w:val="17"/>
                <w:szCs w:val="17"/>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w w:val="99"/>
              </w:rPr>
              <w:t>210</w:t>
            </w:r>
          </w:p>
        </w:tc>
        <w:tc>
          <w:tcPr>
            <w:tcW w:w="2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25" w:lineRule="exact"/>
        <w:rPr>
          <w:rFonts w:ascii="Arial" w:cs="Arial" w:eastAsia="Arial" w:hAnsi="Arial"/>
          <w:sz w:val="18"/>
          <w:szCs w:val="18"/>
          <w:b w:val="1"/>
          <w:bCs w:val="1"/>
          <w:color w:val="auto"/>
        </w:rPr>
      </w:pPr>
    </w:p>
    <w:p>
      <w:pPr>
        <w:ind w:left="660"/>
        <w:spacing w:after="0" w:line="248" w:lineRule="auto"/>
        <w:rPr>
          <w:rFonts w:ascii="Arial" w:cs="Arial" w:eastAsia="Arial" w:hAnsi="Arial"/>
          <w:sz w:val="18"/>
          <w:szCs w:val="18"/>
          <w:b w:val="1"/>
          <w:bCs w:val="1"/>
          <w:color w:val="auto"/>
        </w:rPr>
      </w:pPr>
      <w:r>
        <w:rPr>
          <w:rFonts w:ascii="Arial" w:cs="Arial" w:eastAsia="Arial" w:hAnsi="Arial"/>
          <w:sz w:val="17"/>
          <w:szCs w:val="17"/>
          <w:color w:val="auto"/>
        </w:rPr>
        <w:t>The Company is party to an Amended and Restated Loan and Security Agreement with Hercules Capital, Inc. (“Hercules”), or the Amended Loan and Security Agreement, for a term loan, or the term loan facility. Under the Amended Loan and Security Agreement, effective January 30, 2020, the Company can borrow up to $15 million under a term loan, all of which became available to the Company immediately on the agreement date. The Company had borrowings under the term loan of $15 million and</w:t>
      </w:r>
    </w:p>
    <w:p>
      <w:pPr>
        <w:spacing w:after="0" w:line="2" w:lineRule="exact"/>
        <w:rPr>
          <w:rFonts w:ascii="Arial" w:cs="Arial" w:eastAsia="Arial" w:hAnsi="Arial"/>
          <w:sz w:val="18"/>
          <w:szCs w:val="18"/>
          <w:b w:val="1"/>
          <w:bCs w:val="1"/>
          <w:color w:val="auto"/>
        </w:rPr>
      </w:pPr>
    </w:p>
    <w:p>
      <w:pPr>
        <w:ind w:left="660" w:right="4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$11 million as of December 31, 2020 and 2019. As of December 31, 2020, the loan pays interest at the greater of (i) 8.7% per annum or (ii) 8.7% per annum plus the prime rate minus 4.75% per annum. The term loan agreement requires a maximum $1.2 million end of term fee due and payable on the maturity date of May 1, 2022, however, if the term loan is repaid prior to November 1, 2021, the amount owed would be $0.9 million. As of December 31, 2020 and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2019, the Company owed $15.8 million and $ 11.4 million, respectively on this term loan, including principal borrowings and accrued end of term fee. As Xometry intends to repay this term loan in 2021, we have classified this term loan as a current liability on the Consolidated Balance Sheet. Xometry’s obligations under the Amended Loan and Security Agreement are secured by substantially all of Xometry’s assets.</w:t>
      </w:r>
    </w:p>
    <w:p>
      <w:pPr>
        <w:spacing w:after="0" w:line="97"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color w:val="auto"/>
        </w:rPr>
        <w:t>The Amended Loan and Security Agreement will continue in full force and effect for so long as any obligations remain outstanding thereunder, provided, that, Hercules has the right to terminate its obligation to make further advances to Xometry immediately and without notice upon the occurrence and during the continuance of an event of default.</w:t>
      </w:r>
    </w:p>
    <w:p>
      <w:pPr>
        <w:spacing w:after="0" w:line="95" w:lineRule="exact"/>
        <w:rPr>
          <w:sz w:val="20"/>
          <w:szCs w:val="20"/>
          <w:color w:val="auto"/>
        </w:rPr>
      </w:pPr>
    </w:p>
    <w:p>
      <w:pPr>
        <w:ind w:left="660" w:right="860"/>
        <w:spacing w:after="0" w:line="246"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w:t>
      </w:r>
    </w:p>
    <w:p>
      <w:pPr>
        <w:spacing w:after="0" w:line="89"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The term loan facility contains customary affirmative and negative covenants, including covenants that require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is in compliance with covenants and were in compliance with these covenants as of December 31, 2020 and 2019.</w:t>
      </w:r>
    </w:p>
    <w:p>
      <w:pPr>
        <w:spacing w:after="0" w:line="94"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Company had a $ 2.5 million credit facility with Comerica Bank. The Company could borrow $2.5 million on a receivable revolver not to exceed 80% of eligible accounts receivables and bore interest at the Prime Reference rate plus 1.5%. Comerica had a first priority security interest in all assets of the Company with a negative pledge on intellectual property. The revolver was paid off on May 16, 2019 and terminated on June 30, 2019.</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w:t>
      </w:r>
    </w:p>
    <w:p>
      <w:pPr>
        <w:spacing w:after="0" w:line="122"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Contingencies</w:t>
      </w:r>
    </w:p>
    <w:p>
      <w:pPr>
        <w:spacing w:after="0" w:line="12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331" w:lineRule="exact"/>
        <w:rPr>
          <w:sz w:val="20"/>
          <w:szCs w:val="20"/>
          <w:color w:val="auto"/>
        </w:rPr>
      </w:pPr>
    </w:p>
    <w:p>
      <w:pPr>
        <w:ind w:left="660" w:hanging="544"/>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5" w:lineRule="exact"/>
        <w:rPr>
          <w:rFonts w:ascii="Arial" w:cs="Arial" w:eastAsia="Arial" w:hAnsi="Arial"/>
          <w:sz w:val="18"/>
          <w:szCs w:val="18"/>
          <w:b w:val="1"/>
          <w:bCs w:val="1"/>
          <w:color w:val="auto"/>
        </w:rPr>
      </w:pPr>
    </w:p>
    <w:p>
      <w:pPr>
        <w:ind w:left="660" w:right="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January 2, 2019, the Company acquired MTS, a machine and tool supplier, for cash consideration of $0.7 million with the intent of supplementing the Company’s existing product offerings. In connection with the MTS acquisition, Xometry recognized net assets of $0.6 million, which primarily included customer receivables at the time of acquisition and approximately $0.1 million of goodwill related to expected synergies.</w:t>
      </w:r>
    </w:p>
    <w:p>
      <w:pPr>
        <w:spacing w:after="0" w:line="96" w:lineRule="exact"/>
        <w:rPr>
          <w:rFonts w:ascii="Arial" w:cs="Arial" w:eastAsia="Arial" w:hAnsi="Arial"/>
          <w:sz w:val="18"/>
          <w:szCs w:val="18"/>
          <w:b w:val="1"/>
          <w:bCs w:val="1"/>
          <w:color w:val="auto"/>
        </w:rPr>
      </w:pPr>
    </w:p>
    <w:p>
      <w:pPr>
        <w:ind w:left="660" w:right="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Payments of $0.2 million were paid to the owners on the first and second anniversary of the transaction, subject to their continuous employment. As such, these payments were not included in the acquisition consideration.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180"/>
        <w:spacing w:after="0" w:line="238" w:lineRule="auto"/>
        <w:rPr>
          <w:sz w:val="20"/>
          <w:szCs w:val="20"/>
          <w:color w:val="auto"/>
        </w:rPr>
      </w:pPr>
      <w:r>
        <w:rPr>
          <w:rFonts w:ascii="Arial" w:cs="Arial" w:eastAsia="Arial" w:hAnsi="Arial"/>
          <w:sz w:val="18"/>
          <w:szCs w:val="18"/>
          <w:color w:val="auto"/>
        </w:rPr>
        <w:t>On November 26, 2019, the Company acquired Munich, Germany based Shift GmbH, through a stock purchase for consideration of $3.6 million with the intent of expanding Xometry’s platform and network of sellers. The aggregate purchase price included $0.9 million of cash and 750,770 shares of Xometry common stock, which had a fair value of $ 2.7 million at the date of the acquisition. The goodwill of $1.4 million arising from the acquisition related to certain expected synergies.</w:t>
      </w:r>
    </w:p>
    <w:p>
      <w:pPr>
        <w:spacing w:after="0" w:line="97" w:lineRule="exact"/>
        <w:rPr>
          <w:sz w:val="20"/>
          <w:szCs w:val="20"/>
          <w:color w:val="auto"/>
        </w:rPr>
      </w:pPr>
    </w:p>
    <w:p>
      <w:pPr>
        <w:ind w:left="660" w:right="680"/>
        <w:spacing w:after="0" w:line="246" w:lineRule="auto"/>
        <w:rPr>
          <w:sz w:val="20"/>
          <w:szCs w:val="20"/>
          <w:color w:val="auto"/>
        </w:rPr>
      </w:pPr>
      <w:r>
        <w:rPr>
          <w:rFonts w:ascii="Arial" w:cs="Arial" w:eastAsia="Arial" w:hAnsi="Arial"/>
          <w:sz w:val="18"/>
          <w:szCs w:val="18"/>
          <w:color w:val="auto"/>
        </w:rPr>
        <w:t>The following table (in thousands) summarizes the consideration paid for Shift and the fair value of the assets acquired and liabilities assumed on the acquisition date.</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440" w:type="dxa"/>
            <w:vAlign w:val="bottom"/>
          </w:tcPr>
          <w:p>
            <w:pPr>
              <w:ind w:left="36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876</w:t>
            </w:r>
          </w:p>
        </w:tc>
        <w:tc>
          <w:tcPr>
            <w:tcW w:w="120" w:type="dxa"/>
            <w:vAlign w:val="bottom"/>
          </w:tcPr>
          <w:p>
            <w:pPr>
              <w:spacing w:after="0"/>
              <w:rPr>
                <w:sz w:val="17"/>
                <w:szCs w:val="17"/>
                <w:color w:val="auto"/>
              </w:rPr>
            </w:pPr>
          </w:p>
        </w:tc>
      </w:tr>
      <w:tr>
        <w:trPr>
          <w:trHeight w:val="203"/>
        </w:trPr>
        <w:tc>
          <w:tcPr>
            <w:tcW w:w="9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2,743</w:t>
            </w:r>
          </w:p>
        </w:tc>
        <w:tc>
          <w:tcPr>
            <w:tcW w:w="120" w:type="dxa"/>
            <w:vAlign w:val="bottom"/>
            <w:shd w:val="clear" w:color="auto" w:fill="CCEEFF"/>
          </w:tcPr>
          <w:p>
            <w:pPr>
              <w:spacing w:after="0"/>
              <w:rPr>
                <w:sz w:val="17"/>
                <w:szCs w:val="17"/>
                <w:color w:val="auto"/>
              </w:rPr>
            </w:pPr>
          </w:p>
        </w:tc>
      </w:tr>
      <w:tr>
        <w:trPr>
          <w:trHeight w:val="209"/>
        </w:trPr>
        <w:tc>
          <w:tcPr>
            <w:tcW w:w="9440" w:type="dxa"/>
            <w:vAlign w:val="bottom"/>
          </w:tcPr>
          <w:p>
            <w:pPr>
              <w:ind w:left="360"/>
              <w:spacing w:after="0"/>
              <w:rPr>
                <w:sz w:val="20"/>
                <w:szCs w:val="20"/>
                <w:color w:val="auto"/>
              </w:rPr>
            </w:pPr>
            <w:r>
              <w:rPr>
                <w:rFonts w:ascii="Arial" w:cs="Arial" w:eastAsia="Arial" w:hAnsi="Arial"/>
                <w:sz w:val="18"/>
                <w:szCs w:val="18"/>
                <w:color w:val="auto"/>
              </w:rPr>
              <w:t>Fair value of consideration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w:t>
            </w:r>
          </w:p>
        </w:tc>
        <w:tc>
          <w:tcPr>
            <w:tcW w:w="120" w:type="dxa"/>
            <w:vAlign w:val="bottom"/>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Acquisition costs included in general and administrative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7"/>
                <w:szCs w:val="17"/>
                <w:color w:val="auto"/>
              </w:rPr>
            </w:pP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7"/>
                <w:szCs w:val="17"/>
                <w:color w:val="auto"/>
              </w:rPr>
            </w:pPr>
          </w:p>
        </w:tc>
      </w:tr>
      <w:tr>
        <w:trPr>
          <w:trHeight w:val="203"/>
        </w:trPr>
        <w:tc>
          <w:tcPr>
            <w:tcW w:w="944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r>
      <w:tr>
        <w:trPr>
          <w:trHeight w:val="203"/>
        </w:trPr>
        <w:tc>
          <w:tcPr>
            <w:tcW w:w="9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2,170</w:t>
            </w:r>
          </w:p>
        </w:tc>
        <w:tc>
          <w:tcPr>
            <w:tcW w:w="120" w:type="dxa"/>
            <w:vAlign w:val="bottom"/>
            <w:shd w:val="clear" w:color="auto" w:fill="CCEEFF"/>
          </w:tcPr>
          <w:p>
            <w:pPr>
              <w:spacing w:after="0"/>
              <w:rPr>
                <w:sz w:val="17"/>
                <w:szCs w:val="17"/>
                <w:color w:val="auto"/>
              </w:rPr>
            </w:pPr>
          </w:p>
        </w:tc>
      </w:tr>
      <w:tr>
        <w:trPr>
          <w:trHeight w:val="203"/>
        </w:trPr>
        <w:tc>
          <w:tcPr>
            <w:tcW w:w="9440" w:type="dxa"/>
            <w:vAlign w:val="bottom"/>
          </w:tcPr>
          <w:p>
            <w:pPr>
              <w:ind w:left="360"/>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r>
      <w:tr>
        <w:trPr>
          <w:trHeight w:val="203"/>
        </w:trPr>
        <w:tc>
          <w:tcPr>
            <w:tcW w:w="9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w:t>
            </w:r>
          </w:p>
        </w:tc>
      </w:tr>
      <w:tr>
        <w:trPr>
          <w:trHeight w:val="209"/>
        </w:trPr>
        <w:tc>
          <w:tcPr>
            <w:tcW w:w="9440" w:type="dxa"/>
            <w:vAlign w:val="bottom"/>
          </w:tcPr>
          <w:p>
            <w:pPr>
              <w:ind w:left="720"/>
              <w:spacing w:after="0"/>
              <w:rPr>
                <w:sz w:val="20"/>
                <w:szCs w:val="20"/>
                <w:color w:val="auto"/>
              </w:rPr>
            </w:pPr>
            <w:r>
              <w:rPr>
                <w:rFonts w:ascii="Arial" w:cs="Arial" w:eastAsia="Arial" w:hAnsi="Arial"/>
                <w:sz w:val="18"/>
                <w:szCs w:val="18"/>
                <w:color w:val="auto"/>
              </w:rPr>
              <w:t>Total identifiable net assets assumed</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2,265</w:t>
            </w:r>
          </w:p>
        </w:tc>
        <w:tc>
          <w:tcPr>
            <w:tcW w:w="120" w:type="dxa"/>
            <w:vAlign w:val="bottom"/>
          </w:tcPr>
          <w:p>
            <w:pPr>
              <w:spacing w:after="0"/>
              <w:rPr>
                <w:sz w:val="18"/>
                <w:szCs w:val="18"/>
                <w:color w:val="auto"/>
              </w:rPr>
            </w:pPr>
          </w:p>
        </w:tc>
      </w:tr>
      <w:tr>
        <w:trPr>
          <w:trHeight w:val="203"/>
        </w:trPr>
        <w:tc>
          <w:tcPr>
            <w:tcW w:w="9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1,354</w:t>
            </w:r>
          </w:p>
        </w:tc>
        <w:tc>
          <w:tcPr>
            <w:tcW w:w="120" w:type="dxa"/>
            <w:vAlign w:val="bottom"/>
            <w:shd w:val="clear" w:color="auto" w:fill="CCEEFF"/>
          </w:tcPr>
          <w:p>
            <w:pPr>
              <w:spacing w:after="0"/>
              <w:rPr>
                <w:sz w:val="17"/>
                <w:szCs w:val="17"/>
                <w:color w:val="auto"/>
              </w:rPr>
            </w:pPr>
          </w:p>
        </w:tc>
      </w:tr>
      <w:tr>
        <w:trPr>
          <w:trHeight w:val="210"/>
        </w:trPr>
        <w:tc>
          <w:tcPr>
            <w:tcW w:w="944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3,619</w:t>
            </w:r>
          </w:p>
        </w:tc>
        <w:tc>
          <w:tcPr>
            <w:tcW w:w="120" w:type="dxa"/>
            <w:vAlign w:val="bottom"/>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acquired intangible assets, all of which are being amortized, were assigned weighted-average useful life of approximately three years. During 2020 and 2019, the Company recognized $3.1 million and $0.1 million of revenue, respectively from Shift.</w:t>
      </w:r>
    </w:p>
    <w:p>
      <w:pPr>
        <w:spacing w:after="0" w:line="89"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The acquisitions of MTS and Shift were not considered material individually or in the aggregate to the Company for the periods presented, and therefore, pro forma information has not been presented.</w:t>
      </w:r>
    </w:p>
    <w:p>
      <w:pPr>
        <w:spacing w:after="0" w:line="323" w:lineRule="exact"/>
        <w:rPr>
          <w:sz w:val="20"/>
          <w:szCs w:val="20"/>
          <w:color w:val="auto"/>
        </w:rPr>
      </w:pPr>
    </w:p>
    <w:p>
      <w:pPr>
        <w:ind w:left="660" w:hanging="54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25" w:lineRule="exact"/>
        <w:rPr>
          <w:rFonts w:ascii="Arial" w:cs="Arial" w:eastAsia="Arial" w:hAnsi="Arial"/>
          <w:sz w:val="18"/>
          <w:szCs w:val="18"/>
          <w:b w:val="1"/>
          <w:bCs w:val="1"/>
          <w:color w:val="auto"/>
        </w:rPr>
      </w:pPr>
    </w:p>
    <w:p>
      <w:pPr>
        <w:ind w:left="660" w:right="140"/>
        <w:spacing w:after="0" w:line="251" w:lineRule="auto"/>
        <w:rPr>
          <w:rFonts w:ascii="Arial" w:cs="Arial" w:eastAsia="Arial" w:hAnsi="Arial"/>
          <w:sz w:val="18"/>
          <w:szCs w:val="18"/>
          <w:b w:val="1"/>
          <w:bCs w:val="1"/>
          <w:color w:val="auto"/>
        </w:rPr>
      </w:pPr>
      <w:r>
        <w:rPr>
          <w:rFonts w:ascii="Arial" w:cs="Arial" w:eastAsia="Arial" w:hAnsi="Arial"/>
          <w:sz w:val="17"/>
          <w:szCs w:val="17"/>
          <w:color w:val="auto"/>
        </w:rPr>
        <w:t>Xometry is organized in two segments referred to as the U.S. and Europe. Xometry’s operating segments are also our reportable segments. Xometry’s reportable segments, whose products and offerings are generally the same, are managed separately based on geography. The accounting policies of the reportable segments are the same as those described in Note 2—Summary of Significant Accounting Policies. Xometry’s two segments are defined based on the reporting and review process used by the chief operating decision maker (“CODM”), the Chief Executive Officer. The Company evaluates the performance of the operating segments primarily based on revenues and segment “profits/loss” which is largely the results of the segment before income taxes. We have not allocated corporate overhead to the Europe segment. Our CODM monitors assets of the consolidated Company, but does not use assets, by operating segment when assessing performance or making operating segment resource decisions. As of December 31, 2019, the Company only had one segment, as the other segment activity was considered immaterial for disclosure.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560" w:type="dxa"/>
            <w:vAlign w:val="bottom"/>
          </w:tcPr>
          <w:p>
            <w:pPr>
              <w:spacing w:after="0"/>
              <w:rPr>
                <w:sz w:val="24"/>
                <w:szCs w:val="24"/>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The following tables reflect certain segment information for the year ended December 31, 2020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0" w:type="dxa"/>
            <w:vAlign w:val="bottom"/>
            <w:gridSpan w:val="3"/>
          </w:tcPr>
          <w:p>
            <w:pPr>
              <w:ind w:left="56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9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138,272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141,406</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ind w:left="560"/>
              <w:spacing w:after="0"/>
              <w:rPr>
                <w:sz w:val="20"/>
                <w:szCs w:val="20"/>
                <w:color w:val="auto"/>
              </w:rPr>
            </w:pPr>
            <w:r>
              <w:rPr>
                <w:rFonts w:ascii="Arial" w:cs="Arial" w:eastAsia="Arial" w:hAnsi="Arial"/>
                <w:sz w:val="18"/>
                <w:szCs w:val="18"/>
                <w:color w:val="auto"/>
              </w:rPr>
              <w:t>Segment Losses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9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(22,130)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0" w:type="dxa"/>
            <w:vAlign w:val="bottom"/>
            <w:vMerge w:val="continue"/>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(31,085)</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ind w:left="560"/>
              <w:spacing w:after="0"/>
              <w:rPr>
                <w:sz w:val="20"/>
                <w:szCs w:val="20"/>
                <w:color w:val="auto"/>
              </w:rPr>
            </w:pPr>
            <w:r>
              <w:rPr>
                <w:rFonts w:ascii="Arial" w:cs="Arial" w:eastAsia="Arial" w:hAnsi="Arial"/>
                <w:sz w:val="18"/>
                <w:szCs w:val="18"/>
                <w:color w:val="auto"/>
              </w:rPr>
              <w:t>Segment Property and Equipment</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9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ind w:left="560"/>
              <w:spacing w:after="0"/>
              <w:rPr>
                <w:sz w:val="20"/>
                <w:szCs w:val="20"/>
                <w:color w:val="auto"/>
              </w:rPr>
            </w:pPr>
            <w:r>
              <w:rPr>
                <w:rFonts w:ascii="Arial" w:cs="Arial" w:eastAsia="Arial" w:hAnsi="Arial"/>
                <w:sz w:val="18"/>
                <w:szCs w:val="18"/>
                <w:color w:val="auto"/>
              </w:rPr>
              <w:t>Segment Depreciation and Amortization</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9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ind w:left="560"/>
              <w:spacing w:after="0"/>
              <w:rPr>
                <w:sz w:val="20"/>
                <w:szCs w:val="20"/>
                <w:color w:val="auto"/>
              </w:rPr>
            </w:pPr>
            <w:r>
              <w:rPr>
                <w:rFonts w:ascii="Arial" w:cs="Arial" w:eastAsia="Arial" w:hAnsi="Arial"/>
                <w:sz w:val="18"/>
                <w:szCs w:val="18"/>
                <w:color w:val="auto"/>
              </w:rPr>
              <w:t>Segment Expenditures for Property and Equipment and Long-Lived Assets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9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ind w:left="560"/>
              <w:spacing w:after="0"/>
              <w:rPr>
                <w:sz w:val="20"/>
                <w:szCs w:val="20"/>
                <w:color w:val="auto"/>
              </w:rPr>
            </w:pPr>
            <w:r>
              <w:rPr>
                <w:rFonts w:ascii="Arial" w:cs="Arial" w:eastAsia="Arial" w:hAnsi="Arial"/>
                <w:sz w:val="18"/>
                <w:szCs w:val="18"/>
                <w:color w:val="auto"/>
              </w:rPr>
              <w:t>Segment Impairments of Goodwill and Intangible Assets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9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9040" w:type="dxa"/>
            <w:vAlign w:val="bottom"/>
            <w:gridSpan w:val="2"/>
          </w:tcPr>
          <w:p>
            <w:pPr>
              <w:spacing w:after="0" w:line="202" w:lineRule="exact"/>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9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5" w:lineRule="exact"/>
        <w:rPr>
          <w:rFonts w:ascii="Arial" w:cs="Arial" w:eastAsia="Arial" w:hAnsi="Arial"/>
          <w:sz w:val="18"/>
          <w:szCs w:val="18"/>
          <w:b w:val="1"/>
          <w:bCs w:val="1"/>
          <w:color w:val="auto"/>
        </w:rPr>
      </w:pPr>
    </w:p>
    <w:p>
      <w:pPr>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Certain companies and/or affiliates of companies that are holders of the Company’s Convertible Preferred Stock acquire products and assemblies through the Xometry platform. As such, Xometry’s revenues and accounts receivable include amounts from these companies and/or affiliates of these companies. For the years ended December 31, 2020 and 2019, Xometry recognized revenue of approximately $1.5 million in each year from companies/and or affiliates of companies that are holders of the Company’s Convertible Preferred Stock. As of December 31, 2020 and 2019, the Company had approximately $0.4 million and approximately $0.5 million of accounts receivable from companies and/or affiliates of companies that are holders of the Company’s Convertible Preferred Stock.</w:t>
      </w:r>
    </w:p>
    <w:p>
      <w:pPr>
        <w:spacing w:after="0" w:line="203" w:lineRule="exact"/>
        <w:rPr>
          <w:sz w:val="20"/>
          <w:szCs w:val="20"/>
          <w:color w:val="auto"/>
        </w:rPr>
      </w:pPr>
    </w:p>
    <w:p>
      <w:pPr>
        <w:ind w:left="660" w:right="280"/>
        <w:spacing w:after="0" w:line="246" w:lineRule="auto"/>
        <w:rPr>
          <w:sz w:val="20"/>
          <w:szCs w:val="20"/>
          <w:color w:val="auto"/>
        </w:rPr>
      </w:pPr>
      <w:r>
        <w:rPr>
          <w:rFonts w:ascii="Arial" w:cs="Arial" w:eastAsia="Arial" w:hAnsi="Arial"/>
          <w:sz w:val="18"/>
          <w:szCs w:val="18"/>
          <w:color w:val="auto"/>
        </w:rPr>
        <w:t>In February 2018, we entered into a consulting agreement with Business Improvement Systems, Inc., which is owned by Peter Goguen. Peter Goguen is our Chief Operating Officer. Pursuant to</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980"/>
          </w:cols>
          <w:pgMar w:left="320" w:top="446" w:right="5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terms of this agreement, we paid Business Improvement Systems, Inc. a monthly consulting fee in the amount of $11,667. Business Improvement Systems, Inc. provided us with consulting services related to operating services. This agreement was terminated as of January 31, 2021. For both years ended December 31, 2020 and 2019, we paid Business Improvement Systems, Inc., $0.2 million. As of December 31, 2020 and 2019, we had approximately $0.1 million and approximately $0.04 million payable to Business Improvement Systems, Inc., respectively.</w:t>
      </w:r>
    </w:p>
    <w:p>
      <w:pPr>
        <w:spacing w:after="0" w:line="329" w:lineRule="exact"/>
        <w:rPr>
          <w:sz w:val="20"/>
          <w:szCs w:val="20"/>
          <w:color w:val="auto"/>
        </w:rPr>
      </w:pPr>
    </w:p>
    <w:p>
      <w:pPr>
        <w:ind w:left="660" w:hanging="544"/>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intangible assets (dollars 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700"/>
              <w:spacing w:after="0" w:line="143"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5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200" w:type="dxa"/>
            <w:vAlign w:val="bottom"/>
            <w:gridSpan w:val="5"/>
          </w:tcPr>
          <w:p>
            <w:pPr>
              <w:ind w:left="4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r>
      <w:tr>
        <w:trPr>
          <w:trHeight w:val="162"/>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period in</w:t>
            </w:r>
          </w:p>
        </w:tc>
        <w:tc>
          <w:tcPr>
            <w:tcW w:w="1240" w:type="dxa"/>
            <w:vAlign w:val="bottom"/>
            <w:gridSpan w:val="6"/>
          </w:tcPr>
          <w:p>
            <w:pPr>
              <w:ind w:left="20"/>
              <w:spacing w:after="0"/>
              <w:rPr>
                <w:sz w:val="20"/>
                <w:szCs w:val="20"/>
                <w:color w:val="auto"/>
              </w:rPr>
            </w:pPr>
            <w:r>
              <w:rPr>
                <w:rFonts w:ascii="Arial" w:cs="Arial" w:eastAsia="Arial" w:hAnsi="Arial"/>
                <w:sz w:val="14"/>
                <w:szCs w:val="14"/>
                <w:b w:val="1"/>
                <w:bCs w:val="1"/>
                <w:color w:val="auto"/>
              </w:rPr>
              <w:t>carrying</w:t>
            </w: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5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5"/>
                <w:szCs w:val="15"/>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Intangible Assets</w:t>
            </w: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Amortizing intangible assets:</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 Compete</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Customer Relationships</w:t>
            </w: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w:t>
            </w: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Trade Names</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w:t>
            </w: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Developed Technology</w:t>
            </w: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324</w:t>
            </w: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Vendor Relationships</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1,404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40" w:type="dxa"/>
            <w:vAlign w:val="bottom"/>
            <w:shd w:val="clear" w:color="auto" w:fill="CCEEFF"/>
          </w:tcPr>
          <w:p>
            <w:pPr>
              <w:spacing w:after="0"/>
              <w:rPr>
                <w:sz w:val="17"/>
                <w:szCs w:val="17"/>
                <w:color w:val="auto"/>
              </w:rPr>
            </w:pPr>
          </w:p>
        </w:tc>
      </w:tr>
      <w:tr>
        <w:trPr>
          <w:trHeight w:val="209"/>
        </w:trPr>
        <w:tc>
          <w:tcPr>
            <w:tcW w:w="516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3"/>
              </w:rPr>
              <w:t>$ 2,984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66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$ 1,652</w:t>
            </w:r>
          </w:p>
        </w:tc>
        <w:tc>
          <w:tcPr>
            <w:tcW w:w="4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620"/>
              <w:spacing w:after="0" w:line="143"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200" w:type="dxa"/>
            <w:vAlign w:val="bottom"/>
            <w:gridSpan w:val="5"/>
          </w:tcPr>
          <w:p>
            <w:pPr>
              <w:ind w:left="8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r>
      <w:tr>
        <w:trPr>
          <w:trHeight w:val="162"/>
        </w:trPr>
        <w:tc>
          <w:tcPr>
            <w:tcW w:w="5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period in</w:t>
            </w:r>
          </w:p>
        </w:tc>
        <w:tc>
          <w:tcPr>
            <w:tcW w:w="4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5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5"/>
                <w:szCs w:val="15"/>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amortization</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183"/>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Intangible Assets</w:t>
            </w: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2"/>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Amortizing intangible assets:</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 Compete</w:t>
            </w:r>
          </w:p>
        </w:tc>
        <w:tc>
          <w:tcPr>
            <w:tcW w:w="152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w:t>
            </w: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Customer Relationships</w:t>
            </w:r>
          </w:p>
        </w:tc>
        <w:tc>
          <w:tcPr>
            <w:tcW w:w="1520" w:type="dxa"/>
            <w:vAlign w:val="bottom"/>
            <w:gridSpan w:val="4"/>
          </w:tcPr>
          <w:p>
            <w:pPr>
              <w:jc w:val="right"/>
              <w:ind w:right="6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489</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437</w:t>
            </w: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Trade Name</w:t>
            </w:r>
          </w:p>
        </w:tc>
        <w:tc>
          <w:tcPr>
            <w:tcW w:w="152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195</w:t>
            </w:r>
          </w:p>
        </w:tc>
      </w:tr>
      <w:tr>
        <w:trPr>
          <w:trHeight w:val="203"/>
        </w:trPr>
        <w:tc>
          <w:tcPr>
            <w:tcW w:w="5160" w:type="dxa"/>
            <w:vAlign w:val="bottom"/>
          </w:tcPr>
          <w:p>
            <w:pPr>
              <w:ind w:left="720"/>
              <w:spacing w:after="0" w:line="202" w:lineRule="exact"/>
              <w:rPr>
                <w:sz w:val="20"/>
                <w:szCs w:val="20"/>
                <w:color w:val="auto"/>
              </w:rPr>
            </w:pPr>
            <w:r>
              <w:rPr>
                <w:rFonts w:ascii="Arial" w:cs="Arial" w:eastAsia="Arial" w:hAnsi="Arial"/>
                <w:sz w:val="18"/>
                <w:szCs w:val="18"/>
                <w:color w:val="auto"/>
              </w:rPr>
              <w:t>Developed Technology</w:t>
            </w:r>
          </w:p>
        </w:tc>
        <w:tc>
          <w:tcPr>
            <w:tcW w:w="1520" w:type="dxa"/>
            <w:vAlign w:val="bottom"/>
            <w:gridSpan w:val="4"/>
          </w:tcPr>
          <w:p>
            <w:pPr>
              <w:jc w:val="right"/>
              <w:ind w:right="620"/>
              <w:spacing w:after="0" w:line="202"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708</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522</w:t>
            </w:r>
          </w:p>
        </w:tc>
      </w:tr>
      <w:tr>
        <w:trPr>
          <w:trHeight w:val="203"/>
        </w:trPr>
        <w:tc>
          <w:tcPr>
            <w:tcW w:w="5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Vendor Relationships</w:t>
            </w:r>
          </w:p>
        </w:tc>
        <w:tc>
          <w:tcPr>
            <w:tcW w:w="152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1,245</w:t>
            </w: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160" w:type="dxa"/>
            <w:vAlign w:val="bottom"/>
          </w:tcPr>
          <w:p>
            <w:pPr>
              <w:ind w:left="1080"/>
              <w:spacing w:after="0"/>
              <w:rPr>
                <w:sz w:val="20"/>
                <w:szCs w:val="20"/>
                <w:color w:val="auto"/>
              </w:rPr>
            </w:pPr>
            <w:r>
              <w:rPr>
                <w:rFonts w:ascii="Arial" w:cs="Arial" w:eastAsia="Arial" w:hAnsi="Arial"/>
                <w:sz w:val="18"/>
                <w:szCs w:val="18"/>
                <w:color w:val="auto"/>
              </w:rPr>
              <w:t>Total intangible assets</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99"/>
              </w:rPr>
              <w:t>$ 2,825</w:t>
            </w:r>
          </w:p>
        </w:tc>
        <w:tc>
          <w:tcPr>
            <w:tcW w:w="6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400</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$ 2,425</w:t>
            </w: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Prior to recognizing the goodwill impairments in 2020 and 2019, Xometry evaluated the property and equipment and tangible and intangible long-lived assets for impairment. During 2020, Xometry recognized $0.1 million of impairment related to an intangible asset (a tradename) that Xometry ceased using in the U.S. reporting unit. Xometry wrote down the intangible asset to zero, its estimated fair value. The Company’s estimate of fair value considered discounted future cash flows associated with future use of the tradename. No impairments of intangible assets were recognized in 2019.</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20"/>
          </w:cols>
          <w:pgMar w:left="320" w:top="459" w:right="5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provides a rollforward of the carrying amount of goodwill (in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57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as of January 1:</w:t>
            </w: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Gross goodwill</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3,907</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$ 2,477</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impairments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(1,719)</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720" w:type="dxa"/>
            <w:vAlign w:val="bottom"/>
          </w:tcPr>
          <w:p>
            <w:pPr>
              <w:ind w:left="360"/>
              <w:spacing w:after="0"/>
              <w:rPr>
                <w:sz w:val="20"/>
                <w:szCs w:val="20"/>
                <w:color w:val="auto"/>
              </w:rPr>
            </w:pPr>
            <w:r>
              <w:rPr>
                <w:rFonts w:ascii="Arial" w:cs="Arial" w:eastAsia="Arial" w:hAnsi="Arial"/>
                <w:sz w:val="18"/>
                <w:szCs w:val="18"/>
                <w:color w:val="auto"/>
              </w:rPr>
              <w:t>Net goodwill as of January 1,</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2,188</w:t>
            </w:r>
          </w:p>
        </w:tc>
        <w:tc>
          <w:tcPr>
            <w:tcW w:w="6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2,477</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acquired during the year</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1,430</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Impact of foreign exchange</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154</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expense</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8"/>
              </w:rPr>
              <w:t>(1,509)</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(1,719)</w:t>
            </w:r>
          </w:p>
        </w:tc>
      </w:tr>
      <w:tr>
        <w:trPr>
          <w:trHeight w:val="20"/>
        </w:trPr>
        <w:tc>
          <w:tcPr>
            <w:tcW w:w="5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20" w:type="dxa"/>
            <w:vAlign w:val="bottom"/>
          </w:tcPr>
          <w:p>
            <w:pPr>
              <w:ind w:left="720"/>
              <w:spacing w:after="0"/>
              <w:rPr>
                <w:sz w:val="20"/>
                <w:szCs w:val="20"/>
                <w:color w:val="auto"/>
              </w:rPr>
            </w:pPr>
            <w:r>
              <w:rPr>
                <w:rFonts w:ascii="Arial" w:cs="Arial" w:eastAsia="Arial" w:hAnsi="Arial"/>
                <w:sz w:val="18"/>
                <w:szCs w:val="18"/>
                <w:color w:val="auto"/>
              </w:rPr>
              <w:t>Net goodwill as of December 31</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833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$ 2,188</w:t>
            </w:r>
          </w:p>
        </w:tc>
      </w:tr>
      <w:tr>
        <w:trPr>
          <w:trHeight w:val="20"/>
        </w:trPr>
        <w:tc>
          <w:tcPr>
            <w:tcW w:w="5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Gross goodwill</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3,907</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$ 3,907</w:t>
            </w:r>
          </w:p>
        </w:tc>
      </w:tr>
      <w:tr>
        <w:trPr>
          <w:trHeight w:val="202"/>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Impact of foreign exchange</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154</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Accumulated impairment expense</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8"/>
              </w:rPr>
              <w:t>(3,228)</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(1,719)</w:t>
            </w:r>
          </w:p>
        </w:tc>
      </w:tr>
      <w:tr>
        <w:trPr>
          <w:trHeight w:val="27"/>
        </w:trPr>
        <w:tc>
          <w:tcPr>
            <w:tcW w:w="5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goodwill as of December 31</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833</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$ 2,188</w:t>
            </w:r>
          </w:p>
        </w:tc>
      </w:tr>
      <w:tr>
        <w:trPr>
          <w:trHeight w:val="20"/>
        </w:trPr>
        <w:tc>
          <w:tcPr>
            <w:tcW w:w="5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During 2020 and 2019, the goodwill impairment analyses indicated that certain of reporting units with goodwill attributed to them had carrying amounts which exceeded their fair values. The underperformance of the reporting units relative to their expected performance drove the decline in the fair value of each reporting unit. As a result, during the years ended December 31, 2020 and 2019, Xometry recorded a pretax charge to reduce the carrying value of goodwill by $1.5 million and $1.7 million, respectively. As of December 31, 2020, Xometry’s goodwill of $0.8 million is part of Xometry’s U.S. operating segment.</w:t>
      </w:r>
    </w:p>
    <w:p>
      <w:pPr>
        <w:spacing w:after="0" w:line="94" w:lineRule="exact"/>
        <w:rPr>
          <w:sz w:val="20"/>
          <w:szCs w:val="20"/>
          <w:color w:val="auto"/>
        </w:rPr>
      </w:pPr>
    </w:p>
    <w:p>
      <w:pPr>
        <w:ind w:left="660" w:right="720"/>
        <w:spacing w:after="0"/>
        <w:rPr>
          <w:sz w:val="20"/>
          <w:szCs w:val="20"/>
          <w:color w:val="auto"/>
        </w:rPr>
      </w:pPr>
      <w:r>
        <w:rPr>
          <w:rFonts w:ascii="Arial" w:cs="Arial" w:eastAsia="Arial" w:hAnsi="Arial"/>
          <w:sz w:val="18"/>
          <w:szCs w:val="18"/>
          <w:color w:val="auto"/>
        </w:rPr>
        <w:t>Aggregate amortization expense for amortizing intangibles assets was $0.8 million and $ 0.3 million for the years ended December 31, 2020 and 2019, respectively. Estimated amortization expense for the next five years is: $0.3 million in 2021, $0.3 million in 2022, $0.1 million in 2023, $0.1 million in 2024, and $0.1 million in 2025.</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the year ended December 31, 2020 and 2019 was as follows (in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Borders>
              <w:bottom w:val="single" w:sz="8" w:color="CCEEFF"/>
            </w:tcBorders>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Sales and marketing</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642</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Operations and support</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56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development</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5" w:lineRule="exact"/>
        <w:rPr>
          <w:rFonts w:ascii="Arial" w:cs="Arial" w:eastAsia="Arial" w:hAnsi="Arial"/>
          <w:sz w:val="18"/>
          <w:szCs w:val="18"/>
          <w:b w:val="1"/>
          <w:bCs w:val="1"/>
          <w:color w:val="auto"/>
        </w:rPr>
      </w:pPr>
    </w:p>
    <w:p>
      <w:pPr>
        <w:ind w:left="660" w:right="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subsequent events through April 13, 2021 which is the date that the consolidated financial statements were available to be issued and no events were identified for disclosure in the consolidated financial statements.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26"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table below details the activity of the allowance for doubtful accounts, for the years ended December 31, 2020 and 2019 (in thousands):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Beginning of</w:t>
            </w:r>
          </w:p>
        </w:tc>
        <w:tc>
          <w:tcPr>
            <w:tcW w:w="32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Provision</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Deduction or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34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Accounts</w:t>
            </w:r>
          </w:p>
        </w:tc>
        <w:tc>
          <w:tcPr>
            <w:tcW w:w="16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Allowance for doubtful accounts: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w:t>
            </w:r>
          </w:p>
        </w:tc>
        <w:tc>
          <w:tcPr>
            <w:tcW w:w="96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378</w:t>
            </w:r>
          </w:p>
        </w:tc>
        <w:tc>
          <w:tcPr>
            <w:tcW w:w="6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315</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(124)</w:t>
            </w:r>
          </w:p>
        </w:tc>
        <w:tc>
          <w:tcPr>
            <w:tcW w:w="500" w:type="dxa"/>
            <w:vAlign w:val="bottom"/>
            <w:gridSpan w:val="2"/>
          </w:tcPr>
          <w:p>
            <w:pPr>
              <w:ind w:left="38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2019</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(453)</w:t>
            </w:r>
          </w:p>
        </w:tc>
        <w:tc>
          <w:tcPr>
            <w:tcW w:w="5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F-29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1354455</wp:posOffset>
            </wp:positionV>
            <wp:extent cx="1474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2425700</wp:posOffset>
            </wp:positionV>
            <wp:extent cx="1474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1619885</wp:posOffset>
            </wp:positionV>
            <wp:extent cx="2177415" cy="5054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7741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85"/>
        </w:trPr>
        <w:tc>
          <w:tcPr>
            <w:tcW w:w="4700" w:type="dxa"/>
            <w:vAlign w:val="bottom"/>
            <w:gridSpan w:val="2"/>
          </w:tcPr>
          <w:p>
            <w:pPr>
              <w:ind w:left="500"/>
              <w:spacing w:after="0"/>
              <w:rPr>
                <w:sz w:val="20"/>
                <w:szCs w:val="20"/>
                <w:color w:val="auto"/>
              </w:rPr>
            </w:pPr>
            <w:r>
              <w:rPr>
                <w:rFonts w:ascii="Arial" w:cs="Arial" w:eastAsia="Arial" w:hAnsi="Arial"/>
                <w:sz w:val="22"/>
                <w:szCs w:val="22"/>
                <w:b w:val="1"/>
                <w:bCs w:val="1"/>
                <w:color w:val="auto"/>
              </w:rPr>
              <w:t>Goldman Sachs &amp; Co. LLC</w:t>
            </w:r>
          </w:p>
        </w:tc>
        <w:tc>
          <w:tcPr>
            <w:tcW w:w="3080" w:type="dxa"/>
            <w:vAlign w:val="bottom"/>
          </w:tcPr>
          <w:p>
            <w:pPr>
              <w:ind w:left="320"/>
              <w:spacing w:after="0"/>
              <w:rPr>
                <w:sz w:val="20"/>
                <w:szCs w:val="20"/>
                <w:color w:val="auto"/>
              </w:rPr>
            </w:pPr>
            <w:r>
              <w:rPr>
                <w:rFonts w:ascii="Arial" w:cs="Arial" w:eastAsia="Arial" w:hAnsi="Arial"/>
                <w:sz w:val="22"/>
                <w:szCs w:val="22"/>
                <w:b w:val="1"/>
                <w:bCs w:val="1"/>
                <w:color w:val="auto"/>
              </w:rPr>
              <w:t>J.P. Morgan</w:t>
            </w:r>
          </w:p>
        </w:tc>
        <w:tc>
          <w:tcPr>
            <w:tcW w:w="3240" w:type="dxa"/>
            <w:vAlign w:val="bottom"/>
          </w:tcPr>
          <w:p>
            <w:pPr>
              <w:ind w:left="340"/>
              <w:spacing w:after="0"/>
              <w:rPr>
                <w:sz w:val="20"/>
                <w:szCs w:val="20"/>
                <w:color w:val="auto"/>
              </w:rPr>
            </w:pPr>
            <w:r>
              <w:rPr>
                <w:rFonts w:ascii="Arial" w:cs="Arial" w:eastAsia="Arial" w:hAnsi="Arial"/>
                <w:sz w:val="22"/>
                <w:szCs w:val="22"/>
                <w:b w:val="1"/>
                <w:bCs w:val="1"/>
                <w:color w:val="auto"/>
              </w:rPr>
              <w:t>UBS Investment Bank</w:t>
            </w:r>
          </w:p>
        </w:tc>
      </w:tr>
      <w:tr>
        <w:trPr>
          <w:trHeight w:val="486"/>
        </w:trPr>
        <w:tc>
          <w:tcPr>
            <w:tcW w:w="2280" w:type="dxa"/>
            <w:vAlign w:val="bottom"/>
          </w:tcPr>
          <w:p>
            <w:pPr>
              <w:ind w:left="840"/>
              <w:spacing w:after="0"/>
              <w:rPr>
                <w:sz w:val="20"/>
                <w:szCs w:val="20"/>
                <w:color w:val="auto"/>
              </w:rPr>
            </w:pPr>
            <w:r>
              <w:rPr>
                <w:rFonts w:ascii="Arial" w:cs="Arial" w:eastAsia="Arial" w:hAnsi="Arial"/>
                <w:sz w:val="22"/>
                <w:szCs w:val="22"/>
                <w:b w:val="1"/>
                <w:bCs w:val="1"/>
                <w:color w:val="auto"/>
              </w:rPr>
              <w:t>Citigroup</w:t>
            </w:r>
          </w:p>
        </w:tc>
        <w:tc>
          <w:tcPr>
            <w:tcW w:w="2420" w:type="dxa"/>
            <w:vAlign w:val="bottom"/>
          </w:tcPr>
          <w:p>
            <w:pPr>
              <w:ind w:left="500"/>
              <w:spacing w:after="0"/>
              <w:rPr>
                <w:sz w:val="20"/>
                <w:szCs w:val="20"/>
                <w:color w:val="auto"/>
              </w:rPr>
            </w:pPr>
            <w:r>
              <w:rPr>
                <w:rFonts w:ascii="Arial" w:cs="Arial" w:eastAsia="Arial" w:hAnsi="Arial"/>
                <w:sz w:val="22"/>
                <w:szCs w:val="22"/>
                <w:b w:val="1"/>
                <w:bCs w:val="1"/>
                <w:color w:val="auto"/>
              </w:rPr>
              <w:t>BofA Securities</w:t>
            </w:r>
          </w:p>
        </w:tc>
        <w:tc>
          <w:tcPr>
            <w:tcW w:w="3080" w:type="dxa"/>
            <w:vAlign w:val="bottom"/>
          </w:tcPr>
          <w:p>
            <w:pPr>
              <w:ind w:left="1420"/>
              <w:spacing w:after="0"/>
              <w:rPr>
                <w:sz w:val="20"/>
                <w:szCs w:val="20"/>
                <w:color w:val="auto"/>
              </w:rPr>
            </w:pPr>
            <w:r>
              <w:rPr>
                <w:rFonts w:ascii="Arial" w:cs="Arial" w:eastAsia="Arial" w:hAnsi="Arial"/>
                <w:sz w:val="22"/>
                <w:szCs w:val="22"/>
                <w:b w:val="1"/>
                <w:bCs w:val="1"/>
                <w:color w:val="auto"/>
              </w:rPr>
              <w:t>William Blair</w:t>
            </w:r>
          </w:p>
        </w:tc>
        <w:tc>
          <w:tcPr>
            <w:tcW w:w="3240" w:type="dxa"/>
            <w:vAlign w:val="bottom"/>
          </w:tcPr>
          <w:p>
            <w:pPr>
              <w:ind w:left="860"/>
              <w:spacing w:after="0"/>
              <w:rPr>
                <w:sz w:val="20"/>
                <w:szCs w:val="20"/>
                <w:color w:val="auto"/>
              </w:rPr>
            </w:pPr>
            <w:r>
              <w:rPr>
                <w:rFonts w:ascii="Arial" w:cs="Arial" w:eastAsia="Arial" w:hAnsi="Arial"/>
                <w:sz w:val="22"/>
                <w:szCs w:val="22"/>
                <w:b w:val="1"/>
                <w:bCs w:val="1"/>
                <w:color w:val="auto"/>
              </w:rPr>
              <w:t>RBC Capital Markets</w:t>
            </w:r>
          </w:p>
        </w:tc>
      </w:tr>
      <w:tr>
        <w:trPr>
          <w:trHeight w:val="2001"/>
        </w:trPr>
        <w:tc>
          <w:tcPr>
            <w:tcW w:w="2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95"/>
        </w:trPr>
        <w:tc>
          <w:tcPr>
            <w:tcW w:w="228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r>
    </w:tbl>
    <w:p>
      <w:pPr>
        <w:sectPr>
          <w:pgSz w:w="11900" w:h="16838" w:orient="portrait"/>
          <w:cols w:equalWidth="0" w:num="1">
            <w:col w:w="11140"/>
          </w:cols>
          <w:pgMar w:left="320" w:top="459" w:right="43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Unless otherwise indicated, all references to “Xometry,” the “company,” “we,” “our,” “us” or similar terms refer to Xometry, Inc. and its subsidiaries.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120"/>
          </w:cols>
          <w:pgMar w:left="320" w:top="459" w:right="459" w:bottom="1440" w:gutter="0" w:footer="0" w:header="0"/>
        </w:sect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FINRA filing fee</w:t>
      </w:r>
    </w:p>
    <w:p>
      <w:pPr>
        <w:ind w:left="120"/>
        <w:spacing w:after="0" w:line="235" w:lineRule="auto"/>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Printing and engraving expenses</w:t>
      </w:r>
    </w:p>
    <w:p>
      <w:pPr>
        <w:ind w:left="120"/>
        <w:spacing w:after="0" w:line="235" w:lineRule="auto"/>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Accounting fees and expenses</w:t>
      </w:r>
    </w:p>
    <w:p>
      <w:pPr>
        <w:ind w:left="120"/>
        <w:spacing w:after="0"/>
        <w:rPr>
          <w:sz w:val="20"/>
          <w:szCs w:val="20"/>
          <w:color w:val="auto"/>
        </w:rPr>
      </w:pPr>
      <w:r>
        <w:rPr>
          <w:rFonts w:ascii="Arial" w:cs="Arial" w:eastAsia="Arial" w:hAnsi="Arial"/>
          <w:sz w:val="17"/>
          <w:szCs w:val="17"/>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Miscellaneous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779" w:hanging="779"/>
        <w:spacing w:after="0"/>
        <w:tabs>
          <w:tab w:leader="none" w:pos="779"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77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883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7" w:lineRule="exact"/>
        <w:rPr>
          <w:sz w:val="20"/>
          <w:szCs w:val="20"/>
          <w:color w:val="auto"/>
        </w:rPr>
      </w:pPr>
    </w:p>
    <w:p>
      <w:pPr>
        <w:ind w:left="779" w:hanging="779"/>
        <w:spacing w:after="0"/>
        <w:tabs>
          <w:tab w:leader="none" w:pos="779"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883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4883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561" w:space="720"/>
            <w:col w:w="839"/>
          </w:cols>
          <w:pgMar w:left="320" w:top="459" w:right="459" w:bottom="1440" w:gutter="0" w:footer="0" w:header="0"/>
          <w:type w:val="continuous"/>
        </w:sectPr>
      </w:pPr>
    </w:p>
    <w:p>
      <w:pPr>
        <w:spacing w:after="0" w:line="39" w:lineRule="exact"/>
        <w:rPr>
          <w:sz w:val="20"/>
          <w:szCs w:val="20"/>
          <w:color w:val="auto"/>
        </w:rPr>
      </w:pPr>
    </w:p>
    <w:p>
      <w:pPr>
        <w:ind w:left="440" w:hanging="324"/>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completion of this offering permits indemnification of our directors, officers, employees and other agents to the maximum extent permitted by the Delaware General Corporation Law, and our amended and restated bylaws that will be in effect on the completion of this offering provide that we will indemnify our directors and officers and permit us to indemnify our employees and other agents, in each case to the maximum extent permitted by the Delaware General Corporation Law.</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Xometry, Inc., provided that such director or officer acted in good faith and in a manner that the director or officer reasonably believed to be in, or not opposed to, the best interest of Xometry, Inc. At present, there is no pending litigation or proceeding involving a director or officer of Xometry, Inc. regarding which indemnification is sought, nor is the registrant aware of any threatened litigation that may result in claims for indemnification.</w:t>
      </w:r>
    </w:p>
    <w:p>
      <w:pPr>
        <w:spacing w:after="0" w:line="203"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w:t>
      </w:r>
    </w:p>
    <w:p>
      <w:pPr>
        <w:spacing w:after="0" w:line="117" w:lineRule="exact"/>
        <w:rPr>
          <w:sz w:val="20"/>
          <w:szCs w:val="20"/>
          <w:color w:val="auto"/>
        </w:rPr>
      </w:pPr>
    </w:p>
    <w:p>
      <w:pPr>
        <w:ind w:left="660" w:hanging="544"/>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Option issuances.</w:t>
      </w:r>
    </w:p>
    <w:p>
      <w:pPr>
        <w:spacing w:after="0" w:line="2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granted under our 2016 Plan options to purchase an aggregate of 3,897,571 shares of our common stock to a total of 509 employees, consultants and directors, having exercise prices ranging from $1.65 to $12.32 per share. 496,335 of such options granted under the 2016 Plan have been exercised at a weighted-average exercise price of approximately $1.72 per share.</w:t>
      </w:r>
    </w:p>
    <w:p>
      <w:pPr>
        <w:spacing w:after="0" w:line="108"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Preferred Stock Issuances.</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July 2020, we sold an aggregate of 1,136,622 shares of Series A-2 Preferred Stock at a purchase price of $9.576 per share, 390,152 shares of Series B Preferred Stock at a purchase price of $9.576 per share, 255,285 shares of Series C Preferred Stock at a purchase price of $9.576 per share, 150,168 shares of Series C Preferred Stock at a purchase price of $10.011 per share, 149,838 shares of Series D Preferred Stock at a purchase price of $9.576 per share, 164,821 shares of Series D Preferred Stock at a purchase price of $10.011 per share, and 2,275,759 shares of Series E Preferred Stock at a purchase price of $13.622 per share, for an aggregate purchase price of approximately $52,653,589.65.</w:t>
      </w:r>
    </w:p>
    <w:p>
      <w:pPr>
        <w:spacing w:after="0" w:line="205"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In May 2019, we sold an aggregate of 5,494,064 shares of Series D Preferred Stock at a purchase price of $10.0108 per share, for an aggregate purchase price of approximately $54,999,975.96.</w:t>
      </w:r>
    </w:p>
    <w:p>
      <w:pPr>
        <w:spacing w:after="0" w:line="197"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Section 4(2)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Financial Statement Schedules.</w:t>
      </w:r>
    </w:p>
    <w:p>
      <w:pPr>
        <w:spacing w:after="0" w:line="21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3"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20" w:right="60" w:firstLine="547"/>
        <w:spacing w:after="0" w:line="248" w:lineRule="auto"/>
        <w:tabs>
          <w:tab w:leader="none" w:pos="941" w:val="left"/>
        </w:tabs>
        <w:numPr>
          <w:ilvl w:val="1"/>
          <w:numId w:val="13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w:t>
      </w:r>
    </w:p>
    <w:p>
      <w:pPr>
        <w:spacing w:after="0" w:line="1" w:lineRule="exact"/>
        <w:rPr>
          <w:rFonts w:ascii="Arial" w:cs="Arial" w:eastAsia="Arial" w:hAnsi="Arial"/>
          <w:sz w:val="17"/>
          <w:szCs w:val="17"/>
          <w:color w:val="auto"/>
        </w:rPr>
      </w:pPr>
    </w:p>
    <w:p>
      <w:pPr>
        <w:ind w:left="380" w:hanging="264"/>
        <w:spacing w:after="0"/>
        <w:tabs>
          <w:tab w:leader="none" w:pos="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or (4) or 497(h) under the Securities Act will be deemed to be part of this registration statement as of the time it was declared effective.</w:t>
      </w:r>
    </w:p>
    <w:p>
      <w:pPr>
        <w:spacing w:after="0" w:line="211" w:lineRule="exact"/>
        <w:rPr>
          <w:rFonts w:ascii="Arial" w:cs="Arial" w:eastAsia="Arial" w:hAnsi="Arial"/>
          <w:sz w:val="18"/>
          <w:szCs w:val="18"/>
          <w:color w:val="auto"/>
        </w:rPr>
      </w:pPr>
    </w:p>
    <w:p>
      <w:pPr>
        <w:jc w:val="both"/>
        <w:ind w:left="120" w:right="320" w:firstLine="547"/>
        <w:spacing w:after="0"/>
        <w:tabs>
          <w:tab w:leader="none" w:pos="94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10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r>
              <w:rPr>
                <w:rFonts w:ascii="Arial" w:cs="Arial" w:eastAsia="Arial" w:hAnsi="Arial"/>
                <w:sz w:val="15"/>
                <w:szCs w:val="15"/>
                <w:b w:val="1"/>
                <w:bCs w:val="1"/>
                <w:color w:val="auto"/>
              </w:rPr>
              <w:t>11</w:t>
            </w:r>
          </w:p>
        </w:tc>
      </w:tr>
      <w:tr>
        <w:trPr>
          <w:trHeight w:val="378"/>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75"/>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500" w:type="dxa"/>
            <w:vAlign w:val="bottom"/>
          </w:tcPr>
          <w:p>
            <w:pPr>
              <w:spacing w:after="0"/>
              <w:rPr>
                <w:sz w:val="15"/>
                <w:szCs w:val="15"/>
                <w:color w:val="auto"/>
              </w:rPr>
            </w:pPr>
          </w:p>
        </w:tc>
      </w:tr>
      <w:tr>
        <w:trPr>
          <w:trHeight w:val="318"/>
        </w:trPr>
        <w:tc>
          <w:tcPr>
            <w:tcW w:w="540" w:type="dxa"/>
            <w:vAlign w:val="bottom"/>
          </w:tcPr>
          <w:p>
            <w:pPr>
              <w:ind w:left="1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540" w:type="dxa"/>
            <w:vAlign w:val="bottom"/>
          </w:tcPr>
          <w:p>
            <w:pPr>
              <w:ind w:lef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 of Xometry, Inc., as currently in effect.</w:t>
            </w:r>
          </w:p>
        </w:tc>
      </w:tr>
      <w:tr>
        <w:trPr>
          <w:trHeight w:val="311"/>
        </w:trPr>
        <w:tc>
          <w:tcPr>
            <w:tcW w:w="540" w:type="dxa"/>
            <w:vAlign w:val="bottom"/>
          </w:tcPr>
          <w:p>
            <w:pPr>
              <w:ind w:left="1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w w:val="99"/>
              </w:rPr>
              <w:t>Form of Amended and Restated Certificate of Incorporation of Xometry, Inc., to be in effect on the completion of the offering.</w:t>
            </w:r>
          </w:p>
        </w:tc>
      </w:tr>
      <w:tr>
        <w:trPr>
          <w:trHeight w:val="311"/>
        </w:trPr>
        <w:tc>
          <w:tcPr>
            <w:tcW w:w="540" w:type="dxa"/>
            <w:vAlign w:val="bottom"/>
          </w:tcPr>
          <w:p>
            <w:pPr>
              <w:ind w:left="10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Xometry, Inc., as currently in effect.</w:t>
            </w:r>
          </w:p>
        </w:tc>
      </w:tr>
      <w:tr>
        <w:trPr>
          <w:trHeight w:val="310"/>
        </w:trPr>
        <w:tc>
          <w:tcPr>
            <w:tcW w:w="540" w:type="dxa"/>
            <w:vAlign w:val="bottom"/>
          </w:tcPr>
          <w:p>
            <w:pPr>
              <w:ind w:left="1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 of Amended and Restated Bylaws of Xometry, Inc., to be in effect on the completion of the offering.</w:t>
            </w:r>
          </w:p>
        </w:tc>
      </w:tr>
      <w:tr>
        <w:trPr>
          <w:trHeight w:val="311"/>
        </w:trPr>
        <w:tc>
          <w:tcPr>
            <w:tcW w:w="540" w:type="dxa"/>
            <w:vAlign w:val="bottom"/>
          </w:tcPr>
          <w:p>
            <w:pPr>
              <w:ind w:left="10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540" w:type="dxa"/>
            <w:vAlign w:val="bottom"/>
          </w:tcPr>
          <w:p>
            <w:pPr>
              <w:ind w:left="10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Opinion of Cooley LLP.</w:t>
            </w: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Seventh Amended and Restated Investor Rights Agreement, dated July 17, 2020.</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2016 Equity Incentive Plan.</w:t>
            </w: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Amendment No. 1 to 2016 Equity Incentive Plan</w:t>
            </w: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Amendment No. 2 to 2016 Equity Incentive Plan</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Amendment No. 3 to 2016 Equity Incentive Plan</w:t>
            </w: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Amendment No. 4 to 2016 Equity Incentive Plan</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Amendment No. 5 to 2016 Equity Incentive Plan</w:t>
            </w: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Forms of grant notice, stock option agreement, and notice of exercise under the Xometry, Inc. 2016 Equity Incentive Plan.</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w w:val="98"/>
              </w:rPr>
              <w:t>10.9+*</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2021 Equity Incentive Plan.</w:t>
            </w:r>
          </w:p>
        </w:tc>
      </w:tr>
      <w:tr>
        <w:trPr>
          <w:trHeight w:val="310"/>
        </w:trPr>
        <w:tc>
          <w:tcPr>
            <w:tcW w:w="8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Forms of grant notice, stock option agreement and notice of exercise under the Xometry, Inc. 2021 Equity Incentive Plan.</w:t>
            </w:r>
          </w:p>
        </w:tc>
      </w:tr>
      <w:tr>
        <w:trPr>
          <w:trHeight w:val="310"/>
        </w:trPr>
        <w:tc>
          <w:tcPr>
            <w:tcW w:w="8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Forms of restricted stock unit grant notice and award agreement under the Xometry, Inc. 2021 Equity Incentive Plan.</w:t>
            </w:r>
          </w:p>
        </w:tc>
      </w:tr>
      <w:tr>
        <w:trPr>
          <w:trHeight w:val="310"/>
        </w:trPr>
        <w:tc>
          <w:tcPr>
            <w:tcW w:w="8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Xometry, Inc. 2021 Employee Stock Purchase Plan.</w:t>
            </w:r>
          </w:p>
        </w:tc>
      </w:tr>
      <w:tr>
        <w:trPr>
          <w:trHeight w:val="310"/>
        </w:trPr>
        <w:tc>
          <w:tcPr>
            <w:tcW w:w="8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Employment agreement by and between Xometry, Inc. and James Rallo, dated as of April 13, 2020</w:t>
            </w:r>
          </w:p>
        </w:tc>
      </w:tr>
      <w:tr>
        <w:trPr>
          <w:trHeight w:val="311"/>
        </w:trPr>
        <w:tc>
          <w:tcPr>
            <w:tcW w:w="8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Form of Indemnification Agreement entered into by and between Xometry, Inc. and each director and executive officer.</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List of Subsidiaries of Xometry, Inc.</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Consent of Cooley LLP (included in Exhibit 5.1).</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Power of Attorney (included on page II-4).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right="4780" w:hanging="4"/>
        <w:spacing w:after="0" w:line="246" w:lineRule="auto"/>
        <w:tabs>
          <w:tab w:leader="none" w:pos="4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be submitted by amendment. All other exhibits are submitted herewith. + Indicates management contract or compensatory plan.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w:t>
      </w:r>
    </w:p>
    <w:tbl>
      <w:tblPr>
        <w:tblLayout w:type="fixed"/>
        <w:tblInd w:w="120" w:type="dxa"/>
        <w:tblCellMar>
          <w:top w:w="0" w:type="dxa"/>
          <w:left w:w="0" w:type="dxa"/>
          <w:bottom w:w="0" w:type="dxa"/>
          <w:right w:w="0" w:type="dxa"/>
        </w:tblCellMar>
      </w:tblPr>
      <w:tr>
        <w:trPr>
          <w:trHeight w:val="217"/>
        </w:trPr>
        <w:tc>
          <w:tcPr>
            <w:tcW w:w="9100" w:type="dxa"/>
            <w:vAlign w:val="bottom"/>
          </w:tcPr>
          <w:p>
            <w:pPr>
              <w:spacing w:after="0"/>
              <w:rPr>
                <w:sz w:val="20"/>
                <w:szCs w:val="20"/>
                <w:color w:val="auto"/>
              </w:rPr>
            </w:pPr>
            <w:r>
              <w:rPr>
                <w:rFonts w:ascii="Arial" w:cs="Arial" w:eastAsia="Arial" w:hAnsi="Arial"/>
                <w:sz w:val="18"/>
                <w:szCs w:val="18"/>
                <w:color w:val="auto"/>
              </w:rPr>
              <w:t>on its behalf by the undersigned, thereunto duly authorized, in the City of Gaithersburg, State of Maryland,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ind w:left="6740"/>
        <w:spacing w:after="0"/>
        <w:rPr>
          <w:sz w:val="20"/>
          <w:szCs w:val="20"/>
          <w:color w:val="auto"/>
        </w:rPr>
      </w:pPr>
      <w:r>
        <w:rPr>
          <w:rFonts w:ascii="Arial" w:cs="Arial" w:eastAsia="Arial" w:hAnsi="Arial"/>
          <w:sz w:val="18"/>
          <w:szCs w:val="18"/>
          <w:color w:val="auto"/>
        </w:rPr>
        <w:t>Name: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-130175</wp:posOffset>
            </wp:positionV>
            <wp:extent cx="24085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tabs>
          <w:tab w:leader="none" w:pos="7380" w:val="left"/>
        </w:tabs>
        <w:rPr>
          <w:sz w:val="20"/>
          <w:szCs w:val="20"/>
          <w:color w:val="auto"/>
        </w:rPr>
      </w:pPr>
      <w:r>
        <w:rPr>
          <w:rFonts w:ascii="Arial" w:cs="Arial" w:eastAsia="Arial" w:hAnsi="Arial"/>
          <w:sz w:val="18"/>
          <w:szCs w:val="18"/>
          <w:color w:val="auto"/>
        </w:rPr>
        <w:t>Title:</w:t>
        <w:tab/>
        <w:t>Co-Founder, Chief Executive Officer and</w:t>
      </w:r>
    </w:p>
    <w:p>
      <w:pPr>
        <w:ind w:left="74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Randolph Altschuler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0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1" w:lineRule="exact"/>
        <w:rPr>
          <w:sz w:val="20"/>
          <w:szCs w:val="20"/>
          <w:color w:val="auto"/>
        </w:rPr>
      </w:pPr>
    </w:p>
    <w:p>
      <w:pPr>
        <w:ind w:left="120"/>
        <w:spacing w:after="0"/>
        <w:tabs>
          <w:tab w:leader="none" w:pos="6340" w:val="left"/>
          <w:tab w:leader="none" w:pos="9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80" w:type="dxa"/>
            <w:vAlign w:val="bottom"/>
            <w:tcBorders>
              <w:bottom w:val="single" w:sz="8" w:color="auto"/>
            </w:tcBorders>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Chief Executive Officer, Co-Founder and Director (Principal</w:t>
            </w:r>
          </w:p>
        </w:tc>
        <w:tc>
          <w:tcPr>
            <w:tcW w:w="1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97"/>
        </w:trPr>
        <w:tc>
          <w:tcPr>
            <w:tcW w:w="3880" w:type="dxa"/>
            <w:vAlign w:val="bottom"/>
          </w:tcPr>
          <w:p>
            <w:pPr>
              <w:spacing w:after="0"/>
              <w:rPr>
                <w:sz w:val="20"/>
                <w:szCs w:val="20"/>
                <w:color w:val="auto"/>
              </w:rPr>
            </w:pPr>
            <w:r>
              <w:rPr>
                <w:rFonts w:ascii="Arial" w:cs="Arial" w:eastAsia="Arial" w:hAnsi="Arial"/>
                <w:sz w:val="14"/>
                <w:szCs w:val="14"/>
                <w:color w:val="auto"/>
              </w:rPr>
              <w:t>Randolph Altschuler</w:t>
            </w:r>
          </w:p>
        </w:tc>
        <w:tc>
          <w:tcPr>
            <w:tcW w:w="5600" w:type="dxa"/>
            <w:vAlign w:val="bottom"/>
          </w:tcPr>
          <w:p>
            <w:pPr>
              <w:ind w:left="300"/>
              <w:spacing w:after="0" w:line="197" w:lineRule="exact"/>
              <w:rPr>
                <w:sz w:val="20"/>
                <w:szCs w:val="20"/>
                <w:color w:val="auto"/>
              </w:rPr>
            </w:pPr>
            <w:r>
              <w:rPr>
                <w:rFonts w:ascii="Arial" w:cs="Arial" w:eastAsia="Arial" w:hAnsi="Arial"/>
                <w:sz w:val="18"/>
                <w:szCs w:val="18"/>
                <w:color w:val="auto"/>
              </w:rPr>
              <w:t>Executive Officer)</w:t>
            </w:r>
          </w:p>
        </w:tc>
        <w:tc>
          <w:tcPr>
            <w:tcW w:w="1280" w:type="dxa"/>
            <w:vAlign w:val="bottom"/>
          </w:tcPr>
          <w:p>
            <w:pPr>
              <w:spacing w:after="0"/>
              <w:rPr>
                <w:sz w:val="17"/>
                <w:szCs w:val="17"/>
                <w:color w:val="auto"/>
              </w:rPr>
            </w:pPr>
          </w:p>
        </w:tc>
      </w:tr>
      <w:tr>
        <w:trPr>
          <w:trHeight w:val="405"/>
        </w:trPr>
        <w:tc>
          <w:tcPr>
            <w:tcW w:w="388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Chief Financial Officer (Principal Accounting Officer)</w:t>
            </w:r>
          </w:p>
        </w:tc>
        <w:tc>
          <w:tcPr>
            <w:tcW w:w="1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3880" w:type="dxa"/>
            <w:vAlign w:val="bottom"/>
          </w:tcPr>
          <w:p>
            <w:pPr>
              <w:spacing w:after="0"/>
              <w:rPr>
                <w:sz w:val="20"/>
                <w:szCs w:val="20"/>
                <w:color w:val="auto"/>
              </w:rPr>
            </w:pPr>
            <w:r>
              <w:rPr>
                <w:rFonts w:ascii="Arial" w:cs="Arial" w:eastAsia="Arial" w:hAnsi="Arial"/>
                <w:sz w:val="14"/>
                <w:szCs w:val="14"/>
                <w:color w:val="auto"/>
              </w:rPr>
              <w:t>James Rallo</w:t>
            </w:r>
          </w:p>
        </w:tc>
        <w:tc>
          <w:tcPr>
            <w:tcW w:w="5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Chief Strategy Officer, Co-Founder and Director</w:t>
            </w:r>
          </w:p>
        </w:tc>
        <w:tc>
          <w:tcPr>
            <w:tcW w:w="1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3880" w:type="dxa"/>
            <w:vAlign w:val="bottom"/>
          </w:tcPr>
          <w:p>
            <w:pPr>
              <w:spacing w:after="0"/>
              <w:rPr>
                <w:sz w:val="20"/>
                <w:szCs w:val="20"/>
                <w:color w:val="auto"/>
              </w:rPr>
            </w:pPr>
            <w:r>
              <w:rPr>
                <w:rFonts w:ascii="Arial" w:cs="Arial" w:eastAsia="Arial" w:hAnsi="Arial"/>
                <w:sz w:val="14"/>
                <w:szCs w:val="14"/>
                <w:color w:val="auto"/>
              </w:rPr>
              <w:t>Laurence Zuriff</w:t>
            </w:r>
          </w:p>
        </w:tc>
        <w:tc>
          <w:tcPr>
            <w:tcW w:w="5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Chairman and Director</w:t>
            </w:r>
          </w:p>
        </w:tc>
        <w:tc>
          <w:tcPr>
            <w:tcW w:w="1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1"/>
        </w:trPr>
        <w:tc>
          <w:tcPr>
            <w:tcW w:w="3880" w:type="dxa"/>
            <w:vAlign w:val="bottom"/>
          </w:tcPr>
          <w:p>
            <w:pPr>
              <w:spacing w:after="0"/>
              <w:rPr>
                <w:sz w:val="20"/>
                <w:szCs w:val="20"/>
                <w:color w:val="auto"/>
              </w:rPr>
            </w:pPr>
            <w:r>
              <w:rPr>
                <w:rFonts w:ascii="Arial" w:cs="Arial" w:eastAsia="Arial" w:hAnsi="Arial"/>
                <w:sz w:val="14"/>
                <w:szCs w:val="14"/>
                <w:color w:val="auto"/>
              </w:rPr>
              <w:t>George Hornig</w:t>
            </w:r>
          </w:p>
        </w:tc>
        <w:tc>
          <w:tcPr>
            <w:tcW w:w="5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1"/>
        </w:trPr>
        <w:tc>
          <w:tcPr>
            <w:tcW w:w="3880" w:type="dxa"/>
            <w:vAlign w:val="bottom"/>
          </w:tcPr>
          <w:p>
            <w:pPr>
              <w:spacing w:after="0"/>
              <w:rPr>
                <w:sz w:val="20"/>
                <w:szCs w:val="20"/>
                <w:color w:val="auto"/>
              </w:rPr>
            </w:pPr>
            <w:r>
              <w:rPr>
                <w:rFonts w:ascii="Arial" w:cs="Arial" w:eastAsia="Arial" w:hAnsi="Arial"/>
                <w:sz w:val="14"/>
                <w:szCs w:val="14"/>
                <w:color w:val="auto"/>
              </w:rPr>
              <w:t>Seth Levine</w:t>
            </w:r>
          </w:p>
        </w:tc>
        <w:tc>
          <w:tcPr>
            <w:tcW w:w="5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8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1"/>
        </w:trPr>
        <w:tc>
          <w:tcPr>
            <w:tcW w:w="3880" w:type="dxa"/>
            <w:vAlign w:val="bottom"/>
          </w:tcPr>
          <w:p>
            <w:pPr>
              <w:spacing w:after="0"/>
              <w:rPr>
                <w:sz w:val="20"/>
                <w:szCs w:val="20"/>
                <w:color w:val="auto"/>
              </w:rPr>
            </w:pPr>
            <w:r>
              <w:rPr>
                <w:rFonts w:ascii="Arial" w:cs="Arial" w:eastAsia="Arial" w:hAnsi="Arial"/>
                <w:sz w:val="14"/>
                <w:szCs w:val="14"/>
                <w:color w:val="auto"/>
              </w:rPr>
              <w:t>Emily Rollins</w:t>
            </w:r>
          </w:p>
        </w:tc>
        <w:tc>
          <w:tcPr>
            <w:tcW w:w="56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tabs>
          <w:tab w:leader="none" w:pos="6340" w:val="left"/>
          <w:tab w:leader="none" w:pos="9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80" w:type="dxa"/>
            <w:vAlign w:val="bottom"/>
            <w:tcBorders>
              <w:bottom w:val="single" w:sz="8" w:color="auto"/>
            </w:tcBorders>
          </w:tcPr>
          <w:p>
            <w:pPr>
              <w:spacing w:after="0"/>
              <w:rPr>
                <w:sz w:val="17"/>
                <w:szCs w:val="17"/>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7440" w:type="dxa"/>
            <w:vAlign w:val="bottom"/>
            <w:gridSpan w:val="2"/>
          </w:tcPr>
          <w:p>
            <w:pPr>
              <w:spacing w:after="0"/>
              <w:rPr>
                <w:sz w:val="20"/>
                <w:szCs w:val="20"/>
                <w:color w:val="auto"/>
              </w:rPr>
            </w:pPr>
            <w:r>
              <w:rPr>
                <w:rFonts w:ascii="Arial" w:cs="Arial" w:eastAsia="Arial" w:hAnsi="Arial"/>
                <w:sz w:val="14"/>
                <w:szCs w:val="14"/>
                <w:color w:val="auto"/>
              </w:rPr>
              <w:t>Deborah Bial</w:t>
            </w:r>
          </w:p>
        </w:tc>
        <w:tc>
          <w:tcPr>
            <w:tcW w:w="332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7440" w:type="dxa"/>
            <w:vAlign w:val="bottom"/>
            <w:gridSpan w:val="2"/>
          </w:tcPr>
          <w:p>
            <w:pPr>
              <w:spacing w:after="0"/>
              <w:rPr>
                <w:sz w:val="20"/>
                <w:szCs w:val="20"/>
                <w:color w:val="auto"/>
              </w:rPr>
            </w:pPr>
            <w:r>
              <w:rPr>
                <w:rFonts w:ascii="Arial" w:cs="Arial" w:eastAsia="Arial" w:hAnsi="Arial"/>
                <w:sz w:val="14"/>
                <w:szCs w:val="14"/>
                <w:color w:val="auto"/>
              </w:rPr>
              <w:t>Craig Driscoll</w:t>
            </w:r>
          </w:p>
        </w:tc>
        <w:tc>
          <w:tcPr>
            <w:tcW w:w="332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7440" w:type="dxa"/>
            <w:vAlign w:val="bottom"/>
            <w:gridSpan w:val="2"/>
          </w:tcPr>
          <w:p>
            <w:pPr>
              <w:spacing w:after="0"/>
              <w:rPr>
                <w:sz w:val="20"/>
                <w:szCs w:val="20"/>
                <w:color w:val="auto"/>
              </w:rPr>
            </w:pPr>
            <w:r>
              <w:rPr>
                <w:rFonts w:ascii="Arial" w:cs="Arial" w:eastAsia="Arial" w:hAnsi="Arial"/>
                <w:sz w:val="14"/>
                <w:szCs w:val="14"/>
                <w:color w:val="auto"/>
              </w:rPr>
              <w:t>Ulrich Quay</w:t>
            </w:r>
          </w:p>
        </w:tc>
        <w:tc>
          <w:tcPr>
            <w:tcW w:w="332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7440" w:type="dxa"/>
            <w:vAlign w:val="bottom"/>
            <w:gridSpan w:val="2"/>
          </w:tcPr>
          <w:p>
            <w:pPr>
              <w:spacing w:after="0"/>
              <w:rPr>
                <w:sz w:val="20"/>
                <w:szCs w:val="20"/>
                <w:color w:val="auto"/>
              </w:rPr>
            </w:pPr>
            <w:r>
              <w:rPr>
                <w:rFonts w:ascii="Arial" w:cs="Arial" w:eastAsia="Arial" w:hAnsi="Arial"/>
                <w:sz w:val="14"/>
                <w:szCs w:val="14"/>
                <w:color w:val="auto"/>
              </w:rPr>
              <w:t>Fabio Rosati</w:t>
            </w:r>
          </w:p>
        </w:tc>
        <w:tc>
          <w:tcPr>
            <w:tcW w:w="332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7440" w:type="dxa"/>
            <w:vAlign w:val="bottom"/>
            <w:gridSpan w:val="2"/>
          </w:tcPr>
          <w:p>
            <w:pPr>
              <w:spacing w:after="0"/>
              <w:rPr>
                <w:sz w:val="20"/>
                <w:szCs w:val="20"/>
                <w:color w:val="auto"/>
              </w:rPr>
            </w:pPr>
            <w:r>
              <w:rPr>
                <w:rFonts w:ascii="Arial" w:cs="Arial" w:eastAsia="Arial" w:hAnsi="Arial"/>
                <w:sz w:val="14"/>
                <w:szCs w:val="14"/>
                <w:color w:val="auto"/>
              </w:rPr>
              <w:t>Hunter Somerville</w:t>
            </w:r>
          </w:p>
        </w:tc>
        <w:tc>
          <w:tcPr>
            <w:tcW w:w="3320" w:type="dxa"/>
            <w:vAlign w:val="bottom"/>
          </w:tcPr>
          <w:p>
            <w:pPr>
              <w:spacing w:after="0"/>
              <w:rPr>
                <w:sz w:val="14"/>
                <w:szCs w:val="14"/>
                <w:color w:val="auto"/>
              </w:rPr>
            </w:pPr>
          </w:p>
        </w:tc>
      </w:tr>
      <w:tr>
        <w:trPr>
          <w:trHeight w:val="417"/>
        </w:trPr>
        <w:tc>
          <w:tcPr>
            <w:tcW w:w="3880" w:type="dxa"/>
            <w:vAlign w:val="bottom"/>
            <w:tcBorders>
              <w:bottom w:val="single" w:sz="8" w:color="auto"/>
            </w:tcBorders>
          </w:tcPr>
          <w:p>
            <w:pPr>
              <w:spacing w:after="0"/>
              <w:rPr>
                <w:sz w:val="24"/>
                <w:szCs w:val="24"/>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170"/>
        </w:trPr>
        <w:tc>
          <w:tcPr>
            <w:tcW w:w="7440" w:type="dxa"/>
            <w:vAlign w:val="bottom"/>
            <w:gridSpan w:val="2"/>
          </w:tcPr>
          <w:p>
            <w:pPr>
              <w:spacing w:after="0"/>
              <w:rPr>
                <w:sz w:val="20"/>
                <w:szCs w:val="20"/>
                <w:color w:val="auto"/>
              </w:rPr>
            </w:pPr>
            <w:r>
              <w:rPr>
                <w:rFonts w:ascii="Arial" w:cs="Arial" w:eastAsia="Arial" w:hAnsi="Arial"/>
                <w:sz w:val="14"/>
                <w:szCs w:val="14"/>
                <w:color w:val="auto"/>
              </w:rPr>
              <w:t>Katharine Weymouth</w:t>
            </w:r>
          </w:p>
        </w:tc>
        <w:tc>
          <w:tcPr>
            <w:tcW w:w="3320" w:type="dxa"/>
            <w:vAlign w:val="bottom"/>
          </w:tcPr>
          <w:p>
            <w:pPr>
              <w:spacing w:after="0"/>
              <w:rPr>
                <w:sz w:val="14"/>
                <w:szCs w:val="14"/>
                <w:color w:val="auto"/>
              </w:rPr>
            </w:pPr>
          </w:p>
        </w:tc>
      </w:tr>
    </w:tbl>
    <w:p>
      <w:pPr>
        <w:spacing w:after="0" w:line="14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80"/>
          </w:cols>
          <w:pgMar w:left="320" w:top="459" w:right="69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Xometry,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40" w:firstLine="436"/>
        <w:spacing w:after="0" w:line="277"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name of the corporation is Xometry, Inc. The original Certificate of Incorporation of the corporation was filed with the Secretary of State of the State of Delaware under the name NextLine Manufacturing Corp. on May 29, 2013.</w:t>
      </w:r>
    </w:p>
    <w:p>
      <w:pPr>
        <w:spacing w:after="0" w:line="170" w:lineRule="exact"/>
        <w:rPr>
          <w:rFonts w:ascii="Arial" w:cs="Arial" w:eastAsia="Arial" w:hAnsi="Arial"/>
          <w:sz w:val="18"/>
          <w:szCs w:val="18"/>
          <w:color w:val="auto"/>
        </w:rPr>
      </w:pPr>
    </w:p>
    <w:p>
      <w:pPr>
        <w:ind w:right="320" w:firstLine="436"/>
        <w:spacing w:after="0" w:line="259" w:lineRule="auto"/>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Xometry,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Corporation Trust Center, 1209 Orange Street,</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Delaware 19801, County of New Castle. The name of its registered agent at such address is The Corporation Trust Company.</w:t>
      </w:r>
    </w:p>
    <w:p>
      <w:pPr>
        <w:spacing w:after="0" w:line="11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jc w:val="both"/>
        <w:ind w:right="540" w:firstLine="44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42,000,000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27,970,966 shares of Preferred Stock, $0.000001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278" w:lineRule="exact"/>
        <w:rPr>
          <w:sz w:val="20"/>
          <w:szCs w:val="20"/>
          <w:color w:val="auto"/>
        </w:rPr>
      </w:pPr>
    </w:p>
    <w:p>
      <w:pPr>
        <w:ind w:left="840" w:hanging="404"/>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COMMON STOCK</w:t>
      </w:r>
    </w:p>
    <w:p>
      <w:pPr>
        <w:spacing w:after="0" w:line="117" w:lineRule="exact"/>
        <w:rPr>
          <w:rFonts w:ascii="Arial" w:cs="Arial" w:eastAsia="Arial" w:hAnsi="Arial"/>
          <w:sz w:val="18"/>
          <w:szCs w:val="18"/>
          <w:color w:val="auto"/>
        </w:rPr>
      </w:pPr>
    </w:p>
    <w:p>
      <w:pPr>
        <w:ind w:right="240" w:firstLine="987"/>
        <w:spacing w:after="0" w:line="277" w:lineRule="auto"/>
        <w:tabs>
          <w:tab w:leader="none" w:pos="135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ectPr>
          <w:pgSz w:w="11900" w:h="16838" w:orient="portrait"/>
          <w:cols w:equalWidth="0" w:num="1">
            <w:col w:w="11020"/>
          </w:cols>
          <w:pgMar w:left="440" w:top="121" w:right="439" w:bottom="1440" w:gutter="0" w:footer="0" w:header="0"/>
        </w:sectPr>
      </w:pPr>
    </w:p>
    <w:bookmarkStart w:id="183" w:name="page184"/>
    <w:bookmarkEnd w:id="183"/>
    <w:p>
      <w:pPr>
        <w:ind w:left="4" w:firstLine="987"/>
        <w:spacing w:after="0" w:line="269" w:lineRule="auto"/>
        <w:tabs>
          <w:tab w:leader="none" w:pos="1355"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w:t>
      </w:r>
      <w:r>
        <w:rPr>
          <w:rFonts w:ascii="Arial" w:cs="Arial" w:eastAsia="Arial" w:hAnsi="Arial"/>
          <w:sz w:val="17"/>
          <w:szCs w:val="17"/>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There shall be no cumulative voting. The number of authorized shares of Common Stock may be increased or decreased (but not below the number of shares thereof then outstanding or reserved for issuance)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increase shall also require any other vote required under this Amended and Restated Certificate of Incorporation.</w:t>
      </w:r>
    </w:p>
    <w:p>
      <w:pPr>
        <w:spacing w:after="0" w:line="289" w:lineRule="exact"/>
        <w:rPr>
          <w:rFonts w:ascii="Arial" w:cs="Arial" w:eastAsia="Arial" w:hAnsi="Arial"/>
          <w:sz w:val="17"/>
          <w:szCs w:val="17"/>
          <w:color w:val="auto"/>
        </w:rPr>
      </w:pPr>
    </w:p>
    <w:p>
      <w:pPr>
        <w:ind w:left="824" w:hanging="384"/>
        <w:spacing w:after="0"/>
        <w:tabs>
          <w:tab w:leader="none" w:pos="824"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Preferred Stock consists of: (i) 4,200,000 shares of Series Seed-1 Convertible Preferred Stock (“</w:t>
      </w:r>
      <w:r>
        <w:rPr>
          <w:rFonts w:ascii="Arial" w:cs="Arial" w:eastAsia="Arial" w:hAnsi="Arial"/>
          <w:sz w:val="17"/>
          <w:szCs w:val="17"/>
          <w:b w:val="1"/>
          <w:bCs w:val="1"/>
          <w:color w:val="auto"/>
        </w:rPr>
        <w:t>Series Seed-1 Preferred Stock</w:t>
      </w:r>
      <w:r>
        <w:rPr>
          <w:rFonts w:ascii="Arial" w:cs="Arial" w:eastAsia="Arial" w:hAnsi="Arial"/>
          <w:sz w:val="17"/>
          <w:szCs w:val="17"/>
          <w:color w:val="auto"/>
        </w:rPr>
        <w:t>”),</w:t>
      </w:r>
    </w:p>
    <w:p>
      <w:pPr>
        <w:spacing w:after="0" w:line="39" w:lineRule="exact"/>
        <w:rPr>
          <w:sz w:val="20"/>
          <w:szCs w:val="20"/>
          <w:color w:val="auto"/>
        </w:rPr>
      </w:pPr>
    </w:p>
    <w:p>
      <w:pPr>
        <w:ind w:left="4" w:right="120" w:hanging="4"/>
        <w:spacing w:after="0" w:line="281" w:lineRule="auto"/>
        <w:tabs>
          <w:tab w:leader="none" w:pos="26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2,188,322 shares of Series Seed-2 Convertible Preferred Stock (“</w:t>
      </w:r>
      <w:r>
        <w:rPr>
          <w:rFonts w:ascii="Arial" w:cs="Arial" w:eastAsia="Arial" w:hAnsi="Arial"/>
          <w:sz w:val="16"/>
          <w:szCs w:val="16"/>
          <w:b w:val="1"/>
          <w:bCs w:val="1"/>
          <w:color w:val="auto"/>
        </w:rPr>
        <w:t>Series Seed-2 Preferred Stock</w:t>
      </w:r>
      <w:r>
        <w:rPr>
          <w:rFonts w:ascii="Arial" w:cs="Arial" w:eastAsia="Arial" w:hAnsi="Arial"/>
          <w:sz w:val="16"/>
          <w:szCs w:val="16"/>
          <w:color w:val="auto"/>
        </w:rPr>
        <w:t>”), (iii) 4,211,094 shares of Series A-1 Convertible Preferred Stock (“</w:t>
      </w:r>
      <w:r>
        <w:rPr>
          <w:rFonts w:ascii="Arial" w:cs="Arial" w:eastAsia="Arial" w:hAnsi="Arial"/>
          <w:sz w:val="16"/>
          <w:szCs w:val="16"/>
          <w:b w:val="1"/>
          <w:bCs w:val="1"/>
          <w:color w:val="auto"/>
        </w:rPr>
        <w:t>Series A-1 Preferred Stock</w:t>
      </w:r>
      <w:r>
        <w:rPr>
          <w:rFonts w:ascii="Arial" w:cs="Arial" w:eastAsia="Arial" w:hAnsi="Arial"/>
          <w:sz w:val="16"/>
          <w:szCs w:val="16"/>
          <w:color w:val="auto"/>
        </w:rPr>
        <w:t>”), (iv) 1,591,230 shares of Series A-2 Convertible Preferred Stock (“</w:t>
      </w:r>
      <w:r>
        <w:rPr>
          <w:rFonts w:ascii="Arial" w:cs="Arial" w:eastAsia="Arial" w:hAnsi="Arial"/>
          <w:sz w:val="16"/>
          <w:szCs w:val="16"/>
          <w:b w:val="1"/>
          <w:bCs w:val="1"/>
          <w:color w:val="auto"/>
        </w:rPr>
        <w:t>Series A-2 Preferred Stock</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4,132,055 shares of Series B Convertible Preferred Stock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(vi) 3,754,201 shares of Series C Convertible Preferred</w:t>
      </w:r>
    </w:p>
    <w:p>
      <w:pPr>
        <w:spacing w:after="0" w:line="32" w:lineRule="exact"/>
        <w:rPr>
          <w:rFonts w:ascii="Arial" w:cs="Arial" w:eastAsia="Arial" w:hAnsi="Arial"/>
          <w:sz w:val="16"/>
          <w:szCs w:val="16"/>
          <w:color w:val="auto"/>
        </w:rPr>
      </w:pPr>
    </w:p>
    <w:p>
      <w:pPr>
        <w:ind w:left="4" w:right="100"/>
        <w:spacing w:after="0" w:line="253" w:lineRule="auto"/>
        <w:rPr>
          <w:rFonts w:ascii="Arial" w:cs="Arial" w:eastAsia="Arial" w:hAnsi="Arial"/>
          <w:sz w:val="16"/>
          <w:szCs w:val="16"/>
          <w:color w:val="auto"/>
        </w:rPr>
      </w:pPr>
      <w:r>
        <w:rPr>
          <w:rFonts w:ascii="Arial" w:cs="Arial" w:eastAsia="Arial" w:hAnsi="Arial"/>
          <w:sz w:val="18"/>
          <w:szCs w:val="18"/>
          <w:color w:val="auto"/>
        </w:rPr>
        <w:t>Stock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(vii) 5,494,064 shares of Series D Convertible Preferred Stock (“</w:t>
      </w:r>
      <w:r>
        <w:rPr>
          <w:rFonts w:ascii="Arial" w:cs="Arial" w:eastAsia="Arial" w:hAnsi="Arial"/>
          <w:sz w:val="18"/>
          <w:szCs w:val="18"/>
          <w:b w:val="1"/>
          <w:bCs w:val="1"/>
          <w:color w:val="auto"/>
        </w:rPr>
        <w:t>Series D Preferred Stock</w:t>
      </w:r>
      <w:r>
        <w:rPr>
          <w:rFonts w:ascii="Arial" w:cs="Arial" w:eastAsia="Arial" w:hAnsi="Arial"/>
          <w:sz w:val="18"/>
          <w:szCs w:val="18"/>
          <w:color w:val="auto"/>
        </w:rPr>
        <w:t>”), and (viii) 2,400,000 shares of Series E Convertible Preferred Stock (“</w:t>
      </w:r>
      <w:r>
        <w:rPr>
          <w:rFonts w:ascii="Arial" w:cs="Arial" w:eastAsia="Arial" w:hAnsi="Arial"/>
          <w:sz w:val="18"/>
          <w:szCs w:val="18"/>
          <w:b w:val="1"/>
          <w:bCs w:val="1"/>
          <w:color w:val="auto"/>
        </w:rPr>
        <w:t>Series E Preferred Stock</w:t>
      </w:r>
      <w:r>
        <w:rPr>
          <w:rFonts w:ascii="Arial" w:cs="Arial" w:eastAsia="Arial" w:hAnsi="Arial"/>
          <w:sz w:val="18"/>
          <w:szCs w:val="18"/>
          <w:color w:val="auto"/>
        </w:rPr>
        <w:t xml:space="preserve">”), with the following respective rights, preferences, powers, privileges and restrictions, qualifications, and limitations. Unless otherwise indicated, references to “Sections” or “Subsections” in this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xml:space="preserve"> refer to sections and subsections of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w:t>
      </w:r>
    </w:p>
    <w:p>
      <w:pPr>
        <w:spacing w:after="0" w:line="192" w:lineRule="exact"/>
        <w:rPr>
          <w:rFonts w:ascii="Arial" w:cs="Arial" w:eastAsia="Arial" w:hAnsi="Arial"/>
          <w:sz w:val="16"/>
          <w:szCs w:val="16"/>
          <w:color w:val="auto"/>
        </w:rPr>
      </w:pPr>
    </w:p>
    <w:p>
      <w:pPr>
        <w:ind w:left="4" w:right="140" w:firstLine="987"/>
        <w:spacing w:after="0" w:line="291" w:lineRule="auto"/>
        <w:tabs>
          <w:tab w:leader="none" w:pos="1355"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first, the holders of the Preferred Stock then outstanding shall first receive (prior and in preference to any declaration or payment of any dividend on shares of any other class or series of capital stock of the Corporation), or simultaneously receive, a dividend on each outstanding share of Preferred Stock in an amount equal to eight percent (8%) of the Applicable Original Issue Price (as defined below) per year from and after the later of (i) the date on which the first share of Series E Preferred Stock was issued (the “</w:t>
      </w:r>
      <w:r>
        <w:rPr>
          <w:rFonts w:ascii="Arial" w:cs="Arial" w:eastAsia="Arial" w:hAnsi="Arial"/>
          <w:sz w:val="16"/>
          <w:szCs w:val="16"/>
          <w:b w:val="1"/>
          <w:bCs w:val="1"/>
          <w:color w:val="auto"/>
        </w:rPr>
        <w:t>Series E Original Issue Date</w:t>
      </w:r>
      <w:r>
        <w:rPr>
          <w:rFonts w:ascii="Arial" w:cs="Arial" w:eastAsia="Arial" w:hAnsi="Arial"/>
          <w:sz w:val="16"/>
          <w:szCs w:val="16"/>
          <w:color w:val="auto"/>
        </w:rPr>
        <w:t>”) or (ii) a date after the Series E Original Issue Date on which such share is issued (to the extent not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84" w:name="page185"/>
    <w:bookmarkEnd w:id="18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previously paid);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Corporation declares, pays or sets aside, on the same date, a dividend on shares of more than one class or series of capital stock of the Corporation, the dividend payable to the holders of each series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greater, the Preferred Stock shall be entitled to receive dividends in an amount equal to the amount it would have received as if such Preferred Stock (or series thereof) had been converted into Common Stock on the record date for determination of holders entitled to receive such dividend. The foregoing dividend shall not be cumulative. The “</w:t>
      </w:r>
      <w:r>
        <w:rPr>
          <w:rFonts w:ascii="Arial" w:cs="Arial" w:eastAsia="Arial" w:hAnsi="Arial"/>
          <w:sz w:val="16"/>
          <w:szCs w:val="16"/>
          <w:b w:val="1"/>
          <w:bCs w:val="1"/>
          <w:color w:val="auto"/>
        </w:rPr>
        <w:t>Series E Original Issue Price</w:t>
      </w:r>
      <w:r>
        <w:rPr>
          <w:rFonts w:ascii="Arial" w:cs="Arial" w:eastAsia="Arial" w:hAnsi="Arial"/>
          <w:sz w:val="16"/>
          <w:szCs w:val="16"/>
          <w:color w:val="auto"/>
        </w:rPr>
        <w:t>” shall mean $13.622 per share, subject to appropriate adjustment in the event of any stock dividend, stock split, combination or other similar recapitalization with respect to the Series E Preferred Stock. The “</w:t>
      </w:r>
      <w:r>
        <w:rPr>
          <w:rFonts w:ascii="Arial" w:cs="Arial" w:eastAsia="Arial" w:hAnsi="Arial"/>
          <w:sz w:val="16"/>
          <w:szCs w:val="16"/>
          <w:b w:val="1"/>
          <w:bCs w:val="1"/>
          <w:color w:val="auto"/>
        </w:rPr>
        <w:t>Series D Original Issue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shall mean $10.0108 per share, subject to appropriate adjustment in the event of any stock dividend, stock split, combination or other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with respect to the Series D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 mean $6.6592 per share, subject to appropriate adjustment in the event of any stock dividend, stock split, combination or other similar recapitalization with respect to the Series C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$5.1262 per share, subject to appropriate adjustment in the event of any stock dividend, stock split, combination or other similar recapitalization with respect to the Series B Preferred Stock. The “</w:t>
      </w:r>
      <w:r>
        <w:rPr>
          <w:rFonts w:ascii="Arial" w:cs="Arial" w:eastAsia="Arial" w:hAnsi="Arial"/>
          <w:sz w:val="16"/>
          <w:szCs w:val="16"/>
          <w:b w:val="1"/>
          <w:bCs w:val="1"/>
          <w:color w:val="auto"/>
        </w:rPr>
        <w:t>Series A-2 Original Issue Price</w:t>
      </w:r>
      <w:r>
        <w:rPr>
          <w:rFonts w:ascii="Arial" w:cs="Arial" w:eastAsia="Arial" w:hAnsi="Arial"/>
          <w:sz w:val="16"/>
          <w:szCs w:val="16"/>
          <w:color w:val="auto"/>
        </w:rPr>
        <w:t>” shall mean $4.399 per share, subject to appropriate adjustment in the event of any stock dividend, stock split, combination or other similar recapitalization with respect to the Series A-2 Preferred Stock. The “</w:t>
      </w:r>
      <w:r>
        <w:rPr>
          <w:rFonts w:ascii="Arial" w:cs="Arial" w:eastAsia="Arial" w:hAnsi="Arial"/>
          <w:sz w:val="16"/>
          <w:szCs w:val="16"/>
          <w:b w:val="1"/>
          <w:bCs w:val="1"/>
          <w:color w:val="auto"/>
        </w:rPr>
        <w:t>Series A-1 Original Issue Price</w:t>
      </w:r>
      <w:r>
        <w:rPr>
          <w:rFonts w:ascii="Arial" w:cs="Arial" w:eastAsia="Arial" w:hAnsi="Arial"/>
          <w:sz w:val="16"/>
          <w:szCs w:val="16"/>
          <w:color w:val="auto"/>
        </w:rPr>
        <w:t>” shall mean $2.0897 per share, subject to appropriate adjustment in the event of any stock dividend, stock split, combination or other similar recapitalization with respect to the Series A-1 Preferred Stock. The “</w:t>
      </w:r>
      <w:r>
        <w:rPr>
          <w:rFonts w:ascii="Arial" w:cs="Arial" w:eastAsia="Arial" w:hAnsi="Arial"/>
          <w:sz w:val="16"/>
          <w:szCs w:val="16"/>
          <w:b w:val="1"/>
          <w:bCs w:val="1"/>
          <w:color w:val="auto"/>
        </w:rPr>
        <w:t>Series Seed-2 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Issue Price</w:t>
      </w:r>
      <w:r>
        <w:rPr>
          <w:rFonts w:ascii="Arial" w:cs="Arial" w:eastAsia="Arial" w:hAnsi="Arial"/>
          <w:sz w:val="16"/>
          <w:szCs w:val="16"/>
          <w:color w:val="auto"/>
        </w:rPr>
        <w:t>” shall mean $1.37 per share, subject to appropriate adjustment in the event of any stock dividend, stock split, combination or other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with respect to the Series Seed-2 Preferred Stock. The “</w:t>
      </w:r>
      <w:r>
        <w:rPr>
          <w:rFonts w:ascii="Arial" w:cs="Arial" w:eastAsia="Arial" w:hAnsi="Arial"/>
          <w:sz w:val="16"/>
          <w:szCs w:val="16"/>
          <w:b w:val="1"/>
          <w:bCs w:val="1"/>
          <w:color w:val="auto"/>
        </w:rPr>
        <w:t>Series Seed-1 Original Issue Price</w:t>
      </w:r>
      <w:r>
        <w:rPr>
          <w:rFonts w:ascii="Arial" w:cs="Arial" w:eastAsia="Arial" w:hAnsi="Arial"/>
          <w:sz w:val="16"/>
          <w:szCs w:val="16"/>
          <w:color w:val="auto"/>
        </w:rPr>
        <w:t>” shall mean $1.00 per share, subject to appropriate adjustment in the event of any stock dividend, stock split, combination or other similar recapitalization with respect to the Series Seed-1 Preferred Stock. The “</w:t>
      </w:r>
      <w:r>
        <w:rPr>
          <w:rFonts w:ascii="Arial" w:cs="Arial" w:eastAsia="Arial" w:hAnsi="Arial"/>
          <w:sz w:val="16"/>
          <w:szCs w:val="16"/>
          <w:b w:val="1"/>
          <w:bCs w:val="1"/>
          <w:color w:val="auto"/>
        </w:rPr>
        <w:t>Applicable Original Issue Price</w:t>
      </w:r>
      <w:r>
        <w:rPr>
          <w:rFonts w:ascii="Arial" w:cs="Arial" w:eastAsia="Arial" w:hAnsi="Arial"/>
          <w:sz w:val="16"/>
          <w:szCs w:val="16"/>
          <w:color w:val="auto"/>
        </w:rPr>
        <w:t>” shall mean the Series E Original Issue Price, in the case of the Series E Preferred Stock, the Series D Original Issue Price, in the case of the Series D Preferred Stock, the Series C Original Issue Price, in the case of the Series C Preferred Stock, the Series B Original Issue Price, in the case of the Series B Preferred Stock, the Series A-2 Original Issue Price, in the case of the Series A-2 Preferred Stock, the Series A-1 Original Issue Price, in the case of the Series A-1 Preferred Stock, the Series Seed-2 Original Issue Price, in the case of the Series Seed-2 Preferred Stock and the Series Seed-1 Original Issue Price, in the case of the Series Seed-1 Preferred Stock.</w:t>
      </w:r>
    </w:p>
    <w:p>
      <w:pPr>
        <w:spacing w:after="0" w:line="285" w:lineRule="exact"/>
        <w:rPr>
          <w:sz w:val="20"/>
          <w:szCs w:val="20"/>
          <w:color w:val="auto"/>
        </w:rPr>
      </w:pPr>
    </w:p>
    <w:p>
      <w:pPr>
        <w:ind w:left="1340" w:hanging="353"/>
        <w:spacing w:after="0"/>
        <w:tabs>
          <w:tab w:leader="none" w:pos="13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Preferential Payments to Holders of Preferred Stock</w:t>
      </w:r>
      <w:r>
        <w:rPr>
          <w:rFonts w:ascii="Arial" w:cs="Arial" w:eastAsia="Arial" w:hAnsi="Arial"/>
          <w:sz w:val="18"/>
          <w:szCs w:val="18"/>
          <w:color w:val="auto"/>
        </w:rPr>
        <w:t xml:space="preserve">. In the event of any voluntary or involuntary liquidation, dissolution or winding up of the Corporation or Deemed Liquidation Event, the holders of shares of Preferred Stock then outstanding shall be entitled to be paid out of the assets of the Corporation available for distribution to its stockholders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before any payment shall be made to the holders of Common Stock or any other class or series of capital stock by reason of their ownership thereof, an amount per share equal to the greater of (i) one times the Applicable Original Issue Price plus any dividends declared but unpaid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thereon, or (ii) such amount per share of the applicable series of Preferred Stock as would have been payable had all shares of such series of Preferred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or winding up of the Corporation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Deemed Liquidation Event (the amount payable pursuant to this sentence with respect to the Series E Preferred Stock is hereinafter referred to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Liquidation Amount</w:t>
      </w:r>
      <w:r>
        <w:rPr>
          <w:rFonts w:ascii="Arial" w:cs="Arial" w:eastAsia="Arial" w:hAnsi="Arial"/>
          <w:sz w:val="16"/>
          <w:szCs w:val="16"/>
          <w:color w:val="auto"/>
        </w:rPr>
        <w:t>,” the amount payable pursuant to this sentence with respect to the Series D Preferred Stock is hereinafter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Series D Liquidation Amount</w:t>
      </w:r>
      <w:r>
        <w:rPr>
          <w:rFonts w:ascii="Arial" w:cs="Arial" w:eastAsia="Arial" w:hAnsi="Arial"/>
          <w:sz w:val="16"/>
          <w:szCs w:val="16"/>
          <w:color w:val="auto"/>
        </w:rPr>
        <w:t>,” the amount payable pursuant to this sentence with respect to the Series C Preferred Stock is hereinafter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 the amount payable pursuant to this sentence with respect to the Series B Preferred Stock is hereinafter 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the amount payable pursuant to this sentence with respect to the Series A-2 Preferred Stock is hereinafter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the “</w:t>
      </w:r>
      <w:r>
        <w:rPr>
          <w:rFonts w:ascii="Arial" w:cs="Arial" w:eastAsia="Arial" w:hAnsi="Arial"/>
          <w:sz w:val="16"/>
          <w:szCs w:val="16"/>
          <w:b w:val="1"/>
          <w:bCs w:val="1"/>
          <w:color w:val="auto"/>
        </w:rPr>
        <w:t>Series A-2 Liquidation Amount</w:t>
      </w:r>
      <w:r>
        <w:rPr>
          <w:rFonts w:ascii="Arial" w:cs="Arial" w:eastAsia="Arial" w:hAnsi="Arial"/>
          <w:sz w:val="16"/>
          <w:szCs w:val="16"/>
          <w:color w:val="auto"/>
        </w:rPr>
        <w:t>,” the amount payable pursuant to this sentence with respect to the Series A-1 Preferred Stock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hereinafter referred to as the “</w:t>
      </w:r>
      <w:r>
        <w:rPr>
          <w:rFonts w:ascii="Arial" w:cs="Arial" w:eastAsia="Arial" w:hAnsi="Arial"/>
          <w:sz w:val="17"/>
          <w:szCs w:val="17"/>
          <w:b w:val="1"/>
          <w:bCs w:val="1"/>
          <w:color w:val="auto"/>
        </w:rPr>
        <w:t>Series A-1 Liquidation Amount</w:t>
      </w:r>
      <w:r>
        <w:rPr>
          <w:rFonts w:ascii="Arial" w:cs="Arial" w:eastAsia="Arial" w:hAnsi="Arial"/>
          <w:sz w:val="17"/>
          <w:szCs w:val="17"/>
          <w:color w:val="auto"/>
        </w:rPr>
        <w:t>,” the amount payable pursuant to this sentence with respect to the Series Seed-2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is hereinafter referred to as the “</w:t>
      </w:r>
      <w:r>
        <w:rPr>
          <w:rFonts w:ascii="Arial" w:cs="Arial" w:eastAsia="Arial" w:hAnsi="Arial"/>
          <w:sz w:val="16"/>
          <w:szCs w:val="16"/>
          <w:b w:val="1"/>
          <w:bCs w:val="1"/>
          <w:color w:val="auto"/>
        </w:rPr>
        <w:t>Series Seed-2 Liquidation Amount</w:t>
      </w:r>
      <w:r>
        <w:rPr>
          <w:rFonts w:ascii="Arial" w:cs="Arial" w:eastAsia="Arial" w:hAnsi="Arial"/>
          <w:sz w:val="16"/>
          <w:szCs w:val="16"/>
          <w:color w:val="auto"/>
        </w:rPr>
        <w:t>” and the amount payable pursuant to this sentence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Series Seed-1 Preferred Stock is hereinafter referred to as the “</w:t>
      </w:r>
      <w:r>
        <w:rPr>
          <w:rFonts w:ascii="Arial" w:cs="Arial" w:eastAsia="Arial" w:hAnsi="Arial"/>
          <w:sz w:val="16"/>
          <w:szCs w:val="16"/>
          <w:b w:val="1"/>
          <w:bCs w:val="1"/>
          <w:color w:val="auto"/>
        </w:rPr>
        <w:t>Series Seed-1 Liquidation Amount</w:t>
      </w:r>
      <w:r>
        <w:rPr>
          <w:rFonts w:ascii="Arial" w:cs="Arial" w:eastAsia="Arial" w:hAnsi="Arial"/>
          <w:sz w:val="16"/>
          <w:szCs w:val="16"/>
          <w:color w:val="auto"/>
        </w:rPr>
        <w:t>”). The “</w:t>
      </w:r>
      <w:r>
        <w:rPr>
          <w:rFonts w:ascii="Arial" w:cs="Arial" w:eastAsia="Arial" w:hAnsi="Arial"/>
          <w:sz w:val="16"/>
          <w:szCs w:val="16"/>
          <w:b w:val="1"/>
          <w:bCs w:val="1"/>
          <w:color w:val="auto"/>
        </w:rPr>
        <w:t>Applicable Liquidation Amount</w:t>
      </w:r>
      <w:r>
        <w:rPr>
          <w:rFonts w:ascii="Arial" w:cs="Arial" w:eastAsia="Arial" w:hAnsi="Arial"/>
          <w:sz w:val="16"/>
          <w:szCs w:val="16"/>
          <w:color w:val="auto"/>
        </w:rPr>
        <w: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mean (a) in the case of shares of Series E Preferred Stock, the Series E Liquidation Amount, (b) in the case of shares of Series D Preferred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D Liquidation Amount, (c) in the case of shares of Series C Preferred Stock, the Series C Liquidation Amount, (d) in the case of shares of Series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 Preferred Stock, the Series B Liquidation Amount, (e) in the case of shares of Series A-2 Preferred Stock, the Series A-2 Liquidation Amount, (f)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case of shares of Series A-1 Preferred Stock, the Series A-1 Liquidation Amount, (g) in the case of shares of Series Seed-2 Preferred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Seed-2 Liquidation Amount and (h) in the case of shares of Series Seed-1 Preferred Stock, the Series Seed-1 Liquidation Amount. If upon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liquidation, dissolution or winding up of the Corporation or Deemed Liquidation Event, the assets of the Corporation available for distribution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stockholders shall be insufficient to pay the holders of shares of each series of Preferred Stock the full amount to which they shall be entitled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each series of Preferred Stock shall share ratably in any distribution of the assets available for distribution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proportion to the respective amounts which would otherwise be payable pursuant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upon such distribution if all amounts payable 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shares were paid in full.</w:t>
      </w:r>
    </w:p>
    <w:p>
      <w:pPr>
        <w:spacing w:after="0" w:line="211" w:lineRule="exact"/>
        <w:rPr>
          <w:sz w:val="20"/>
          <w:szCs w:val="20"/>
          <w:color w:val="auto"/>
        </w:rPr>
      </w:pPr>
    </w:p>
    <w:p>
      <w:pPr>
        <w:jc w:val="both"/>
        <w:ind w:right="140" w:firstLine="1432"/>
        <w:spacing w:after="0" w:line="30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In the event of any voluntary or involuntary liquidation, dissolution, or winding up of the Corporation or Deemed Liquidation Event, after the payment of all preferential amounts required to be paid to the holders of shares of Preferred Stock (unless otherwise converted into shares of Common Stock), the remaining assets of the Corporation available for distribution to its stockholders shall be distributed among the holders of the shares of Common Stock, pro rata based on the number of shares held by each such holder.</w:t>
      </w:r>
    </w:p>
    <w:p>
      <w:pPr>
        <w:spacing w:after="0" w:line="265"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113" w:lineRule="exact"/>
        <w:rPr>
          <w:sz w:val="20"/>
          <w:szCs w:val="20"/>
          <w:color w:val="auto"/>
        </w:rPr>
      </w:pPr>
    </w:p>
    <w:p>
      <w:pPr>
        <w:ind w:left="440" w:right="40" w:firstLine="1375"/>
        <w:spacing w:after="0" w:line="26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(x) the holders of a majority of the outstanding shares of Series Seed-1 Preferred Stock, Series Seed-2 Preferred Stock, Series A-1 Preferred Stock, Series A-2 Preferred Stock, Series B Preferred Stock, Series C Preferred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86" w:name="page187"/>
    <w:bookmarkEnd w:id="186"/>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Series D Preferred Stock and Series E Preferred Stock voting together as a single class and not as separate series and on an as-converted basis (collectively, the “</w:t>
      </w:r>
      <w:r>
        <w:rPr>
          <w:rFonts w:ascii="Arial" w:cs="Arial" w:eastAsia="Arial" w:hAnsi="Arial"/>
          <w:sz w:val="18"/>
          <w:szCs w:val="18"/>
          <w:b w:val="1"/>
          <w:bCs w:val="1"/>
          <w:color w:val="auto"/>
        </w:rPr>
        <w:t>Requisite Preferred Holder</w:t>
      </w:r>
      <w:r>
        <w:rPr>
          <w:rFonts w:ascii="Arial" w:cs="Arial" w:eastAsia="Arial" w:hAnsi="Arial"/>
          <w:sz w:val="18"/>
          <w:szCs w:val="18"/>
          <w:color w:val="auto"/>
        </w:rPr>
        <w:t>s”), (y) the holders of a majority of the outstanding shares of Series D Preferred Stock, voting separately (the “</w:t>
      </w:r>
      <w:r>
        <w:rPr>
          <w:rFonts w:ascii="Arial" w:cs="Arial" w:eastAsia="Arial" w:hAnsi="Arial"/>
          <w:sz w:val="18"/>
          <w:szCs w:val="18"/>
          <w:b w:val="1"/>
          <w:bCs w:val="1"/>
          <w:color w:val="auto"/>
        </w:rPr>
        <w:t>Requisite Series D Holders</w:t>
      </w:r>
      <w:r>
        <w:rPr>
          <w:rFonts w:ascii="Arial" w:cs="Arial" w:eastAsia="Arial" w:hAnsi="Arial"/>
          <w:sz w:val="18"/>
          <w:szCs w:val="18"/>
          <w:color w:val="auto"/>
        </w:rPr>
        <w:t>”), and (z) the holders of a majority of the outstanding shares of Series E Preferred Stock, voting separately (the “</w:t>
      </w:r>
      <w:r>
        <w:rPr>
          <w:rFonts w:ascii="Arial" w:cs="Arial" w:eastAsia="Arial" w:hAnsi="Arial"/>
          <w:sz w:val="18"/>
          <w:szCs w:val="18"/>
          <w:b w:val="1"/>
          <w:bCs w:val="1"/>
          <w:color w:val="auto"/>
        </w:rPr>
        <w:t>Requisite Series E Holders</w:t>
      </w:r>
      <w:r>
        <w:rPr>
          <w:rFonts w:ascii="Arial" w:cs="Arial" w:eastAsia="Arial" w:hAnsi="Arial"/>
          <w:sz w:val="18"/>
          <w:szCs w:val="18"/>
          <w:color w:val="auto"/>
        </w:rPr>
        <w:t>”) elect otherwise by written notice sent to the Corporation at least three (3) days prior to the effective date of any such event:</w:t>
      </w:r>
    </w:p>
    <w:p>
      <w:pPr>
        <w:spacing w:after="0" w:line="80" w:lineRule="exact"/>
        <w:rPr>
          <w:sz w:val="20"/>
          <w:szCs w:val="20"/>
          <w:color w:val="auto"/>
        </w:rPr>
      </w:pPr>
    </w:p>
    <w:p>
      <w:pPr>
        <w:ind w:left="1804" w:hanging="429"/>
        <w:spacing w:after="0"/>
        <w:tabs>
          <w:tab w:leader="none" w:pos="18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17" w:lineRule="exact"/>
        <w:rPr>
          <w:rFonts w:ascii="Arial" w:cs="Arial" w:eastAsia="Arial" w:hAnsi="Arial"/>
          <w:sz w:val="18"/>
          <w:szCs w:val="18"/>
          <w:color w:val="auto"/>
        </w:rPr>
      </w:pPr>
    </w:p>
    <w:p>
      <w:pPr>
        <w:ind w:left="2244" w:hanging="389"/>
        <w:spacing w:after="0"/>
        <w:tabs>
          <w:tab w:leader="none" w:pos="224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17" w:lineRule="exact"/>
        <w:rPr>
          <w:rFonts w:ascii="Arial" w:cs="Arial" w:eastAsia="Arial" w:hAnsi="Arial"/>
          <w:sz w:val="18"/>
          <w:szCs w:val="18"/>
          <w:color w:val="auto"/>
        </w:rPr>
      </w:pPr>
    </w:p>
    <w:p>
      <w:pPr>
        <w:ind w:left="544" w:firstLine="1311"/>
        <w:spacing w:after="0" w:line="254" w:lineRule="auto"/>
        <w:tabs>
          <w:tab w:leader="none" w:pos="229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86" w:lineRule="exact"/>
        <w:rPr>
          <w:rFonts w:ascii="Arial" w:cs="Arial" w:eastAsia="Arial" w:hAnsi="Arial"/>
          <w:sz w:val="18"/>
          <w:szCs w:val="18"/>
          <w:color w:val="auto"/>
        </w:rPr>
      </w:pPr>
    </w:p>
    <w:p>
      <w:pPr>
        <w:ind w:left="4" w:right="80" w:firstLine="1371"/>
        <w:spacing w:after="0" w:line="296" w:lineRule="auto"/>
        <w:tabs>
          <w:tab w:leader="none" w:pos="181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sale, lease, transfer, exclusive license, or other disposition, in a single transaction or series of related transactions, by the Corporation or any subsidiary of the Corporation of all or substantially all the assets and/or the intellectual property of the Corporation and its subsidiaries taken as a whole, or the sale or disposition (whether by merger or otherwise) of one or more subsidiaries of the Corporation if substantially all of the assets and/or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269" w:lineRule="exact"/>
        <w:rPr>
          <w:sz w:val="20"/>
          <w:szCs w:val="20"/>
          <w:color w:val="auto"/>
        </w:rPr>
      </w:pPr>
    </w:p>
    <w:p>
      <w:pPr>
        <w:ind w:left="984"/>
        <w:spacing w:after="0"/>
        <w:tabs>
          <w:tab w:leader="none" w:pos="1603"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117" w:lineRule="exact"/>
        <w:rPr>
          <w:sz w:val="20"/>
          <w:szCs w:val="20"/>
          <w:color w:val="auto"/>
        </w:rPr>
      </w:pPr>
    </w:p>
    <w:p>
      <w:pPr>
        <w:jc w:val="both"/>
        <w:ind w:left="4" w:right="360" w:firstLine="1371"/>
        <w:spacing w:after="0" w:line="311" w:lineRule="auto"/>
        <w:tabs>
          <w:tab w:leader="none" w:pos="180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2.4.1(a)(i)</w:t>
      </w:r>
      <w:r>
        <w:rPr>
          <w:rFonts w:ascii="Arial" w:cs="Arial" w:eastAsia="Arial" w:hAnsi="Arial"/>
          <w:sz w:val="16"/>
          <w:szCs w:val="16"/>
          <w:color w:val="auto"/>
        </w:rPr>
        <w:t xml:space="preserve"> unless the agreement or plan of merger or consolidation for such transaction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120" w:firstLine="1371"/>
        <w:spacing w:after="0" w:line="291" w:lineRule="auto"/>
        <w:tabs>
          <w:tab w:leader="none" w:pos="181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2.4.1(a)(ii)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w:t>
      </w:r>
    </w:p>
    <w:p>
      <w:pPr>
        <w:ind w:left="224" w:hanging="224"/>
        <w:spacing w:after="0"/>
        <w:tabs>
          <w:tab w:leader="none" w:pos="22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Corporation shall send a written notice to each holder of Preferred Stock no later than the ninetieth (90th) day after the Deemed</w:t>
      </w:r>
    </w:p>
    <w:p>
      <w:pPr>
        <w:spacing w:after="0" w:line="15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187" w:name="page188"/>
    <w:bookmarkEnd w:id="18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Liquidation Event advising such holders of their right (and the requirements to be met to secure such right) pursuant to the terms of the following clause to require the redemption of such shares of Preferred Stock; and (ii) if the Requisite Preferred Holders so request in a written instrument delivered to the Corporation not later than one hundred and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xml:space="preserve">”), to the extent legally available therefor, on the one hundred and fiftieth (150th)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based on the respective amounts which would otherwise be payable in respect of the shares to be redeemed if the Available Proceeds were sufficient to redeem all shares,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2.4.2(b)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63" w:lineRule="exact"/>
        <w:rPr>
          <w:sz w:val="20"/>
          <w:szCs w:val="20"/>
          <w:color w:val="auto"/>
        </w:rPr>
      </w:pPr>
    </w:p>
    <w:p>
      <w:pPr>
        <w:ind w:firstLine="1375"/>
        <w:spacing w:after="0" w:line="259"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79" w:lineRule="exact"/>
        <w:rPr>
          <w:sz w:val="20"/>
          <w:szCs w:val="20"/>
          <w:color w:val="auto"/>
        </w:rPr>
      </w:pPr>
    </w:p>
    <w:p>
      <w:pPr>
        <w:ind w:right="20" w:firstLine="1375"/>
        <w:spacing w:after="0" w:line="253"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Allocation of Escrow or Contingent Payments</w:t>
      </w:r>
      <w:r>
        <w:rPr>
          <w:rFonts w:ascii="Arial" w:cs="Arial" w:eastAsia="Arial" w:hAnsi="Arial"/>
          <w:sz w:val="18"/>
          <w:szCs w:val="18"/>
          <w:color w:val="auto"/>
        </w:rPr>
        <w:t xml:space="preserve">. In the case of a Deemed Liquidation Event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2.4.1(a)(i)</w:t>
      </w:r>
      <w:r>
        <w:rPr>
          <w:rFonts w:ascii="Arial" w:cs="Arial" w:eastAsia="Arial" w:hAnsi="Arial"/>
          <w:sz w:val="18"/>
          <w:szCs w:val="18"/>
          <w:color w:val="auto"/>
        </w:rPr>
        <w:t xml:space="preserve"> above, if any portion of the consideration payable to the stockholders of the Corporation is placed into escrow and/or is payable to the stockholders of the Corporation subject to contingencies, the Merger Agreement shall provide that (a) the portion of such consideration that is not placed in escrow and not subject to any contingencies (the “</w:t>
      </w:r>
      <w:r>
        <w:rPr>
          <w:rFonts w:ascii="Arial" w:cs="Arial" w:eastAsia="Arial" w:hAnsi="Arial"/>
          <w:sz w:val="18"/>
          <w:szCs w:val="18"/>
          <w:b w:val="1"/>
          <w:bCs w:val="1"/>
          <w:color w:val="auto"/>
        </w:rPr>
        <w:t>Initial Consideration</w:t>
      </w:r>
      <w:r>
        <w:rPr>
          <w:rFonts w:ascii="Arial" w:cs="Arial" w:eastAsia="Arial" w:hAnsi="Arial"/>
          <w:sz w:val="18"/>
          <w:szCs w:val="18"/>
          <w:color w:val="auto"/>
        </w:rPr>
        <w:t xml:space="preserve">”)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above as if the Initial 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above after taking into account the previous payment of the Initial Consideration as part of the same transaction.</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188" w:name="page189"/>
    <w:bookmarkEnd w:id="188"/>
    <w:p>
      <w:pPr>
        <w:ind w:left="1164" w:hanging="173"/>
        <w:spacing w:after="0"/>
        <w:tabs>
          <w:tab w:leader="none" w:pos="116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w:t>
      </w:r>
      <w:r>
        <w:rPr>
          <w:rFonts w:ascii="Arial" w:cs="Arial" w:eastAsia="Arial" w:hAnsi="Arial"/>
          <w:sz w:val="18"/>
          <w:szCs w:val="18"/>
          <w:color w:val="auto"/>
        </w:rPr>
        <w:t>.</w:t>
      </w:r>
    </w:p>
    <w:p>
      <w:pPr>
        <w:spacing w:after="0" w:line="117" w:lineRule="exact"/>
        <w:rPr>
          <w:sz w:val="20"/>
          <w:szCs w:val="20"/>
          <w:color w:val="auto"/>
        </w:rPr>
      </w:pPr>
    </w:p>
    <w:p>
      <w:pPr>
        <w:ind w:left="4" w:right="20" w:firstLine="1432"/>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meeting), each holder of outstanding shares of such Series E Preferred Stock, Series D Preferred Stock, Series C Preferred Stock, Series B Preferred Stock, Series A-2 Preferred Stock, Series A-1 Preferred Stock, Series Seed-2 Preferred Stock and Series Seed-1 Preferred Stock shall be entitled to cast the number of votes equal to the number of whole shares of Common Stock into which the shares of Series E Preferred Stock, Series D Preferred Stock, Series C Preferred Stock, Series B Preferred Stock, Series A-2 Preferred Stock, Series A-1 Preferred Stock, Series Seed-2 Preferred Stock and Series Seed-1 Preferred Stock, as applicable, held by such holder are convertible as of the record date for determining stockholders entitled to vote on such matter. Except as provided by law or by the other provisions of this Amended and Restated Certificate of Incorporation, holders of Series E Preferred Stock, Series D Preferred Stock, Series C Preferred Stock, Series B Preferred Stock, Series A-2 Preferred Stock, Series A-1 Preferred Stock, Series Seed-2 Preferred Stock and Series Seed-1 Preferred Stock shall vote together with the holders of Common Stock as a single class.</w:t>
      </w:r>
    </w:p>
    <w:p>
      <w:pPr>
        <w:spacing w:after="0" w:line="185" w:lineRule="exact"/>
        <w:rPr>
          <w:sz w:val="20"/>
          <w:szCs w:val="20"/>
          <w:color w:val="auto"/>
        </w:rPr>
      </w:pPr>
    </w:p>
    <w:p>
      <w:pPr>
        <w:ind w:left="4" w:right="160" w:firstLine="1432"/>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D Preferred Stock, exclusively and as a separate class, shall be entitled to elect one (1) director of the Corporation (the “</w:t>
      </w:r>
      <w:r>
        <w:rPr>
          <w:rFonts w:ascii="Arial" w:cs="Arial" w:eastAsia="Arial" w:hAnsi="Arial"/>
          <w:sz w:val="16"/>
          <w:szCs w:val="16"/>
          <w:b w:val="1"/>
          <w:bCs w:val="1"/>
          <w:color w:val="auto"/>
        </w:rPr>
        <w:t>Series D Director</w:t>
      </w:r>
      <w:r>
        <w:rPr>
          <w:rFonts w:ascii="Arial" w:cs="Arial" w:eastAsia="Arial" w:hAnsi="Arial"/>
          <w:sz w:val="16"/>
          <w:szCs w:val="16"/>
          <w:color w:val="auto"/>
        </w:rPr>
        <w:t>”), the holders of record of the shares of Series C Preferred Stock, exclusively and as a separate class, shall be entitled to elect one (1) director of the Corporation (the “</w:t>
      </w:r>
      <w:r>
        <w:rPr>
          <w:rFonts w:ascii="Arial" w:cs="Arial" w:eastAsia="Arial" w:hAnsi="Arial"/>
          <w:sz w:val="16"/>
          <w:szCs w:val="16"/>
          <w:b w:val="1"/>
          <w:bCs w:val="1"/>
          <w:color w:val="auto"/>
        </w:rPr>
        <w:t>Series C Director</w:t>
      </w:r>
      <w:r>
        <w:rPr>
          <w:rFonts w:ascii="Arial" w:cs="Arial" w:eastAsia="Arial" w:hAnsi="Arial"/>
          <w:sz w:val="16"/>
          <w:szCs w:val="16"/>
          <w:color w:val="auto"/>
        </w:rPr>
        <w:t>”), the holders of record of the shares of Series B Preferred Stock, exclusively and as a separate class, shall be entitled to elect one (1) director of the Corporation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the holders of record of the shares of Series A-1 Preferred Stock, exclusively and as a separate class, shall be entitled to elect one</w:t>
      </w:r>
    </w:p>
    <w:p>
      <w:pPr>
        <w:spacing w:after="0" w:line="2" w:lineRule="exact"/>
        <w:rPr>
          <w:sz w:val="20"/>
          <w:szCs w:val="20"/>
          <w:color w:val="auto"/>
        </w:rPr>
      </w:pPr>
    </w:p>
    <w:p>
      <w:pPr>
        <w:ind w:left="4" w:right="40" w:hanging="4"/>
        <w:spacing w:after="0" w:line="281" w:lineRule="auto"/>
        <w:tabs>
          <w:tab w:leader="none" w:pos="25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director of the Corporation (the “</w:t>
      </w:r>
      <w:r>
        <w:rPr>
          <w:rFonts w:ascii="Arial" w:cs="Arial" w:eastAsia="Arial" w:hAnsi="Arial"/>
          <w:sz w:val="16"/>
          <w:szCs w:val="16"/>
          <w:b w:val="1"/>
          <w:bCs w:val="1"/>
          <w:color w:val="auto"/>
        </w:rPr>
        <w:t>Series A-1 Director</w:t>
      </w:r>
      <w:r>
        <w:rPr>
          <w:rFonts w:ascii="Arial" w:cs="Arial" w:eastAsia="Arial" w:hAnsi="Arial"/>
          <w:sz w:val="16"/>
          <w:szCs w:val="16"/>
          <w:color w:val="auto"/>
        </w:rPr>
        <w:t>,” and together with the Series B Director, the Series C Director and the Series D Director,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the holders of record of the shares of Common Stock, exclusively and as a separate class, shall be entitled to elect one</w:t>
      </w:r>
    </w:p>
    <w:p>
      <w:pPr>
        <w:spacing w:after="0" w:line="1" w:lineRule="exact"/>
        <w:rPr>
          <w:rFonts w:ascii="Arial" w:cs="Arial" w:eastAsia="Arial" w:hAnsi="Arial"/>
          <w:sz w:val="16"/>
          <w:szCs w:val="16"/>
          <w:color w:val="auto"/>
        </w:rPr>
      </w:pPr>
    </w:p>
    <w:p>
      <w:pPr>
        <w:ind w:left="4" w:hanging="4"/>
        <w:spacing w:after="0" w:line="285" w:lineRule="auto"/>
        <w:tabs>
          <w:tab w:leader="none" w:pos="25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such stockholders. If the holders of shares of Series D Preferred Stock, Series C Preferred Stock, Series B Preferred Stock, Series A-1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then any directorship not so filled shall remain vacant until such time as the holders of the Series D Preferred Stock, Series C Preferred Stock, Series B Preferred Stock, Series A-1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Seed-1 Preferred Stock, the Series Seed-2 Preferred Stock, the Series A-1 Preferred Stock, the Series A-2 Preferred Stock, the Series B Preferred Stock, the Series C Preferred Stock, the Series D Preferred Stock and the Series E Preferred Stock), exclusively and voting together as a single class, shall be entitled to elect the balance of the total number of directors of the Corporation. At any meeting held for the purpose of electing a director, the presence in person or by proxy of the</w:t>
      </w:r>
    </w:p>
    <w:p>
      <w:pPr>
        <w:spacing w:after="0" w:line="10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4"/>
          </w:cols>
          <w:pgMar w:left="436" w:top="274" w:right="539" w:bottom="1440" w:gutter="0" w:footer="0" w:header="0"/>
        </w:sectPr>
      </w:pPr>
    </w:p>
    <w:bookmarkStart w:id="189" w:name="page190"/>
    <w:bookmarkEnd w:id="18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 rights of the holders of the Series D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749,191 shares of Series D Preferred Stock (subject to appropriate adjustment in the event of any stock dividend, stock split, combination, or other similar recapitalization with respect to the Series D Preferred Stock). The rights of the holders of the Series C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563,131 shares of Series C Preferred Stock (subject to appropriate adjustment in the event of any stock dividend, stock split, combination, or other similar recapitalization with respect to the Series C Preferred Stock). The rights of the holders of the Series B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438,922 shares of Series B Preferred Stock (subject to appropriate adjustment in the event of any stock dividend, stock split, combination, or other similar recapitalization with respect to the Series B Preferred Stock). The rights of the holders of the Series A-1 Preferred Stock to elect, exclusively as a separate class, one (1) director of the Corporation under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shall terminate on the first date following the Original Issue Date on which there are issued and outstanding less than 725,000 shares of Series A-1 Preferred Stock (subject to appropriate adjustment in the event of any stock dividend, stock split, combination, or other similar recapitalization with respect to the Series A-1 Preferred Stock).</w:t>
      </w:r>
    </w:p>
    <w:p>
      <w:pPr>
        <w:spacing w:after="0" w:line="174" w:lineRule="exact"/>
        <w:rPr>
          <w:sz w:val="20"/>
          <w:szCs w:val="20"/>
          <w:color w:val="auto"/>
        </w:rPr>
      </w:pPr>
    </w:p>
    <w:p>
      <w:pPr>
        <w:ind w:right="80" w:firstLine="1432"/>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when any shares of Series A-1 Preferred Stock, Series A-2 Preferred Stock, Series B Preferred Stock, Series C Preferred Stock, Series D Preferred Stock or Series E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at least the Requisite Preferred Holders, and any transaction entered into without such approval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8"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amend, alter, or repeal any provision of this Amended and Restated Certificate of Incorporation or Bylaws of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Corporation;</w:t>
      </w:r>
    </w:p>
    <w:p>
      <w:pPr>
        <w:spacing w:after="0" w:line="103" w:lineRule="exact"/>
        <w:rPr>
          <w:sz w:val="20"/>
          <w:szCs w:val="20"/>
          <w:color w:val="auto"/>
        </w:rPr>
      </w:pPr>
    </w:p>
    <w:p>
      <w:pPr>
        <w:jc w:val="both"/>
        <w:ind w:left="440" w:right="220" w:firstLine="1375"/>
        <w:spacing w:after="0" w:line="263" w:lineRule="auto"/>
        <w:rPr>
          <w:sz w:val="20"/>
          <w:szCs w:val="20"/>
          <w:color w:val="auto"/>
        </w:rPr>
      </w:pPr>
      <w:r>
        <w:rPr>
          <w:rFonts w:ascii="Arial" w:cs="Arial" w:eastAsia="Arial" w:hAnsi="Arial"/>
          <w:sz w:val="18"/>
          <w:szCs w:val="18"/>
          <w:color w:val="auto"/>
        </w:rPr>
        <w:t>3.3.2. create, or authorize the creation of, any additional class or series of capital stock unless the same ranks junior to the Series A-1 Preferred Stock, Series A-2 Preferred Stock and Series B Preferred Stock with respect to the distribution of assets on the liquidation, dissolution or winding up of the Corporation, the payment of dividends and rights of redemption;</w:t>
      </w:r>
    </w:p>
    <w:p>
      <w:pPr>
        <w:spacing w:after="0" w:line="76"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increase or decrease the authorized number of shares of Common Stock or Preferred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0" w:name="page191"/>
    <w:bookmarkEnd w:id="190"/>
    <w:p>
      <w:pPr>
        <w:ind w:right="260" w:firstLine="1375"/>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3.3.4. effect the sale, liquidation, dissolution, winding up, merger or Deemed Liquidation Event of the Corporation or any other transaction in which control of the Corporation is transferred, or consent to any of the foregoing;</w:t>
      </w:r>
    </w:p>
    <w:p>
      <w:pPr>
        <w:spacing w:after="0" w:line="62" w:lineRule="exact"/>
        <w:rPr>
          <w:sz w:val="20"/>
          <w:szCs w:val="20"/>
          <w:color w:val="auto"/>
        </w:rPr>
      </w:pPr>
    </w:p>
    <w:p>
      <w:pPr>
        <w:ind w:right="200" w:firstLine="1375"/>
        <w:spacing w:after="0" w:line="255" w:lineRule="auto"/>
        <w:rPr>
          <w:sz w:val="20"/>
          <w:szCs w:val="20"/>
          <w:color w:val="auto"/>
        </w:rPr>
      </w:pPr>
      <w:r>
        <w:rPr>
          <w:rFonts w:ascii="Arial" w:cs="Arial" w:eastAsia="Arial" w:hAnsi="Arial"/>
          <w:sz w:val="18"/>
          <w:szCs w:val="18"/>
          <w:color w:val="auto"/>
        </w:rPr>
        <w:t xml:space="preserve">3.3.5. repurchase or redeem any capital stock of the Corporation other than (i) redemptions of Preferred Stock pursuant to </w:t>
      </w:r>
      <w:r>
        <w:rPr>
          <w:rFonts w:ascii="Arial" w:cs="Arial" w:eastAsia="Arial" w:hAnsi="Arial"/>
          <w:sz w:val="18"/>
          <w:szCs w:val="18"/>
          <w:u w:val="single" w:color="auto"/>
          <w:color w:val="auto"/>
        </w:rPr>
        <w:t>Subsection 2.4.2(b)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(iii) as approved by the Board of Directors, including at least two of the Preferred Directors, unless the purchase price of such repurchase or redemption (or any series of repurchases or redemptions) would exceed $5,000,000;</w:t>
      </w:r>
    </w:p>
    <w:p>
      <w:pPr>
        <w:spacing w:after="0" w:line="84" w:lineRule="exact"/>
        <w:rPr>
          <w:sz w:val="20"/>
          <w:szCs w:val="20"/>
          <w:color w:val="auto"/>
        </w:rPr>
      </w:pPr>
    </w:p>
    <w:p>
      <w:pPr>
        <w:ind w:right="100" w:firstLine="1375"/>
        <w:spacing w:after="0" w:line="263" w:lineRule="auto"/>
        <w:rPr>
          <w:sz w:val="20"/>
          <w:szCs w:val="20"/>
          <w:color w:val="auto"/>
        </w:rPr>
      </w:pPr>
      <w:r>
        <w:rPr>
          <w:rFonts w:ascii="Arial" w:cs="Arial" w:eastAsia="Arial" w:hAnsi="Arial"/>
          <w:sz w:val="18"/>
          <w:szCs w:val="18"/>
          <w:color w:val="auto"/>
        </w:rPr>
        <w:t xml:space="preserve">3.3.6. declare or pay any dividend other than (i) dividends or distributions on the Preferred Stock in accordance with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xml:space="preserve">, or (ii) dividends or other distributions payable on the Common Stock solely in the form of additional shares of Common Stock in accordance with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w:t>
      </w:r>
    </w:p>
    <w:p>
      <w:pPr>
        <w:spacing w:after="0" w:line="76" w:lineRule="exact"/>
        <w:rPr>
          <w:sz w:val="20"/>
          <w:szCs w:val="20"/>
          <w:color w:val="auto"/>
        </w:rPr>
      </w:pPr>
    </w:p>
    <w:p>
      <w:pPr>
        <w:ind w:left="1380"/>
        <w:spacing w:after="0"/>
        <w:tabs>
          <w:tab w:leader="none" w:pos="198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change the size of the Board of Directors;</w:t>
      </w:r>
    </w:p>
    <w:p>
      <w:pPr>
        <w:spacing w:after="0" w:line="117" w:lineRule="exact"/>
        <w:rPr>
          <w:sz w:val="20"/>
          <w:szCs w:val="20"/>
          <w:color w:val="auto"/>
        </w:rPr>
      </w:pPr>
    </w:p>
    <w:p>
      <w:pPr>
        <w:ind w:right="200" w:firstLine="1375"/>
        <w:spacing w:after="0" w:line="277" w:lineRule="auto"/>
        <w:rPr>
          <w:sz w:val="20"/>
          <w:szCs w:val="20"/>
          <w:color w:val="auto"/>
        </w:rPr>
      </w:pPr>
      <w:r>
        <w:rPr>
          <w:rFonts w:ascii="Arial" w:cs="Arial" w:eastAsia="Arial" w:hAnsi="Arial"/>
          <w:sz w:val="18"/>
          <w:szCs w:val="18"/>
          <w:color w:val="auto"/>
        </w:rPr>
        <w:t>3.3.8. increase the number of shares reserved for issuance to employees, directors or contractors (including pursuant to the Corporation’s 2016 Equity Incentive Plan or otherwise);</w:t>
      </w:r>
    </w:p>
    <w:p>
      <w:pPr>
        <w:spacing w:after="0" w:line="62" w:lineRule="exact"/>
        <w:rPr>
          <w:sz w:val="20"/>
          <w:szCs w:val="20"/>
          <w:color w:val="auto"/>
        </w:rPr>
      </w:pPr>
    </w:p>
    <w:p>
      <w:pPr>
        <w:ind w:right="180" w:firstLine="1375"/>
        <w:spacing w:after="0" w:line="277" w:lineRule="auto"/>
        <w:rPr>
          <w:sz w:val="20"/>
          <w:szCs w:val="20"/>
          <w:color w:val="auto"/>
        </w:rPr>
      </w:pPr>
      <w:r>
        <w:rPr>
          <w:rFonts w:ascii="Arial" w:cs="Arial" w:eastAsia="Arial" w:hAnsi="Arial"/>
          <w:sz w:val="18"/>
          <w:szCs w:val="18"/>
          <w:color w:val="auto"/>
        </w:rPr>
        <w:t>3.3.9. change the principal business of the Corporation, including without limitation entering into a new line of business or exiting the current line of business;</w:t>
      </w:r>
    </w:p>
    <w:p>
      <w:pPr>
        <w:spacing w:after="0" w:line="62" w:lineRule="exact"/>
        <w:rPr>
          <w:sz w:val="20"/>
          <w:szCs w:val="20"/>
          <w:color w:val="auto"/>
        </w:rPr>
      </w:pPr>
    </w:p>
    <w:p>
      <w:pPr>
        <w:ind w:right="440" w:firstLine="1375"/>
        <w:spacing w:after="0" w:line="277" w:lineRule="auto"/>
        <w:rPr>
          <w:sz w:val="20"/>
          <w:szCs w:val="20"/>
          <w:color w:val="auto"/>
        </w:rPr>
      </w:pPr>
      <w:r>
        <w:rPr>
          <w:rFonts w:ascii="Arial" w:cs="Arial" w:eastAsia="Arial" w:hAnsi="Arial"/>
          <w:sz w:val="18"/>
          <w:szCs w:val="18"/>
          <w:color w:val="auto"/>
        </w:rPr>
        <w:t>3.3.10. exclusively license, lease, sell, assign, distribute, or otherwise dispose of the Corporation’s intellectual property outside the ordinary course of business;</w:t>
      </w:r>
    </w:p>
    <w:p>
      <w:pPr>
        <w:spacing w:after="0" w:line="62" w:lineRule="exact"/>
        <w:rPr>
          <w:sz w:val="20"/>
          <w:szCs w:val="20"/>
          <w:color w:val="auto"/>
        </w:rPr>
      </w:pPr>
    </w:p>
    <w:p>
      <w:pPr>
        <w:ind w:firstLine="1375"/>
        <w:spacing w:after="0" w:line="272" w:lineRule="auto"/>
        <w:rPr>
          <w:sz w:val="20"/>
          <w:szCs w:val="20"/>
          <w:color w:val="auto"/>
        </w:rPr>
      </w:pPr>
      <w:r>
        <w:rPr>
          <w:rFonts w:ascii="Arial" w:cs="Arial" w:eastAsia="Arial" w:hAnsi="Arial"/>
          <w:sz w:val="17"/>
          <w:szCs w:val="17"/>
          <w:color w:val="auto"/>
        </w:rPr>
        <w:t>3.3.11.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(excluding accrued interest) following such action would exceed $10,000,000 (excluding ordinary course vendor and supplier financing and non-debt obligations under customer contracts and strategic partnerships);</w:t>
      </w:r>
    </w:p>
    <w:p>
      <w:pPr>
        <w:spacing w:after="0" w:line="69" w:lineRule="exact"/>
        <w:rPr>
          <w:sz w:val="20"/>
          <w:szCs w:val="20"/>
          <w:color w:val="auto"/>
        </w:rPr>
      </w:pPr>
    </w:p>
    <w:p>
      <w:pPr>
        <w:ind w:right="100" w:firstLine="1375"/>
        <w:spacing w:after="0" w:line="277" w:lineRule="auto"/>
        <w:rPr>
          <w:sz w:val="20"/>
          <w:szCs w:val="20"/>
          <w:color w:val="auto"/>
        </w:rPr>
      </w:pPr>
      <w:r>
        <w:rPr>
          <w:rFonts w:ascii="Arial" w:cs="Arial" w:eastAsia="Arial" w:hAnsi="Arial"/>
          <w:sz w:val="18"/>
          <w:szCs w:val="18"/>
          <w:color w:val="auto"/>
        </w:rPr>
        <w:t>3.3.12. create, or hold capital stock in, any subsidiary that is not wholly owned (either directly or through one or more other subsidiaries) by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91" w:name="page192"/>
    <w:bookmarkEnd w:id="191"/>
    <w:p>
      <w:pPr>
        <w:jc w:val="both"/>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79" w:lineRule="exact"/>
        <w:rPr>
          <w:sz w:val="20"/>
          <w:szCs w:val="20"/>
          <w:color w:val="auto"/>
        </w:rPr>
      </w:pPr>
    </w:p>
    <w:p>
      <w:pPr>
        <w:ind w:left="440" w:right="140" w:firstLine="1375"/>
        <w:spacing w:after="0" w:line="286" w:lineRule="auto"/>
        <w:rPr>
          <w:sz w:val="20"/>
          <w:szCs w:val="20"/>
          <w:color w:val="auto"/>
        </w:rPr>
      </w:pPr>
      <w:r>
        <w:rPr>
          <w:rFonts w:ascii="Arial" w:cs="Arial" w:eastAsia="Arial" w:hAnsi="Arial"/>
          <w:sz w:val="17"/>
          <w:szCs w:val="17"/>
          <w:color w:val="auto"/>
        </w:rPr>
        <w:t>3.3.13. cause the Corporation or permit any of its subsidiaries to, sell, issue, sponsor, create or distribute any digital tokens, cryptocurrency or other blockchain-based assets (collectively, “</w:t>
      </w:r>
      <w:r>
        <w:rPr>
          <w:rFonts w:ascii="Arial" w:cs="Arial" w:eastAsia="Arial" w:hAnsi="Arial"/>
          <w:sz w:val="17"/>
          <w:szCs w:val="17"/>
          <w:b w:val="1"/>
          <w:bCs w:val="1"/>
          <w:color w:val="auto"/>
        </w:rPr>
        <w:t>Tokens</w:t>
      </w:r>
      <w:r>
        <w:rPr>
          <w:rFonts w:ascii="Arial" w:cs="Arial" w:eastAsia="Arial" w:hAnsi="Arial"/>
          <w:sz w:val="17"/>
          <w:szCs w:val="17"/>
          <w:color w:val="auto"/>
        </w:rPr>
        <w:t>”), including through a pre-sale, initial coin offering, token distribution event or crowdfunding, or through the issuance of any instrument convertible into or exchangeable for Tokens; or</w:t>
      </w:r>
    </w:p>
    <w:p>
      <w:pPr>
        <w:spacing w:after="0" w:line="57" w:lineRule="exact"/>
        <w:rPr>
          <w:sz w:val="20"/>
          <w:szCs w:val="20"/>
          <w:color w:val="auto"/>
        </w:rPr>
      </w:pPr>
    </w:p>
    <w:p>
      <w:pPr>
        <w:ind w:left="440" w:firstLine="1375"/>
        <w:spacing w:after="0" w:line="257" w:lineRule="auto"/>
        <w:rPr>
          <w:sz w:val="20"/>
          <w:szCs w:val="20"/>
          <w:color w:val="auto"/>
        </w:rPr>
      </w:pPr>
      <w:r>
        <w:rPr>
          <w:rFonts w:ascii="Arial" w:cs="Arial" w:eastAsia="Arial" w:hAnsi="Arial"/>
          <w:sz w:val="18"/>
          <w:szCs w:val="18"/>
          <w:color w:val="auto"/>
        </w:rPr>
        <w:t>3.3.14. enter into any transaction between or among this Corporation, on the one hand, and any director, officer, employee or member of the family of any such persons, on the other hand, except for (i) transactions with employees related to such persons’ employment in the ordinary course of business or (ii)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88" w:lineRule="exact"/>
        <w:rPr>
          <w:sz w:val="20"/>
          <w:szCs w:val="20"/>
          <w:color w:val="auto"/>
        </w:rPr>
      </w:pPr>
    </w:p>
    <w:p>
      <w:pPr>
        <w:ind w:right="80" w:firstLine="1432"/>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xml:space="preserve">. At any time when any shares of Series B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holders of at least sixty percent (60%) of the outstanding shares of Series B Preferred Stock, voting separately, and any transaction entered into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80" w:lineRule="exact"/>
        <w:rPr>
          <w:sz w:val="20"/>
          <w:szCs w:val="20"/>
          <w:color w:val="auto"/>
        </w:rPr>
      </w:pPr>
    </w:p>
    <w:p>
      <w:pPr>
        <w:ind w:left="440" w:right="20" w:firstLine="1375"/>
        <w:spacing w:after="0" w:line="290" w:lineRule="auto"/>
        <w:rPr>
          <w:sz w:val="20"/>
          <w:szCs w:val="20"/>
          <w:color w:val="auto"/>
        </w:rPr>
      </w:pPr>
      <w:r>
        <w:rPr>
          <w:rFonts w:ascii="Arial" w:cs="Arial" w:eastAsia="Arial" w:hAnsi="Arial"/>
          <w:sz w:val="16"/>
          <w:szCs w:val="16"/>
          <w:color w:val="auto"/>
        </w:rPr>
        <w:t xml:space="preserve">3.4.1. alter or change the powers, preferences, or special rights of the shares of the Series B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Series B Preferred Stock, shall not be deemed to be an alteration or change of the powers, preferences, or special rights of the shares of the Series B Preferred Stock; provided further, that a transaction that constitutes a Deemed Liquidation Event in which the shares of Series B Preferred Stock are converted into the right to receive consideration in connection with such Deemed Liquidation Event shall not by itself constitute an alteration or change of powers, preferences or special rights of the shares of Series B Preferred Stock pursuant to this </w:t>
      </w:r>
      <w:r>
        <w:rPr>
          <w:rFonts w:ascii="Arial" w:cs="Arial" w:eastAsia="Arial" w:hAnsi="Arial"/>
          <w:sz w:val="16"/>
          <w:szCs w:val="16"/>
          <w:u w:val="single" w:color="auto"/>
          <w:color w:val="auto"/>
        </w:rPr>
        <w:t>Section 3.4.1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or</w:t>
      </w:r>
    </w:p>
    <w:p>
      <w:pPr>
        <w:spacing w:after="0" w:line="57"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color w:val="auto"/>
        </w:rPr>
        <w:t>increase or decrease the authorized number of shares of Series B Preferred Stock.</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2" w:name="page193"/>
    <w:bookmarkEnd w:id="192"/>
    <w:p>
      <w:pPr>
        <w:ind w:right="80" w:firstLine="14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3.5. </w:t>
      </w:r>
      <w:r>
        <w:rPr>
          <w:rFonts w:ascii="Arial" w:cs="Arial" w:eastAsia="Arial" w:hAnsi="Arial"/>
          <w:sz w:val="18"/>
          <w:szCs w:val="18"/>
          <w:u w:val="single" w:color="auto"/>
          <w:color w:val="auto"/>
        </w:rPr>
        <w:t>Series C Preferred Stock Protective Provisions</w:t>
      </w:r>
      <w:r>
        <w:rPr>
          <w:rFonts w:ascii="Arial" w:cs="Arial" w:eastAsia="Arial" w:hAnsi="Arial"/>
          <w:sz w:val="18"/>
          <w:szCs w:val="18"/>
          <w:color w:val="auto"/>
        </w:rPr>
        <w:t xml:space="preserve">. At any time when any shares of Series C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holders of a majority of the outstanding shares of Series C Preferred Stock, voting separately, and any transaction entered into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80" w:lineRule="exact"/>
        <w:rPr>
          <w:sz w:val="20"/>
          <w:szCs w:val="20"/>
          <w:color w:val="auto"/>
        </w:rPr>
      </w:pPr>
    </w:p>
    <w:p>
      <w:pPr>
        <w:ind w:left="440" w:right="20" w:firstLine="1375"/>
        <w:spacing w:after="0" w:line="290" w:lineRule="auto"/>
        <w:rPr>
          <w:sz w:val="20"/>
          <w:szCs w:val="20"/>
          <w:color w:val="auto"/>
        </w:rPr>
      </w:pPr>
      <w:r>
        <w:rPr>
          <w:rFonts w:ascii="Arial" w:cs="Arial" w:eastAsia="Arial" w:hAnsi="Arial"/>
          <w:sz w:val="16"/>
          <w:szCs w:val="16"/>
          <w:color w:val="auto"/>
        </w:rPr>
        <w:t xml:space="preserve">3.5.1. alter or change the powers, preferences, or special rights of the shares of the Series C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Series C Preferred Stock, shall not be deemed to be an alteration or change of the powers, preferences, or special rights of the shares of the Series C Preferred Stock; provided further, that a transaction that constitutes a Deemed Liquidation Event in which the shares of Series C Preferred Stock are converted into the right to receive consideration in connection with such Deemed Liquidation Event shall not by itself constitute an alteration or change of powers, preferences or special rights of the shares of Series C Preferred Stock pursuant to this </w:t>
      </w:r>
      <w:r>
        <w:rPr>
          <w:rFonts w:ascii="Arial" w:cs="Arial" w:eastAsia="Arial" w:hAnsi="Arial"/>
          <w:sz w:val="16"/>
          <w:szCs w:val="16"/>
          <w:u w:val="single" w:color="auto"/>
          <w:color w:val="auto"/>
        </w:rPr>
        <w:t>Section 3.5.1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 or</w:t>
      </w:r>
    </w:p>
    <w:p>
      <w:pPr>
        <w:spacing w:after="0" w:line="57"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5"/>
          <w:szCs w:val="15"/>
          <w:color w:val="auto"/>
        </w:rPr>
        <w:t>increase or decrease the authorized number of shares of Series C Preferred Stock.</w:t>
      </w:r>
    </w:p>
    <w:p>
      <w:pPr>
        <w:spacing w:after="0" w:line="225" w:lineRule="exact"/>
        <w:rPr>
          <w:sz w:val="20"/>
          <w:szCs w:val="20"/>
          <w:color w:val="auto"/>
        </w:rPr>
      </w:pPr>
    </w:p>
    <w:p>
      <w:pPr>
        <w:ind w:right="60" w:firstLine="1432"/>
        <w:spacing w:after="0" w:line="27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Series D Preferred Stock Protective Provisions</w:t>
      </w:r>
      <w:r>
        <w:rPr>
          <w:rFonts w:ascii="Arial" w:cs="Arial" w:eastAsia="Arial" w:hAnsi="Arial"/>
          <w:sz w:val="17"/>
          <w:szCs w:val="17"/>
          <w:color w:val="auto"/>
        </w:rPr>
        <w:t xml:space="preserve">. At any time when any shares of Series D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the Requisite Series D Holders and any transaction entered into without such consent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3" w:lineRule="exact"/>
        <w:rPr>
          <w:sz w:val="20"/>
          <w:szCs w:val="20"/>
          <w:color w:val="auto"/>
        </w:rPr>
      </w:pPr>
    </w:p>
    <w:p>
      <w:pPr>
        <w:ind w:left="440" w:firstLine="1375"/>
        <w:spacing w:after="0" w:line="290" w:lineRule="auto"/>
        <w:rPr>
          <w:sz w:val="20"/>
          <w:szCs w:val="20"/>
          <w:color w:val="auto"/>
        </w:rPr>
      </w:pPr>
      <w:r>
        <w:rPr>
          <w:rFonts w:ascii="Arial" w:cs="Arial" w:eastAsia="Arial" w:hAnsi="Arial"/>
          <w:sz w:val="16"/>
          <w:szCs w:val="16"/>
          <w:color w:val="auto"/>
        </w:rPr>
        <w:t xml:space="preserve">3.6.1. alter or change the powers, preferences, or special rights of the shares of the Series D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D Preferred Stock, shall not be deemed to be an alteration or change of the powers, preferences, or special rights of the shares of the Series D Preferred Stock; provided further, that a transaction that constitutes a Deemed Liquidation Event in which the shares of Series D Preferred Stock are converted into the right to receive consideration in connection with such Deemed Liquidation Event shall not by itself constitute an alteration or change of powers, preferences or special rights of the shares of Series D Preferred Stock pursuant to this </w:t>
      </w:r>
      <w:r>
        <w:rPr>
          <w:rFonts w:ascii="Arial" w:cs="Arial" w:eastAsia="Arial" w:hAnsi="Arial"/>
          <w:sz w:val="16"/>
          <w:szCs w:val="16"/>
          <w:u w:val="single" w:color="auto"/>
          <w:color w:val="auto"/>
        </w:rPr>
        <w:t>Section 3.6.1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3" w:name="page194"/>
    <w:bookmarkEnd w:id="193"/>
    <w:p>
      <w:pPr>
        <w:ind w:left="1820"/>
        <w:spacing w:after="0"/>
        <w:tabs>
          <w:tab w:leader="none" w:pos="2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3.6.2.</w:t>
      </w:r>
      <w:r>
        <w:rPr>
          <w:sz w:val="20"/>
          <w:szCs w:val="20"/>
          <w:color w:val="auto"/>
        </w:rPr>
        <w:tab/>
      </w:r>
      <w:r>
        <w:rPr>
          <w:rFonts w:ascii="Arial" w:cs="Arial" w:eastAsia="Arial" w:hAnsi="Arial"/>
          <w:sz w:val="16"/>
          <w:szCs w:val="16"/>
          <w:color w:val="auto"/>
        </w:rPr>
        <w:t>increase or decrease the authorized number of shares of Series D Preferred Stock; or</w:t>
      </w:r>
    </w:p>
    <w:p>
      <w:pPr>
        <w:spacing w:after="0" w:line="117" w:lineRule="exact"/>
        <w:rPr>
          <w:sz w:val="20"/>
          <w:szCs w:val="20"/>
          <w:color w:val="auto"/>
        </w:rPr>
      </w:pPr>
    </w:p>
    <w:p>
      <w:pPr>
        <w:ind w:left="440" w:right="20" w:firstLine="1375"/>
        <w:spacing w:after="0" w:line="272" w:lineRule="auto"/>
        <w:rPr>
          <w:sz w:val="20"/>
          <w:szCs w:val="20"/>
          <w:color w:val="auto"/>
        </w:rPr>
      </w:pPr>
      <w:r>
        <w:rPr>
          <w:rFonts w:ascii="Arial" w:cs="Arial" w:eastAsia="Arial" w:hAnsi="Arial"/>
          <w:sz w:val="17"/>
          <w:szCs w:val="17"/>
          <w:color w:val="auto"/>
        </w:rPr>
        <w:t xml:space="preserve">3.6.3. (i) reclassify, alter or amend any existing security of the Corporation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D Preferred Stock in respect of the distribution of assets on the liquidation, dissolution or winding up of the Corporation, the payment of dividends or rights of redemption, if such reclassification, alteration or amendment would render such other security senior to the Series D Preferred Stock in respect of any such right, preference, or privilege or (ii) reclassify, alter or amend any existing security of the Corporation that is junior to the Series D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D Preferred Stock in respect of any such right, preference or privilege.</w:t>
      </w:r>
    </w:p>
    <w:p>
      <w:pPr>
        <w:spacing w:after="0" w:line="177" w:lineRule="exact"/>
        <w:rPr>
          <w:sz w:val="20"/>
          <w:szCs w:val="20"/>
          <w:color w:val="auto"/>
        </w:rPr>
      </w:pPr>
    </w:p>
    <w:p>
      <w:pPr>
        <w:ind w:right="80" w:firstLine="1432"/>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Series E Preferred Stock Protective Provisions</w:t>
      </w:r>
      <w:r>
        <w:rPr>
          <w:rFonts w:ascii="Arial" w:cs="Arial" w:eastAsia="Arial" w:hAnsi="Arial"/>
          <w:sz w:val="17"/>
          <w:szCs w:val="17"/>
          <w:color w:val="auto"/>
        </w:rPr>
        <w:t xml:space="preserve">. At any time when any shares of Series E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the Requisite Series E Holders and any transaction entered into without such consent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 force or effect:</w:t>
      </w:r>
    </w:p>
    <w:p>
      <w:pPr>
        <w:spacing w:after="0" w:line="63" w:lineRule="exact"/>
        <w:rPr>
          <w:sz w:val="20"/>
          <w:szCs w:val="20"/>
          <w:color w:val="auto"/>
        </w:rPr>
      </w:pPr>
    </w:p>
    <w:p>
      <w:pPr>
        <w:ind w:left="440" w:firstLine="1375"/>
        <w:spacing w:after="0" w:line="290" w:lineRule="auto"/>
        <w:rPr>
          <w:sz w:val="20"/>
          <w:szCs w:val="20"/>
          <w:color w:val="auto"/>
        </w:rPr>
      </w:pPr>
      <w:r>
        <w:rPr>
          <w:rFonts w:ascii="Arial" w:cs="Arial" w:eastAsia="Arial" w:hAnsi="Arial"/>
          <w:sz w:val="16"/>
          <w:szCs w:val="16"/>
          <w:color w:val="auto"/>
        </w:rPr>
        <w:t xml:space="preserve">3.7.1. alter or change the powers, privileges, preferences, or special rights of the shares of the Series E Preferred Stock so as to affect them adversely; provided however, that the authorization and issuance of any equity securities (including any security convertible into or exercisable for any equity security) having rights, preferences or privileges with respect to the payment of dividends or distribution of assets upon a Deemed Liquidation Event which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E Preferred Stock, shall not be deemed to be an alteration or change of the powers, preferences, or special rights of the shares of the Series E Preferred Stock; provided further, that a transaction that constitutes a Deemed Liquidation Event in which the shares of Series E Preferred Stock are converted into the right to receive consideration in connection with such Deemed Liquidation Event shall not by itself constitute an alteration or change of powers, preferences or special rights of the shares of Series E Preferred Stock pursuant to this </w:t>
      </w:r>
      <w:r>
        <w:rPr>
          <w:rFonts w:ascii="Arial" w:cs="Arial" w:eastAsia="Arial" w:hAnsi="Arial"/>
          <w:sz w:val="16"/>
          <w:szCs w:val="16"/>
          <w:u w:val="single" w:color="auto"/>
          <w:color w:val="auto"/>
        </w:rPr>
        <w:t>Section 3.7.1</w:t>
      </w:r>
      <w:r>
        <w:rPr>
          <w:rFonts w:ascii="Arial" w:cs="Arial" w:eastAsia="Arial" w:hAnsi="Arial"/>
          <w:sz w:val="16"/>
          <w:szCs w:val="16"/>
          <w:color w:val="auto"/>
        </w:rPr>
        <w:t xml:space="preserve">, so long as such consideration is distributed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above;</w:t>
      </w:r>
    </w:p>
    <w:p>
      <w:pPr>
        <w:spacing w:after="0" w:line="57"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5"/>
          <w:szCs w:val="15"/>
          <w:color w:val="auto"/>
        </w:rPr>
        <w:t>increase or decrease the authorized number of shares of Series E Preferred Stock;</w:t>
      </w:r>
    </w:p>
    <w:p>
      <w:pPr>
        <w:spacing w:after="0" w:line="117" w:lineRule="exact"/>
        <w:rPr>
          <w:sz w:val="20"/>
          <w:szCs w:val="20"/>
          <w:color w:val="auto"/>
        </w:rPr>
      </w:pPr>
    </w:p>
    <w:p>
      <w:pPr>
        <w:ind w:left="440" w:right="20" w:firstLine="1375"/>
        <w:spacing w:after="0" w:line="257" w:lineRule="auto"/>
        <w:rPr>
          <w:sz w:val="20"/>
          <w:szCs w:val="20"/>
          <w:color w:val="auto"/>
        </w:rPr>
      </w:pPr>
      <w:r>
        <w:rPr>
          <w:rFonts w:ascii="Arial" w:cs="Arial" w:eastAsia="Arial" w:hAnsi="Arial"/>
          <w:sz w:val="18"/>
          <w:szCs w:val="18"/>
          <w:color w:val="auto"/>
        </w:rPr>
        <w:t xml:space="preserve">3.7.3. (i)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E Preferred Stock in respect of the distribution of assets on the liquidation, dissolution or winding up of the Corporation, the payment of dividends or rights of redemption, if such reclassification, alteration or amendment would render such other security senior to the Series E Preferred Stock in respect of any such right, preference, or privilege or (ii) reclassify, alter or amend any existing security of the Corporation that is junior to the Series E Preferred Stock in respect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94" w:name="page195"/>
    <w:bookmarkEnd w:id="194"/>
    <w:p>
      <w:pPr>
        <w:ind w:left="440"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E Preferred Stock in respect of any such right, preference or privilege; or</w:t>
      </w:r>
    </w:p>
    <w:p>
      <w:pPr>
        <w:spacing w:after="0" w:line="76" w:lineRule="exact"/>
        <w:rPr>
          <w:sz w:val="20"/>
          <w:szCs w:val="20"/>
          <w:color w:val="auto"/>
        </w:rPr>
      </w:pPr>
    </w:p>
    <w:p>
      <w:pPr>
        <w:ind w:left="440" w:right="180" w:firstLine="1375"/>
        <w:spacing w:after="0" w:line="277" w:lineRule="auto"/>
        <w:rPr>
          <w:sz w:val="20"/>
          <w:szCs w:val="20"/>
          <w:color w:val="auto"/>
        </w:rPr>
      </w:pPr>
      <w:r>
        <w:rPr>
          <w:rFonts w:ascii="Arial" w:cs="Arial" w:eastAsia="Arial" w:hAnsi="Arial"/>
          <w:sz w:val="18"/>
          <w:szCs w:val="18"/>
          <w:color w:val="auto"/>
        </w:rPr>
        <w:t>3.7.4. amend the definition of Qualified IPO herein to reduce the amount of required gross proceeds below $50,000,000 or the minimum price per share below $20.43 (as adjusted for stock splits, dividends and the like).</w:t>
      </w:r>
    </w:p>
    <w:p>
      <w:pPr>
        <w:spacing w:after="0" w:line="170"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Series E, Series D and Series C Preferred Stock Protective Provisions</w:t>
      </w:r>
      <w:r>
        <w:rPr>
          <w:rFonts w:ascii="Arial" w:cs="Arial" w:eastAsia="Arial" w:hAnsi="Arial"/>
          <w:sz w:val="18"/>
          <w:szCs w:val="18"/>
          <w:color w:val="auto"/>
        </w:rPr>
        <w:t xml:space="preserve">. At any time when any shares of Series E, Series D Preferred Stock or Series C Preferred Stock are outstanding, the Corporation shall not, either directly or indirectly by amendment, merger, consolidation, or otherwise, do any of the following without (in addition to any other vote required by law or this Amended and Restated Certificate of Incorporation) the approval of the holders of a majority of the outstanding shares of Series E Preferred Stock, Series D Preferred Stock and Series C Preferred Stock, voting together as a single class and not as separate series and on an as-converted basis, and any transaction entered into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w:t>
      </w:r>
    </w:p>
    <w:p>
      <w:pPr>
        <w:spacing w:after="0" w:line="84" w:lineRule="exact"/>
        <w:rPr>
          <w:sz w:val="20"/>
          <w:szCs w:val="20"/>
          <w:color w:val="auto"/>
        </w:rPr>
      </w:pPr>
    </w:p>
    <w:p>
      <w:pPr>
        <w:ind w:left="440" w:firstLine="1375"/>
        <w:spacing w:after="0" w:line="259" w:lineRule="auto"/>
        <w:rPr>
          <w:sz w:val="20"/>
          <w:szCs w:val="20"/>
          <w:color w:val="auto"/>
        </w:rPr>
      </w:pPr>
      <w:r>
        <w:rPr>
          <w:rFonts w:ascii="Arial" w:cs="Arial" w:eastAsia="Arial" w:hAnsi="Arial"/>
          <w:sz w:val="18"/>
          <w:szCs w:val="18"/>
          <w:color w:val="auto"/>
        </w:rPr>
        <w:t>3.8.1. effect the sale, liquidation, dissolution, winding up, merger or Deemed Liquidation Event of the Corporation or any other transaction in which control of the Corporation is transferred, or consent to any of the foregoing unless the holders of Series C Preferred Stock, Series D Preferred Stock and Series E Preferred Stock receive proceeds in excess of $20.43 per share (as adjusted for stock splits, dividends and the like);</w:t>
      </w:r>
    </w:p>
    <w:p>
      <w:pPr>
        <w:spacing w:after="0" w:line="79" w:lineRule="exact"/>
        <w:rPr>
          <w:sz w:val="20"/>
          <w:szCs w:val="20"/>
          <w:color w:val="auto"/>
        </w:rPr>
      </w:pPr>
    </w:p>
    <w:p>
      <w:pPr>
        <w:ind w:left="440" w:right="420" w:firstLine="1375"/>
        <w:spacing w:after="0" w:line="277" w:lineRule="auto"/>
        <w:rPr>
          <w:sz w:val="20"/>
          <w:szCs w:val="20"/>
          <w:color w:val="auto"/>
        </w:rPr>
      </w:pPr>
      <w:r>
        <w:rPr>
          <w:rFonts w:ascii="Arial" w:cs="Arial" w:eastAsia="Arial" w:hAnsi="Arial"/>
          <w:sz w:val="18"/>
          <w:szCs w:val="18"/>
          <w:color w:val="auto"/>
        </w:rPr>
        <w:t>3.8.2. amend the definition of Qualified IPO to reduce the amount of required gross proceeds below $50,000,000 or the minimum price per share below $20.43 (as adjusted for stock splits, dividends and the like);</w:t>
      </w:r>
    </w:p>
    <w:p>
      <w:pPr>
        <w:spacing w:after="0" w:line="62" w:lineRule="exact"/>
        <w:rPr>
          <w:sz w:val="20"/>
          <w:szCs w:val="20"/>
          <w:color w:val="auto"/>
        </w:rPr>
      </w:pPr>
    </w:p>
    <w:p>
      <w:pPr>
        <w:ind w:left="1820"/>
        <w:spacing w:after="0"/>
        <w:tabs>
          <w:tab w:leader="none" w:pos="242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 xml:space="preserve">amend </w:t>
      </w:r>
      <w:r>
        <w:rPr>
          <w:rFonts w:ascii="Arial" w:cs="Arial" w:eastAsia="Arial" w:hAnsi="Arial"/>
          <w:sz w:val="16"/>
          <w:szCs w:val="16"/>
          <w:u w:val="single" w:color="auto"/>
          <w:color w:val="auto"/>
        </w:rPr>
        <w:t>Subsections 2.3.1(a)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of this Amended and Restated Certificate of Incorporation; or</w:t>
      </w:r>
    </w:p>
    <w:p>
      <w:pPr>
        <w:spacing w:after="0" w:line="117" w:lineRule="exact"/>
        <w:rPr>
          <w:sz w:val="20"/>
          <w:szCs w:val="20"/>
          <w:color w:val="auto"/>
        </w:rPr>
      </w:pPr>
    </w:p>
    <w:p>
      <w:pPr>
        <w:ind w:left="440" w:right="200" w:firstLine="1375"/>
        <w:spacing w:after="0" w:line="263" w:lineRule="auto"/>
        <w:rPr>
          <w:sz w:val="20"/>
          <w:szCs w:val="20"/>
          <w:color w:val="auto"/>
        </w:rPr>
      </w:pPr>
      <w:r>
        <w:rPr>
          <w:rFonts w:ascii="Arial" w:cs="Arial" w:eastAsia="Arial" w:hAnsi="Arial"/>
          <w:sz w:val="18"/>
          <w:szCs w:val="18"/>
          <w:color w:val="auto"/>
        </w:rPr>
        <w:t xml:space="preserve">3.8.4. declare or pay any dividend other than (i) dividends or distributions on the Preferred Stock in accordance with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 xml:space="preserve"> or (ii) dividends or other distributions payable on the Common Stock in accordance with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Fourth</w:t>
      </w:r>
      <w:r>
        <w:rPr>
          <w:rFonts w:ascii="Arial" w:cs="Arial" w:eastAsia="Arial" w:hAnsi="Arial"/>
          <w:sz w:val="18"/>
          <w:szCs w:val="18"/>
          <w:color w:val="auto"/>
        </w:rPr>
        <w:t>.</w:t>
      </w:r>
    </w:p>
    <w:p>
      <w:pPr>
        <w:spacing w:after="0" w:line="180" w:lineRule="exact"/>
        <w:rPr>
          <w:sz w:val="20"/>
          <w:szCs w:val="20"/>
          <w:color w:val="auto"/>
        </w:rPr>
      </w:pPr>
    </w:p>
    <w:p>
      <w:pPr>
        <w:ind w:left="1340" w:hanging="353"/>
        <w:spacing w:after="0"/>
        <w:tabs>
          <w:tab w:leader="none" w:pos="134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The holders of the Preferred Stock shall have conversion rights as follows (the “</w:t>
      </w:r>
      <w:r>
        <w:rPr>
          <w:rFonts w:ascii="Arial" w:cs="Arial" w:eastAsia="Arial" w:hAnsi="Arial"/>
          <w:sz w:val="17"/>
          <w:szCs w:val="17"/>
          <w:b w:val="1"/>
          <w:bCs w:val="1"/>
          <w:color w:val="auto"/>
        </w:rPr>
        <w:t>Conversion Rights</w:t>
      </w:r>
      <w:r>
        <w:rPr>
          <w:rFonts w:ascii="Arial" w:cs="Arial" w:eastAsia="Arial" w:hAnsi="Arial"/>
          <w:sz w:val="17"/>
          <w:szCs w:val="17"/>
          <w:color w:val="auto"/>
        </w:rPr>
        <w:t>”):</w:t>
      </w:r>
    </w:p>
    <w:p>
      <w:pPr>
        <w:spacing w:after="0" w:line="349"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7" w:lineRule="exact"/>
        <w:rPr>
          <w:sz w:val="20"/>
          <w:szCs w:val="20"/>
          <w:color w:val="auto"/>
        </w:rPr>
      </w:pPr>
    </w:p>
    <w:p>
      <w:pPr>
        <w:ind w:left="440" w:right="160" w:firstLine="1375"/>
        <w:spacing w:after="0" w:line="27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As of the Original Issue Date, the “</w:t>
      </w:r>
      <w:r>
        <w:rPr>
          <w:rFonts w:ascii="Arial" w:cs="Arial" w:eastAsia="Arial" w:hAnsi="Arial"/>
          <w:sz w:val="17"/>
          <w:szCs w:val="17"/>
          <w:b w:val="1"/>
          <w:bCs w:val="1"/>
          <w:color w:val="auto"/>
        </w:rPr>
        <w:t>Series E Conversion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5" w:name="page196"/>
    <w:bookmarkEnd w:id="195"/>
    <w:p>
      <w:pPr>
        <w:ind w:left="440" w:right="2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w:t>
      </w:r>
      <w:r>
        <w:rPr>
          <w:rFonts w:ascii="Arial" w:cs="Arial" w:eastAsia="Arial" w:hAnsi="Arial"/>
          <w:sz w:val="17"/>
          <w:szCs w:val="17"/>
          <w:color w:val="auto"/>
        </w:rPr>
        <w:t>” shall be equal to the Series E Original Issue Price, the “</w:t>
      </w:r>
      <w:r>
        <w:rPr>
          <w:rFonts w:ascii="Arial" w:cs="Arial" w:eastAsia="Arial" w:hAnsi="Arial"/>
          <w:sz w:val="17"/>
          <w:szCs w:val="17"/>
          <w:b w:val="1"/>
          <w:bCs w:val="1"/>
          <w:color w:val="auto"/>
        </w:rPr>
        <w:t>Series D Conversion Price</w:t>
      </w:r>
      <w:r>
        <w:rPr>
          <w:rFonts w:ascii="Arial" w:cs="Arial" w:eastAsia="Arial" w:hAnsi="Arial"/>
          <w:sz w:val="17"/>
          <w:szCs w:val="17"/>
          <w:color w:val="auto"/>
        </w:rPr>
        <w:t>” shall be equal to the Series D Original Issue Price,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shall be equal to the Series C Original Issue Price, the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shall be equal to the Series B Original Issue Price, the “</w:t>
      </w:r>
      <w:r>
        <w:rPr>
          <w:rFonts w:ascii="Arial" w:cs="Arial" w:eastAsia="Arial" w:hAnsi="Arial"/>
          <w:sz w:val="17"/>
          <w:szCs w:val="17"/>
          <w:b w:val="1"/>
          <w:bCs w:val="1"/>
          <w:color w:val="auto"/>
        </w:rPr>
        <w:t>Series A-2 Conversion Price</w:t>
      </w:r>
      <w:r>
        <w:rPr>
          <w:rFonts w:ascii="Arial" w:cs="Arial" w:eastAsia="Arial" w:hAnsi="Arial"/>
          <w:sz w:val="17"/>
          <w:szCs w:val="17"/>
          <w:color w:val="auto"/>
        </w:rPr>
        <w:t>” shall be equal to the Series A-2 Original Issue Price, the “</w:t>
      </w:r>
      <w:r>
        <w:rPr>
          <w:rFonts w:ascii="Arial" w:cs="Arial" w:eastAsia="Arial" w:hAnsi="Arial"/>
          <w:sz w:val="17"/>
          <w:szCs w:val="17"/>
          <w:b w:val="1"/>
          <w:bCs w:val="1"/>
          <w:color w:val="auto"/>
        </w:rPr>
        <w:t>Series A-1 Conversion Price</w:t>
      </w:r>
      <w:r>
        <w:rPr>
          <w:rFonts w:ascii="Arial" w:cs="Arial" w:eastAsia="Arial" w:hAnsi="Arial"/>
          <w:sz w:val="17"/>
          <w:szCs w:val="17"/>
          <w:color w:val="auto"/>
        </w:rPr>
        <w:t>” shall be equal to the Series A-1 Original Issue Price, the “</w:t>
      </w:r>
      <w:r>
        <w:rPr>
          <w:rFonts w:ascii="Arial" w:cs="Arial" w:eastAsia="Arial" w:hAnsi="Arial"/>
          <w:sz w:val="17"/>
          <w:szCs w:val="17"/>
          <w:b w:val="1"/>
          <w:bCs w:val="1"/>
          <w:color w:val="auto"/>
        </w:rPr>
        <w:t>Series Seed-2 Conversion Price</w:t>
      </w:r>
      <w:r>
        <w:rPr>
          <w:rFonts w:ascii="Arial" w:cs="Arial" w:eastAsia="Arial" w:hAnsi="Arial"/>
          <w:sz w:val="17"/>
          <w:szCs w:val="17"/>
          <w:color w:val="auto"/>
        </w:rPr>
        <w:t>” shall be equal to the Series Seed-2 Original Issue Price and the “</w:t>
      </w:r>
      <w:r>
        <w:rPr>
          <w:rFonts w:ascii="Arial" w:cs="Arial" w:eastAsia="Arial" w:hAnsi="Arial"/>
          <w:sz w:val="17"/>
          <w:szCs w:val="17"/>
          <w:b w:val="1"/>
          <w:bCs w:val="1"/>
          <w:color w:val="auto"/>
        </w:rPr>
        <w:t>Series Seed-1 Conversion Price</w:t>
      </w:r>
      <w:r>
        <w:rPr>
          <w:rFonts w:ascii="Arial" w:cs="Arial" w:eastAsia="Arial" w:hAnsi="Arial"/>
          <w:sz w:val="17"/>
          <w:szCs w:val="17"/>
          <w:color w:val="auto"/>
        </w:rPr>
        <w:t>” shall be equal to the Series Seed-1 Original Issue Price. Such Series E Conversion Price, Series D Conversion Price, Series C Conversion Price, Series B Conversion Price, Series A-2 Conversion Price, Series A-1 Conversion Price, Series Seed-2 Conversion Price and Series Seed-1 Conversion Price, and the rate at which shares of Series E Preferred Stock, Series D Preferred Stock, Series C Preferred Stock, Series B Preferred Stock, Series A-2 Preferred Stock, Series A-1 Preferred Stock, Series Seed-2 Preferred Stock and Series Seed-1 Preferred Stock may be converted into shares of Common Stock, shall be subject to adjustment as provided below. The applicable Series E Conversion Price, Series D Conversion Price, Series C Conversion Price, Series B Conversion Price, Series A-2 Conversion Price, Series A-1 Conversion Price, Series Seed-2 Conversion Price and Series Seed-1 Conversion Price are each referred to herein as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 Price</w:t>
      </w:r>
      <w:r>
        <w:rPr>
          <w:rFonts w:ascii="Arial" w:cs="Arial" w:eastAsia="Arial" w:hAnsi="Arial"/>
          <w:sz w:val="17"/>
          <w:szCs w:val="17"/>
          <w:color w:val="auto"/>
        </w:rPr>
        <w:t>.”</w:t>
      </w:r>
    </w:p>
    <w:p>
      <w:pPr>
        <w:spacing w:after="0" w:line="75" w:lineRule="exact"/>
        <w:rPr>
          <w:sz w:val="20"/>
          <w:szCs w:val="20"/>
          <w:color w:val="auto"/>
        </w:rPr>
      </w:pPr>
    </w:p>
    <w:p>
      <w:pPr>
        <w:jc w:val="both"/>
        <w:ind w:left="440" w:right="360" w:firstLine="1375"/>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20" w:firstLine="1432"/>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84" w:lineRule="exact"/>
        <w:rPr>
          <w:sz w:val="20"/>
          <w:szCs w:val="20"/>
          <w:color w:val="auto"/>
        </w:rPr>
      </w:pPr>
    </w:p>
    <w:p>
      <w:pPr>
        <w:ind w:left="142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7" w:lineRule="exact"/>
        <w:rPr>
          <w:sz w:val="20"/>
          <w:szCs w:val="20"/>
          <w:color w:val="auto"/>
        </w:rPr>
      </w:pPr>
    </w:p>
    <w:p>
      <w:pPr>
        <w:ind w:left="440" w:firstLine="1375"/>
        <w:spacing w:after="0" w:line="254"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196" w:name="page197"/>
    <w:bookmarkEnd w:id="196"/>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issuable upon conversion of the shares represented by such certificate (or lost certificate affidavit and agreement)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78" w:lineRule="exact"/>
        <w:rPr>
          <w:sz w:val="20"/>
          <w:szCs w:val="20"/>
          <w:color w:val="auto"/>
        </w:rPr>
      </w:pPr>
    </w:p>
    <w:p>
      <w:pPr>
        <w:ind w:right="140" w:firstLine="1375"/>
        <w:spacing w:after="0" w:line="26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74" w:lineRule="exact"/>
        <w:rPr>
          <w:sz w:val="20"/>
          <w:szCs w:val="20"/>
          <w:color w:val="auto"/>
        </w:rPr>
      </w:pPr>
    </w:p>
    <w:p>
      <w:pPr>
        <w:ind w:firstLine="1375"/>
        <w:spacing w:after="0" w:line="296"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97" w:name="page198"/>
    <w:bookmarkEnd w:id="19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and the Corporation may thereafter take such appropriate action (without the need for stockholder action) as may be necessary to reduce the authorized number of shares of Preferred Stock (and the applicable series thereof) accordingly.</w:t>
      </w:r>
    </w:p>
    <w:p>
      <w:pPr>
        <w:spacing w:after="0" w:line="62" w:lineRule="exact"/>
        <w:rPr>
          <w:sz w:val="20"/>
          <w:szCs w:val="20"/>
          <w:color w:val="auto"/>
        </w:rPr>
      </w:pPr>
    </w:p>
    <w:p>
      <w:pPr>
        <w:ind w:right="160" w:firstLine="1375"/>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6" w:lineRule="exact"/>
        <w:rPr>
          <w:sz w:val="20"/>
          <w:szCs w:val="20"/>
          <w:color w:val="auto"/>
        </w:rPr>
      </w:pPr>
    </w:p>
    <w:p>
      <w:pPr>
        <w:ind w:right="240" w:firstLine="1375"/>
        <w:spacing w:after="0" w:line="273" w:lineRule="auto"/>
        <w:rPr>
          <w:sz w:val="20"/>
          <w:szCs w:val="20"/>
          <w:color w:val="auto"/>
        </w:rPr>
      </w:pPr>
      <w:r>
        <w:rPr>
          <w:rFonts w:ascii="Arial" w:cs="Arial" w:eastAsia="Arial" w:hAnsi="Arial"/>
          <w:sz w:val="17"/>
          <w:szCs w:val="17"/>
          <w:color w:val="auto"/>
        </w:rPr>
        <w:t xml:space="preserve">4.3.5.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7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the Applicable Conversion Price for Diluting Issues</w:t>
      </w:r>
      <w:r>
        <w:rPr>
          <w:rFonts w:ascii="Arial" w:cs="Arial" w:eastAsia="Arial" w:hAnsi="Arial"/>
          <w:sz w:val="16"/>
          <w:szCs w:val="16"/>
          <w:color w:val="auto"/>
        </w:rPr>
        <w:t>.</w:t>
      </w:r>
    </w:p>
    <w:p>
      <w:pPr>
        <w:spacing w:after="0" w:line="117" w:lineRule="exact"/>
        <w:rPr>
          <w:sz w:val="20"/>
          <w:szCs w:val="20"/>
          <w:color w:val="auto"/>
        </w:rPr>
      </w:pPr>
    </w:p>
    <w:p>
      <w:pPr>
        <w:ind w:left="1380"/>
        <w:spacing w:after="0"/>
        <w:tabs>
          <w:tab w:leader="none" w:pos="19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Article Fourth</w:t>
      </w:r>
      <w:r>
        <w:rPr>
          <w:rFonts w:ascii="Arial" w:cs="Arial" w:eastAsia="Arial" w:hAnsi="Arial"/>
          <w:sz w:val="16"/>
          <w:szCs w:val="16"/>
          <w:color w:val="auto"/>
        </w:rPr>
        <w:t>, the following definitions shall apply:</w:t>
      </w:r>
    </w:p>
    <w:p>
      <w:pPr>
        <w:spacing w:after="0" w:line="113" w:lineRule="exact"/>
        <w:rPr>
          <w:sz w:val="20"/>
          <w:szCs w:val="20"/>
          <w:color w:val="auto"/>
        </w:rPr>
      </w:pPr>
    </w:p>
    <w:p>
      <w:pPr>
        <w:ind w:left="2320" w:hanging="420"/>
        <w:spacing w:after="0"/>
        <w:tabs>
          <w:tab w:leader="none" w:pos="2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Convertible Securities.</w:t>
      </w:r>
    </w:p>
    <w:p>
      <w:pPr>
        <w:spacing w:after="0" w:line="99" w:lineRule="exact"/>
        <w:rPr>
          <w:sz w:val="20"/>
          <w:szCs w:val="20"/>
          <w:color w:val="auto"/>
        </w:rPr>
      </w:pPr>
    </w:p>
    <w:p>
      <w:pPr>
        <w:ind w:left="2340" w:hanging="440"/>
        <w:spacing w:after="0"/>
        <w:tabs>
          <w:tab w:leader="none" w:pos="23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shall mean the date on which the first share of Series E Preferred Stock was issued.</w:t>
      </w:r>
    </w:p>
    <w:p>
      <w:pPr>
        <w:spacing w:after="0" w:line="128" w:lineRule="exact"/>
        <w:rPr>
          <w:rFonts w:ascii="Arial" w:cs="Arial" w:eastAsia="Arial" w:hAnsi="Arial"/>
          <w:sz w:val="17"/>
          <w:szCs w:val="17"/>
          <w:color w:val="auto"/>
        </w:rPr>
      </w:pPr>
    </w:p>
    <w:p>
      <w:pPr>
        <w:ind w:right="620" w:firstLine="1900"/>
        <w:spacing w:after="0" w:line="282" w:lineRule="auto"/>
        <w:tabs>
          <w:tab w:leader="none" w:pos="23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53" w:lineRule="exact"/>
        <w:rPr>
          <w:rFonts w:ascii="Arial" w:cs="Arial" w:eastAsia="Arial" w:hAnsi="Arial"/>
          <w:sz w:val="18"/>
          <w:szCs w:val="18"/>
          <w:color w:val="auto"/>
        </w:rPr>
      </w:pPr>
    </w:p>
    <w:p>
      <w:pPr>
        <w:ind w:right="320" w:firstLine="1900"/>
        <w:spacing w:after="0" w:line="261" w:lineRule="auto"/>
        <w:tabs>
          <w:tab w:leader="none" w:pos="23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Subsection 4.4.2</w:t>
      </w:r>
      <w:r>
        <w:rPr>
          <w:rFonts w:ascii="Arial" w:cs="Arial" w:eastAsia="Arial" w:hAnsi="Arial"/>
          <w:sz w:val="18"/>
          <w:szCs w:val="18"/>
          <w:color w:val="auto"/>
        </w:rPr>
        <w:t xml:space="preserve"> below, deemed to be issued) by the Corporation after the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740" w:hanging="388"/>
        <w:spacing w:after="0"/>
        <w:tabs>
          <w:tab w:leader="none" w:pos="2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102" w:lineRule="exact"/>
        <w:rPr>
          <w:rFonts w:ascii="Arial" w:cs="Arial" w:eastAsia="Arial" w:hAnsi="Arial"/>
          <w:sz w:val="17"/>
          <w:szCs w:val="17"/>
          <w:color w:val="auto"/>
        </w:rPr>
      </w:pPr>
    </w:p>
    <w:p>
      <w:pPr>
        <w:ind w:left="540" w:right="300" w:firstLine="1812"/>
        <w:spacing w:after="0" w:line="277" w:lineRule="auto"/>
        <w:tabs>
          <w:tab w:leader="none" w:pos="278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198" w:name="page199"/>
    <w:bookmarkEnd w:id="198"/>
    <w:p>
      <w:pPr>
        <w:ind w:left="540" w:right="40" w:firstLine="1812"/>
        <w:spacing w:after="0" w:line="263" w:lineRule="auto"/>
        <w:tabs>
          <w:tab w:leader="none" w:pos="2839"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or Options issued to employees or directors of, or consultants or advisors to, the Corporation or any of its subsidiaries pursuant to a plan, agreement or arrangement approved by the Board (including at least two of the Preferred Directors);</w:t>
      </w:r>
    </w:p>
    <w:p>
      <w:pPr>
        <w:spacing w:after="0" w:line="75" w:lineRule="exact"/>
        <w:rPr>
          <w:rFonts w:ascii="Arial" w:cs="Arial" w:eastAsia="Arial" w:hAnsi="Arial"/>
          <w:sz w:val="18"/>
          <w:szCs w:val="18"/>
          <w:color w:val="auto"/>
        </w:rPr>
      </w:pPr>
    </w:p>
    <w:p>
      <w:pPr>
        <w:ind w:left="540" w:right="100" w:firstLine="1812"/>
        <w:spacing w:after="0" w:line="263" w:lineRule="auto"/>
        <w:tabs>
          <w:tab w:leader="none" w:pos="282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75" w:lineRule="exact"/>
        <w:rPr>
          <w:rFonts w:ascii="Arial" w:cs="Arial" w:eastAsia="Arial" w:hAnsi="Arial"/>
          <w:sz w:val="18"/>
          <w:szCs w:val="18"/>
          <w:color w:val="auto"/>
        </w:rPr>
      </w:pPr>
    </w:p>
    <w:p>
      <w:pPr>
        <w:ind w:left="2780" w:hanging="428"/>
        <w:spacing w:after="0"/>
        <w:tabs>
          <w:tab w:leader="none" w:pos="2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shares of Common Stock actually issued upon the conversion or exchange of Preferred Stock;</w:t>
      </w:r>
    </w:p>
    <w:p>
      <w:pPr>
        <w:spacing w:after="0" w:line="117" w:lineRule="exact"/>
        <w:rPr>
          <w:rFonts w:ascii="Arial" w:cs="Arial" w:eastAsia="Arial" w:hAnsi="Arial"/>
          <w:sz w:val="18"/>
          <w:szCs w:val="18"/>
          <w:color w:val="auto"/>
        </w:rPr>
      </w:pPr>
    </w:p>
    <w:p>
      <w:pPr>
        <w:ind w:left="540" w:right="160" w:firstLine="1812"/>
        <w:spacing w:after="0" w:line="257" w:lineRule="auto"/>
        <w:tabs>
          <w:tab w:leader="none" w:pos="282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to banks, equipment lessors or other financial institutions, or to real property lessors, pursuant to a debt financing, equipment leasing or real property leasing transaction approved by the Board, if the exclusion of such shares from the definition of “Additional Shares of Common Stock” under this subparagraph of </w:t>
      </w:r>
      <w:r>
        <w:rPr>
          <w:rFonts w:ascii="Arial" w:cs="Arial" w:eastAsia="Arial" w:hAnsi="Arial"/>
          <w:sz w:val="18"/>
          <w:szCs w:val="18"/>
          <w:u w:val="single" w:color="auto"/>
          <w:color w:val="auto"/>
        </w:rPr>
        <w:t>Subsection 4.4.1(d)</w:t>
      </w:r>
      <w:r>
        <w:rPr>
          <w:rFonts w:ascii="Arial" w:cs="Arial" w:eastAsia="Arial" w:hAnsi="Arial"/>
          <w:sz w:val="18"/>
          <w:szCs w:val="18"/>
          <w:color w:val="auto"/>
        </w:rPr>
        <w:t>, in each case, is separately and expressly approved by the Board (including at least two of the Preferred Directors);</w:t>
      </w:r>
    </w:p>
    <w:p>
      <w:pPr>
        <w:spacing w:after="0" w:line="79" w:lineRule="exact"/>
        <w:rPr>
          <w:rFonts w:ascii="Arial" w:cs="Arial" w:eastAsia="Arial" w:hAnsi="Arial"/>
          <w:sz w:val="18"/>
          <w:szCs w:val="18"/>
          <w:color w:val="auto"/>
        </w:rPr>
      </w:pPr>
    </w:p>
    <w:p>
      <w:pPr>
        <w:ind w:left="540" w:right="20" w:firstLine="1812"/>
        <w:spacing w:after="0" w:line="257" w:lineRule="auto"/>
        <w:tabs>
          <w:tab w:leader="none" w:pos="287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pursuant to a bona fide business acquisition by the Corporation by merger, purchase of substantially all of the assets or other reorganization or to a joint venture agreement or licensing arrangement,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issuances are approved by the Board, if the exclusion of such shares from the definition of “Additional Shares of Common Stock” under this subparagraph of </w:t>
      </w:r>
      <w:r>
        <w:rPr>
          <w:rFonts w:ascii="Arial" w:cs="Arial" w:eastAsia="Arial" w:hAnsi="Arial"/>
          <w:sz w:val="18"/>
          <w:szCs w:val="18"/>
          <w:u w:val="single" w:color="auto"/>
          <w:color w:val="auto"/>
        </w:rPr>
        <w:t>Subsection 4.4.1(d)</w:t>
      </w:r>
      <w:r>
        <w:rPr>
          <w:rFonts w:ascii="Arial" w:cs="Arial" w:eastAsia="Arial" w:hAnsi="Arial"/>
          <w:sz w:val="18"/>
          <w:szCs w:val="18"/>
          <w:color w:val="auto"/>
        </w:rPr>
        <w:t>, in each case, is separately and expressly approved by the Board (including at least two of the Preferred Directors);</w:t>
      </w:r>
    </w:p>
    <w:p>
      <w:pPr>
        <w:spacing w:after="0" w:line="79" w:lineRule="exact"/>
        <w:rPr>
          <w:rFonts w:ascii="Arial" w:cs="Arial" w:eastAsia="Arial" w:hAnsi="Arial"/>
          <w:sz w:val="18"/>
          <w:szCs w:val="18"/>
          <w:color w:val="auto"/>
        </w:rPr>
      </w:pPr>
    </w:p>
    <w:p>
      <w:pPr>
        <w:ind w:left="540" w:firstLine="1812"/>
        <w:spacing w:after="0" w:line="301" w:lineRule="auto"/>
        <w:tabs>
          <w:tab w:leader="none" w:pos="292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pursuant to strategic transactions entered into by the Corporation for primarily non-equity financing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issuances are approved by the Board, if the exclusion of such shares from the definition of “Additional Shares of Common Stock” under this subparagraph of </w:t>
      </w:r>
      <w:r>
        <w:rPr>
          <w:rFonts w:ascii="Arial" w:cs="Arial" w:eastAsia="Arial" w:hAnsi="Arial"/>
          <w:sz w:val="16"/>
          <w:szCs w:val="16"/>
          <w:u w:val="single" w:color="auto"/>
          <w:color w:val="auto"/>
        </w:rPr>
        <w:t>Subsection 4.4.1(d)</w:t>
      </w:r>
      <w:r>
        <w:rPr>
          <w:rFonts w:ascii="Arial" w:cs="Arial" w:eastAsia="Arial" w:hAnsi="Arial"/>
          <w:sz w:val="16"/>
          <w:szCs w:val="16"/>
          <w:color w:val="auto"/>
        </w:rPr>
        <w:t>, in each case, is separately and expressly approved by the Board (including at least two of the Preferred Directors); or</w:t>
      </w:r>
    </w:p>
    <w:p>
      <w:pPr>
        <w:spacing w:after="0" w:line="49" w:lineRule="exact"/>
        <w:rPr>
          <w:rFonts w:ascii="Arial" w:cs="Arial" w:eastAsia="Arial" w:hAnsi="Arial"/>
          <w:sz w:val="16"/>
          <w:szCs w:val="16"/>
          <w:color w:val="auto"/>
        </w:rPr>
      </w:pPr>
    </w:p>
    <w:p>
      <w:pPr>
        <w:ind w:left="540" w:firstLine="1812"/>
        <w:spacing w:after="0" w:line="308" w:lineRule="auto"/>
        <w:tabs>
          <w:tab w:leader="none" w:pos="282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shares of Common Stock or Convertible Securities issued pursuant to that certain Series E Preferred Stock Purchase Agreement, dated as of even date herewith, by and between the Corporation and the investors party thereto.</w:t>
      </w:r>
    </w:p>
    <w:p>
      <w:pPr>
        <w:spacing w:after="0" w:line="38" w:lineRule="exact"/>
        <w:rPr>
          <w:sz w:val="20"/>
          <w:szCs w:val="20"/>
          <w:color w:val="auto"/>
        </w:rPr>
      </w:pPr>
    </w:p>
    <w:p>
      <w:pPr>
        <w:ind w:right="60" w:firstLine="1375"/>
        <w:spacing w:after="0" w:line="308"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Conversion Price</w:t>
      </w:r>
      <w:r>
        <w:rPr>
          <w:rFonts w:ascii="Arial" w:cs="Arial" w:eastAsia="Arial" w:hAnsi="Arial"/>
          <w:sz w:val="17"/>
          <w:szCs w:val="17"/>
          <w:color w:val="auto"/>
        </w:rPr>
        <w:t>. No adjustment in the Applicable Conversion Price shall be made as the result of the issuance or deemed issuance of Additional Shares of Common Stock if the Corporation receives written notice from the</w:t>
      </w:r>
    </w:p>
    <w:p>
      <w:pPr>
        <w:spacing w:after="0" w:line="7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880" w:top="274" w:right="519" w:bottom="1440" w:gutter="0" w:footer="0" w:header="0"/>
        </w:sectPr>
      </w:pPr>
    </w:p>
    <w:bookmarkStart w:id="199" w:name="page200"/>
    <w:bookmarkEnd w:id="199"/>
    <w:p>
      <w:pPr>
        <w:ind w:left="4"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Requisite Preferred Holders agreeing that no such adjustment shall be made as the result of the issuance or deemed issuance of such Additional Shares of Common Stock; provided, however, that (i) no such waiver or agreement shall be effective with respect to the Series D Preferred Stock unless approved in advance by the Requisite Series D Holders and (ii) no such waiver or agreement shall be effective with respect to the Series E Preferred Stock unless approved in advance by the Requisite Series E Holders.</w:t>
      </w:r>
    </w:p>
    <w:p>
      <w:pPr>
        <w:spacing w:after="0" w:line="279" w:lineRule="exact"/>
        <w:rPr>
          <w:sz w:val="20"/>
          <w:szCs w:val="20"/>
          <w:color w:val="auto"/>
        </w:rPr>
      </w:pPr>
    </w:p>
    <w:p>
      <w:pPr>
        <w:ind w:left="1384"/>
        <w:spacing w:after="0"/>
        <w:tabs>
          <w:tab w:leader="none" w:pos="1983"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117" w:lineRule="exact"/>
        <w:rPr>
          <w:sz w:val="20"/>
          <w:szCs w:val="20"/>
          <w:color w:val="auto"/>
        </w:rPr>
      </w:pPr>
    </w:p>
    <w:p>
      <w:pPr>
        <w:ind w:left="4" w:firstLine="1900"/>
        <w:spacing w:after="0" w:line="271" w:lineRule="auto"/>
        <w:tabs>
          <w:tab w:leader="none" w:pos="233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70" w:lineRule="exact"/>
        <w:rPr>
          <w:rFonts w:ascii="Arial" w:cs="Arial" w:eastAsia="Arial" w:hAnsi="Arial"/>
          <w:sz w:val="17"/>
          <w:szCs w:val="17"/>
          <w:color w:val="auto"/>
        </w:rPr>
      </w:pPr>
    </w:p>
    <w:p>
      <w:pPr>
        <w:ind w:left="4" w:firstLine="1900"/>
        <w:spacing w:after="0" w:line="285" w:lineRule="auto"/>
        <w:tabs>
          <w:tab w:leader="none" w:pos="234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of a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w:t>
      </w:r>
    </w:p>
    <w:p>
      <w:pPr>
        <w:spacing w:after="0" w:line="1" w:lineRule="exact"/>
        <w:rPr>
          <w:rFonts w:ascii="Arial" w:cs="Arial" w:eastAsia="Arial" w:hAnsi="Arial"/>
          <w:sz w:val="16"/>
          <w:szCs w:val="16"/>
          <w:color w:val="auto"/>
        </w:rPr>
      </w:pPr>
    </w:p>
    <w:p>
      <w:pPr>
        <w:ind w:left="4" w:right="60" w:hanging="4"/>
        <w:spacing w:after="0" w:line="286" w:lineRule="auto"/>
        <w:tabs>
          <w:tab w:leader="none" w:pos="25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the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64" w:lineRule="exact"/>
        <w:rPr>
          <w:rFonts w:ascii="Arial" w:cs="Arial" w:eastAsia="Arial" w:hAnsi="Arial"/>
          <w:sz w:val="16"/>
          <w:szCs w:val="16"/>
          <w:color w:val="auto"/>
        </w:rPr>
      </w:pPr>
    </w:p>
    <w:p>
      <w:pPr>
        <w:ind w:left="4" w:right="580" w:firstLine="1900"/>
        <w:spacing w:after="0" w:line="277" w:lineRule="auto"/>
        <w:tabs>
          <w:tab w:leader="none" w:pos="233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If the terms of any Option or Convertible Security (excluding Options or Convertible Securities which are themselves Exempted Securities),</w:t>
      </w:r>
    </w:p>
    <w:p>
      <w:pPr>
        <w:spacing w:after="0" w:line="10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4"/>
          </w:cols>
          <w:pgMar w:left="876" w:top="274" w:right="479" w:bottom="1440" w:gutter="0" w:footer="0" w:header="0"/>
        </w:sectPr>
      </w:pPr>
    </w:p>
    <w:bookmarkStart w:id="200" w:name="page201"/>
    <w:bookmarkEnd w:id="200"/>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issuance of which did not result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xml:space="preserve"> shall be deemed to have been issued effective upon such increase or decrease becoming effective.</w:t>
      </w:r>
    </w:p>
    <w:p>
      <w:pPr>
        <w:spacing w:after="0" w:line="77" w:lineRule="exact"/>
        <w:rPr>
          <w:sz w:val="20"/>
          <w:szCs w:val="20"/>
          <w:color w:val="auto"/>
        </w:rPr>
      </w:pPr>
    </w:p>
    <w:p>
      <w:pPr>
        <w:ind w:right="200" w:firstLine="1900"/>
        <w:spacing w:after="0" w:line="279" w:lineRule="auto"/>
        <w:tabs>
          <w:tab w:leader="none" w:pos="233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the Applicable Conversion Price, shall be readjusted to such Applicable Conversion Price as would have obtained had such Option or Convertible Security (or portion thereof) never been issued.</w:t>
      </w:r>
    </w:p>
    <w:p>
      <w:pPr>
        <w:spacing w:after="0" w:line="63" w:lineRule="exact"/>
        <w:rPr>
          <w:rFonts w:ascii="Arial" w:cs="Arial" w:eastAsia="Arial" w:hAnsi="Arial"/>
          <w:sz w:val="17"/>
          <w:szCs w:val="17"/>
          <w:color w:val="auto"/>
        </w:rPr>
      </w:pPr>
    </w:p>
    <w:p>
      <w:pPr>
        <w:ind w:firstLine="1900"/>
        <w:spacing w:after="0" w:line="269" w:lineRule="auto"/>
        <w:tabs>
          <w:tab w:leader="none" w:pos="232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71" w:lineRule="exact"/>
        <w:rPr>
          <w:sz w:val="20"/>
          <w:szCs w:val="20"/>
          <w:color w:val="auto"/>
        </w:rPr>
      </w:pPr>
    </w:p>
    <w:p>
      <w:pPr>
        <w:ind w:right="180" w:firstLine="1375"/>
        <w:spacing w:after="0" w:line="277"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Applicable Conversion Price Upon Issuance of Additional Shares of Common Stock</w:t>
      </w:r>
      <w:r>
        <w:rPr>
          <w:rFonts w:ascii="Arial" w:cs="Arial" w:eastAsia="Arial" w:hAnsi="Arial"/>
          <w:sz w:val="18"/>
          <w:szCs w:val="18"/>
          <w:color w:val="auto"/>
        </w:rPr>
        <w:t>. In the event the Corporation shall at any time after the Original Issue Date issue Additional Shares of Common Stock (including</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01" w:name="page202"/>
    <w:bookmarkEnd w:id="201"/>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Applicable Conversion Price in effect immediately prior to such issue, then the Applicable Conversion Price shall be reduced, concurrently with such issue, to a price (calculated to the nearest one-hundredth of a cent) determined in accordance with the following formula:</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3" w:lineRule="exact"/>
        <w:rPr>
          <w:sz w:val="20"/>
          <w:szCs w:val="20"/>
          <w:color w:val="auto"/>
        </w:rPr>
      </w:pPr>
    </w:p>
    <w:p>
      <w:pPr>
        <w:ind w:left="2320" w:hanging="420"/>
        <w:spacing w:after="0"/>
        <w:tabs>
          <w:tab w:leader="none" w:pos="23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CP</w:t>
      </w:r>
      <w:r>
        <w:rPr>
          <w:rFonts w:ascii="Arial" w:cs="Arial" w:eastAsia="Arial" w:hAnsi="Arial"/>
          <w:sz w:val="13"/>
          <w:szCs w:val="13"/>
          <w:b w:val="1"/>
          <w:bCs w:val="1"/>
          <w:color w:val="auto"/>
        </w:rPr>
        <w:t>2</w:t>
      </w:r>
      <w:r>
        <w:rPr>
          <w:rFonts w:ascii="Arial" w:cs="Arial" w:eastAsia="Arial" w:hAnsi="Arial"/>
          <w:sz w:val="16"/>
          <w:szCs w:val="16"/>
          <w:color w:val="auto"/>
        </w:rPr>
        <w:t>” shall mean the Applicable Conversion Price in effect immediately after such issue of Additional Shares of</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97" w:lineRule="exact"/>
        <w:rPr>
          <w:sz w:val="20"/>
          <w:szCs w:val="20"/>
          <w:color w:val="auto"/>
        </w:rPr>
      </w:pPr>
    </w:p>
    <w:p>
      <w:pPr>
        <w:ind w:left="2340" w:hanging="440"/>
        <w:spacing w:after="0"/>
        <w:tabs>
          <w:tab w:leader="none" w:pos="23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CP</w:t>
      </w:r>
      <w:r>
        <w:rPr>
          <w:rFonts w:ascii="Arial" w:cs="Arial" w:eastAsia="Arial" w:hAnsi="Arial"/>
          <w:sz w:val="13"/>
          <w:szCs w:val="13"/>
          <w:b w:val="1"/>
          <w:bCs w:val="1"/>
          <w:color w:val="auto"/>
        </w:rPr>
        <w:t>1</w:t>
      </w:r>
      <w:r>
        <w:rPr>
          <w:rFonts w:ascii="Arial" w:cs="Arial" w:eastAsia="Arial" w:hAnsi="Arial"/>
          <w:sz w:val="16"/>
          <w:szCs w:val="16"/>
          <w:color w:val="auto"/>
        </w:rPr>
        <w:t>” shall mean the Applicable Conversion Price in effect immediately prior to such issue of Additional Shares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w:t>
      </w:r>
    </w:p>
    <w:p>
      <w:pPr>
        <w:spacing w:after="0" w:line="97" w:lineRule="exact"/>
        <w:rPr>
          <w:sz w:val="20"/>
          <w:szCs w:val="20"/>
          <w:color w:val="auto"/>
        </w:rPr>
      </w:pPr>
    </w:p>
    <w:p>
      <w:pPr>
        <w:ind w:right="20" w:firstLine="1900"/>
        <w:spacing w:after="0" w:line="261" w:lineRule="auto"/>
        <w:tabs>
          <w:tab w:leader="none" w:pos="23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1" w:lineRule="exact"/>
        <w:rPr>
          <w:rFonts w:ascii="Arial" w:cs="Arial" w:eastAsia="Arial" w:hAnsi="Arial"/>
          <w:sz w:val="18"/>
          <w:szCs w:val="18"/>
          <w:color w:val="auto"/>
        </w:rPr>
      </w:pPr>
    </w:p>
    <w:p>
      <w:pPr>
        <w:jc w:val="both"/>
        <w:ind w:right="20" w:firstLine="1900"/>
        <w:spacing w:after="0" w:line="277" w:lineRule="auto"/>
        <w:tabs>
          <w:tab w:leader="none" w:pos="233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39" w:lineRule="exact"/>
        <w:rPr>
          <w:rFonts w:ascii="Arial" w:cs="Arial" w:eastAsia="Arial" w:hAnsi="Arial"/>
          <w:sz w:val="18"/>
          <w:szCs w:val="18"/>
          <w:color w:val="auto"/>
        </w:rPr>
      </w:pPr>
    </w:p>
    <w:p>
      <w:pPr>
        <w:ind w:left="2320" w:hanging="420"/>
        <w:spacing w:after="0"/>
        <w:tabs>
          <w:tab w:leader="none" w:pos="23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shall mean the number of such Additional Shares of Common Stock issued in such transaction.</w:t>
      </w:r>
    </w:p>
    <w:p>
      <w:pPr>
        <w:spacing w:after="0" w:line="121" w:lineRule="exact"/>
        <w:rPr>
          <w:sz w:val="20"/>
          <w:szCs w:val="20"/>
          <w:color w:val="auto"/>
        </w:rPr>
      </w:pPr>
    </w:p>
    <w:p>
      <w:pPr>
        <w:ind w:right="120" w:firstLine="1375"/>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4.4.5</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2" w:lineRule="exact"/>
        <w:rPr>
          <w:sz w:val="20"/>
          <w:szCs w:val="20"/>
          <w:color w:val="auto"/>
        </w:rPr>
      </w:pPr>
    </w:p>
    <w:p>
      <w:pPr>
        <w:ind w:left="2320" w:hanging="420"/>
        <w:spacing w:after="0"/>
        <w:tabs>
          <w:tab w:leader="none" w:pos="23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left="540" w:right="360" w:firstLine="1812"/>
        <w:spacing w:after="0" w:line="277" w:lineRule="auto"/>
        <w:tabs>
          <w:tab w:leader="none" w:pos="273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62" w:lineRule="exact"/>
        <w:rPr>
          <w:rFonts w:ascii="Arial" w:cs="Arial" w:eastAsia="Arial" w:hAnsi="Arial"/>
          <w:sz w:val="18"/>
          <w:szCs w:val="18"/>
          <w:color w:val="auto"/>
        </w:rPr>
      </w:pPr>
    </w:p>
    <w:p>
      <w:pPr>
        <w:ind w:left="540" w:right="40" w:firstLine="1812"/>
        <w:spacing w:after="0" w:line="277" w:lineRule="auto"/>
        <w:tabs>
          <w:tab w:leader="none" w:pos="278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and</w:t>
      </w:r>
    </w:p>
    <w:p>
      <w:pPr>
        <w:spacing w:after="0" w:line="62" w:lineRule="exact"/>
        <w:rPr>
          <w:rFonts w:ascii="Arial" w:cs="Arial" w:eastAsia="Arial" w:hAnsi="Arial"/>
          <w:sz w:val="18"/>
          <w:szCs w:val="18"/>
          <w:color w:val="auto"/>
        </w:rPr>
      </w:pPr>
    </w:p>
    <w:p>
      <w:pPr>
        <w:jc w:val="both"/>
        <w:ind w:left="540" w:right="380" w:firstLine="1812"/>
        <w:spacing w:after="0" w:line="263" w:lineRule="auto"/>
        <w:tabs>
          <w:tab w:leader="none" w:pos="283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202" w:name="page203"/>
    <w:bookmarkEnd w:id="202"/>
    <w:p>
      <w:pPr>
        <w:jc w:val="both"/>
        <w:ind w:left="440" w:right="480" w:firstLine="1900"/>
        <w:spacing w:after="0" w:line="263" w:lineRule="auto"/>
        <w:tabs>
          <w:tab w:leader="none" w:pos="277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75" w:lineRule="exact"/>
        <w:rPr>
          <w:rFonts w:ascii="Arial" w:cs="Arial" w:eastAsia="Arial" w:hAnsi="Arial"/>
          <w:sz w:val="18"/>
          <w:szCs w:val="18"/>
          <w:color w:val="auto"/>
        </w:rPr>
      </w:pPr>
    </w:p>
    <w:p>
      <w:pPr>
        <w:ind w:left="980" w:right="60" w:firstLine="1812"/>
        <w:spacing w:after="0" w:line="296" w:lineRule="auto"/>
        <w:tabs>
          <w:tab w:leader="none" w:pos="3179"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53" w:lineRule="exact"/>
        <w:rPr>
          <w:rFonts w:ascii="Arial" w:cs="Arial" w:eastAsia="Arial" w:hAnsi="Arial"/>
          <w:sz w:val="16"/>
          <w:szCs w:val="16"/>
          <w:color w:val="auto"/>
        </w:rPr>
      </w:pPr>
    </w:p>
    <w:p>
      <w:pPr>
        <w:ind w:left="980" w:right="100" w:firstLine="1812"/>
        <w:spacing w:after="0" w:line="279" w:lineRule="auto"/>
        <w:tabs>
          <w:tab w:leader="none" w:pos="322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1" w:lineRule="exact"/>
        <w:rPr>
          <w:sz w:val="20"/>
          <w:szCs w:val="20"/>
          <w:color w:val="auto"/>
        </w:rPr>
      </w:pPr>
    </w:p>
    <w:p>
      <w:pPr>
        <w:ind w:right="60" w:firstLine="1983"/>
        <w:spacing w:after="0" w:line="275" w:lineRule="auto"/>
        <w:rPr>
          <w:sz w:val="20"/>
          <w:szCs w:val="20"/>
          <w:color w:val="auto"/>
        </w:rPr>
      </w:pPr>
      <w:r>
        <w:rPr>
          <w:rFonts w:ascii="Arial" w:cs="Arial" w:eastAsia="Arial" w:hAnsi="Arial"/>
          <w:sz w:val="17"/>
          <w:szCs w:val="17"/>
          <w:color w:val="auto"/>
        </w:rPr>
        <w:t xml:space="preserve">4.4.6. </w:t>
      </w:r>
      <w:r>
        <w:rPr>
          <w:rFonts w:ascii="Arial" w:cs="Arial" w:eastAsia="Arial" w:hAnsi="Arial"/>
          <w:sz w:val="17"/>
          <w:szCs w:val="17"/>
          <w:u w:val="single" w:color="auto"/>
          <w:color w:val="auto"/>
        </w:rPr>
        <w:t>Multiple Closing Dates</w:t>
      </w:r>
      <w:r>
        <w:rPr>
          <w:rFonts w:ascii="Arial" w:cs="Arial" w:eastAsia="Arial" w:hAnsi="Arial"/>
          <w:sz w:val="17"/>
          <w:szCs w:val="17"/>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of a series of Preferred Stock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above,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76" w:lineRule="exact"/>
        <w:rPr>
          <w:sz w:val="20"/>
          <w:szCs w:val="20"/>
          <w:color w:val="auto"/>
        </w:rPr>
      </w:pPr>
    </w:p>
    <w:p>
      <w:pPr>
        <w:ind w:firstLine="1432"/>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effect a subdivision of the outstanding Common Stock without the comparable subdivision of the Preferred Stock or combine the outstanding shares of Preferred Stock without a comparable combination of the Common Stock, the Applicable Conversion Price in effect immediately before that subdivision shall be proportionately decreased so that the number of shares of Common Stock issuable on conversion of each share of such series of Preferred Stock shall be increased in proportion to such increase in the aggregate number of shares of Common Stock outstanding. If the Corporation shall at any time or from time to time after the Original Issue Date combine the outstanding shares of Common Stock without the comparable combination of the Preferred Stock or effect a subdivision of the Preferred Stock without a comparable subdivision of the Common Stock, the Applicable Conversion Price in effect immediately before the combination shall be proportionately increased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03" w:name="page204"/>
    <w:bookmarkEnd w:id="203"/>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 that the number of shares of Common Stock issuable on conversion of each share of such series of Preferred Stock shall be decreased in proportion to such decrease in the aggregate number of shares of Common Stock outstanding. Any adjustment under this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shall become effective at the close of business on the date the subdivision or combination becomes effective.</w:t>
      </w:r>
    </w:p>
    <w:p>
      <w:pPr>
        <w:spacing w:after="0" w:line="184" w:lineRule="exact"/>
        <w:rPr>
          <w:sz w:val="20"/>
          <w:szCs w:val="20"/>
          <w:color w:val="auto"/>
        </w:rPr>
      </w:pPr>
    </w:p>
    <w:p>
      <w:pPr>
        <w:ind w:right="60" w:firstLine="1432"/>
        <w:spacing w:after="0" w:line="29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of each series of Preferred Stock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61" w:lineRule="exact"/>
        <w:rPr>
          <w:sz w:val="20"/>
          <w:szCs w:val="20"/>
          <w:color w:val="auto"/>
        </w:rPr>
      </w:pPr>
    </w:p>
    <w:p>
      <w:pPr>
        <w:ind w:right="20" w:firstLine="1979"/>
        <w:spacing w:after="0" w:line="277" w:lineRule="auto"/>
        <w:tabs>
          <w:tab w:leader="none" w:pos="237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120" w:firstLine="1979"/>
        <w:spacing w:after="0" w:line="263" w:lineRule="auto"/>
        <w:tabs>
          <w:tab w:leader="none" w:pos="242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Notwithstanding the foregoing, (a) if such record date shall have been fixed and such dividend is not fully paid or if such distribution is not fully made on the date fixed therefor, such Applicable Conversion Price shall be recomputed accordingly as of the close of business on such record date and thereafter such Applicable Conversion Price shall be adjusted pursuant to this </w:t>
      </w:r>
      <w:r>
        <w:rPr>
          <w:rFonts w:ascii="Arial" w:cs="Arial" w:eastAsia="Arial" w:hAnsi="Arial"/>
          <w:sz w:val="18"/>
          <w:szCs w:val="18"/>
          <w:u w:val="single" w:color="auto"/>
          <w:color w:val="auto"/>
        </w:rPr>
        <w:t>Subsection 4.6</w:t>
      </w:r>
      <w:r>
        <w:rPr>
          <w:rFonts w:ascii="Arial" w:cs="Arial" w:eastAsia="Arial" w:hAnsi="Arial"/>
          <w:sz w:val="18"/>
          <w:szCs w:val="18"/>
          <w:color w:val="auto"/>
        </w:rPr>
        <w:t xml:space="preserve"> as of the time of actual payment of such dividends or distributions; and (b) that no such adjustment shall be made to the Applicable Conversion Price of a series of Preferred Stock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95"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04" w:name="page205"/>
    <w:bookmarkEnd w:id="204"/>
    <w:p>
      <w:pPr>
        <w:ind w:right="20" w:firstLine="1432"/>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Applicable Conversion Price of each series of Preferred Stock)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182"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xml:space="preserve">. Upon the occurrence of each adjustment or readjustment of the Applicable Conversion Price of a series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each series of Preferred Stock.</w:t>
      </w:r>
    </w:p>
    <w:p>
      <w:pPr>
        <w:spacing w:after="0" w:line="304" w:lineRule="exact"/>
        <w:rPr>
          <w:sz w:val="20"/>
          <w:szCs w:val="20"/>
          <w:color w:val="auto"/>
        </w:rPr>
      </w:pPr>
    </w:p>
    <w:p>
      <w:pPr>
        <w:ind w:left="1420"/>
        <w:spacing w:after="0"/>
        <w:tabs>
          <w:tab w:leader="none" w:pos="20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 xml:space="preserve">Notice of Record Date. </w:t>
      </w:r>
      <w:r>
        <w:rPr>
          <w:rFonts w:ascii="Arial" w:cs="Arial" w:eastAsia="Arial" w:hAnsi="Arial"/>
          <w:sz w:val="16"/>
          <w:szCs w:val="16"/>
          <w:color w:val="auto"/>
        </w:rPr>
        <w:t>In the event:</w:t>
      </w:r>
    </w:p>
    <w:p>
      <w:pPr>
        <w:spacing w:after="0" w:line="117" w:lineRule="exact"/>
        <w:rPr>
          <w:sz w:val="20"/>
          <w:szCs w:val="20"/>
          <w:color w:val="auto"/>
        </w:rPr>
      </w:pPr>
    </w:p>
    <w:p>
      <w:pPr>
        <w:ind w:right="40" w:firstLine="2419"/>
        <w:spacing w:after="0" w:line="311" w:lineRule="auto"/>
        <w:tabs>
          <w:tab w:leader="none" w:pos="284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205" w:name="page206"/>
    <w:bookmarkEnd w:id="205"/>
    <w:p>
      <w:pPr>
        <w:ind w:left="2864" w:hanging="441"/>
        <w:spacing w:after="0"/>
        <w:tabs>
          <w:tab w:leader="none" w:pos="2864" w:val="left"/>
        </w:tabs>
        <w:numPr>
          <w:ilvl w:val="0"/>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capital reorganization of the Corporation, any reclassification of the Common Stock of the Corporation,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 any Deemed Liquidation Event; or</w:t>
      </w:r>
    </w:p>
    <w:p>
      <w:pPr>
        <w:spacing w:after="0" w:line="210" w:lineRule="exact"/>
        <w:rPr>
          <w:rFonts w:ascii="Arial" w:cs="Arial" w:eastAsia="Arial" w:hAnsi="Arial"/>
          <w:sz w:val="16"/>
          <w:szCs w:val="16"/>
          <w:color w:val="auto"/>
        </w:rPr>
      </w:pPr>
    </w:p>
    <w:p>
      <w:pPr>
        <w:ind w:left="2844" w:hanging="421"/>
        <w:spacing w:after="0"/>
        <w:tabs>
          <w:tab w:leader="none" w:pos="28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60" w:hanging="4"/>
        <w:spacing w:after="0" w:line="281" w:lineRule="auto"/>
        <w:tabs>
          <w:tab w:leader="none" w:pos="2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(10) days prior to the record date or effective date for the event specified in such notice.</w:t>
      </w:r>
    </w:p>
    <w:p>
      <w:pPr>
        <w:spacing w:after="0" w:line="319" w:lineRule="exact"/>
        <w:rPr>
          <w:sz w:val="20"/>
          <w:szCs w:val="20"/>
          <w:color w:val="auto"/>
        </w:rPr>
      </w:pPr>
    </w:p>
    <w:p>
      <w:pPr>
        <w:ind w:left="1344" w:hanging="353"/>
        <w:spacing w:after="0"/>
        <w:tabs>
          <w:tab w:leader="none" w:pos="134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ind w:left="4" w:right="20" w:firstLine="1432"/>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 Events</w:t>
      </w:r>
      <w:r>
        <w:rPr>
          <w:rFonts w:ascii="Arial" w:cs="Arial" w:eastAsia="Arial" w:hAnsi="Arial"/>
          <w:sz w:val="17"/>
          <w:szCs w:val="17"/>
          <w:color w:val="auto"/>
        </w:rPr>
        <w:t>. Upon (a) the closing of the sale of shares of Common Stock to the public, in a firm-commitment underwritten public offering pursuant to an effective registration statement under the Securities Act of 1933, as amended, resulting in at least $50,000,000 of gross proceeds to the Corporation and the purchase price of such shares of Common Stock is at least $20.43 per share (subject to appropriate adjustment in the event of any stock dividend, stock split, combination, or other similar recapitalization) (a “</w:t>
      </w:r>
      <w:r>
        <w:rPr>
          <w:rFonts w:ascii="Arial" w:cs="Arial" w:eastAsia="Arial" w:hAnsi="Arial"/>
          <w:sz w:val="17"/>
          <w:szCs w:val="17"/>
          <w:b w:val="1"/>
          <w:bCs w:val="1"/>
          <w:color w:val="auto"/>
        </w:rPr>
        <w:t>Qualified IPO</w:t>
      </w:r>
      <w:r>
        <w:rPr>
          <w:rFonts w:ascii="Arial" w:cs="Arial" w:eastAsia="Arial" w:hAnsi="Arial"/>
          <w:sz w:val="17"/>
          <w:szCs w:val="17"/>
          <w:color w:val="auto"/>
        </w:rPr>
        <w:t xml:space="preserve">”); or (b) the date and time, or the occurrence of an event, specified by vote or written consent of the Requisite Preferred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upon a Qualified IPO, the conversion of Series D Preferred Stock shall require the vote or written consent of the Requisite Series D Holders and the conversion of the Series E Preferred Stock shall require the vote or written consent of the Requisite Series E Holders (the time of such closing or the date and time specified or the time of the event specified in any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(i) all outstanding shares of each series of Preferred Stock shall automatically be converted into shares of Common Stock, at the then effective conversion rate; and (ii) such shares may not be reissued by the Corporation.</w:t>
      </w:r>
    </w:p>
    <w:p>
      <w:pPr>
        <w:spacing w:after="0" w:line="185"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All holders of record of shares of such series of Preferred Stock shall be sent written notice of the Mandatory Conversion Time and the place designated for 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Such notice need not be sent in advance of the occurrence of the Mandatory Conversion Time. Upon receipt of such notice, each holder of shares of such series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06" w:name="page207"/>
    <w:bookmarkEnd w:id="20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Subsection 5.1</w:t>
      </w:r>
      <w:r>
        <w:rPr>
          <w:rFonts w:ascii="Arial" w:cs="Arial" w:eastAsia="Arial" w:hAnsi="Arial"/>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7"/>
          <w:szCs w:val="17"/>
          <w:u w:val="single" w:color="auto"/>
          <w:color w:val="auto"/>
        </w:rPr>
        <w:t>Subsection 5.2</w:t>
      </w:r>
      <w:r>
        <w:rPr>
          <w:rFonts w:ascii="Arial" w:cs="Arial" w:eastAsia="Arial" w:hAnsi="Arial"/>
          <w:sz w:val="17"/>
          <w:szCs w:val="17"/>
          <w:color w:val="auto"/>
        </w:rPr>
        <w:t xml:space="preserve">.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6" w:lineRule="exact"/>
        <w:rPr>
          <w:sz w:val="20"/>
          <w:szCs w:val="20"/>
          <w:color w:val="auto"/>
        </w:rPr>
      </w:pPr>
    </w:p>
    <w:p>
      <w:pPr>
        <w:ind w:right="80" w:firstLine="987"/>
        <w:spacing w:after="0" w:line="255" w:lineRule="auto"/>
        <w:tabs>
          <w:tab w:leader="none" w:pos="1351"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of the rights, powers, preferences and other terms of the Preferred Stock set forth herein may be waived on behalf of all holders of Preferred Stock by the affirmative written consent or vote of the Requisite Preferred Holders (and (i) with respect to the Series D Preferred Stock, the Requisite Series D Holders, and (ii) with respect to the Series E Preferred Stock, the Requisite Series 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such rights, powers, preferences and other terms are expressly for the benefit of a specific series or group of series of Preferred Stock, then such waiver shall also require the separate affirmative consent of the holders of at least a majority of the applicable series or group of series of Preferred Stock.</w:t>
      </w:r>
    </w:p>
    <w:p>
      <w:pPr>
        <w:spacing w:after="0" w:line="192" w:lineRule="exact"/>
        <w:rPr>
          <w:rFonts w:ascii="Arial" w:cs="Arial" w:eastAsia="Arial" w:hAnsi="Arial"/>
          <w:sz w:val="18"/>
          <w:szCs w:val="18"/>
          <w:color w:val="auto"/>
        </w:rPr>
      </w:pPr>
    </w:p>
    <w:p>
      <w:pPr>
        <w:ind w:right="60" w:firstLine="987"/>
        <w:spacing w:after="0" w:line="311" w:lineRule="auto"/>
        <w:tabs>
          <w:tab w:leader="none" w:pos="1351"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required or permitted by the provisions of this </w:t>
      </w:r>
      <w:r>
        <w:rPr>
          <w:rFonts w:ascii="Arial" w:cs="Arial" w:eastAsia="Arial" w:hAnsi="Arial"/>
          <w:sz w:val="16"/>
          <w:szCs w:val="16"/>
          <w:u w:val="single" w:color="auto"/>
          <w:color w:val="auto"/>
        </w:rPr>
        <w:t>Article Fourth</w:t>
      </w:r>
      <w:r>
        <w:rPr>
          <w:rFonts w:ascii="Arial" w:cs="Arial" w:eastAsia="Arial" w:hAnsi="Arial"/>
          <w:sz w:val="16"/>
          <w:szCs w:val="16"/>
          <w:color w:val="auto"/>
        </w:rPr>
        <w:t xml:space="preserve">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of the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Amended and Restated Certificate of Incorporation, the number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be determined in the manner set forth in the Bylaws of the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07" w:name="page208"/>
    <w:bookmarkEnd w:id="207"/>
    <w:p>
      <w:pPr>
        <w:ind w:right="1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or in the Bylaws of the Corporation.</w:t>
      </w:r>
    </w:p>
    <w:p>
      <w:pPr>
        <w:spacing w:after="0" w:line="176"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monetary damages for breach of fiduciary duty as a director. If the General Corporation Law or any other law of the State of Delaware is amended after approval by the stockholders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Any repeal or modification of the foregoing provisions of this </w:t>
      </w:r>
      <w:r>
        <w:rPr>
          <w:rFonts w:ascii="Arial" w:cs="Arial" w:eastAsia="Arial" w:hAnsi="Arial"/>
          <w:sz w:val="18"/>
          <w:szCs w:val="18"/>
          <w:u w:val="single" w:color="auto"/>
          <w:color w:val="auto"/>
        </w:rPr>
        <w:t>Article Ninth</w:t>
      </w:r>
      <w:r>
        <w:rPr>
          <w:rFonts w:ascii="Arial" w:cs="Arial" w:eastAsia="Arial" w:hAnsi="Arial"/>
          <w:sz w:val="18"/>
          <w:szCs w:val="18"/>
          <w:color w:val="auto"/>
        </w:rPr>
        <w:t xml:space="preserve">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jc w:val="both"/>
        <w:ind w:right="340" w:firstLine="440"/>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Any amendment, repeal, or modification of the foregoing provisions of this </w:t>
      </w:r>
      <w:r>
        <w:rPr>
          <w:rFonts w:ascii="Arial" w:cs="Arial" w:eastAsia="Arial" w:hAnsi="Arial"/>
          <w:sz w:val="18"/>
          <w:szCs w:val="18"/>
          <w:u w:val="single" w:color="auto"/>
          <w:color w:val="auto"/>
        </w:rPr>
        <w:t>Article Tenth</w:t>
      </w:r>
      <w:r>
        <w:rPr>
          <w:rFonts w:ascii="Arial" w:cs="Arial" w:eastAsia="Arial" w:hAnsi="Arial"/>
          <w:sz w:val="18"/>
          <w:szCs w:val="18"/>
          <w:color w:val="auto"/>
        </w:rPr>
        <w:t xml:space="preserve">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 in being</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0" w:right="499" w:bottom="1440" w:gutter="0" w:footer="0" w:header="0"/>
        </w:sectPr>
      </w:pPr>
    </w:p>
    <w:bookmarkStart w:id="208" w:name="page209"/>
    <w:bookmarkEnd w:id="208"/>
    <w:p>
      <w:pPr>
        <w:ind w:left="-60" w:firstLine="436"/>
        <w:spacing w:after="0" w:line="277" w:lineRule="auto"/>
        <w:tabs>
          <w:tab w:leader="none" w:pos="5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color w:val="auto"/>
        </w:rPr>
      </w:pPr>
    </w:p>
    <w:p>
      <w:pPr>
        <w:ind w:left="-60" w:right="800" w:firstLine="436"/>
        <w:spacing w:after="0" w:line="342" w:lineRule="auto"/>
        <w:tabs>
          <w:tab w:leader="none" w:pos="5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500" w:top="274" w:right="519" w:bottom="1440" w:gutter="0" w:footer="0" w:header="0"/>
        </w:sectPr>
      </w:pPr>
    </w:p>
    <w:bookmarkStart w:id="209" w:name="page210"/>
    <w:bookmarkEnd w:id="20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20th day of July, 2020.</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Randy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Randy Altschuler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460"/>
          </w:cols>
          <w:pgMar w:left="440" w:top="270" w:right="9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1209 Orange Street,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19801 or in such other location as the Board of Directors may from time to time determine or the business of the corporation may require.</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Said seal may be used by causing it or a facsimile thereof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impressed or affixed or reproduced or otherwise.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288"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r>
        <w:rPr>
          <w:rFonts w:ascii="Arial" w:cs="Arial" w:eastAsia="Arial" w:hAnsi="Arial"/>
          <w:sz w:val="16"/>
          <w:szCs w:val="16"/>
          <w:color w:val="auto"/>
        </w:rPr>
        <w:t>.</w:t>
      </w:r>
    </w:p>
    <w:p>
      <w:pPr>
        <w:spacing w:after="0" w:line="121" w:lineRule="exact"/>
        <w:rPr>
          <w:sz w:val="20"/>
          <w:szCs w:val="20"/>
          <w:color w:val="auto"/>
        </w:rPr>
      </w:pPr>
    </w:p>
    <w:p>
      <w:pPr>
        <w:ind w:right="20" w:firstLine="987"/>
        <w:spacing w:after="0" w:line="293" w:lineRule="auto"/>
        <w:tabs>
          <w:tab w:leader="none" w:pos="1378" w:val="left"/>
        </w:tabs>
        <w:numPr>
          <w:ilvl w:val="0"/>
          <w:numId w:val="165"/>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164" w:lineRule="exact"/>
        <w:rPr>
          <w:rFonts w:ascii="Arial" w:cs="Arial" w:eastAsia="Arial" w:hAnsi="Arial"/>
          <w:sz w:val="16"/>
          <w:szCs w:val="16"/>
          <w:b w:val="1"/>
          <w:bCs w:val="1"/>
          <w:color w:val="auto"/>
        </w:rPr>
      </w:pPr>
    </w:p>
    <w:p>
      <w:pPr>
        <w:ind w:right="40" w:firstLine="987"/>
        <w:spacing w:after="0" w:line="273" w:lineRule="auto"/>
        <w:tabs>
          <w:tab w:leader="none" w:pos="1381"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paragraph (a) of this Section, (i) 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w:t>
      </w:r>
    </w:p>
    <w:p>
      <w:pPr>
        <w:sectPr>
          <w:pgSz w:w="11900" w:h="16838" w:orient="portrait"/>
          <w:cols w:equalWidth="0" w:num="1">
            <w:col w:w="10980"/>
          </w:cols>
          <w:pgMar w:left="440" w:top="270" w:right="479" w:bottom="1440" w:gutter="0" w:footer="0" w:header="0"/>
        </w:sectPr>
      </w:pPr>
    </w:p>
    <w:bookmarkStart w:id="212" w:name="page213"/>
    <w:bookmarkEnd w:id="21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w:t>
      </w:r>
    </w:p>
    <w:p>
      <w:pPr>
        <w:spacing w:after="0" w:line="173" w:lineRule="exact"/>
        <w:rPr>
          <w:sz w:val="20"/>
          <w:szCs w:val="20"/>
          <w:color w:val="auto"/>
        </w:rPr>
      </w:pPr>
    </w:p>
    <w:p>
      <w:pPr>
        <w:ind w:right="80" w:firstLine="987"/>
        <w:spacing w:after="0" w:line="293" w:lineRule="auto"/>
        <w:tabs>
          <w:tab w:leader="none" w:pos="1371"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shall also be considered timely, but only with respect to nominees for any new positions created by such increase, if it shall be delivered to the Secretary at the principal executive offices of the corporation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such public announcement is first made by the corporation.</w:t>
      </w:r>
    </w:p>
    <w:p>
      <w:pPr>
        <w:spacing w:after="0" w:line="164" w:lineRule="exact"/>
        <w:rPr>
          <w:rFonts w:ascii="Arial" w:cs="Arial" w:eastAsia="Arial" w:hAnsi="Arial"/>
          <w:sz w:val="16"/>
          <w:szCs w:val="16"/>
          <w:b w:val="1"/>
          <w:bCs w:val="1"/>
          <w:color w:val="auto"/>
        </w:rPr>
      </w:pPr>
    </w:p>
    <w:p>
      <w:pPr>
        <w:ind w:right="20" w:firstLine="987"/>
        <w:spacing w:after="0" w:line="259" w:lineRule="auto"/>
        <w:tabs>
          <w:tab w:leader="none" w:pos="1391"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Only such persons who are nominated in accordance with the procedures set forth in this Section (or elected or appointed pursuant to Article IV of these Bylaws) shall be eligible to serve as directors and only such business shall be conducted at a meeting of stockholders as shall have been brought before the meeting in accordance with the procedures set forth in this Section. Except as otherwise provided by law, the Chairman of the meeting shall have the power and duty to determine whether a nomination or</w:t>
      </w:r>
    </w:p>
    <w:p>
      <w:pPr>
        <w:sectPr>
          <w:pgSz w:w="11900" w:h="16838" w:orient="portrait"/>
          <w:cols w:equalWidth="0" w:num="1">
            <w:col w:w="10980"/>
          </w:cols>
          <w:pgMar w:left="440" w:top="274" w:right="479" w:bottom="1440" w:gutter="0" w:footer="0" w:header="0"/>
        </w:sectPr>
      </w:pPr>
    </w:p>
    <w:bookmarkStart w:id="213" w:name="page214"/>
    <w:bookmarkEnd w:id="213"/>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84" w:lineRule="exact"/>
        <w:rPr>
          <w:sz w:val="20"/>
          <w:szCs w:val="20"/>
          <w:color w:val="auto"/>
        </w:rPr>
      </w:pPr>
    </w:p>
    <w:p>
      <w:pPr>
        <w:ind w:firstLine="987"/>
        <w:spacing w:after="0" w:line="259" w:lineRule="auto"/>
        <w:tabs>
          <w:tab w:leader="none" w:pos="1371"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ind w:right="420" w:firstLine="987"/>
        <w:spacing w:after="0" w:line="263" w:lineRule="auto"/>
        <w:tabs>
          <w:tab w:leader="none" w:pos="1351"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For purposes of this Section, “public announcement” shall mean disclosure in a press release reported by the Dow Jones News Service, Associated Press or comparable national news service or in a document publicly filed by the corporation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 13, 14 or 15(d) of the 1934 Act.</w:t>
      </w:r>
    </w:p>
    <w:p>
      <w:pPr>
        <w:spacing w:after="0" w:line="288"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r>
        <w:rPr>
          <w:rFonts w:ascii="Arial" w:cs="Arial" w:eastAsia="Arial" w:hAnsi="Arial"/>
          <w:sz w:val="15"/>
          <w:szCs w:val="15"/>
          <w:color w:val="auto"/>
        </w:rPr>
        <w:t>.</w:t>
      </w:r>
    </w:p>
    <w:p>
      <w:pPr>
        <w:spacing w:after="0" w:line="121" w:lineRule="exact"/>
        <w:rPr>
          <w:sz w:val="20"/>
          <w:szCs w:val="20"/>
          <w:color w:val="auto"/>
        </w:rPr>
      </w:pPr>
    </w:p>
    <w:p>
      <w:pPr>
        <w:ind w:right="60" w:firstLine="987"/>
        <w:spacing w:after="0" w:line="259" w:lineRule="auto"/>
        <w:tabs>
          <w:tab w:leader="none" w:pos="1381"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 Officer, (iii) the Board of Directors pursuant to a resolution adopted by directors representing a quorum of the Board of Directors or (iv) by the holders of shares entitled to cast not less than 20% of the votes at the meeting, and shall be held at such place, on such date, and at such time as the Board of Directors shall fix.</w:t>
      </w:r>
    </w:p>
    <w:p>
      <w:pPr>
        <w:spacing w:after="0" w:line="186" w:lineRule="exact"/>
        <w:rPr>
          <w:rFonts w:ascii="Arial" w:cs="Arial" w:eastAsia="Arial" w:hAnsi="Arial"/>
          <w:sz w:val="18"/>
          <w:szCs w:val="18"/>
          <w:b w:val="1"/>
          <w:bCs w:val="1"/>
          <w:color w:val="auto"/>
        </w:rPr>
      </w:pPr>
    </w:p>
    <w:p>
      <w:pPr>
        <w:ind w:right="120" w:firstLine="987"/>
        <w:spacing w:after="0" w:line="290" w:lineRule="auto"/>
        <w:tabs>
          <w:tab w:leader="none" w:pos="1391"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35 nor more than 120 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6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ectPr>
          <w:pgSz w:w="11900" w:h="16838" w:orient="portrait"/>
          <w:cols w:equalWidth="0" w:num="1">
            <w:col w:w="11000"/>
          </w:cols>
          <w:pgMar w:left="440" w:top="274" w:right="459" w:bottom="1440" w:gutter="0" w:footer="0" w:header="0"/>
        </w:sectPr>
      </w:pPr>
    </w:p>
    <w:bookmarkStart w:id="214" w:name="page215"/>
    <w:bookmarkEnd w:id="214"/>
    <w:p>
      <w:pPr>
        <w:ind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as otherwise provided by statute, the Certificate of Incorporation or these Bylaws,</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as otherwise provided by statute,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Section 9. Adjournment and Notice of Adjourned Meetings</w:t>
      </w:r>
      <w:r>
        <w:rPr>
          <w:rFonts w:ascii="Arial" w:cs="Arial" w:eastAsia="Arial" w:hAnsi="Arial"/>
          <w:sz w:val="17"/>
          <w:szCs w:val="17"/>
          <w:color w:val="auto"/>
        </w:rPr>
        <w:t>. 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shall be given to each stockholder of record entitled to vote at the meeting.</w:t>
      </w:r>
    </w:p>
    <w:p>
      <w:pPr>
        <w:spacing w:after="0" w:line="172" w:lineRule="exact"/>
        <w:rPr>
          <w:sz w:val="20"/>
          <w:szCs w:val="20"/>
          <w:color w:val="auto"/>
        </w:rPr>
      </w:pPr>
    </w:p>
    <w:p>
      <w:pPr>
        <w:ind w:right="340" w:firstLine="440"/>
        <w:spacing w:after="0" w:line="256"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w:t>
      </w:r>
    </w:p>
    <w:p>
      <w:pPr>
        <w:spacing w:after="0" w:line="187"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b w:val="1"/>
          <w:bCs w:val="1"/>
          <w:color w:val="auto"/>
        </w:rPr>
        <w:t>Section 11. Joint Owners of Stock</w:t>
      </w:r>
      <w:r>
        <w:rPr>
          <w:rFonts w:ascii="Arial" w:cs="Arial" w:eastAsia="Arial" w:hAnsi="Arial"/>
          <w:sz w:val="17"/>
          <w:szCs w:val="17"/>
          <w:color w:val="auto"/>
        </w:rPr>
        <w:t>. If shares or other securities having voting power stand of record in the names of two or more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w:t>
      </w:r>
    </w:p>
    <w:p>
      <w:pPr>
        <w:sectPr>
          <w:pgSz w:w="11900" w:h="16838" w:orient="portrait"/>
          <w:cols w:equalWidth="0" w:num="1">
            <w:col w:w="10980"/>
          </w:cols>
          <w:pgMar w:left="440" w:top="270" w:right="479" w:bottom="1440" w:gutter="0" w:footer="0" w:header="0"/>
        </w:sectPr>
      </w:pPr>
    </w:p>
    <w:bookmarkStart w:id="215" w:name="page216"/>
    <w:bookmarkEnd w:id="215"/>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furnished with a copy of the instrument or order appointing them or creating the relationship wherein it is so provided, their acts with respect to voting (including giving consent pursuant to Section 13)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8"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10 days before every meeting of stockholders, a complete list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269"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r>
        <w:rPr>
          <w:rFonts w:ascii="Arial" w:cs="Arial" w:eastAsia="Arial" w:hAnsi="Arial"/>
          <w:sz w:val="16"/>
          <w:szCs w:val="16"/>
          <w:color w:val="auto"/>
        </w:rPr>
        <w:t>.</w:t>
      </w:r>
    </w:p>
    <w:p>
      <w:pPr>
        <w:spacing w:after="0" w:line="121" w:lineRule="exact"/>
        <w:rPr>
          <w:sz w:val="20"/>
          <w:szCs w:val="20"/>
          <w:color w:val="auto"/>
        </w:rPr>
      </w:pPr>
    </w:p>
    <w:p>
      <w:pPr>
        <w:ind w:right="100" w:firstLine="987"/>
        <w:spacing w:after="0" w:line="257" w:lineRule="auto"/>
        <w:tabs>
          <w:tab w:leader="none" w:pos="1381"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that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right="100" w:firstLine="987"/>
        <w:spacing w:after="0" w:line="273" w:lineRule="auto"/>
        <w:tabs>
          <w:tab w:leader="none" w:pos="1391"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77" w:lineRule="exact"/>
        <w:rPr>
          <w:rFonts w:ascii="Arial" w:cs="Arial" w:eastAsia="Arial" w:hAnsi="Arial"/>
          <w:sz w:val="17"/>
          <w:szCs w:val="17"/>
          <w:b w:val="1"/>
          <w:bCs w:val="1"/>
          <w:color w:val="auto"/>
        </w:rPr>
      </w:pPr>
    </w:p>
    <w:p>
      <w:pPr>
        <w:ind w:firstLine="987"/>
        <w:spacing w:after="0" w:line="272" w:lineRule="auto"/>
        <w:tabs>
          <w:tab w:leader="none" w:pos="1371" w:val="left"/>
        </w:tabs>
        <w:numPr>
          <w:ilvl w:val="0"/>
          <w:numId w:val="169"/>
        </w:numPr>
        <w:rPr>
          <w:rFonts w:ascii="Arial" w:cs="Arial" w:eastAsia="Arial" w:hAnsi="Arial"/>
          <w:sz w:val="17"/>
          <w:szCs w:val="17"/>
          <w:b w:val="1"/>
          <w:bCs w:val="1"/>
          <w:color w:val="auto"/>
        </w:rPr>
      </w:pPr>
      <w:r>
        <w:rPr>
          <w:rFonts w:ascii="Arial" w:cs="Arial" w:eastAsia="Arial" w:hAnsi="Arial"/>
          <w:sz w:val="17"/>
          <w:szCs w:val="17"/>
          <w:color w:val="auto"/>
        </w:rPr>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to which the stockholders consent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ectPr>
          <w:pgSz w:w="11900" w:h="16838" w:orient="portrait"/>
          <w:cols w:equalWidth="0" w:num="1">
            <w:col w:w="11000"/>
          </w:cols>
          <w:pgMar w:left="440" w:top="274" w:right="459" w:bottom="1440" w:gutter="0" w:footer="0" w:header="0"/>
        </w:sectPr>
      </w:pPr>
    </w:p>
    <w:bookmarkStart w:id="216" w:name="page217"/>
    <w:bookmarkEnd w:id="216"/>
    <w:p>
      <w:pPr>
        <w:jc w:val="both"/>
        <w:ind w:left="4" w:right="80" w:firstLine="987"/>
        <w:spacing w:after="0" w:line="286" w:lineRule="auto"/>
        <w:tabs>
          <w:tab w:leader="none" w:pos="1385" w:val="left"/>
        </w:tabs>
        <w:numPr>
          <w:ilvl w:val="1"/>
          <w:numId w:val="17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electronic mail, facsimile or other electronic transmission consenting to an action to be taken and transmitted by a stockholder or proxyholder, shall be deemed to be written, signed and dated for the purposes of this Section, provided that any such electronic mail, facsimile or other electronic transmission sets forth or is delivered with information from which the corporation can determine (i) that the electronic mail, facsimile or other electronic transmission was transmitted by the stockholder or proxyholder or by a person or persons authorized to act for the stockholder and</w:t>
      </w:r>
    </w:p>
    <w:p>
      <w:pPr>
        <w:spacing w:after="0" w:line="1" w:lineRule="exact"/>
        <w:rPr>
          <w:rFonts w:ascii="Arial" w:cs="Arial" w:eastAsia="Arial" w:hAnsi="Arial"/>
          <w:sz w:val="16"/>
          <w:szCs w:val="16"/>
          <w:b w:val="1"/>
          <w:bCs w:val="1"/>
          <w:color w:val="auto"/>
        </w:rPr>
      </w:pPr>
    </w:p>
    <w:p>
      <w:pPr>
        <w:ind w:left="4" w:right="100" w:hanging="4"/>
        <w:spacing w:after="0" w:line="267" w:lineRule="auto"/>
        <w:tabs>
          <w:tab w:leader="none" w:pos="26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date on which such stockholder or proxyholder or authorized person or persons transmitted such electronic mail, facsimile or electronic transmission. The date on which such electronic mail, facsimile or electronic transmission is transmitted shall be deemed to be the date on which such consent was signed. No consent given by electronic mail, facsimile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mail, facsimile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288"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r>
        <w:rPr>
          <w:rFonts w:ascii="Arial" w:cs="Arial" w:eastAsia="Arial" w:hAnsi="Arial"/>
          <w:sz w:val="16"/>
          <w:szCs w:val="16"/>
          <w:color w:val="auto"/>
        </w:rPr>
        <w:t>.</w:t>
      </w:r>
    </w:p>
    <w:p>
      <w:pPr>
        <w:spacing w:after="0" w:line="121" w:lineRule="exact"/>
        <w:rPr>
          <w:sz w:val="20"/>
          <w:szCs w:val="20"/>
          <w:color w:val="auto"/>
        </w:rPr>
      </w:pPr>
    </w:p>
    <w:p>
      <w:pPr>
        <w:ind w:left="4" w:right="100" w:firstLine="987"/>
        <w:spacing w:after="0" w:line="259" w:lineRule="auto"/>
        <w:tabs>
          <w:tab w:leader="none" w:pos="1375"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Chief Executive Officer, or, if the Chief Executive Officer is absent, a chairman of the meeting chosen by a majority in interest of the stockholders entitled to vote, present in person or by proxy, shall act as chairman. The Secretary, or, in his or her absence, an Assistant Secretary directed to do so by the Chief Executive Officer, shall act as secretary of the meeting.</w:t>
      </w:r>
    </w:p>
    <w:p>
      <w:pPr>
        <w:spacing w:after="0" w:line="186" w:lineRule="exact"/>
        <w:rPr>
          <w:rFonts w:ascii="Arial" w:cs="Arial" w:eastAsia="Arial" w:hAnsi="Arial"/>
          <w:sz w:val="18"/>
          <w:szCs w:val="18"/>
          <w:b w:val="1"/>
          <w:bCs w:val="1"/>
          <w:color w:val="auto"/>
        </w:rPr>
      </w:pPr>
    </w:p>
    <w:p>
      <w:pPr>
        <w:ind w:left="4" w:firstLine="987"/>
        <w:spacing w:after="0" w:line="269" w:lineRule="auto"/>
        <w:tabs>
          <w:tab w:leader="none" w:pos="1392"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ectPr>
          <w:pgSz w:w="11900" w:h="16838" w:orient="portrait"/>
          <w:cols w:equalWidth="0" w:num="1">
            <w:col w:w="11004"/>
          </w:cols>
          <w:pgMar w:left="436" w:top="274" w:right="45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shall not have been elected at an annual meeting, they may be elected as soon thereafter as convenient.</w:t>
      </w:r>
    </w:p>
    <w:p>
      <w:pPr>
        <w:spacing w:after="0" w:line="176"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statute or by the Certificate of Incorporation.</w:t>
      </w:r>
    </w:p>
    <w:p>
      <w:pPr>
        <w:spacing w:after="0" w:line="16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 Subject to the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directors shall be elected at each annual meeting of stockholders to serve until the next annual meeting of stockholders and his or her successor is duly elected and qualified or until his or her death, resignation or removal. No decrease in the number of directors constituting the Board of Directors shall shorten the term of any incumbent director.</w:t>
      </w:r>
    </w:p>
    <w:p>
      <w:pPr>
        <w:spacing w:after="0" w:line="18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63"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89"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 Subject to any limitations imposed by applicable law, the Board of Directors or any director may be removed from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elect such director.</w:t>
      </w:r>
    </w:p>
    <w:p>
      <w:pPr>
        <w:sectPr>
          <w:pgSz w:w="11900" w:h="16838" w:orient="portrait"/>
          <w:cols w:equalWidth="0" w:num="1">
            <w:col w:w="11000"/>
          </w:cols>
          <w:pgMar w:left="440" w:top="270" w:right="459" w:bottom="1440" w:gutter="0" w:footer="0" w:header="0"/>
        </w:sectPr>
      </w:pPr>
    </w:p>
    <w:bookmarkStart w:id="218" w:name="page219"/>
    <w:bookmarkEnd w:id="218"/>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w:t>
      </w:r>
      <w:r>
        <w:rPr>
          <w:sz w:val="20"/>
          <w:szCs w:val="20"/>
          <w:color w:val="auto"/>
        </w:rPr>
        <w:tab/>
      </w:r>
      <w:r>
        <w:rPr>
          <w:rFonts w:ascii="Arial" w:cs="Arial" w:eastAsia="Arial" w:hAnsi="Arial"/>
          <w:sz w:val="16"/>
          <w:szCs w:val="16"/>
          <w:b w:val="1"/>
          <w:bCs w:val="1"/>
          <w:color w:val="auto"/>
        </w:rPr>
        <w:t>Meetings</w:t>
      </w:r>
    </w:p>
    <w:p>
      <w:pPr>
        <w:spacing w:after="0" w:line="117" w:lineRule="exact"/>
        <w:rPr>
          <w:sz w:val="20"/>
          <w:szCs w:val="20"/>
          <w:color w:val="auto"/>
        </w:rPr>
      </w:pPr>
    </w:p>
    <w:p>
      <w:pPr>
        <w:ind w:left="-440" w:firstLine="987"/>
        <w:spacing w:after="0" w:line="303" w:lineRule="auto"/>
        <w:tabs>
          <w:tab w:leader="none" w:pos="941"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that has been designated by the Board of Directors and publicized among all directors, either orally or in writing, including a voice-messaging system or other system designated to record and communicate messages, facsimile, or by electronic mail or other electronic means. No further notice shall be required for a regular meeting of the Board of Directors.</w:t>
      </w:r>
    </w:p>
    <w:p>
      <w:pPr>
        <w:spacing w:after="0" w:line="150" w:lineRule="exact"/>
        <w:rPr>
          <w:rFonts w:ascii="Arial" w:cs="Arial" w:eastAsia="Arial" w:hAnsi="Arial"/>
          <w:sz w:val="16"/>
          <w:szCs w:val="16"/>
          <w:b w:val="1"/>
          <w:bCs w:val="1"/>
          <w:color w:val="auto"/>
        </w:rPr>
      </w:pPr>
    </w:p>
    <w:p>
      <w:pPr>
        <w:ind w:left="-440" w:right="80" w:firstLine="987"/>
        <w:spacing w:after="0" w:line="266" w:lineRule="auto"/>
        <w:tabs>
          <w:tab w:leader="none" w:pos="951"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(if a director), the President (if a director) or any director.</w:t>
      </w:r>
    </w:p>
    <w:p>
      <w:pPr>
        <w:spacing w:after="0" w:line="175" w:lineRule="exact"/>
        <w:rPr>
          <w:rFonts w:ascii="Arial" w:cs="Arial" w:eastAsia="Arial" w:hAnsi="Arial"/>
          <w:sz w:val="18"/>
          <w:szCs w:val="18"/>
          <w:b w:val="1"/>
          <w:bCs w:val="1"/>
          <w:color w:val="auto"/>
        </w:rPr>
      </w:pPr>
    </w:p>
    <w:p>
      <w:pPr>
        <w:ind w:left="-440" w:right="240" w:firstLine="987"/>
        <w:spacing w:after="0" w:line="314" w:lineRule="auto"/>
        <w:tabs>
          <w:tab w:leader="none" w:pos="931"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1" w:lineRule="exact"/>
        <w:rPr>
          <w:rFonts w:ascii="Arial" w:cs="Arial" w:eastAsia="Arial" w:hAnsi="Arial"/>
          <w:sz w:val="16"/>
          <w:szCs w:val="16"/>
          <w:b w:val="1"/>
          <w:bCs w:val="1"/>
          <w:color w:val="auto"/>
        </w:rPr>
      </w:pPr>
    </w:p>
    <w:p>
      <w:pPr>
        <w:ind w:left="-440" w:right="40" w:firstLine="987"/>
        <w:spacing w:after="0" w:line="273" w:lineRule="auto"/>
        <w:tabs>
          <w:tab w:leader="none" w:pos="951"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71" w:lineRule="exact"/>
        <w:rPr>
          <w:rFonts w:ascii="Arial" w:cs="Arial" w:eastAsia="Arial" w:hAnsi="Arial"/>
          <w:sz w:val="17"/>
          <w:szCs w:val="17"/>
          <w:b w:val="1"/>
          <w:bCs w:val="1"/>
          <w:color w:val="auto"/>
        </w:rPr>
      </w:pPr>
    </w:p>
    <w:p>
      <w:pPr>
        <w:ind w:left="-440" w:right="40" w:firstLine="987"/>
        <w:spacing w:after="0" w:line="281" w:lineRule="auto"/>
        <w:tabs>
          <w:tab w:leader="none" w:pos="931"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p>
    <w:p>
      <w:pPr>
        <w:spacing w:after="0" w:line="121" w:lineRule="exact"/>
        <w:rPr>
          <w:sz w:val="20"/>
          <w:szCs w:val="20"/>
          <w:color w:val="auto"/>
        </w:rPr>
      </w:pPr>
    </w:p>
    <w:p>
      <w:pPr>
        <w:ind w:left="-440" w:right="20" w:firstLine="987"/>
        <w:spacing w:after="0" w:line="254" w:lineRule="auto"/>
        <w:tabs>
          <w:tab w:leader="none" w:pos="941"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total number of directors then serving;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number shall never be less than 1/3 of the total number of directors except that when one director is authorized, then one director shall constitute a quorum. At any meeting, whether a quorum be present or otherwise, a majority of the directors present may adjourn from time to time until the time fixed for the next regular meeting of the Board of Directors, without notice other than by announcement at the meeting. If the Certificate of Incorporation provides that one or more directors shall have more or less than one vote per director on any matter, every reference in this Section to a majority or other proportion of the directors shall refer to a majority or other proportion of the votes of the directors.</w:t>
      </w:r>
    </w:p>
    <w:p>
      <w:pPr>
        <w:sectPr>
          <w:pgSz w:w="11900" w:h="16838" w:orient="portrait"/>
          <w:cols w:equalWidth="0" w:num="1">
            <w:col w:w="10580"/>
          </w:cols>
          <w:pgMar w:left="880" w:top="270" w:right="439" w:bottom="1440" w:gutter="0" w:footer="0" w:header="0"/>
        </w:sectPr>
      </w:pPr>
    </w:p>
    <w:bookmarkStart w:id="219" w:name="page220"/>
    <w:bookmarkEnd w:id="219"/>
    <w:p>
      <w:pPr>
        <w:jc w:val="both"/>
        <w:ind w:left="4" w:right="500" w:firstLine="987"/>
        <w:spacing w:after="0" w:line="342" w:lineRule="auto"/>
        <w:tabs>
          <w:tab w:leader="none" w:pos="1385"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24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91" w:lineRule="exact"/>
        <w:rPr>
          <w:sz w:val="20"/>
          <w:szCs w:val="20"/>
          <w:color w:val="auto"/>
        </w:rPr>
      </w:pPr>
    </w:p>
    <w:p>
      <w:pPr>
        <w:ind w:left="444"/>
        <w:spacing w:after="0"/>
        <w:tabs>
          <w:tab w:leader="none" w:pos="1424"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Committees</w:t>
      </w:r>
      <w:r>
        <w:rPr>
          <w:rFonts w:ascii="Arial" w:cs="Arial" w:eastAsia="Arial" w:hAnsi="Arial"/>
          <w:sz w:val="15"/>
          <w:szCs w:val="15"/>
          <w:color w:val="auto"/>
        </w:rPr>
        <w:t>.</w:t>
      </w:r>
    </w:p>
    <w:p>
      <w:pPr>
        <w:spacing w:after="0" w:line="117" w:lineRule="exact"/>
        <w:rPr>
          <w:sz w:val="20"/>
          <w:szCs w:val="20"/>
          <w:color w:val="auto"/>
        </w:rPr>
      </w:pPr>
    </w:p>
    <w:p>
      <w:pPr>
        <w:ind w:left="4" w:right="20" w:firstLine="987"/>
        <w:spacing w:after="0" w:line="287" w:lineRule="auto"/>
        <w:tabs>
          <w:tab w:leader="none" w:pos="1385" w:val="left"/>
        </w:tabs>
        <w:numPr>
          <w:ilvl w:val="1"/>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160" w:hanging="4"/>
        <w:spacing w:after="0" w:line="260" w:lineRule="auto"/>
        <w:tabs>
          <w:tab w:leader="none" w:pos="21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81" w:lineRule="exact"/>
        <w:rPr>
          <w:rFonts w:ascii="Arial" w:cs="Arial" w:eastAsia="Arial" w:hAnsi="Arial"/>
          <w:sz w:val="18"/>
          <w:szCs w:val="18"/>
          <w:color w:val="auto"/>
        </w:rPr>
      </w:pPr>
    </w:p>
    <w:p>
      <w:pPr>
        <w:ind w:left="4" w:right="60" w:firstLine="987"/>
        <w:spacing w:after="0" w:line="261" w:lineRule="auto"/>
        <w:tabs>
          <w:tab w:leader="none" w:pos="1395"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left="4" w:right="20" w:firstLine="987"/>
        <w:spacing w:after="0" w:line="271" w:lineRule="auto"/>
        <w:tabs>
          <w:tab w:leader="none" w:pos="1375" w:val="left"/>
        </w:tabs>
        <w:numPr>
          <w:ilvl w:val="1"/>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(a) or (b) of this Section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ectPr>
          <w:pgSz w:w="11900" w:h="16838" w:orient="portrait"/>
          <w:cols w:equalWidth="0" w:num="1">
            <w:col w:w="10964"/>
          </w:cols>
          <w:pgMar w:left="436" w:top="274" w:right="499" w:bottom="1440" w:gutter="0" w:footer="0" w:header="0"/>
        </w:sectPr>
      </w:pPr>
    </w:p>
    <w:bookmarkStart w:id="220" w:name="page221"/>
    <w:bookmarkEnd w:id="220"/>
    <w:p>
      <w:pPr>
        <w:ind w:right="40" w:firstLine="987"/>
        <w:spacing w:after="0" w:line="269" w:lineRule="auto"/>
        <w:tabs>
          <w:tab w:leader="none" w:pos="1391"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Meetings</w:t>
      </w:r>
      <w:r>
        <w:rPr>
          <w:rFonts w:ascii="Arial" w:cs="Arial" w:eastAsia="Arial" w:hAnsi="Arial"/>
          <w:sz w:val="17"/>
          <w:szCs w:val="17"/>
          <w:color w:val="auto"/>
        </w:rPr>
        <w:t>. Unless the Board of Directors shall otherwise provide, regular meetings of the Executive Committee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appointed pursuant to this Section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Section 26. Organization</w:t>
      </w:r>
      <w:r>
        <w:rPr>
          <w:rFonts w:ascii="Arial" w:cs="Arial" w:eastAsia="Arial" w:hAnsi="Arial"/>
          <w:sz w:val="17"/>
          <w:szCs w:val="17"/>
          <w:color w:val="auto"/>
        </w:rPr>
        <w:t>. At every meeting of the directors, the Chairman of the Board of Directors, or, if a Chairman has not been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or is 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chairman of the meeting chosen by a majority of the directors present, shall preside over the meeting. The Secretary, or in his or her absence, any Assistant Secretary directed to do so by the Chief Executive Officer or President, shall act as secretary of the meeting.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80"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r>
        <w:rPr>
          <w:rFonts w:ascii="Arial" w:cs="Arial" w:eastAsia="Arial" w:hAnsi="Arial"/>
          <w:sz w:val="16"/>
          <w:szCs w:val="16"/>
          <w:color w:val="auto"/>
        </w:rPr>
        <w:t>.</w:t>
      </w:r>
    </w:p>
    <w:p>
      <w:pPr>
        <w:spacing w:after="0" w:line="117" w:lineRule="exact"/>
        <w:rPr>
          <w:sz w:val="20"/>
          <w:szCs w:val="20"/>
          <w:color w:val="auto"/>
        </w:rPr>
      </w:pPr>
    </w:p>
    <w:p>
      <w:pPr>
        <w:jc w:val="both"/>
        <w:ind w:firstLine="987"/>
        <w:spacing w:after="0" w:line="261" w:lineRule="auto"/>
        <w:tabs>
          <w:tab w:leader="none" w:pos="138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ectPr>
          <w:pgSz w:w="11900" w:h="16838" w:orient="portrait"/>
          <w:cols w:equalWidth="0" w:num="1">
            <w:col w:w="11000"/>
          </w:cols>
          <w:pgMar w:left="440" w:top="270" w:right="459" w:bottom="1440" w:gutter="0" w:footer="0" w:header="0"/>
        </w:sectPr>
      </w:pPr>
    </w:p>
    <w:bookmarkStart w:id="221" w:name="page222"/>
    <w:bookmarkEnd w:id="221"/>
    <w:p>
      <w:pPr>
        <w:ind w:left="-987" w:right="40" w:firstLine="987"/>
        <w:spacing w:after="0" w:line="258" w:lineRule="auto"/>
        <w:tabs>
          <w:tab w:leader="none" w:pos="40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 of Chairman of the Board of Directors</w:t>
      </w:r>
      <w:r>
        <w:rPr>
          <w:rFonts w:ascii="Arial" w:cs="Arial" w:eastAsia="Arial" w:hAnsi="Arial"/>
          <w:sz w:val="18"/>
          <w:szCs w:val="18"/>
          <w:color w:val="auto"/>
        </w:rPr>
        <w:t>. The Chairman of the Board of Directors, when present, shall preside at all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Chief Executive Officer and no President, then the Chairman of the Board of Directors shall also serve as the Chief Executive Officer of the corporation and shall have the powers and duties prescribed in paragraph (c) of this Section.</w:t>
      </w:r>
    </w:p>
    <w:p>
      <w:pPr>
        <w:spacing w:after="0" w:line="183" w:lineRule="exact"/>
        <w:rPr>
          <w:rFonts w:ascii="Arial" w:cs="Arial" w:eastAsia="Arial" w:hAnsi="Arial"/>
          <w:sz w:val="18"/>
          <w:szCs w:val="18"/>
          <w:b w:val="1"/>
          <w:bCs w:val="1"/>
          <w:color w:val="auto"/>
        </w:rPr>
      </w:pPr>
    </w:p>
    <w:p>
      <w:pPr>
        <w:ind w:left="-987" w:right="40" w:firstLine="987"/>
        <w:spacing w:after="0" w:line="298" w:lineRule="auto"/>
        <w:tabs>
          <w:tab w:leader="none" w:pos="383"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Executive Officer</w:t>
      </w:r>
      <w:r>
        <w:rPr>
          <w:rFonts w:ascii="Arial" w:cs="Arial" w:eastAsia="Arial" w:hAnsi="Arial"/>
          <w:sz w:val="16"/>
          <w:szCs w:val="16"/>
          <w:color w:val="auto"/>
        </w:rPr>
        <w:t>. The Chief Executive Officer shall preside at all meetings of the stockholders and (if a director) at</w:t>
      </w:r>
      <w:r>
        <w:rPr>
          <w:rFonts w:ascii="Arial" w:cs="Arial" w:eastAsia="Arial" w:hAnsi="Arial"/>
          <w:sz w:val="16"/>
          <w:szCs w:val="16"/>
          <w:b w:val="1"/>
          <w:bCs w:val="1"/>
          <w:color w:val="auto"/>
        </w:rPr>
        <w:t xml:space="preserve"> </w:t>
      </w:r>
      <w:r>
        <w:rPr>
          <w:rFonts w:ascii="Arial" w:cs="Arial" w:eastAsia="Arial" w:hAnsi="Arial"/>
          <w:sz w:val="16"/>
          <w:szCs w:val="16"/>
          <w:color w:val="auto"/>
        </w:rPr>
        <w:t>all meetings of the Board of Directors, unless the Chairman of the Board of Directors has been appointed and is present. The Chief Executive Officer shall be the chief executive officer of the corporation and shall, subject to the control of the Board of Directors, have general supervision, direction and control of the business and officers of the corporation. The Chief Executive Officer shall perform other duties commonly incident to the office and shall also perform such other duties and have such other powers as the Board of Directors shall designate from time to time.</w:t>
      </w:r>
    </w:p>
    <w:p>
      <w:pPr>
        <w:spacing w:after="0" w:line="153" w:lineRule="exact"/>
        <w:rPr>
          <w:rFonts w:ascii="Arial" w:cs="Arial" w:eastAsia="Arial" w:hAnsi="Arial"/>
          <w:sz w:val="16"/>
          <w:szCs w:val="16"/>
          <w:b w:val="1"/>
          <w:bCs w:val="1"/>
          <w:color w:val="auto"/>
        </w:rPr>
      </w:pPr>
    </w:p>
    <w:p>
      <w:pPr>
        <w:ind w:left="-987" w:firstLine="987"/>
        <w:spacing w:after="0" w:line="256" w:lineRule="auto"/>
        <w:tabs>
          <w:tab w:leader="none" w:pos="40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President</w:t>
      </w:r>
      <w:r>
        <w:rPr>
          <w:rFonts w:ascii="Arial" w:cs="Arial" w:eastAsia="Arial" w:hAnsi="Arial"/>
          <w:sz w:val="18"/>
          <w:szCs w:val="18"/>
          <w:color w:val="auto"/>
        </w:rPr>
        <w:t>. In the absence or disability of the Chief Executive Officer or if the office of Chief Executive Officer is vacant,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President shall preside at all meetings of the stockholders and (if a director) at all meetings of the Board of Directors, unless the Chairman of the Board of Directors has been appointed and is present. If the office of Chief Executive Officer is vacant,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87" w:lineRule="exact"/>
        <w:rPr>
          <w:rFonts w:ascii="Arial" w:cs="Arial" w:eastAsia="Arial" w:hAnsi="Arial"/>
          <w:sz w:val="18"/>
          <w:szCs w:val="18"/>
          <w:b w:val="1"/>
          <w:bCs w:val="1"/>
          <w:color w:val="auto"/>
        </w:rPr>
      </w:pPr>
    </w:p>
    <w:p>
      <w:pPr>
        <w:ind w:left="-987" w:right="20" w:firstLine="987"/>
        <w:spacing w:after="0" w:line="314" w:lineRule="auto"/>
        <w:tabs>
          <w:tab w:leader="none" w:pos="383"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1" w:lineRule="exact"/>
        <w:rPr>
          <w:rFonts w:ascii="Arial" w:cs="Arial" w:eastAsia="Arial" w:hAnsi="Arial"/>
          <w:sz w:val="16"/>
          <w:szCs w:val="16"/>
          <w:b w:val="1"/>
          <w:bCs w:val="1"/>
          <w:color w:val="auto"/>
        </w:rPr>
      </w:pPr>
    </w:p>
    <w:p>
      <w:pPr>
        <w:ind w:left="-987" w:firstLine="987"/>
        <w:spacing w:after="0" w:line="254" w:lineRule="auto"/>
        <w:tabs>
          <w:tab w:leader="none" w:pos="364"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Secretary</w:t>
      </w:r>
      <w:r>
        <w:rPr>
          <w:rFonts w:ascii="Arial" w:cs="Arial" w:eastAsia="Arial" w:hAnsi="Arial"/>
          <w:sz w:val="18"/>
          <w:szCs w:val="18"/>
          <w:color w:val="auto"/>
        </w:rPr>
        <w:t>. The Secretary shall attend all meetings of the stockholders and of the Board of Directors and shall record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shall designate from time to time.</w:t>
      </w:r>
    </w:p>
    <w:p>
      <w:pPr>
        <w:spacing w:after="0" w:line="191" w:lineRule="exact"/>
        <w:rPr>
          <w:rFonts w:ascii="Arial" w:cs="Arial" w:eastAsia="Arial" w:hAnsi="Arial"/>
          <w:sz w:val="18"/>
          <w:szCs w:val="18"/>
          <w:b w:val="1"/>
          <w:bCs w:val="1"/>
          <w:color w:val="auto"/>
        </w:rPr>
      </w:pPr>
    </w:p>
    <w:p>
      <w:pPr>
        <w:ind w:left="-987" w:firstLine="987"/>
        <w:spacing w:after="0" w:line="274" w:lineRule="auto"/>
        <w:tabs>
          <w:tab w:leader="none" w:pos="394"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Financial Officer</w:t>
      </w:r>
      <w:r>
        <w:rPr>
          <w:rFonts w:ascii="Arial" w:cs="Arial" w:eastAsia="Arial" w:hAnsi="Arial"/>
          <w:sz w:val="17"/>
          <w:szCs w:val="17"/>
          <w:color w:val="auto"/>
        </w:rPr>
        <w:t>. The Chief Financial Officer shall keep or cause to be kept the books of account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 thorough and proper manner and shall render statements of the financial affairs of the corporation in such form and as often as required by the Board of Directors or the Chief Executive Officer. The Chief Financial Officer, subject to the order of the Board of Directors, shall have the custody of all funds and securities of the corporation. The Chief Financial Officer shall perform other duties commonly incident to his or her office and shall also perform such other duties and have such other powers as the Board of Directors or the Chief Executive Officer shall designate from time to time. The Chief Executive Officer may direct the Treasurer or any Assistant Treasurer, or the</w:t>
      </w:r>
    </w:p>
    <w:p>
      <w:pPr>
        <w:sectPr>
          <w:pgSz w:w="11900" w:h="16838" w:orient="portrait"/>
          <w:cols w:equalWidth="0" w:num="1">
            <w:col w:w="10033"/>
          </w:cols>
          <w:pgMar w:left="1427" w:top="270" w:right="439" w:bottom="1440" w:gutter="0" w:footer="0" w:header="0"/>
        </w:sectPr>
      </w:pPr>
    </w:p>
    <w:bookmarkStart w:id="222" w:name="page223"/>
    <w:bookmarkEnd w:id="22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shall designate from time to time.</w:t>
      </w:r>
    </w:p>
    <w:p>
      <w:pPr>
        <w:spacing w:after="0" w:line="18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Section 30. Resignations</w:t>
      </w:r>
      <w:r>
        <w:rPr>
          <w:rFonts w:ascii="Arial" w:cs="Arial" w:eastAsia="Arial" w:hAnsi="Arial"/>
          <w:sz w:val="17"/>
          <w:szCs w:val="17"/>
          <w:color w:val="auto"/>
        </w:rPr>
        <w:t>. 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Chief Executive Officer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68"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Section 32. Execution of Corporate Instruments</w:t>
      </w:r>
      <w:r>
        <w:rPr>
          <w:rFonts w:ascii="Arial" w:cs="Arial" w:eastAsia="Arial" w:hAnsi="Arial"/>
          <w:sz w:val="16"/>
          <w:szCs w:val="16"/>
          <w:color w:val="auto"/>
        </w:rPr>
        <w:t>. 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as otherwise provided by law or these Bylaws, and such execution or signature shall be binding upon the corporation. All checks and drafts drawn on banks or other depositaries of funds to the credit of the corporation or on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117"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b w:val="1"/>
          <w:bCs w:val="1"/>
          <w:color w:val="auto"/>
        </w:rPr>
        <w:t>Section 34. Form and Execution of Certificates</w:t>
      </w:r>
      <w:r>
        <w:rPr>
          <w:rFonts w:ascii="Arial" w:cs="Arial" w:eastAsia="Arial" w:hAnsi="Arial"/>
          <w:sz w:val="18"/>
          <w:szCs w:val="18"/>
          <w:color w:val="auto"/>
        </w:rPr>
        <w:t>. The shares of the corporation shall be represented by certificates, or shall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for the shares of stock, if any, of the corporation shall be in such form as is consistent with the Certificate of Incorporation and applicable law.</w:t>
      </w:r>
    </w:p>
    <w:p>
      <w:pPr>
        <w:sectPr>
          <w:pgSz w:w="11900" w:h="16838" w:orient="portrait"/>
          <w:cols w:equalWidth="0" w:num="1">
            <w:col w:w="11000"/>
          </w:cols>
          <w:pgMar w:left="440" w:top="274" w:right="459" w:bottom="1440" w:gutter="0" w:footer="0" w:header="0"/>
        </w:sectPr>
      </w:pPr>
    </w:p>
    <w:bookmarkStart w:id="223" w:name="page224"/>
    <w:bookmarkEnd w:id="223"/>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holder of shares of stock in the corporation represented by certificate shall be entitled to have a certificate signed by or in the name of the corporation by any two authorized officers, including but not limited to the Chief Executive Officer, the President, the Chief Financial Officer, any Vice President, the Treasurer or Assistant Treasurer or the Secretary or Assistant Secretary, certifying the number of shares owned by him or her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or she were such officer, transfer agent, or registrar at the date of issue.</w:t>
      </w:r>
    </w:p>
    <w:p>
      <w:pPr>
        <w:spacing w:after="0" w:line="174"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Section 35.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281"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Restrictions on Transfer</w:t>
      </w:r>
      <w:r>
        <w:rPr>
          <w:rFonts w:ascii="Arial" w:cs="Arial" w:eastAsia="Arial" w:hAnsi="Arial"/>
          <w:sz w:val="16"/>
          <w:szCs w:val="16"/>
          <w:color w:val="auto"/>
        </w:rPr>
        <w:t>.</w:t>
      </w:r>
    </w:p>
    <w:p>
      <w:pPr>
        <w:spacing w:after="0" w:line="121" w:lineRule="exact"/>
        <w:rPr>
          <w:sz w:val="20"/>
          <w:szCs w:val="20"/>
          <w:color w:val="auto"/>
        </w:rPr>
      </w:pPr>
    </w:p>
    <w:p>
      <w:pPr>
        <w:ind w:right="40" w:firstLine="987"/>
        <w:spacing w:after="0" w:line="286" w:lineRule="auto"/>
        <w:tabs>
          <w:tab w:leader="none" w:pos="1426"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No holder of any of the shares of stock of the corporation may sell, transfer, assign, pledge, or otherwise dispose of or encumber any of the shares of stock of the corporation or any right or interest therein, whether voluntarily or by operation of law, or by gift or otherwise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without the prior written consent of the corporation, upon duly authorized action of its Board of Directors. The corporation may withhold consent for any legitimate corporate purpose, as determined by the Board of Directors. Examples of the basis for the corporation to withhold its consent include, without limitation, (i) if such Transfer to individuals, companies or any other form of entity identified by the corporation as a potential competitor or considered by the corporation to be unfriendly; or (ii) if such Transfer increases the risk of the corporation having a class of security held of record by 2,000 or more persons, or 500 or more persons who are not accredited investors (as such term is defined by the SEC), as described in Section 12(g) of the 1934 Act and any related regulations,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represents a Transfer of less than all of the shares then held by the stockholder and its affiliates or is to be made to more than a single transferee.</w:t>
      </w:r>
    </w:p>
    <w:p>
      <w:pPr>
        <w:spacing w:after="0" w:line="173" w:lineRule="exact"/>
        <w:rPr>
          <w:rFonts w:ascii="Arial" w:cs="Arial" w:eastAsia="Arial" w:hAnsi="Arial"/>
          <w:sz w:val="16"/>
          <w:szCs w:val="16"/>
          <w:b w:val="1"/>
          <w:bCs w:val="1"/>
          <w:color w:val="auto"/>
        </w:rPr>
      </w:pPr>
    </w:p>
    <w:p>
      <w:pPr>
        <w:ind w:firstLine="987"/>
        <w:spacing w:after="0" w:line="263" w:lineRule="auto"/>
        <w:tabs>
          <w:tab w:leader="none" w:pos="1391"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If a stockholder desires to Transfer any shares,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3" w:lineRule="exact"/>
        <w:rPr>
          <w:rFonts w:ascii="Arial" w:cs="Arial" w:eastAsia="Arial" w:hAnsi="Arial"/>
          <w:sz w:val="18"/>
          <w:szCs w:val="18"/>
          <w:b w:val="1"/>
          <w:bCs w:val="1"/>
          <w:color w:val="auto"/>
        </w:rPr>
      </w:pPr>
    </w:p>
    <w:p>
      <w:pPr>
        <w:ind w:right="260" w:firstLine="987"/>
        <w:spacing w:after="0" w:line="277" w:lineRule="auto"/>
        <w:tabs>
          <w:tab w:leader="none" w:pos="1361"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At the option of the corporation, the stockholder shall be obligated to pay to the corporation a reasonable transfer fee related to the costs and time of the corporation and its legal and other advisors related to any proposed Transfer.</w:t>
      </w:r>
    </w:p>
    <w:p>
      <w:pPr>
        <w:sectPr>
          <w:pgSz w:w="11900" w:h="16838" w:orient="portrait"/>
          <w:cols w:equalWidth="0" w:num="1">
            <w:col w:w="11000"/>
          </w:cols>
          <w:pgMar w:left="440" w:top="274" w:right="459" w:bottom="1440" w:gutter="0" w:footer="0" w:header="0"/>
        </w:sectPr>
      </w:pPr>
    </w:p>
    <w:bookmarkStart w:id="224" w:name="page225"/>
    <w:bookmarkEnd w:id="224"/>
    <w:p>
      <w:pPr>
        <w:ind w:left="-440" w:right="380" w:firstLine="987"/>
        <w:spacing w:after="0" w:line="277" w:lineRule="auto"/>
        <w:tabs>
          <w:tab w:leader="none" w:pos="941"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Transfer, or purported Transfer, of shares not made in strict compliance with this Section shall be null and void, shall not be recorded on the books of the corporation and shall not be recognized by the corporation.</w:t>
      </w:r>
    </w:p>
    <w:p>
      <w:pPr>
        <w:spacing w:after="0" w:line="170" w:lineRule="exact"/>
        <w:rPr>
          <w:rFonts w:ascii="Arial" w:cs="Arial" w:eastAsia="Arial" w:hAnsi="Arial"/>
          <w:sz w:val="18"/>
          <w:szCs w:val="18"/>
          <w:b w:val="1"/>
          <w:bCs w:val="1"/>
          <w:color w:val="auto"/>
        </w:rPr>
      </w:pPr>
    </w:p>
    <w:p>
      <w:pPr>
        <w:ind w:left="-440" w:right="240" w:firstLine="987"/>
        <w:spacing w:after="0" w:line="277" w:lineRule="auto"/>
        <w:tabs>
          <w:tab w:leader="none" w:pos="92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The foregoing restriction on Transfer shall not apply to the Transfer of shares of Preferred Stock or to the Transfer of any shares of Common Stock issued upon the conversion of any shares of Preferred Stock.</w:t>
      </w:r>
    </w:p>
    <w:p>
      <w:pPr>
        <w:spacing w:after="0" w:line="170" w:lineRule="exact"/>
        <w:rPr>
          <w:rFonts w:ascii="Arial" w:cs="Arial" w:eastAsia="Arial" w:hAnsi="Arial"/>
          <w:sz w:val="18"/>
          <w:szCs w:val="18"/>
          <w:b w:val="1"/>
          <w:bCs w:val="1"/>
          <w:color w:val="auto"/>
        </w:rPr>
      </w:pPr>
    </w:p>
    <w:p>
      <w:pPr>
        <w:ind w:left="-440" w:right="40" w:firstLine="987"/>
        <w:spacing w:after="0" w:line="308" w:lineRule="auto"/>
        <w:tabs>
          <w:tab w:leader="none" w:pos="908"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The foregoing restriction on Transfer shall terminate upon the date securities of the corporation are first offered to the public pursuant to a registration statement filed with, and declared effective by, the SEC under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left="-440" w:right="140" w:firstLine="987"/>
        <w:spacing w:after="0" w:line="277" w:lineRule="auto"/>
        <w:tabs>
          <w:tab w:leader="none" w:pos="938"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Common Stock of the corporation shall bear on their face the following legend so long as the foregoing Transfer restrictions are in effect:</w:t>
      </w:r>
    </w:p>
    <w:p>
      <w:pPr>
        <w:spacing w:after="0" w:line="62" w:lineRule="exact"/>
        <w:rPr>
          <w:sz w:val="20"/>
          <w:szCs w:val="20"/>
          <w:color w:val="auto"/>
        </w:rPr>
      </w:pPr>
    </w:p>
    <w:p>
      <w:pPr>
        <w:ind w:left="540" w:right="300"/>
        <w:spacing w:after="0" w:line="277" w:lineRule="auto"/>
        <w:rPr>
          <w:sz w:val="20"/>
          <w:szCs w:val="20"/>
          <w:color w:val="auto"/>
        </w:rPr>
      </w:pPr>
      <w:r>
        <w:rPr>
          <w:rFonts w:ascii="Arial" w:cs="Arial" w:eastAsia="Arial" w:hAnsi="Arial"/>
          <w:sz w:val="18"/>
          <w:szCs w:val="18"/>
          <w:color w:val="auto"/>
        </w:rPr>
        <w:t>“THE SHARES REPRESENTED BY THIS CERTIFICATE ARE SUBJECT TO A TRANSFER RESTRICTION, AS PROVIDED IN THE BYLAWS OF THE CORPORATION.”</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r>
        <w:rPr>
          <w:rFonts w:ascii="Arial" w:cs="Arial" w:eastAsia="Arial" w:hAnsi="Arial"/>
          <w:sz w:val="16"/>
          <w:szCs w:val="16"/>
          <w:color w:val="auto"/>
        </w:rPr>
        <w:t>.</w:t>
      </w:r>
    </w:p>
    <w:p>
      <w:pPr>
        <w:spacing w:after="0" w:line="121" w:lineRule="exact"/>
        <w:rPr>
          <w:sz w:val="20"/>
          <w:szCs w:val="20"/>
          <w:color w:val="auto"/>
        </w:rPr>
      </w:pPr>
    </w:p>
    <w:p>
      <w:pPr>
        <w:ind w:left="-440" w:firstLine="987"/>
        <w:spacing w:after="0" w:line="271" w:lineRule="auto"/>
        <w:tabs>
          <w:tab w:leader="none" w:pos="941"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left="-440" w:right="40" w:firstLine="987"/>
        <w:spacing w:after="0" w:line="268" w:lineRule="auto"/>
        <w:tabs>
          <w:tab w:leader="none" w:pos="951"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ectPr>
          <w:pgSz w:w="11900" w:h="16838" w:orient="portrait"/>
          <w:cols w:equalWidth="0" w:num="1">
            <w:col w:w="10560"/>
          </w:cols>
          <w:pgMar w:left="880" w:top="274" w:right="459" w:bottom="1440" w:gutter="0" w:footer="0" w:header="0"/>
        </w:sectPr>
      </w:pPr>
    </w:p>
    <w:bookmarkStart w:id="225" w:name="page226"/>
    <w:bookmarkEnd w:id="225"/>
    <w:p>
      <w:pPr>
        <w:ind w:right="40" w:firstLine="987"/>
        <w:spacing w:after="0" w:line="255" w:lineRule="auto"/>
        <w:tabs>
          <w:tab w:leader="none" w:pos="1371"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b w:val="1"/>
          <w:bCs w:val="1"/>
          <w:color w:val="auto"/>
        </w:rPr>
        <w:t>Section 39.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of these Bylaws),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ectPr>
          <w:pgSz w:w="11900" w:h="16838" w:orient="portrait"/>
          <w:cols w:equalWidth="0" w:num="1">
            <w:col w:w="11020"/>
          </w:cols>
          <w:pgMar w:left="440" w:top="274" w:right="439" w:bottom="1440" w:gutter="0" w:footer="0" w:header="0"/>
        </w:sectPr>
      </w:pPr>
    </w:p>
    <w:bookmarkStart w:id="226" w:name="page227"/>
    <w:bookmarkEnd w:id="226"/>
    <w:p>
      <w:pPr>
        <w:ind w:right="16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 Dividend Reserve</w:t>
      </w:r>
      <w:r>
        <w:rPr>
          <w:rFonts w:ascii="Arial" w:cs="Arial" w:eastAsia="Arial" w:hAnsi="Arial"/>
          <w:sz w:val="18"/>
          <w:szCs w:val="18"/>
          <w:color w:val="auto"/>
        </w:rPr>
        <w:t>. 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Executive Officers, Other Officers, Employees and Other Agents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4" w:lineRule="auto"/>
        <w:tabs>
          <w:tab w:leader="none" w:pos="1381"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 The corporation shall indemnify its directors and executive officers (for the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Article, “executive officers” shall have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91" w:lineRule="exact"/>
        <w:rPr>
          <w:rFonts w:ascii="Arial" w:cs="Arial" w:eastAsia="Arial" w:hAnsi="Arial"/>
          <w:sz w:val="18"/>
          <w:szCs w:val="18"/>
          <w:b w:val="1"/>
          <w:bCs w:val="1"/>
          <w:color w:val="auto"/>
        </w:rPr>
      </w:pPr>
    </w:p>
    <w:p>
      <w:pPr>
        <w:ind w:right="40" w:firstLine="987"/>
        <w:spacing w:after="0" w:line="314" w:lineRule="auto"/>
        <w:tabs>
          <w:tab w:leader="none" w:pos="1391"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shall have power to indemnify its other officers,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41" w:lineRule="exact"/>
        <w:rPr>
          <w:rFonts w:ascii="Arial" w:cs="Arial" w:eastAsia="Arial" w:hAnsi="Arial"/>
          <w:sz w:val="16"/>
          <w:szCs w:val="16"/>
          <w:b w:val="1"/>
          <w:bCs w:val="1"/>
          <w:color w:val="auto"/>
        </w:rPr>
      </w:pPr>
    </w:p>
    <w:p>
      <w:pPr>
        <w:ind w:right="80" w:firstLine="987"/>
        <w:spacing w:after="0" w:line="255" w:lineRule="auto"/>
        <w:tabs>
          <w:tab w:leader="none" w:pos="1371"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corporation shall advance to any person who was or is a party or is threatened to be made a party to any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DGCL requires, an advancement of expenses incurred by a director or officer in his or her capacity as a director or officer (and not in any other capacity in which service was or is rendered by such indemnitee, including,</w:t>
      </w:r>
    </w:p>
    <w:p>
      <w:pPr>
        <w:sectPr>
          <w:pgSz w:w="11900" w:h="16838" w:orient="portrait"/>
          <w:cols w:equalWidth="0" w:num="1">
            <w:col w:w="10980"/>
          </w:cols>
          <w:pgMar w:left="440" w:top="270" w:right="479" w:bottom="1440" w:gutter="0" w:footer="0" w:header="0"/>
        </w:sectPr>
      </w:pPr>
    </w:p>
    <w:bookmarkStart w:id="227" w:name="page228"/>
    <w:bookmarkEnd w:id="227"/>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4" w:lineRule="exact"/>
        <w:rPr>
          <w:sz w:val="20"/>
          <w:szCs w:val="20"/>
          <w:color w:val="auto"/>
        </w:rPr>
      </w:pPr>
    </w:p>
    <w:p>
      <w:pPr>
        <w:ind w:firstLine="987"/>
        <w:spacing w:after="0" w:line="285" w:lineRule="auto"/>
        <w:tabs>
          <w:tab w:leader="none" w:pos="1391"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Enforcement</w:t>
      </w:r>
      <w:r>
        <w:rPr>
          <w:rFonts w:ascii="Arial" w:cs="Arial" w:eastAsia="Arial" w:hAnsi="Arial"/>
          <w:sz w:val="16"/>
          <w:szCs w:val="16"/>
          <w:color w:val="auto"/>
        </w:rPr>
        <w:t>. 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73" w:lineRule="exact"/>
        <w:rPr>
          <w:rFonts w:ascii="Arial" w:cs="Arial" w:eastAsia="Arial" w:hAnsi="Arial"/>
          <w:sz w:val="16"/>
          <w:szCs w:val="16"/>
          <w:b w:val="1"/>
          <w:bCs w:val="1"/>
          <w:color w:val="auto"/>
        </w:rPr>
      </w:pPr>
    </w:p>
    <w:p>
      <w:pPr>
        <w:ind w:firstLine="987"/>
        <w:spacing w:after="0" w:line="277" w:lineRule="auto"/>
        <w:tabs>
          <w:tab w:leader="none" w:pos="1371"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Section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ectPr>
          <w:pgSz w:w="11900" w:h="16838" w:orient="portrait"/>
          <w:cols w:equalWidth="0" w:num="1">
            <w:col w:w="11000"/>
          </w:cols>
          <w:pgMar w:left="440" w:top="274" w:right="459" w:bottom="1440" w:gutter="0" w:footer="0" w:header="0"/>
        </w:sectPr>
      </w:pPr>
    </w:p>
    <w:bookmarkStart w:id="228" w:name="page229"/>
    <w:bookmarkEnd w:id="228"/>
    <w:p>
      <w:pPr>
        <w:ind w:left="-987" w:right="140" w:firstLine="987"/>
        <w:spacing w:after="0" w:line="282" w:lineRule="auto"/>
        <w:tabs>
          <w:tab w:leader="none" w:pos="36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 of Rights</w:t>
      </w:r>
      <w:r>
        <w:rPr>
          <w:rFonts w:ascii="Arial" w:cs="Arial" w:eastAsia="Arial" w:hAnsi="Arial"/>
          <w:sz w:val="18"/>
          <w:szCs w:val="18"/>
          <w:color w:val="auto"/>
        </w:rPr>
        <w:t>. The rights conferred on any person by this Section shall continue as to a person who has ceased to be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or executive officer and shall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left="-987" w:right="40" w:firstLine="987"/>
        <w:spacing w:after="0" w:line="282" w:lineRule="auto"/>
        <w:tabs>
          <w:tab w:leader="none" w:pos="39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Section.</w:t>
      </w:r>
    </w:p>
    <w:p>
      <w:pPr>
        <w:spacing w:after="0" w:line="161" w:lineRule="exact"/>
        <w:rPr>
          <w:rFonts w:ascii="Arial" w:cs="Arial" w:eastAsia="Arial" w:hAnsi="Arial"/>
          <w:sz w:val="18"/>
          <w:szCs w:val="18"/>
          <w:b w:val="1"/>
          <w:bCs w:val="1"/>
          <w:color w:val="auto"/>
        </w:rPr>
      </w:pPr>
    </w:p>
    <w:p>
      <w:pPr>
        <w:ind w:left="-987" w:right="20" w:firstLine="987"/>
        <w:spacing w:after="0" w:line="347" w:lineRule="auto"/>
        <w:tabs>
          <w:tab w:leader="none" w:pos="404"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left="-987" w:right="60" w:firstLine="987"/>
        <w:spacing w:after="0" w:line="303" w:lineRule="auto"/>
        <w:tabs>
          <w:tab w:leader="none" w:pos="354"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Saving Clause</w:t>
      </w:r>
      <w:r>
        <w:rPr>
          <w:rFonts w:ascii="Arial" w:cs="Arial" w:eastAsia="Arial" w:hAnsi="Arial"/>
          <w:sz w:val="16"/>
          <w:szCs w:val="16"/>
          <w:color w:val="auto"/>
        </w:rPr>
        <w:t>. If this Section or any portion hereof shall be invalidated on any ground by any court of competent jurisdiction, then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nevertheless indemnify each director and executive officer to the full extent not prohibited by any applicable portion of this Bylaw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applicable law.</w:t>
      </w:r>
    </w:p>
    <w:p>
      <w:pPr>
        <w:spacing w:after="0" w:line="150" w:lineRule="exact"/>
        <w:rPr>
          <w:rFonts w:ascii="Arial" w:cs="Arial" w:eastAsia="Arial" w:hAnsi="Arial"/>
          <w:sz w:val="16"/>
          <w:szCs w:val="16"/>
          <w:b w:val="1"/>
          <w:bCs w:val="1"/>
          <w:color w:val="auto"/>
        </w:rPr>
      </w:pPr>
    </w:p>
    <w:p>
      <w:pPr>
        <w:ind w:left="353" w:hanging="353"/>
        <w:spacing w:after="0"/>
        <w:tabs>
          <w:tab w:leader="none" w:pos="353"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Section, the following definitions shall apply:</w:t>
      </w:r>
    </w:p>
    <w:p>
      <w:pPr>
        <w:spacing w:after="0" w:line="229" w:lineRule="exact"/>
        <w:rPr>
          <w:rFonts w:ascii="Arial" w:cs="Arial" w:eastAsia="Arial" w:hAnsi="Arial"/>
          <w:sz w:val="18"/>
          <w:szCs w:val="18"/>
          <w:b w:val="1"/>
          <w:bCs w:val="1"/>
          <w:color w:val="auto"/>
        </w:rPr>
      </w:pPr>
    </w:p>
    <w:p>
      <w:pPr>
        <w:jc w:val="both"/>
        <w:ind w:left="-987" w:right="680" w:firstLine="1428"/>
        <w:spacing w:after="0" w:line="263" w:lineRule="auto"/>
        <w:tabs>
          <w:tab w:leader="none" w:pos="831"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left="-987" w:right="60" w:firstLine="1428"/>
        <w:spacing w:after="0" w:line="342" w:lineRule="auto"/>
        <w:tabs>
          <w:tab w:leader="none" w:pos="831"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left="-987" w:right="160" w:firstLine="1428"/>
        <w:spacing w:after="0" w:line="293" w:lineRule="auto"/>
        <w:tabs>
          <w:tab w:leader="none" w:pos="831"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jc w:val="both"/>
        <w:ind w:left="-987" w:right="400" w:firstLine="1428"/>
        <w:spacing w:after="0" w:line="263" w:lineRule="auto"/>
        <w:tabs>
          <w:tab w:leader="none" w:pos="834"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ind w:left="-987" w:firstLine="1428"/>
        <w:spacing w:after="0" w:line="259" w:lineRule="auto"/>
        <w:tabs>
          <w:tab w:leader="none" w:pos="834"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w:t>
      </w:r>
    </w:p>
    <w:p>
      <w:pPr>
        <w:sectPr>
          <w:pgSz w:w="11900" w:h="16838" w:orient="portrait"/>
          <w:cols w:equalWidth="0" w:num="1">
            <w:col w:w="9993"/>
          </w:cols>
          <w:pgMar w:left="1427" w:top="270" w:right="479" w:bottom="1440" w:gutter="0" w:footer="0" w:header="0"/>
        </w:sectPr>
      </w:pPr>
    </w:p>
    <w:bookmarkStart w:id="229" w:name="page230"/>
    <w:bookmarkEnd w:id="229"/>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117" w:lineRule="exact"/>
        <w:rPr>
          <w:sz w:val="20"/>
          <w:szCs w:val="20"/>
          <w:color w:val="auto"/>
        </w:rPr>
      </w:pPr>
    </w:p>
    <w:p>
      <w:pPr>
        <w:ind w:right="40" w:firstLine="987"/>
        <w:spacing w:after="0" w:line="303" w:lineRule="auto"/>
        <w:tabs>
          <w:tab w:leader="none" w:pos="1381"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w:t>
      </w:r>
      <w:r>
        <w:rPr>
          <w:rFonts w:ascii="Arial" w:cs="Arial" w:eastAsia="Arial" w:hAnsi="Arial"/>
          <w:sz w:val="16"/>
          <w:szCs w:val="16"/>
          <w:color w:val="auto"/>
        </w:rPr>
        <w:t>. Written notice to stockholders of stockholder meetings shall be given as provided in Section 7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50" w:lineRule="exact"/>
        <w:rPr>
          <w:rFonts w:ascii="Arial" w:cs="Arial" w:eastAsia="Arial" w:hAnsi="Arial"/>
          <w:sz w:val="16"/>
          <w:szCs w:val="16"/>
          <w:b w:val="1"/>
          <w:bCs w:val="1"/>
          <w:color w:val="auto"/>
        </w:rPr>
      </w:pPr>
    </w:p>
    <w:p>
      <w:pPr>
        <w:ind w:right="60" w:firstLine="987"/>
        <w:spacing w:after="0" w:line="289" w:lineRule="auto"/>
        <w:tabs>
          <w:tab w:leader="none" w:pos="1391"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Directors</w:t>
      </w:r>
      <w:r>
        <w:rPr>
          <w:rFonts w:ascii="Arial" w:cs="Arial" w:eastAsia="Arial" w:hAnsi="Arial"/>
          <w:sz w:val="17"/>
          <w:szCs w:val="17"/>
          <w:color w:val="auto"/>
        </w:rPr>
        <w:t>. Any notice required to be given to any director may be given by the method stated in paragraph (a)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or as 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ind w:right="20" w:firstLine="987"/>
        <w:spacing w:after="0" w:line="261" w:lineRule="auto"/>
        <w:tabs>
          <w:tab w:leader="none" w:pos="1371"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jc w:val="both"/>
        <w:ind w:right="40" w:firstLine="987"/>
        <w:spacing w:after="0" w:line="266" w:lineRule="auto"/>
        <w:tabs>
          <w:tab w:leader="none" w:pos="1391"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371"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right="80" w:firstLine="987"/>
        <w:spacing w:after="0" w:line="277" w:lineRule="auto"/>
        <w:tabs>
          <w:tab w:leader="none" w:pos="1351"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ectPr>
          <w:pgSz w:w="11900" w:h="16838" w:orient="portrait"/>
          <w:cols w:equalWidth="0" w:num="1">
            <w:col w:w="11000"/>
          </w:cols>
          <w:pgMar w:left="440" w:top="274" w:right="45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Section 45. Amendments</w:t>
      </w:r>
      <w:r>
        <w:rPr>
          <w:rFonts w:ascii="Arial" w:cs="Arial" w:eastAsia="Arial" w:hAnsi="Arial"/>
          <w:sz w:val="18"/>
          <w:szCs w:val="18"/>
          <w:color w:val="auto"/>
        </w:rPr>
        <w:t>. The Board of Directors is expressly empowered to adopt, amend or repeal Bylaws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shall 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Section 46. Loans to Officers</w:t>
      </w:r>
      <w:r>
        <w:rPr>
          <w:rFonts w:ascii="Arial" w:cs="Arial" w:eastAsia="Arial" w:hAnsi="Arial"/>
          <w:sz w:val="16"/>
          <w:szCs w:val="16"/>
          <w:color w:val="auto"/>
        </w:rPr>
        <w:t>. 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Forum</w:t>
      </w:r>
      <w:r>
        <w:rPr>
          <w:rFonts w:ascii="Arial" w:cs="Arial" w:eastAsia="Arial" w:hAnsi="Arial"/>
          <w:sz w:val="17"/>
          <w:szCs w:val="17"/>
          <w:color w:val="auto"/>
        </w:rPr>
        <w:t>. Unless the corporation consents in writing to the selection of an alternative forum, the Court of Chancery of the State of Delaware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ectPr>
          <w:pgSz w:w="11900" w:h="16838" w:orient="portrait"/>
          <w:cols w:equalWidth="0" w:num="1">
            <w:col w:w="11000"/>
          </w:cols>
          <w:pgMar w:left="440" w:top="270" w:right="45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Executed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 INVESTORS’ RIGHTS AGREEMENT</w:t>
      </w:r>
    </w:p>
    <w:p>
      <w:pPr>
        <w:spacing w:after="0" w:line="225" w:lineRule="exact"/>
        <w:rPr>
          <w:sz w:val="20"/>
          <w:szCs w:val="20"/>
          <w:color w:val="auto"/>
        </w:rPr>
      </w:pPr>
    </w:p>
    <w:p>
      <w:pPr>
        <w:jc w:val="both"/>
        <w:ind w:right="160" w:firstLine="1432"/>
        <w:spacing w:after="0" w:line="289" w:lineRule="auto"/>
        <w:rPr>
          <w:sz w:val="20"/>
          <w:szCs w:val="20"/>
          <w:color w:val="auto"/>
        </w:rPr>
      </w:pPr>
      <w:r>
        <w:rPr>
          <w:rFonts w:ascii="Arial" w:cs="Arial" w:eastAsia="Arial" w:hAnsi="Arial"/>
          <w:sz w:val="17"/>
          <w:szCs w:val="17"/>
          <w:b w:val="1"/>
          <w:bCs w:val="1"/>
          <w:color w:val="auto"/>
        </w:rPr>
        <w:t xml:space="preserve">THIS SEVENTH AMENDED AND RESTATED INVESTORS’ RIGHTS AGREEMENT </w:t>
      </w:r>
      <w:r>
        <w:rPr>
          <w:rFonts w:ascii="Arial" w:cs="Arial" w:eastAsia="Arial" w:hAnsi="Arial"/>
          <w:sz w:val="17"/>
          <w:szCs w:val="17"/>
          <w:color w:val="auto"/>
        </w:rPr>
        <w:t>is made as of July 20, 2020, by and</w:t>
      </w:r>
      <w:r>
        <w:rPr>
          <w:rFonts w:ascii="Arial" w:cs="Arial" w:eastAsia="Arial" w:hAnsi="Arial"/>
          <w:sz w:val="17"/>
          <w:szCs w:val="17"/>
          <w:b w:val="1"/>
          <w:bCs w:val="1"/>
          <w:color w:val="auto"/>
        </w:rPr>
        <w:t xml:space="preserve"> </w:t>
      </w:r>
      <w:r>
        <w:rPr>
          <w:rFonts w:ascii="Arial" w:cs="Arial" w:eastAsia="Arial" w:hAnsi="Arial"/>
          <w:sz w:val="17"/>
          <w:szCs w:val="17"/>
          <w:color w:val="auto"/>
        </w:rPr>
        <w:t>among Xometry,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of which is referred to in this Agreement as an “</w:t>
      </w:r>
      <w:r>
        <w:rPr>
          <w:rFonts w:ascii="Arial" w:cs="Arial" w:eastAsia="Arial" w:hAnsi="Arial"/>
          <w:sz w:val="17"/>
          <w:szCs w:val="17"/>
          <w:b w:val="1"/>
          <w:bCs w:val="1"/>
          <w:color w:val="auto"/>
        </w:rPr>
        <w:t>Investor</w:t>
      </w:r>
      <w:r>
        <w:rPr>
          <w:rFonts w:ascii="Arial" w:cs="Arial" w:eastAsia="Arial" w:hAnsi="Arial"/>
          <w:sz w:val="17"/>
          <w:szCs w:val="17"/>
          <w:color w:val="auto"/>
        </w:rPr>
        <w:t xml:space="preserve">,” that is or becomes a party to this Agreement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ind w:right="40" w:firstLine="1432"/>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Seed-1 Preferred Stock, Series</w:t>
      </w:r>
      <w:r>
        <w:rPr>
          <w:rFonts w:ascii="Arial" w:cs="Arial" w:eastAsia="Arial" w:hAnsi="Arial"/>
          <w:sz w:val="18"/>
          <w:szCs w:val="18"/>
          <w:b w:val="1"/>
          <w:bCs w:val="1"/>
          <w:color w:val="auto"/>
        </w:rPr>
        <w:t xml:space="preserve"> </w:t>
      </w:r>
      <w:r>
        <w:rPr>
          <w:rFonts w:ascii="Arial" w:cs="Arial" w:eastAsia="Arial" w:hAnsi="Arial"/>
          <w:sz w:val="18"/>
          <w:szCs w:val="18"/>
          <w:color w:val="auto"/>
        </w:rPr>
        <w:t>Seed-2 Preferred Stock, Series A-1 Preferred Stock, Series A-2 Preferred Stock, Series B Preferred Stock, Series C Preferred Stock, Series D Preferred Stock and/or shares of Common Stock issued upon conversion thereof and possess information rights, rights of first offer, and other rights pursuant to a Sixth Amended and Restated Investors’ Rights Agreement dated as of May 2, 2019, between the Company and the Existing Investors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3" w:lineRule="exact"/>
        <w:rPr>
          <w:sz w:val="20"/>
          <w:szCs w:val="20"/>
          <w:color w:val="auto"/>
        </w:rPr>
      </w:pPr>
    </w:p>
    <w:p>
      <w:pPr>
        <w:jc w:val="both"/>
        <w:ind w:right="60" w:firstLine="1432"/>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the Company and certain of the Investors are entering into a Series</w:t>
      </w:r>
      <w:r>
        <w:rPr>
          <w:rFonts w:ascii="Arial" w:cs="Arial" w:eastAsia="Arial" w:hAnsi="Arial"/>
          <w:sz w:val="18"/>
          <w:szCs w:val="18"/>
          <w:b w:val="1"/>
          <w:bCs w:val="1"/>
          <w:color w:val="auto"/>
        </w:rPr>
        <w:t xml:space="preserve"> </w:t>
      </w:r>
      <w:r>
        <w:rPr>
          <w:rFonts w:ascii="Arial" w:cs="Arial" w:eastAsia="Arial" w:hAnsi="Arial"/>
          <w:sz w:val="18"/>
          <w:szCs w:val="18"/>
          <w:color w:val="auto"/>
        </w:rPr>
        <w:t>E Preferred Stock Purchase Agreement dated of even date 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providing for the sale of shares of Series E Preferred Stock; and</w:t>
      </w:r>
    </w:p>
    <w:p>
      <w:pPr>
        <w:spacing w:after="0" w:line="176" w:lineRule="exact"/>
        <w:rPr>
          <w:sz w:val="20"/>
          <w:szCs w:val="20"/>
          <w:color w:val="auto"/>
        </w:rPr>
      </w:pPr>
    </w:p>
    <w:p>
      <w:pPr>
        <w:ind w:right="340" w:firstLine="1432"/>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execution of the Purchase Agreement, the Company and the Existing Investors holding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Registrable Securities currently outstanding, including a majority in interest of the Company’s Series Seed-1 Preferred Stock, Series Seed-2 Preferred Stock, Series A-1 Preferred Stock, Series A-2 Preferred Stock, Series B Preferred Stock, Series C Preferred Stock and Series D Preferred Stock currently outstanding, desire to amend and restate the Prior Agreement in its entirety and to accept the rights created pursuant to this Agreement in lieu of the rights granted to them under the Prior Agreement.</w:t>
      </w:r>
    </w:p>
    <w:p>
      <w:pPr>
        <w:spacing w:after="0" w:line="183" w:lineRule="exact"/>
        <w:rPr>
          <w:sz w:val="20"/>
          <w:szCs w:val="20"/>
          <w:color w:val="auto"/>
        </w:rPr>
      </w:pPr>
    </w:p>
    <w:p>
      <w:pPr>
        <w:ind w:right="140" w:firstLine="1432"/>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Company and the Existing Investors agree that the Prior Agreement shall be amended and restated,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to this Agreement agree, as follows:</w:t>
      </w:r>
    </w:p>
    <w:p>
      <w:pPr>
        <w:spacing w:after="0" w:line="166" w:lineRule="exact"/>
        <w:rPr>
          <w:sz w:val="20"/>
          <w:szCs w:val="20"/>
          <w:color w:val="auto"/>
        </w:rPr>
      </w:pPr>
    </w:p>
    <w:p>
      <w:pPr>
        <w:ind w:left="860"/>
        <w:spacing w:after="0"/>
        <w:tabs>
          <w:tab w:leader="none" w:pos="11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13" w:lineRule="exact"/>
        <w:rPr>
          <w:sz w:val="20"/>
          <w:szCs w:val="20"/>
          <w:color w:val="auto"/>
        </w:rPr>
      </w:pPr>
    </w:p>
    <w:p>
      <w:pPr>
        <w:ind w:left="440" w:right="220" w:firstLine="1375"/>
        <w:spacing w:after="0" w:line="286"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 “</w:t>
      </w:r>
      <w:r>
        <w:rPr>
          <w:rFonts w:ascii="Arial" w:cs="Arial" w:eastAsia="Arial" w:hAnsi="Arial"/>
          <w:sz w:val="16"/>
          <w:szCs w:val="16"/>
          <w:b w:val="1"/>
          <w:bCs w:val="1"/>
          <w:color w:val="auto"/>
        </w:rPr>
        <w:t>Affiliate</w:t>
      </w:r>
      <w:r>
        <w:rPr>
          <w:rFonts w:ascii="Arial" w:cs="Arial" w:eastAsia="Arial" w:hAnsi="Arial"/>
          <w:sz w:val="16"/>
          <w:szCs w:val="16"/>
          <w:color w:val="auto"/>
        </w:rPr>
        <w:t>” means, in addition to the foregoing (i) with respect to T. Rowe Price, any T. Rowe Price Investor, (ii) with respect to any T. Rowe Price Investor, T. Rowe Price or any other T. Rowe Price Investor, and</w:t>
      </w:r>
    </w:p>
    <w:p>
      <w:pPr>
        <w:spacing w:after="0" w:line="2" w:lineRule="exact"/>
        <w:rPr>
          <w:sz w:val="20"/>
          <w:szCs w:val="20"/>
          <w:color w:val="auto"/>
        </w:rPr>
      </w:pPr>
    </w:p>
    <w:p>
      <w:pPr>
        <w:ind w:left="440" w:right="20" w:hanging="4"/>
        <w:spacing w:after="0" w:line="260" w:lineRule="auto"/>
        <w:tabs>
          <w:tab w:leader="none" w:pos="7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 respect to T. Rowe Price or any T. Rowe Price Investor, any fund or account now or hereafter existing that is managed by, governed by or advised or sub-advised by T. Rowe Price or any Affiliate thereof.</w:t>
      </w:r>
    </w:p>
    <w:p>
      <w:pPr>
        <w:sectPr>
          <w:pgSz w:w="11900" w:h="16838" w:orient="portrait"/>
          <w:cols w:equalWidth="0" w:num="1">
            <w:col w:w="11020"/>
          </w:cols>
          <w:pgMar w:left="440" w:top="121" w:right="439" w:bottom="1440" w:gutter="0" w:footer="0" w:header="0"/>
        </w:sectPr>
      </w:pPr>
    </w:p>
    <w:bookmarkStart w:id="232" w:name="page233"/>
    <w:bookmarkEnd w:id="232"/>
    <w:p>
      <w:pPr>
        <w:ind w:left="1380"/>
        <w:spacing w:after="0"/>
        <w:tabs>
          <w:tab w:leader="none" w:pos="1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Company’s Board of Directors.</w:t>
      </w:r>
    </w:p>
    <w:p>
      <w:pPr>
        <w:spacing w:after="0" w:line="117" w:lineRule="exact"/>
        <w:rPr>
          <w:sz w:val="20"/>
          <w:szCs w:val="20"/>
          <w:color w:val="auto"/>
        </w:rPr>
      </w:pPr>
    </w:p>
    <w:p>
      <w:pPr>
        <w:ind w:left="1380"/>
        <w:spacing w:after="0"/>
        <w:tabs>
          <w:tab w:leader="none" w:pos="17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$0.000001 per share.</w:t>
      </w:r>
    </w:p>
    <w:p>
      <w:pPr>
        <w:spacing w:after="0" w:line="117" w:lineRule="exact"/>
        <w:rPr>
          <w:sz w:val="20"/>
          <w:szCs w:val="20"/>
          <w:color w:val="auto"/>
        </w:rPr>
      </w:pPr>
    </w:p>
    <w:p>
      <w:pPr>
        <w:ind w:firstLine="1375"/>
        <w:spacing w:after="0" w:line="254"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Damages</w:t>
      </w:r>
      <w:r>
        <w:rPr>
          <w:rFonts w:ascii="Arial" w:cs="Arial" w:eastAsia="Arial" w:hAnsi="Arial"/>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84" w:lineRule="exact"/>
        <w:rPr>
          <w:sz w:val="20"/>
          <w:szCs w:val="20"/>
          <w:color w:val="auto"/>
        </w:rPr>
      </w:pPr>
    </w:p>
    <w:p>
      <w:pPr>
        <w:ind w:right="80" w:firstLine="1375"/>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54" w:lineRule="exact"/>
        <w:rPr>
          <w:sz w:val="20"/>
          <w:szCs w:val="20"/>
          <w:color w:val="auto"/>
        </w:rPr>
      </w:pPr>
    </w:p>
    <w:p>
      <w:pPr>
        <w:ind w:left="1380"/>
        <w:spacing w:after="0"/>
        <w:tabs>
          <w:tab w:leader="none" w:pos="17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Durable</w:t>
      </w:r>
      <w:r>
        <w:rPr>
          <w:rFonts w:ascii="Arial" w:cs="Arial" w:eastAsia="Arial" w:hAnsi="Arial"/>
          <w:sz w:val="16"/>
          <w:szCs w:val="16"/>
          <w:color w:val="auto"/>
        </w:rPr>
        <w:t>” means Durable Capital Master Fund LP.</w:t>
      </w:r>
    </w:p>
    <w:p>
      <w:pPr>
        <w:spacing w:after="0" w:line="117" w:lineRule="exact"/>
        <w:rPr>
          <w:sz w:val="20"/>
          <w:szCs w:val="20"/>
          <w:color w:val="auto"/>
        </w:rPr>
      </w:pPr>
    </w:p>
    <w:p>
      <w:pPr>
        <w:ind w:left="1380"/>
        <w:spacing w:after="0"/>
        <w:tabs>
          <w:tab w:leader="none" w:pos="17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99" w:lineRule="exact"/>
        <w:rPr>
          <w:sz w:val="20"/>
          <w:szCs w:val="20"/>
          <w:color w:val="auto"/>
        </w:rPr>
      </w:pPr>
    </w:p>
    <w:p>
      <w:pPr>
        <w:ind w:right="60" w:firstLine="1375"/>
        <w:spacing w:after="0" w:line="258"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5" w:lineRule="exact"/>
        <w:rPr>
          <w:sz w:val="20"/>
          <w:szCs w:val="20"/>
          <w:color w:val="auto"/>
        </w:rPr>
      </w:pPr>
    </w:p>
    <w:p>
      <w:pPr>
        <w:ind w:right="180" w:firstLine="1375"/>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54" w:lineRule="exact"/>
        <w:rPr>
          <w:sz w:val="20"/>
          <w:szCs w:val="20"/>
          <w:color w:val="auto"/>
        </w:rPr>
      </w:pPr>
    </w:p>
    <w:p>
      <w:pPr>
        <w:jc w:val="both"/>
        <w:ind w:right="40" w:firstLine="1375"/>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68"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Founders</w:t>
      </w:r>
      <w:r>
        <w:rPr>
          <w:rFonts w:ascii="Arial" w:cs="Arial" w:eastAsia="Arial" w:hAnsi="Arial"/>
          <w:sz w:val="16"/>
          <w:szCs w:val="16"/>
          <w:color w:val="auto"/>
        </w:rPr>
        <w:t>” means Randy Altschuler and Laurence Zuriff.</w:t>
      </w:r>
    </w:p>
    <w:p>
      <w:pPr>
        <w:spacing w:after="0" w:line="117"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233" w:name="page234"/>
    <w:bookmarkEnd w:id="233"/>
    <w:p>
      <w:pPr>
        <w:ind w:left="1384"/>
        <w:spacing w:after="0"/>
        <w:tabs>
          <w:tab w:leader="none" w:pos="1843"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117" w:lineRule="exact"/>
        <w:rPr>
          <w:sz w:val="20"/>
          <w:szCs w:val="20"/>
          <w:color w:val="auto"/>
        </w:rPr>
      </w:pPr>
    </w:p>
    <w:p>
      <w:pPr>
        <w:jc w:val="both"/>
        <w:ind w:left="4" w:right="240" w:firstLine="1375"/>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68" w:lineRule="exact"/>
        <w:rPr>
          <w:sz w:val="20"/>
          <w:szCs w:val="20"/>
          <w:color w:val="auto"/>
        </w:rPr>
      </w:pPr>
    </w:p>
    <w:p>
      <w:pPr>
        <w:ind w:left="1384"/>
        <w:spacing w:after="0"/>
        <w:tabs>
          <w:tab w:leader="none" w:pos="1843"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117" w:lineRule="exact"/>
        <w:rPr>
          <w:sz w:val="20"/>
          <w:szCs w:val="20"/>
          <w:color w:val="auto"/>
        </w:rPr>
      </w:pPr>
    </w:p>
    <w:p>
      <w:pPr>
        <w:ind w:left="1384"/>
        <w:spacing w:after="0"/>
        <w:tabs>
          <w:tab w:leader="none" w:pos="1843"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117" w:lineRule="exact"/>
        <w:rPr>
          <w:sz w:val="20"/>
          <w:szCs w:val="20"/>
          <w:color w:val="auto"/>
        </w:rPr>
      </w:pPr>
    </w:p>
    <w:p>
      <w:pPr>
        <w:ind w:left="4" w:right="140" w:firstLine="1375"/>
        <w:spacing w:after="0" w:line="281"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Major Investor</w:t>
      </w:r>
      <w:r>
        <w:rPr>
          <w:rFonts w:ascii="Arial" w:cs="Arial" w:eastAsia="Arial" w:hAnsi="Arial"/>
          <w:sz w:val="17"/>
          <w:szCs w:val="17"/>
          <w:color w:val="auto"/>
        </w:rPr>
        <w:t>” means (i) any Investor that, individually or together with such Investor’s Affiliates, holds at least 300,000 shares of Registrable Securities (as adjusted for any stock split, stock dividend, combination, or other recapitalization or reclassification effected after the date hereof), (ii) any T. Rowe Price Investor without regard to the number of shares of Registrable Securities held thereby, and (iii) Durable without regard to the number of shares of Registrable Securities held thereby.</w:t>
      </w:r>
    </w:p>
    <w:p>
      <w:pPr>
        <w:spacing w:after="0" w:line="57" w:lineRule="exact"/>
        <w:rPr>
          <w:sz w:val="20"/>
          <w:szCs w:val="20"/>
          <w:color w:val="auto"/>
        </w:rPr>
      </w:pPr>
    </w:p>
    <w:p>
      <w:pPr>
        <w:ind w:left="4" w:right="80" w:firstLine="1375"/>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8" w:lineRule="exact"/>
        <w:rPr>
          <w:sz w:val="20"/>
          <w:szCs w:val="20"/>
          <w:color w:val="auto"/>
        </w:rPr>
      </w:pPr>
    </w:p>
    <w:p>
      <w:pPr>
        <w:ind w:left="1384"/>
        <w:spacing w:after="0"/>
        <w:tabs>
          <w:tab w:leader="none" w:pos="1843"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117" w:lineRule="exact"/>
        <w:rPr>
          <w:sz w:val="20"/>
          <w:szCs w:val="20"/>
          <w:color w:val="auto"/>
        </w:rPr>
      </w:pPr>
    </w:p>
    <w:p>
      <w:pPr>
        <w:ind w:left="1384"/>
        <w:spacing w:after="0"/>
        <w:tabs>
          <w:tab w:leader="none" w:pos="1843"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means, collectively, the Series A-1 Director, the Series B Director, the Series C Director and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Series D Director.</w:t>
      </w:r>
    </w:p>
    <w:p>
      <w:pPr>
        <w:spacing w:after="0" w:line="99" w:lineRule="exact"/>
        <w:rPr>
          <w:sz w:val="20"/>
          <w:szCs w:val="20"/>
          <w:color w:val="auto"/>
        </w:rPr>
      </w:pPr>
    </w:p>
    <w:p>
      <w:pPr>
        <w:jc w:val="both"/>
        <w:ind w:left="4" w:right="60" w:firstLine="1375"/>
        <w:spacing w:after="0" w:line="26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the Series Seed-1 Preferred Stock, the Series Seed-2 Preferred Stock, the Series A-1 Preferred Stock, the Series A-2 Preferred Stock, the Series B Preferred Stock, the Series C Preferred Stock, the Series D Preferred Stock and the Series E Preferred Stock.</w:t>
      </w:r>
    </w:p>
    <w:p>
      <w:pPr>
        <w:spacing w:after="0" w:line="68" w:lineRule="exact"/>
        <w:rPr>
          <w:sz w:val="20"/>
          <w:szCs w:val="20"/>
          <w:color w:val="auto"/>
        </w:rPr>
      </w:pPr>
    </w:p>
    <w:p>
      <w:pPr>
        <w:ind w:left="1384"/>
        <w:spacing w:after="0"/>
        <w:tabs>
          <w:tab w:leader="none" w:pos="1843"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w:t>
      </w:r>
    </w:p>
    <w:p>
      <w:pPr>
        <w:spacing w:after="0" w:line="27" w:lineRule="exact"/>
        <w:rPr>
          <w:sz w:val="20"/>
          <w:szCs w:val="20"/>
          <w:color w:val="auto"/>
        </w:rPr>
      </w:pPr>
    </w:p>
    <w:p>
      <w:pPr>
        <w:ind w:left="4" w:hanging="4"/>
        <w:spacing w:after="0" w:line="290" w:lineRule="auto"/>
        <w:tabs>
          <w:tab w:leader="none" w:pos="26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any Common Stock issued or issuable (directly or indirectly) upon conversion and/or exercise of any other securities of the Company, and any other shares of Common Stock, in each case held by the Investors; and (iii)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9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0" w:right="479" w:bottom="1440" w:gutter="0" w:footer="0" w:header="0"/>
        </w:sectPr>
      </w:pPr>
    </w:p>
    <w:bookmarkStart w:id="234" w:name="page235"/>
    <w:bookmarkEnd w:id="234"/>
    <w:p>
      <w:pPr>
        <w:jc w:val="both"/>
        <w:ind w:firstLine="1375"/>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1.23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68"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bear the legend set forth in </w:t>
      </w:r>
      <w:r>
        <w:rPr>
          <w:rFonts w:ascii="Arial" w:cs="Arial" w:eastAsia="Arial" w:hAnsi="Arial"/>
          <w:sz w:val="16"/>
          <w:szCs w:val="16"/>
          <w:u w:val="single" w:color="auto"/>
          <w:color w:val="auto"/>
        </w:rPr>
        <w:t>Subsection 2.12(b)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99"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117"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117"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117"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17" w:lineRule="exact"/>
        <w:rPr>
          <w:sz w:val="20"/>
          <w:szCs w:val="20"/>
          <w:color w:val="auto"/>
        </w:rPr>
      </w:pPr>
    </w:p>
    <w:p>
      <w:pPr>
        <w:jc w:val="both"/>
        <w:ind w:right="140" w:firstLine="1375"/>
        <w:spacing w:after="0" w:line="266"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68" w:lineRule="exact"/>
        <w:rPr>
          <w:sz w:val="20"/>
          <w:szCs w:val="20"/>
          <w:color w:val="auto"/>
        </w:rPr>
      </w:pPr>
    </w:p>
    <w:p>
      <w:pPr>
        <w:ind w:right="60" w:firstLine="1375"/>
        <w:spacing w:after="0" w:line="282"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Seed-1 Preferred Stock</w:t>
      </w:r>
      <w:r>
        <w:rPr>
          <w:rFonts w:ascii="Arial" w:cs="Arial" w:eastAsia="Arial" w:hAnsi="Arial"/>
          <w:sz w:val="18"/>
          <w:szCs w:val="18"/>
          <w:color w:val="auto"/>
        </w:rPr>
        <w:t>” means shares of the Company’s Series Seed-1 Convertible Preferred Stock, par value $0.000001 per share.</w:t>
      </w:r>
    </w:p>
    <w:p>
      <w:pPr>
        <w:spacing w:after="0" w:line="54" w:lineRule="exact"/>
        <w:rPr>
          <w:sz w:val="20"/>
          <w:szCs w:val="20"/>
          <w:color w:val="auto"/>
        </w:rPr>
      </w:pPr>
    </w:p>
    <w:p>
      <w:pPr>
        <w:ind w:right="60" w:firstLine="1375"/>
        <w:spacing w:after="0" w:line="282"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Seed-2 Preferred Stock</w:t>
      </w:r>
      <w:r>
        <w:rPr>
          <w:rFonts w:ascii="Arial" w:cs="Arial" w:eastAsia="Arial" w:hAnsi="Arial"/>
          <w:sz w:val="18"/>
          <w:szCs w:val="18"/>
          <w:color w:val="auto"/>
        </w:rPr>
        <w:t>” means shares of the Company’s Series Seed-2 Convertible Preferred Stock, par value $0.000001 per share.</w:t>
      </w:r>
    </w:p>
    <w:p>
      <w:pPr>
        <w:spacing w:after="0" w:line="54" w:lineRule="exact"/>
        <w:rPr>
          <w:sz w:val="20"/>
          <w:szCs w:val="20"/>
          <w:color w:val="auto"/>
        </w:rPr>
      </w:pPr>
    </w:p>
    <w:p>
      <w:pPr>
        <w:ind w:right="120" w:firstLine="1375"/>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A-1 Director</w:t>
      </w:r>
      <w:r>
        <w:rPr>
          <w:rFonts w:ascii="Arial" w:cs="Arial" w:eastAsia="Arial" w:hAnsi="Arial"/>
          <w:sz w:val="18"/>
          <w:szCs w:val="18"/>
          <w:color w:val="auto"/>
        </w:rPr>
        <w:t>” means any director of the Company that the holders of record of the Series A-1 Preferred Stock are entitled to elect pursuant to the Company’s Amended and Restated Certificate of Incorporation.</w:t>
      </w:r>
    </w:p>
    <w:p>
      <w:pPr>
        <w:spacing w:after="0" w:line="54" w:lineRule="exact"/>
        <w:rPr>
          <w:sz w:val="20"/>
          <w:szCs w:val="20"/>
          <w:color w:val="auto"/>
        </w:rPr>
      </w:pPr>
    </w:p>
    <w:p>
      <w:pPr>
        <w:ind w:right="520" w:firstLine="1375"/>
        <w:spacing w:after="0" w:line="282"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A-1 Preferred Stock</w:t>
      </w:r>
      <w:r>
        <w:rPr>
          <w:rFonts w:ascii="Arial" w:cs="Arial" w:eastAsia="Arial" w:hAnsi="Arial"/>
          <w:sz w:val="18"/>
          <w:szCs w:val="18"/>
          <w:color w:val="auto"/>
        </w:rPr>
        <w:t>” means shares of the Company’s Series A-1 Convertible Preferred Stock, par value $0.000001 per share.</w:t>
      </w:r>
    </w:p>
    <w:p>
      <w:pPr>
        <w:spacing w:after="0" w:line="54" w:lineRule="exact"/>
        <w:rPr>
          <w:sz w:val="20"/>
          <w:szCs w:val="20"/>
          <w:color w:val="auto"/>
        </w:rPr>
      </w:pPr>
    </w:p>
    <w:p>
      <w:pPr>
        <w:ind w:right="520" w:firstLine="1375"/>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Series A-2 Preferred Stock</w:t>
      </w:r>
      <w:r>
        <w:rPr>
          <w:rFonts w:ascii="Arial" w:cs="Arial" w:eastAsia="Arial" w:hAnsi="Arial"/>
          <w:sz w:val="18"/>
          <w:szCs w:val="18"/>
          <w:color w:val="auto"/>
        </w:rPr>
        <w:t>” means shares of the Company’s Series A-2 Convertible Preferred Stock, par value $0.000001 per share.</w:t>
      </w:r>
    </w:p>
    <w:p>
      <w:pPr>
        <w:spacing w:after="0" w:line="54" w:lineRule="exact"/>
        <w:rPr>
          <w:sz w:val="20"/>
          <w:szCs w:val="20"/>
          <w:color w:val="auto"/>
        </w:rPr>
      </w:pPr>
    </w:p>
    <w:p>
      <w:pPr>
        <w:ind w:right="180" w:firstLine="1375"/>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that the holders of record of the Series B Preferred Stock are entitled to elect pursuant to the Company’s Amended and Restated Certificate of Incorporation.</w:t>
      </w:r>
    </w:p>
    <w:p>
      <w:pPr>
        <w:spacing w:after="0" w:line="54"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Convertible Preferred Stock, par value $0.000001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 share.</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0" w:right="479" w:bottom="1440" w:gutter="0" w:footer="0" w:header="0"/>
        </w:sectPr>
      </w:pPr>
    </w:p>
    <w:bookmarkStart w:id="235" w:name="page236"/>
    <w:bookmarkEnd w:id="235"/>
    <w:p>
      <w:pPr>
        <w:ind w:left="440" w:right="180" w:firstLine="1375"/>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1.37 “</w:t>
      </w:r>
      <w:r>
        <w:rPr>
          <w:rFonts w:ascii="Arial" w:cs="Arial" w:eastAsia="Arial" w:hAnsi="Arial"/>
          <w:sz w:val="18"/>
          <w:szCs w:val="18"/>
          <w:b w:val="1"/>
          <w:bCs w:val="1"/>
          <w:color w:val="auto"/>
        </w:rPr>
        <w:t>Series C Director</w:t>
      </w:r>
      <w:r>
        <w:rPr>
          <w:rFonts w:ascii="Arial" w:cs="Arial" w:eastAsia="Arial" w:hAnsi="Arial"/>
          <w:sz w:val="18"/>
          <w:szCs w:val="18"/>
          <w:color w:val="auto"/>
        </w:rPr>
        <w:t>” means any director of the Company that the holders of record of the Series C Preferred Stock are entitled to elect pursuant to the Company’s Amended and Restated Certificate of Incorporation.</w:t>
      </w:r>
    </w:p>
    <w:p>
      <w:pPr>
        <w:spacing w:after="0" w:line="54" w:lineRule="exact"/>
        <w:rPr>
          <w:sz w:val="20"/>
          <w:szCs w:val="20"/>
          <w:color w:val="auto"/>
        </w:rPr>
      </w:pPr>
    </w:p>
    <w:p>
      <w:pPr>
        <w:ind w:left="1820"/>
        <w:spacing w:after="0"/>
        <w:tabs>
          <w:tab w:leader="none" w:pos="22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shares of the Company’s Series C Convertible Preferred Stock, par value $0.000001</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 share.</w:t>
      </w:r>
    </w:p>
    <w:p>
      <w:pPr>
        <w:spacing w:after="0" w:line="99" w:lineRule="exact"/>
        <w:rPr>
          <w:sz w:val="20"/>
          <w:szCs w:val="20"/>
          <w:color w:val="auto"/>
        </w:rPr>
      </w:pPr>
    </w:p>
    <w:p>
      <w:pPr>
        <w:ind w:left="440" w:right="160" w:firstLine="1375"/>
        <w:spacing w:after="0" w:line="282"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Series D Director</w:t>
      </w:r>
      <w:r>
        <w:rPr>
          <w:rFonts w:ascii="Arial" w:cs="Arial" w:eastAsia="Arial" w:hAnsi="Arial"/>
          <w:sz w:val="18"/>
          <w:szCs w:val="18"/>
          <w:color w:val="auto"/>
        </w:rPr>
        <w:t>” means any director of the Company that the holders of record of the Series D Preferred Stock are entitled to elect pursuant to the Company’s Amended and Restated Certificate of Incorporation.</w:t>
      </w:r>
    </w:p>
    <w:p>
      <w:pPr>
        <w:spacing w:after="0" w:line="54" w:lineRule="exact"/>
        <w:rPr>
          <w:sz w:val="20"/>
          <w:szCs w:val="20"/>
          <w:color w:val="auto"/>
        </w:rPr>
      </w:pPr>
    </w:p>
    <w:p>
      <w:pPr>
        <w:ind w:left="1820"/>
        <w:spacing w:after="0"/>
        <w:tabs>
          <w:tab w:leader="none" w:pos="22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means shares of the Company’s Series D Convertible Preferred Stock, par value $0.000001</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 share.</w:t>
      </w:r>
    </w:p>
    <w:p>
      <w:pPr>
        <w:spacing w:after="0" w:line="99" w:lineRule="exact"/>
        <w:rPr>
          <w:sz w:val="20"/>
          <w:szCs w:val="20"/>
          <w:color w:val="auto"/>
        </w:rPr>
      </w:pPr>
    </w:p>
    <w:p>
      <w:pPr>
        <w:ind w:left="1820"/>
        <w:spacing w:after="0"/>
        <w:tabs>
          <w:tab w:leader="none" w:pos="2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means shares of the Company’s Series E Convertible Preferred Stock, par value $0.000001</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 share.</w:t>
      </w:r>
    </w:p>
    <w:p>
      <w:pPr>
        <w:spacing w:after="0" w:line="99" w:lineRule="exact"/>
        <w:rPr>
          <w:sz w:val="20"/>
          <w:szCs w:val="20"/>
          <w:color w:val="auto"/>
        </w:rPr>
      </w:pPr>
    </w:p>
    <w:p>
      <w:pPr>
        <w:ind w:left="1820"/>
        <w:spacing w:after="0"/>
        <w:tabs>
          <w:tab w:leader="none" w:pos="2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 Rowe Price</w:t>
      </w:r>
      <w:r>
        <w:rPr>
          <w:rFonts w:ascii="Arial" w:cs="Arial" w:eastAsia="Arial" w:hAnsi="Arial"/>
          <w:sz w:val="16"/>
          <w:szCs w:val="16"/>
          <w:color w:val="auto"/>
        </w:rPr>
        <w:t>” means T. Rowe Price Associates, Inc.</w:t>
      </w:r>
    </w:p>
    <w:p>
      <w:pPr>
        <w:spacing w:after="0" w:line="117" w:lineRule="exact"/>
        <w:rPr>
          <w:sz w:val="20"/>
          <w:szCs w:val="20"/>
          <w:color w:val="auto"/>
        </w:rPr>
      </w:pPr>
    </w:p>
    <w:p>
      <w:pPr>
        <w:ind w:left="440" w:right="420" w:firstLine="1375"/>
        <w:spacing w:after="0" w:line="282"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T. Rowe Price Investors</w:t>
      </w:r>
      <w:r>
        <w:rPr>
          <w:rFonts w:ascii="Arial" w:cs="Arial" w:eastAsia="Arial" w:hAnsi="Arial"/>
          <w:sz w:val="18"/>
          <w:szCs w:val="18"/>
          <w:color w:val="auto"/>
        </w:rPr>
        <w:t>” means, collectively, the Investors or Additional Purchasers that are advisory funds and accounts advised or sub-advised by T. Rowe Price or one of its Affiliates.</w:t>
      </w:r>
    </w:p>
    <w:p>
      <w:pPr>
        <w:spacing w:after="0" w:line="166" w:lineRule="exact"/>
        <w:rPr>
          <w:sz w:val="20"/>
          <w:szCs w:val="20"/>
          <w:color w:val="auto"/>
        </w:rPr>
      </w:pPr>
    </w:p>
    <w:p>
      <w:pPr>
        <w:ind w:left="1980" w:right="4900" w:hanging="1121"/>
        <w:spacing w:after="0" w:line="375" w:lineRule="auto"/>
        <w:tabs>
          <w:tab w:leader="none" w:pos="117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p>
    <w:p>
      <w:pPr>
        <w:spacing w:after="0" w:line="1" w:lineRule="exact"/>
        <w:rPr>
          <w:rFonts w:ascii="Arial" w:cs="Arial" w:eastAsia="Arial" w:hAnsi="Arial"/>
          <w:sz w:val="18"/>
          <w:szCs w:val="18"/>
          <w:color w:val="auto"/>
        </w:rPr>
      </w:pPr>
    </w:p>
    <w:p>
      <w:pPr>
        <w:ind w:firstLine="2419"/>
        <w:spacing w:after="0" w:line="287" w:lineRule="auto"/>
        <w:tabs>
          <w:tab w:leader="none" w:pos="2803"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(3) years after the date of this Agreement or (ii) one hundred eighty (180) days after the effective date of the registration statement for the IPO, the Company receives a request from Holders of at least forty percent (40%) of the Registrable Securities then outstanding if the anticipated aggregate offering price, net of Selling Expenses, would exceed</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$5 million, then the Company shall (A) within ten (10) days after the date such request is given, give notice thereof (the “</w:t>
      </w:r>
      <w:r>
        <w:rPr>
          <w:rFonts w:ascii="Arial" w:cs="Arial" w:eastAsia="Arial" w:hAnsi="Arial"/>
          <w:sz w:val="18"/>
          <w:szCs w:val="18"/>
          <w:b w:val="1"/>
          <w:bCs w:val="1"/>
          <w:color w:val="auto"/>
        </w:rPr>
        <w:t>Demand Notice</w:t>
      </w:r>
      <w:r>
        <w:rPr>
          <w:rFonts w:ascii="Arial" w:cs="Arial" w:eastAsia="Arial" w:hAnsi="Arial"/>
          <w:sz w:val="18"/>
          <w:szCs w:val="18"/>
          <w:color w:val="auto"/>
        </w:rPr>
        <w:t xml:space="preserve">”) to all Holders other than the Initiating Holders; and (B) as soon as practicable, and in any event within sixty (60) days after the date such request is given by the Initiating Holders, use its best efforts to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193" w:lineRule="exact"/>
        <w:rPr>
          <w:rFonts w:ascii="Arial" w:cs="Arial" w:eastAsia="Arial" w:hAnsi="Arial"/>
          <w:sz w:val="16"/>
          <w:szCs w:val="16"/>
          <w:color w:val="auto"/>
        </w:rPr>
      </w:pPr>
    </w:p>
    <w:p>
      <w:pPr>
        <w:ind w:right="220" w:firstLine="2419"/>
        <w:spacing w:after="0" w:line="275" w:lineRule="auto"/>
        <w:tabs>
          <w:tab w:leader="none" w:pos="2813"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 (ii) as soon as practicable, and in any event within forty-five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-1687195</wp:posOffset>
            </wp:positionV>
            <wp:extent cx="285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236" w:name="page237"/>
    <w:bookmarkEnd w:id="236"/>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Subsection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2.3</w:t>
      </w:r>
      <w:r>
        <w:rPr>
          <w:rFonts w:ascii="Arial" w:cs="Arial" w:eastAsia="Arial" w:hAnsi="Arial"/>
          <w:sz w:val="16"/>
          <w:szCs w:val="16"/>
          <w:color w:val="auto"/>
        </w:rPr>
        <w:t>.</w:t>
      </w:r>
    </w:p>
    <w:p>
      <w:pPr>
        <w:spacing w:after="0" w:line="149" w:lineRule="exact"/>
        <w:rPr>
          <w:sz w:val="20"/>
          <w:szCs w:val="20"/>
          <w:color w:val="auto"/>
        </w:rPr>
      </w:pPr>
    </w:p>
    <w:p>
      <w:pPr>
        <w:ind w:firstLine="2419"/>
        <w:spacing w:after="0" w:line="288" w:lineRule="auto"/>
        <w:tabs>
          <w:tab w:leader="none" w:pos="280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not invoke this right more than twice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ninety (90) day period.</w:t>
      </w:r>
    </w:p>
    <w:p>
      <w:pPr>
        <w:spacing w:after="0" w:line="168" w:lineRule="exact"/>
        <w:rPr>
          <w:rFonts w:ascii="Arial" w:cs="Arial" w:eastAsia="Arial" w:hAnsi="Arial"/>
          <w:sz w:val="16"/>
          <w:szCs w:val="16"/>
          <w:color w:val="auto"/>
        </w:rPr>
      </w:pPr>
    </w:p>
    <w:p>
      <w:pPr>
        <w:ind w:right="40" w:firstLine="2419"/>
        <w:spacing w:after="0" w:line="286" w:lineRule="auto"/>
        <w:tabs>
          <w:tab w:leader="none" w:pos="281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(ii) if the Company has effected two registrations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(iii) if the Company has effected three registration statements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or (iv)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2.1(c)</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7" w:name="page238"/>
    <w:bookmarkEnd w:id="237"/>
    <w:p>
      <w:pPr>
        <w:ind w:left="440" w:firstLine="1375"/>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cause to be registered all of the Registrable Securities that each such Holder has requested to be included in such registration. The Company shall have the right to terminate or withdraw any registration initiated by it under this S</w:t>
      </w:r>
      <w:r>
        <w:rPr>
          <w:rFonts w:ascii="Arial" w:cs="Arial" w:eastAsia="Arial" w:hAnsi="Arial"/>
          <w:sz w:val="16"/>
          <w:szCs w:val="16"/>
          <w:u w:val="single" w:color="auto"/>
          <w:color w:val="auto"/>
        </w:rPr>
        <w:t>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273" w:lineRule="exact"/>
        <w:rPr>
          <w:sz w:val="20"/>
          <w:szCs w:val="20"/>
          <w:color w:val="auto"/>
        </w:rPr>
      </w:pPr>
    </w:p>
    <w:p>
      <w:pPr>
        <w:ind w:left="860"/>
        <w:spacing w:after="0"/>
        <w:tabs>
          <w:tab w:leader="none" w:pos="12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7" w:lineRule="exact"/>
        <w:rPr>
          <w:sz w:val="20"/>
          <w:szCs w:val="20"/>
          <w:color w:val="auto"/>
        </w:rPr>
      </w:pPr>
    </w:p>
    <w:p>
      <w:pPr>
        <w:ind w:right="80" w:firstLine="2419"/>
        <w:spacing w:after="0" w:line="286" w:lineRule="auto"/>
        <w:tabs>
          <w:tab w:leader="none" w:pos="2803"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67" w:lineRule="exact"/>
        <w:rPr>
          <w:rFonts w:ascii="Arial" w:cs="Arial" w:eastAsia="Arial" w:hAnsi="Arial"/>
          <w:sz w:val="16"/>
          <w:szCs w:val="16"/>
          <w:color w:val="auto"/>
        </w:rPr>
      </w:pPr>
    </w:p>
    <w:p>
      <w:pPr>
        <w:ind w:right="100" w:firstLine="2419"/>
        <w:spacing w:after="0" w:line="275" w:lineRule="auto"/>
        <w:tabs>
          <w:tab w:leader="none" w:pos="281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Subsection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38" w:name="page239"/>
    <w:bookmarkEnd w:id="238"/>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w:t>
      </w:r>
    </w:p>
    <w:p>
      <w:pPr>
        <w:spacing w:after="0" w:line="2" w:lineRule="exact"/>
        <w:rPr>
          <w:sz w:val="20"/>
          <w:szCs w:val="20"/>
          <w:color w:val="auto"/>
        </w:rPr>
      </w:pPr>
    </w:p>
    <w:p>
      <w:pPr>
        <w:ind w:left="4" w:hanging="4"/>
        <w:spacing w:after="0" w:line="251" w:lineRule="auto"/>
        <w:tabs>
          <w:tab w:leader="none" w:pos="43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8"/>
          <w:szCs w:val="18"/>
          <w:u w:val="single" w:color="auto"/>
          <w:color w:val="auto"/>
        </w:rPr>
        <w:t>Subsection 2.3(b)</w:t>
      </w:r>
      <w:r>
        <w:rPr>
          <w:rFonts w:ascii="Arial" w:cs="Arial" w:eastAsia="Arial" w:hAnsi="Arial"/>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89" w:lineRule="exact"/>
        <w:rPr>
          <w:sz w:val="20"/>
          <w:szCs w:val="20"/>
          <w:color w:val="auto"/>
        </w:rPr>
      </w:pPr>
    </w:p>
    <w:p>
      <w:pPr>
        <w:ind w:left="444" w:right="640" w:firstLine="1375"/>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0" w:lineRule="exact"/>
        <w:rPr>
          <w:sz w:val="20"/>
          <w:szCs w:val="20"/>
          <w:color w:val="auto"/>
        </w:rPr>
      </w:pPr>
    </w:p>
    <w:p>
      <w:pPr>
        <w:ind w:left="4" w:right="80" w:firstLine="2419"/>
        <w:spacing w:after="0" w:line="273" w:lineRule="auto"/>
        <w:tabs>
          <w:tab w:leader="none" w:pos="280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77" w:lineRule="exact"/>
        <w:rPr>
          <w:rFonts w:ascii="Arial" w:cs="Arial" w:eastAsia="Arial" w:hAnsi="Arial"/>
          <w:sz w:val="17"/>
          <w:szCs w:val="17"/>
          <w:color w:val="auto"/>
        </w:rPr>
      </w:pPr>
    </w:p>
    <w:p>
      <w:pPr>
        <w:ind w:left="4" w:right="60" w:firstLine="2419"/>
        <w:spacing w:after="0" w:line="263" w:lineRule="auto"/>
        <w:tabs>
          <w:tab w:leader="none" w:pos="281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39" w:name="page240"/>
    <w:bookmarkEnd w:id="239"/>
    <w:p>
      <w:pPr>
        <w:ind w:right="380" w:firstLine="2419"/>
        <w:spacing w:after="0" w:line="263" w:lineRule="auto"/>
        <w:tabs>
          <w:tab w:leader="none" w:pos="28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83" w:lineRule="exact"/>
        <w:rPr>
          <w:rFonts w:ascii="Arial" w:cs="Arial" w:eastAsia="Arial" w:hAnsi="Arial"/>
          <w:sz w:val="18"/>
          <w:szCs w:val="18"/>
          <w:color w:val="auto"/>
        </w:rPr>
      </w:pPr>
    </w:p>
    <w:p>
      <w:pPr>
        <w:ind w:right="240" w:firstLine="2419"/>
        <w:spacing w:after="0" w:line="279" w:lineRule="auto"/>
        <w:tabs>
          <w:tab w:leader="none" w:pos="281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provided </w:t>
      </w:r>
      <w:r>
        <w:rPr>
          <w:rFonts w:ascii="Arial" w:cs="Arial" w:eastAsia="Arial" w:hAnsi="Arial"/>
          <w:sz w:val="17"/>
          <w:szCs w:val="17"/>
          <w:i w:val="1"/>
          <w:iCs w:val="1"/>
          <w:color w:val="auto"/>
        </w:rPr>
        <w:t>that</w:t>
      </w:r>
      <w:r>
        <w:rPr>
          <w:rFonts w:ascii="Arial" w:cs="Arial" w:eastAsia="Arial" w:hAnsi="Arial"/>
          <w:sz w:val="17"/>
          <w:szCs w:val="17"/>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360" w:firstLine="2419"/>
        <w:spacing w:after="0" w:line="277" w:lineRule="auto"/>
        <w:tabs>
          <w:tab w:leader="none" w:pos="280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right="380" w:firstLine="2419"/>
        <w:spacing w:after="0" w:line="263" w:lineRule="auto"/>
        <w:tabs>
          <w:tab w:leader="none" w:pos="278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360" w:firstLine="2419"/>
        <w:spacing w:after="0" w:line="342" w:lineRule="auto"/>
        <w:tabs>
          <w:tab w:leader="none" w:pos="281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23" w:lineRule="exact"/>
        <w:rPr>
          <w:rFonts w:ascii="Arial" w:cs="Arial" w:eastAsia="Arial" w:hAnsi="Arial"/>
          <w:sz w:val="16"/>
          <w:szCs w:val="16"/>
          <w:color w:val="auto"/>
        </w:rPr>
      </w:pPr>
    </w:p>
    <w:p>
      <w:pPr>
        <w:ind w:right="20" w:firstLine="2419"/>
        <w:spacing w:after="0" w:line="255" w:lineRule="auto"/>
        <w:tabs>
          <w:tab w:leader="none" w:pos="281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firstLine="2419"/>
        <w:spacing w:after="0" w:line="342" w:lineRule="auto"/>
        <w:tabs>
          <w:tab w:leader="none" w:pos="277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3" w:lineRule="exact"/>
        <w:rPr>
          <w:rFonts w:ascii="Arial" w:cs="Arial" w:eastAsia="Arial" w:hAnsi="Arial"/>
          <w:sz w:val="16"/>
          <w:szCs w:val="16"/>
          <w:color w:val="auto"/>
        </w:rPr>
      </w:pPr>
    </w:p>
    <w:p>
      <w:pPr>
        <w:ind w:right="80" w:firstLine="2419"/>
        <w:spacing w:after="0" w:line="277" w:lineRule="auto"/>
        <w:tabs>
          <w:tab w:leader="none" w:pos="277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become effective, its insider trading policy shall provide that the Company’s directors may implement a trading program under Rule 10b5-1 of the Exchange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40" w:name="page241"/>
    <w:bookmarkEnd w:id="240"/>
    <w:p>
      <w:pPr>
        <w:ind w:left="440" w:right="160" w:firstLine="137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9" w:lineRule="exact"/>
        <w:rPr>
          <w:sz w:val="20"/>
          <w:szCs w:val="20"/>
          <w:color w:val="auto"/>
        </w:rPr>
      </w:pPr>
    </w:p>
    <w:p>
      <w:pPr>
        <w:ind w:left="440" w:firstLine="1375"/>
        <w:spacing w:after="0" w:line="28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2.1(b),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two registrations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to three registrations subject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-728345</wp:posOffset>
            </wp:positionV>
            <wp:extent cx="3048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46" w:lineRule="exact"/>
        <w:rPr>
          <w:sz w:val="20"/>
          <w:szCs w:val="20"/>
          <w:color w:val="auto"/>
        </w:rPr>
      </w:pPr>
    </w:p>
    <w:p>
      <w:pPr>
        <w:ind w:left="440" w:right="40" w:firstLine="1375"/>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76" w:lineRule="exact"/>
        <w:rPr>
          <w:sz w:val="20"/>
          <w:szCs w:val="20"/>
          <w:color w:val="auto"/>
        </w:rPr>
      </w:pPr>
    </w:p>
    <w:p>
      <w:pPr>
        <w:ind w:left="1820"/>
        <w:spacing w:after="0"/>
        <w:tabs>
          <w:tab w:leader="none" w:pos="22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180" w:firstLine="2419"/>
        <w:spacing w:after="0" w:line="272" w:lineRule="auto"/>
        <w:tabs>
          <w:tab w:leader="none" w:pos="28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1" w:name="page242"/>
    <w:bookmarkEnd w:id="24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7" w:lineRule="exact"/>
        <w:rPr>
          <w:sz w:val="20"/>
          <w:szCs w:val="20"/>
          <w:color w:val="auto"/>
        </w:rPr>
      </w:pPr>
    </w:p>
    <w:p>
      <w:pPr>
        <w:ind w:right="40" w:firstLine="2419"/>
        <w:spacing w:after="0" w:line="287" w:lineRule="auto"/>
        <w:tabs>
          <w:tab w:leader="none" w:pos="281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7" w:lineRule="exact"/>
        <w:rPr>
          <w:rFonts w:ascii="Arial" w:cs="Arial" w:eastAsia="Arial" w:hAnsi="Arial"/>
          <w:sz w:val="16"/>
          <w:szCs w:val="16"/>
          <w:color w:val="auto"/>
        </w:rPr>
      </w:pPr>
    </w:p>
    <w:p>
      <w:pPr>
        <w:ind w:firstLine="2419"/>
        <w:spacing w:after="0" w:line="287" w:lineRule="auto"/>
        <w:tabs>
          <w:tab w:leader="none" w:pos="280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 indemnified party (together with all other indemnified parties that may be represented without conflict by one counsel)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2" w:name="page243"/>
    <w:bookmarkEnd w:id="242"/>
    <w:p>
      <w:pPr>
        <w:ind w:left="2804" w:hanging="381"/>
        <w:spacing w:after="0"/>
        <w:tabs>
          <w:tab w:leader="none" w:pos="2804"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for just and equitable contribution to joint liability under the Securities Act in any case in which either</w:t>
      </w:r>
    </w:p>
    <w:p>
      <w:pPr>
        <w:spacing w:after="0" w:line="46" w:lineRule="exact"/>
        <w:rPr>
          <w:rFonts w:ascii="Arial" w:cs="Arial" w:eastAsia="Arial" w:hAnsi="Arial"/>
          <w:sz w:val="16"/>
          <w:szCs w:val="16"/>
          <w:color w:val="auto"/>
        </w:rPr>
      </w:pPr>
    </w:p>
    <w:p>
      <w:pPr>
        <w:ind w:left="4" w:hanging="4"/>
        <w:spacing w:after="0" w:line="266" w:lineRule="auto"/>
        <w:tabs>
          <w:tab w:leader="none" w:pos="21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any party otherwise entitled to indemnification hereunder makes a claim for indemnification pursuant to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any such case, (i) no Holder will be required to contribute any amount in excess of the public offering price of all such Registrable Securities offered and sold by such Holder pursuant to such registration statement; and (ii) no Person guilty of fraudulent misrepresentation (within the meaning of </w:t>
      </w:r>
      <w:r>
        <w:rPr>
          <w:rFonts w:ascii="Arial" w:cs="Arial" w:eastAsia="Arial" w:hAnsi="Arial"/>
          <w:sz w:val="17"/>
          <w:szCs w:val="17"/>
          <w:u w:val="single" w:color="auto"/>
          <w:color w:val="auto"/>
        </w:rPr>
        <w:t>Section 11(f)</w:t>
      </w:r>
      <w:r>
        <w:rPr>
          <w:rFonts w:ascii="Arial" w:cs="Arial" w:eastAsia="Arial" w:hAnsi="Arial"/>
          <w:sz w:val="17"/>
          <w:szCs w:val="17"/>
          <w:color w:val="auto"/>
        </w:rPr>
        <w:t xml:space="preserve"> of the Securities Act) will be entitled to contribution from any Person who was not guilty of such fraudulent misrepresentation;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90" w:lineRule="exact"/>
        <w:rPr>
          <w:rFonts w:ascii="Arial" w:cs="Arial" w:eastAsia="Arial" w:hAnsi="Arial"/>
          <w:sz w:val="17"/>
          <w:szCs w:val="17"/>
          <w:color w:val="auto"/>
        </w:rPr>
      </w:pPr>
    </w:p>
    <w:p>
      <w:pPr>
        <w:jc w:val="both"/>
        <w:ind w:left="4" w:right="60" w:firstLine="2419"/>
        <w:spacing w:after="0" w:line="263" w:lineRule="auto"/>
        <w:tabs>
          <w:tab w:leader="none" w:pos="280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left="4" w:right="420" w:firstLine="2419"/>
        <w:spacing w:after="0" w:line="286" w:lineRule="auto"/>
        <w:tabs>
          <w:tab w:leader="none" w:pos="2787"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shall survive the completion of any offering of Registrable Securities in a registration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and otherwise shall survive the termination of this Agreement.</w:t>
      </w:r>
    </w:p>
    <w:p>
      <w:pPr>
        <w:spacing w:after="0" w:line="57" w:lineRule="exact"/>
        <w:rPr>
          <w:sz w:val="20"/>
          <w:szCs w:val="20"/>
          <w:color w:val="auto"/>
        </w:rPr>
      </w:pPr>
    </w:p>
    <w:p>
      <w:pPr>
        <w:ind w:left="444" w:firstLine="1375"/>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left="4" w:right="140" w:firstLine="2419"/>
        <w:spacing w:after="0" w:line="277" w:lineRule="auto"/>
        <w:tabs>
          <w:tab w:leader="none" w:pos="280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43" w:name="page244"/>
    <w:bookmarkEnd w:id="243"/>
    <w:p>
      <w:pPr>
        <w:ind w:left="4" w:right="360" w:firstLine="2419"/>
        <w:spacing w:after="0" w:line="263" w:lineRule="auto"/>
        <w:tabs>
          <w:tab w:leader="none" w:pos="2817" w:val="left"/>
        </w:tabs>
        <w:numPr>
          <w:ilvl w:val="1"/>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83" w:lineRule="exact"/>
        <w:rPr>
          <w:rFonts w:ascii="Arial" w:cs="Arial" w:eastAsia="Arial" w:hAnsi="Arial"/>
          <w:sz w:val="18"/>
          <w:szCs w:val="18"/>
          <w:color w:val="auto"/>
        </w:rPr>
      </w:pPr>
    </w:p>
    <w:p>
      <w:pPr>
        <w:ind w:left="4" w:right="260" w:firstLine="2419"/>
        <w:spacing w:after="0" w:line="291" w:lineRule="auto"/>
        <w:tabs>
          <w:tab w:leader="none" w:pos="2807" w:val="left"/>
        </w:tabs>
        <w:numPr>
          <w:ilvl w:val="1"/>
          <w:numId w:val="202"/>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w:t>
      </w:r>
    </w:p>
    <w:p>
      <w:pPr>
        <w:ind w:left="4" w:right="100" w:hanging="4"/>
        <w:spacing w:after="0" w:line="290" w:lineRule="auto"/>
        <w:tabs>
          <w:tab w:leader="none" w:pos="34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56" w:lineRule="exact"/>
        <w:rPr>
          <w:sz w:val="20"/>
          <w:szCs w:val="20"/>
          <w:color w:val="auto"/>
        </w:rPr>
      </w:pPr>
    </w:p>
    <w:p>
      <w:pPr>
        <w:ind w:left="444" w:right="100" w:firstLine="1375"/>
        <w:spacing w:after="0" w:line="272"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Limitations on Subsequent Registration Rights</w:t>
      </w:r>
      <w:r>
        <w:rPr>
          <w:rFonts w:ascii="Arial" w:cs="Arial" w:eastAsia="Arial" w:hAnsi="Arial"/>
          <w:sz w:val="17"/>
          <w:szCs w:val="17"/>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limitation shall not apply to any additional Investor who becomes a party to this Agreement in accordance with </w:t>
      </w:r>
      <w:r>
        <w:rPr>
          <w:rFonts w:ascii="Arial" w:cs="Arial" w:eastAsia="Arial" w:hAnsi="Arial"/>
          <w:sz w:val="17"/>
          <w:szCs w:val="17"/>
          <w:u w:val="single" w:color="auto"/>
          <w:color w:val="auto"/>
        </w:rPr>
        <w:t>Subsection 6.9</w:t>
      </w:r>
      <w:r>
        <w:rPr>
          <w:rFonts w:ascii="Arial" w:cs="Arial" w:eastAsia="Arial" w:hAnsi="Arial"/>
          <w:sz w:val="17"/>
          <w:szCs w:val="17"/>
          <w:color w:val="auto"/>
        </w:rPr>
        <w:t>.</w:t>
      </w:r>
    </w:p>
    <w:p>
      <w:pPr>
        <w:spacing w:after="0" w:line="69" w:lineRule="exact"/>
        <w:rPr>
          <w:sz w:val="20"/>
          <w:szCs w:val="20"/>
          <w:color w:val="auto"/>
        </w:rPr>
      </w:pPr>
    </w:p>
    <w:p>
      <w:pPr>
        <w:ind w:left="444" w:firstLine="1375"/>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Company’s IPO under the Securities Act on a registration statement on Form S-1 or Form S-3,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and shall not apply to the sale of any shares to an underwriter pursuant to an underwriting agreement or the transfer of any shares to any trust for the direct or indirect benefit of the Holder or the immediate family of the Holder, provided</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244" w:name="page245"/>
    <w:bookmarkEnd w:id="244"/>
    <w:p>
      <w:pPr>
        <w:ind w:left="38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the trustee of the trust agrees to be bound in writing by the restrictions set forth herein, and provided further that any such transfer shall not involve a disposition for value, and shall be applicable to the Holders only if all officers and directors are subject to the same restrictions and the Company obtains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 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Notwithstanding the foregoing, in the event that the Company and/or the underwriters in connection with the IPO agree to allow any security holder to hold its securities of the Company subject to lock-up restrictions which are more favorable to such security holder than the lock-up restrictions applicable to the Registrable Securities purchased by a T. Rowe Price Investor or Durable under the Purchase Agreement, the lock-up restrictions applicable to such Registrable Securities held by any such T. Rowe Price Investor and Durable will be automatically amended to conform to the more favorable lock-up restrictions applicable to the shares held by such securityholder. The Company shall be obligated to reissue promptly unlegended certificates at the request of any Holder thereof if the Company has completed its IPO or in connection with a sale of Registrable Securities by a Holder pursuant to Rule 144.</w:t>
      </w:r>
    </w:p>
    <w:p>
      <w:pPr>
        <w:spacing w:after="0" w:line="275" w:lineRule="exact"/>
        <w:rPr>
          <w:sz w:val="20"/>
          <w:szCs w:val="20"/>
          <w:color w:val="auto"/>
        </w:rPr>
      </w:pPr>
    </w:p>
    <w:p>
      <w:pPr>
        <w:ind w:left="1760"/>
        <w:spacing w:after="0"/>
        <w:tabs>
          <w:tab w:leader="none" w:pos="22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17" w:lineRule="exact"/>
        <w:rPr>
          <w:sz w:val="20"/>
          <w:szCs w:val="20"/>
          <w:color w:val="auto"/>
        </w:rPr>
      </w:pPr>
    </w:p>
    <w:p>
      <w:pPr>
        <w:ind w:left="-60" w:firstLine="2419"/>
        <w:spacing w:after="0" w:line="288" w:lineRule="auto"/>
        <w:tabs>
          <w:tab w:leader="none" w:pos="27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or otherwise in this Agreement and, if applicable to such holder of Preferred Stock, Section 3 of the Company’s Seventh Amended and Restated Right of First Refusal and Co-Sale Agreement (“</w:t>
      </w:r>
      <w:r>
        <w:rPr>
          <w:rFonts w:ascii="Arial" w:cs="Arial" w:eastAsia="Arial" w:hAnsi="Arial"/>
          <w:sz w:val="16"/>
          <w:szCs w:val="16"/>
          <w:b w:val="1"/>
          <w:bCs w:val="1"/>
          <w:color w:val="auto"/>
        </w:rPr>
        <w:t>ROFR Agreement</w:t>
      </w:r>
      <w:r>
        <w:rPr>
          <w:rFonts w:ascii="Arial" w:cs="Arial" w:eastAsia="Arial" w:hAnsi="Arial"/>
          <w:sz w:val="16"/>
          <w:szCs w:val="16"/>
          <w:color w:val="auto"/>
        </w:rPr>
        <w:t xml:space="preserve">”) dated of even date herewith, which conditions are intended to ensure compliance with the provisions of the Securities Act. Subject to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below and the right of first refusal set forth in Section 2 of the ROFR Agreement, a Holder may sell, pledge, or otherwise transfer his, her, or its shares of Preferred Stock to a transferee who, after such transfer, holds at least 100,000 shares of Preferred Stock (subject to appropriate adjustment for stock splits, stock dividends, combinations and other recapitalizations); provided that no such threshold shall be required for a transfer to an Affiliate pursuant to Section 6.1(i).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68" w:lineRule="exact"/>
        <w:rPr>
          <w:rFonts w:ascii="Arial" w:cs="Arial" w:eastAsia="Arial" w:hAnsi="Arial"/>
          <w:sz w:val="16"/>
          <w:szCs w:val="16"/>
          <w:color w:val="auto"/>
        </w:rPr>
      </w:pPr>
    </w:p>
    <w:p>
      <w:pPr>
        <w:ind w:left="-60" w:right="260" w:firstLine="2419"/>
        <w:spacing w:after="0" w:line="342" w:lineRule="auto"/>
        <w:tabs>
          <w:tab w:leader="none" w:pos="275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certificate or instrument representing (i) the Preferred Stock; (ii) the Registrable Securities; and (iii) any other securities issued in respect of the securities referenced in clauses (i) and (ii), upon any stock split, stock dividend, recapitalization, merger,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500" w:top="274" w:right="499" w:bottom="1440" w:gutter="0" w:footer="0" w:header="0"/>
        </w:sectPr>
      </w:pPr>
    </w:p>
    <w:bookmarkStart w:id="245" w:name="page246"/>
    <w:bookmarkEnd w:id="245"/>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xml:space="preserve"> be stamped or otherwise imprinted with a legend substantially in the following form:</w:t>
      </w:r>
    </w:p>
    <w:p>
      <w:pPr>
        <w:spacing w:after="0" w:line="62" w:lineRule="exact"/>
        <w:rPr>
          <w:sz w:val="20"/>
          <w:szCs w:val="20"/>
          <w:color w:val="auto"/>
        </w:rPr>
      </w:pPr>
    </w:p>
    <w:p>
      <w:pPr>
        <w:ind w:left="1420" w:right="24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jc w:val="both"/>
        <w:ind w:left="1420" w:right="160"/>
        <w:spacing w:after="0" w:line="286" w:lineRule="auto"/>
        <w:rPr>
          <w:sz w:val="20"/>
          <w:szCs w:val="20"/>
          <w:color w:val="auto"/>
        </w:rPr>
      </w:pPr>
      <w:r>
        <w:rPr>
          <w:rFonts w:ascii="Arial" w:cs="Arial" w:eastAsia="Arial" w:hAnsi="Arial"/>
          <w:sz w:val="17"/>
          <w:szCs w:val="17"/>
          <w:color w:val="auto"/>
        </w:rPr>
        <w:t>THE SECURITIES REPRESENTED HEREBY MAY BE TRANSFERRED ONLY IN ACCORDANCE WITH THE TERMS OF AN SEVENTH AMENDED AND RESTATED INVESTORS’ RIGHTS AGREEMENT BETWEEN THE COMPANY AND THE STOCKHOLDER, A COPY OF WHICH IS ON FILE WITH THE SECRETARY OF THE COMPANY.</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firstLine="2419"/>
        <w:spacing w:after="0" w:line="285" w:lineRule="auto"/>
        <w:tabs>
          <w:tab w:leader="none" w:pos="28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each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6" w:name="page247"/>
    <w:bookmarkEnd w:id="246"/>
    <w:p>
      <w:pPr>
        <w:ind w:left="444" w:right="60" w:firstLine="1375"/>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2424"/>
        <w:spacing w:after="0"/>
        <w:tabs>
          <w:tab w:leader="none" w:pos="278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closing of a Deemed Liquidation Event, as such term is defined in the Company’s Amended and Restated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Certificate of Incorporation;</w:t>
      </w:r>
    </w:p>
    <w:p>
      <w:pPr>
        <w:spacing w:after="0" w:line="211" w:lineRule="exact"/>
        <w:rPr>
          <w:sz w:val="20"/>
          <w:szCs w:val="20"/>
          <w:color w:val="auto"/>
        </w:rPr>
      </w:pPr>
    </w:p>
    <w:p>
      <w:pPr>
        <w:ind w:left="4" w:firstLine="2419"/>
        <w:spacing w:after="0" w:line="277" w:lineRule="auto"/>
        <w:tabs>
          <w:tab w:leader="none" w:pos="281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such time as Rule 144 or another similar exemption under the Securities Act is available for the sale of all of such Holder’s shares without limitation during a ninety (90) day period without registration; and</w:t>
      </w:r>
    </w:p>
    <w:p>
      <w:pPr>
        <w:spacing w:after="0" w:line="170" w:lineRule="exact"/>
        <w:rPr>
          <w:rFonts w:ascii="Arial" w:cs="Arial" w:eastAsia="Arial" w:hAnsi="Arial"/>
          <w:sz w:val="18"/>
          <w:szCs w:val="18"/>
          <w:color w:val="auto"/>
        </w:rPr>
      </w:pPr>
    </w:p>
    <w:p>
      <w:pPr>
        <w:ind w:left="2804" w:hanging="381"/>
        <w:spacing w:after="0"/>
        <w:tabs>
          <w:tab w:leader="none" w:pos="280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fifth (5th) anniversary of the IPO.</w:t>
      </w:r>
    </w:p>
    <w:p>
      <w:pPr>
        <w:spacing w:after="0" w:line="333" w:lineRule="exact"/>
        <w:rPr>
          <w:rFonts w:ascii="Arial" w:cs="Arial" w:eastAsia="Arial" w:hAnsi="Arial"/>
          <w:sz w:val="18"/>
          <w:szCs w:val="18"/>
          <w:color w:val="auto"/>
        </w:rPr>
      </w:pPr>
    </w:p>
    <w:p>
      <w:pPr>
        <w:ind w:left="1184" w:hanging="321"/>
        <w:spacing w:after="0"/>
        <w:tabs>
          <w:tab w:leader="none" w:pos="1184"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117" w:lineRule="exact"/>
        <w:rPr>
          <w:sz w:val="20"/>
          <w:szCs w:val="20"/>
          <w:color w:val="auto"/>
        </w:rPr>
      </w:pPr>
    </w:p>
    <w:p>
      <w:pPr>
        <w:ind w:left="444" w:right="80" w:firstLine="1375"/>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Major Investor, as the case may be,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Board has not reasonably determined that such Major Investor is a competitor of the Company; </w:t>
      </w:r>
      <w:r>
        <w:rPr>
          <w:rFonts w:ascii="Arial" w:cs="Arial" w:eastAsia="Arial" w:hAnsi="Arial"/>
          <w:sz w:val="18"/>
          <w:szCs w:val="18"/>
          <w:i w:val="1"/>
          <w:iCs w:val="1"/>
          <w:color w:val="auto"/>
        </w:rPr>
        <w:t>provided further that</w:t>
      </w:r>
      <w:r>
        <w:rPr>
          <w:rFonts w:ascii="Arial" w:cs="Arial" w:eastAsia="Arial" w:hAnsi="Arial"/>
          <w:sz w:val="18"/>
          <w:szCs w:val="18"/>
          <w:color w:val="auto"/>
        </w:rPr>
        <w:t xml:space="preserve"> neither BMW i Ventures Fund SCS, SICAV RAIF (“</w:t>
      </w:r>
      <w:r>
        <w:rPr>
          <w:rFonts w:ascii="Arial" w:cs="Arial" w:eastAsia="Arial" w:hAnsi="Arial"/>
          <w:sz w:val="18"/>
          <w:szCs w:val="18"/>
          <w:b w:val="1"/>
          <w:bCs w:val="1"/>
          <w:color w:val="auto"/>
        </w:rPr>
        <w:t>i Ventures</w:t>
      </w:r>
      <w:r>
        <w:rPr>
          <w:rFonts w:ascii="Arial" w:cs="Arial" w:eastAsia="Arial" w:hAnsi="Arial"/>
          <w:sz w:val="18"/>
          <w:szCs w:val="18"/>
          <w:color w:val="auto"/>
        </w:rPr>
        <w:t>”), Durable, nor any T. Rowe Price Investor shall be deemed to be a competitor of the Company for any purpose under this Agreement:</w:t>
      </w:r>
    </w:p>
    <w:p>
      <w:pPr>
        <w:spacing w:after="0" w:line="187" w:lineRule="exact"/>
        <w:rPr>
          <w:sz w:val="20"/>
          <w:szCs w:val="20"/>
          <w:color w:val="auto"/>
        </w:rPr>
      </w:pPr>
    </w:p>
    <w:p>
      <w:pPr>
        <w:ind w:left="4" w:right="140" w:firstLine="2419"/>
        <w:spacing w:after="0" w:line="259" w:lineRule="auto"/>
        <w:tabs>
          <w:tab w:leader="none" w:pos="280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as soon as practicable, but in any event within one hundred eighty (180) days after the end of each fiscal year of the Company, (i) a balance sheet as of the end of such year, (ii) statements of income and of cash flows for such year, and (iii) a statement of stockholders’ equity as of the end of such year, all such financial statements audited and certified by independent public accountants of nationally recognized standing selected by the Company;</w:t>
      </w:r>
    </w:p>
    <w:p>
      <w:pPr>
        <w:spacing w:after="0" w:line="186" w:lineRule="exact"/>
        <w:rPr>
          <w:rFonts w:ascii="Arial" w:cs="Arial" w:eastAsia="Arial" w:hAnsi="Arial"/>
          <w:sz w:val="18"/>
          <w:szCs w:val="18"/>
          <w:color w:val="auto"/>
        </w:rPr>
      </w:pPr>
    </w:p>
    <w:p>
      <w:pPr>
        <w:ind w:left="2864" w:hanging="441"/>
        <w:spacing w:after="0"/>
        <w:tabs>
          <w:tab w:leader="none" w:pos="286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w:t>
      </w:r>
    </w:p>
    <w:p>
      <w:pPr>
        <w:spacing w:after="0" w:line="46" w:lineRule="exact"/>
        <w:rPr>
          <w:rFonts w:ascii="Arial" w:cs="Arial" w:eastAsia="Arial" w:hAnsi="Arial"/>
          <w:sz w:val="16"/>
          <w:szCs w:val="16"/>
          <w:color w:val="auto"/>
        </w:rPr>
      </w:pPr>
    </w:p>
    <w:p>
      <w:pPr>
        <w:ind w:left="4" w:right="420" w:hanging="4"/>
        <w:spacing w:after="0" w:line="260" w:lineRule="auto"/>
        <w:tabs>
          <w:tab w:leader="none" w:pos="21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unaudited balance sheet as of the end of such year, (ii) unaudited statements of income and of cash flows for such year, and (iii) an unaudited statement of stockholders’ equity as of the end of such year;</w:t>
      </w:r>
    </w:p>
    <w:p>
      <w:pPr>
        <w:spacing w:after="0" w:line="185" w:lineRule="exact"/>
        <w:rPr>
          <w:rFonts w:ascii="Arial" w:cs="Arial" w:eastAsia="Arial" w:hAnsi="Arial"/>
          <w:sz w:val="18"/>
          <w:szCs w:val="18"/>
          <w:color w:val="auto"/>
        </w:rPr>
      </w:pPr>
    </w:p>
    <w:p>
      <w:pPr>
        <w:ind w:left="4" w:right="40" w:firstLine="2419"/>
        <w:spacing w:after="0" w:line="257" w:lineRule="auto"/>
        <w:tabs>
          <w:tab w:leader="none" w:pos="280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calendar month, an unaudited income statement and statement of cash flows for such month, an unaudited balance sheet and statement of stockholders’ equity as of the end of such month, a headcount of the Company’s employees, contractors and consultants and a comparison to such Budget for such month, all prepared in accordance with GAAP (except that such financial statements may (i) be subject to normal year-end audit adjustments; and (ii) not contain all notes thereto that may be required in accordance with GAAP);</w:t>
      </w:r>
    </w:p>
    <w:p>
      <w:pPr>
        <w:spacing w:after="0" w:line="187" w:lineRule="exact"/>
        <w:rPr>
          <w:rFonts w:ascii="Arial" w:cs="Arial" w:eastAsia="Arial" w:hAnsi="Arial"/>
          <w:sz w:val="18"/>
          <w:szCs w:val="18"/>
          <w:color w:val="auto"/>
        </w:rPr>
      </w:pPr>
    </w:p>
    <w:p>
      <w:pPr>
        <w:ind w:left="4" w:right="140" w:firstLine="2419"/>
        <w:spacing w:after="0" w:line="259" w:lineRule="auto"/>
        <w:tabs>
          <w:tab w:leader="none" w:pos="281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approved by the Board and prepared on a monthly basis, including balance sheets, income statements, statements of cash flow and profit and loss statements for such months and, promptly after prepared, any other budgets or revised budgets prepared by the Company; and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47" w:name="page248"/>
    <w:bookmarkEnd w:id="247"/>
    <w:p>
      <w:pPr>
        <w:ind w:right="400" w:firstLine="2419"/>
        <w:spacing w:after="0" w:line="257" w:lineRule="auto"/>
        <w:tabs>
          <w:tab w:leader="none" w:pos="28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3.1(e)</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and not in lieu of, the foregoing, the Company shall deliver to each T. Rowe Price Investor and Durable, as applicable:</w:t>
      </w:r>
    </w:p>
    <w:p>
      <w:pPr>
        <w:spacing w:after="0" w:line="225" w:lineRule="exact"/>
        <w:rPr>
          <w:sz w:val="20"/>
          <w:szCs w:val="20"/>
          <w:color w:val="auto"/>
        </w:rPr>
      </w:pPr>
    </w:p>
    <w:p>
      <w:pPr>
        <w:ind w:right="20" w:firstLine="2419"/>
        <w:spacing w:after="0" w:line="257" w:lineRule="auto"/>
        <w:tabs>
          <w:tab w:leader="none" w:pos="28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quarter of each fiscal year of the Company, (i) an unaudited balance sheet as of the end of such quarter, (ii) unaudited statements of income and of cash flows for such quarter, and (iii) an unaudited statement of stockholders’ equity as of the end of such quarter, all prepared in accordance with GAAP (except that such financial statements may (i) be subject to normal year-end audit adjustments; and (ii) not contain all notes thereto that may be required in accordance with GAAP);</w:t>
      </w:r>
    </w:p>
    <w:p>
      <w:pPr>
        <w:spacing w:after="0" w:line="187" w:lineRule="exact"/>
        <w:rPr>
          <w:rFonts w:ascii="Arial" w:cs="Arial" w:eastAsia="Arial" w:hAnsi="Arial"/>
          <w:sz w:val="18"/>
          <w:szCs w:val="18"/>
          <w:color w:val="auto"/>
        </w:rPr>
      </w:pPr>
    </w:p>
    <w:p>
      <w:pPr>
        <w:ind w:left="2840" w:hanging="421"/>
        <w:spacing w:after="0"/>
        <w:tabs>
          <w:tab w:leader="none" w:pos="28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included with, or accompanying, each of the financial statements to be delivered pursuant to Sections 3.1(a),</w:t>
      </w:r>
    </w:p>
    <w:p>
      <w:pPr>
        <w:spacing w:after="0" w:line="35"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3.1(b) and 3.1(A), (i) a then current detailed capitalization table of the Company showing the outstanding and fully diluted capitalization of the Company, and (ii) operating metrics reasonably requested by T. Rowe Price Investors or Durable, as applicable;</w:t>
      </w:r>
    </w:p>
    <w:p>
      <w:pPr>
        <w:spacing w:after="0" w:line="161" w:lineRule="exact"/>
        <w:rPr>
          <w:sz w:val="20"/>
          <w:szCs w:val="20"/>
          <w:color w:val="auto"/>
        </w:rPr>
      </w:pPr>
    </w:p>
    <w:p>
      <w:pPr>
        <w:ind w:firstLine="2419"/>
        <w:spacing w:after="0" w:line="279" w:lineRule="auto"/>
        <w:tabs>
          <w:tab w:leader="none" w:pos="284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promptly upon the request of (i) any T. Rowe Price Investor, a then current detailed capitalization table of the Company showing the outstanding and fully diluted capitalization of the Company, including the number, class and series of shares in the Company held by such T. Rowe Price Investor or (ii) Durable, a then current detailed capitalization table of the Company showing the outstanding and fully diluted capitalization of the Company, including the number, class and series of shares in the Company held by Durable;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8" w:name="page249"/>
    <w:bookmarkEnd w:id="248"/>
    <w:p>
      <w:pPr>
        <w:ind w:right="980" w:firstLine="2419"/>
        <w:spacing w:after="0" w:line="277" w:lineRule="auto"/>
        <w:tabs>
          <w:tab w:leader="none" w:pos="28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contemporaneous, and to the extent practicable prior, notice of stock splits, dividends, distributions, recapitalizations, equity reclassifications and other similar events of the Company;</w:t>
      </w:r>
    </w:p>
    <w:p>
      <w:pPr>
        <w:spacing w:after="0" w:line="170" w:lineRule="exact"/>
        <w:rPr>
          <w:rFonts w:ascii="Arial" w:cs="Arial" w:eastAsia="Arial" w:hAnsi="Arial"/>
          <w:sz w:val="18"/>
          <w:szCs w:val="18"/>
          <w:color w:val="auto"/>
        </w:rPr>
      </w:pPr>
    </w:p>
    <w:p>
      <w:pPr>
        <w:jc w:val="both"/>
        <w:ind w:right="360" w:firstLine="2419"/>
        <w:spacing w:after="0" w:line="286" w:lineRule="auto"/>
        <w:tabs>
          <w:tab w:leader="none" w:pos="283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on or prior to the effectiveness date of the registration statement filed by the Company in connection with its IPO, upon the request of any T. Rowe Price Investor or Durable, (i) written confirmation of its holdings on an as-converted basis and (ii) a personal contact at Company’s transfer agent to assist with custody and audit requests and confirm holdings and provide statements;</w:t>
      </w:r>
    </w:p>
    <w:p>
      <w:pPr>
        <w:spacing w:after="0" w:line="165" w:lineRule="exact"/>
        <w:rPr>
          <w:rFonts w:ascii="Arial" w:cs="Arial" w:eastAsia="Arial" w:hAnsi="Arial"/>
          <w:sz w:val="17"/>
          <w:szCs w:val="17"/>
          <w:color w:val="auto"/>
        </w:rPr>
      </w:pPr>
    </w:p>
    <w:p>
      <w:pPr>
        <w:ind w:right="260" w:firstLine="2419"/>
        <w:spacing w:after="0" w:line="270" w:lineRule="auto"/>
        <w:tabs>
          <w:tab w:leader="none" w:pos="282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prompt responses, and the Company shall use its commercially reasonable efforts to cause its transfer agent to promptly respond, to reasonable requests for information made by (i) any T. Rowe Price Investor relating to (A) accounting or securities law matters required in connection with such T. Rowe Price Investor’s audit or (B) the actual holdings of such T. Rowe Price Investor, including in relation to the total outstanding shares of the Company; provided, however, that the Company shall not be obligated to provide any such information that could reasonably result in a violation of applicable law or conflict with the Company’s insider trading policy or a confidentiality obligation or other legal obligation of the Company or (ii) Durable relating to (A) accounting or securities law matters required in connection with Durable’s audit or (B) the actual holdings of Durable, including in relation to the total outstanding shares of the Company; provided, however, that the Company shall not be obligated to provide any such information that could reasonably result in a violation of applicable law or conflict with the Company’s insider trading policy or a confidentiality obligation or other legal obligation of the Company.</w:t>
      </w:r>
    </w:p>
    <w:p>
      <w:pPr>
        <w:spacing w:after="0" w:line="73" w:lineRule="exact"/>
        <w:rPr>
          <w:sz w:val="20"/>
          <w:szCs w:val="20"/>
          <w:color w:val="auto"/>
        </w:rPr>
      </w:pPr>
    </w:p>
    <w:p>
      <w:pPr>
        <w:ind w:left="440" w:firstLine="1375"/>
        <w:spacing w:after="0" w:line="28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xml:space="preserve"> The Company understands and acknowledges that in the regular course of their business, the T. Rowe Price Investors and Durable may invest in companies that have issued securities that are publicly traded (each, a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Accordingly, the Company covenants and agrees that before providing material non-public information about a Public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Public Company Information</w:t>
      </w:r>
      <w:r>
        <w:rPr>
          <w:rFonts w:ascii="Arial" w:cs="Arial" w:eastAsia="Arial" w:hAnsi="Arial"/>
          <w:sz w:val="16"/>
          <w:szCs w:val="16"/>
          <w:color w:val="auto"/>
        </w:rPr>
        <w:t>”) to (i) T. Rowe Price or any T. Rowe Price Investor, the Company will provide prior written notice to Ryan Nolan, Vice President, at ryan_nolan@troweprice.com (or in his absence to Ellen York, Legal Counsel, at ellen_york@troweprice.com) describing such information in reasonable detail or (ii) Durable, the Company will provide prior written notice to Julie Jack, General Counsel, at julie@durablecap.com describing such information in reasonable detail. The Company shall not disclose Public Company Information to either</w:t>
      </w:r>
    </w:p>
    <w:p>
      <w:pPr>
        <w:spacing w:after="0" w:line="2" w:lineRule="exact"/>
        <w:rPr>
          <w:sz w:val="20"/>
          <w:szCs w:val="20"/>
          <w:color w:val="auto"/>
        </w:rPr>
      </w:pPr>
    </w:p>
    <w:p>
      <w:pPr>
        <w:ind w:left="440" w:right="100" w:hanging="4"/>
        <w:spacing w:after="0" w:line="253" w:lineRule="auto"/>
        <w:tabs>
          <w:tab w:leader="none" w:pos="6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 Rowe Price or any T. Rowe Price Investor without written authorization from T. Rowe Price’s compliance personnel or (ii) Durable without written authorization from Durable’s compliance personnel; provided, however, that, the Company will be permitted to disclose agreements entered into with Public Companies in the ordinary course of business, such as routine customer, supplier, advertising and publishing agreements without such written authorization.</w:t>
      </w:r>
    </w:p>
    <w:p>
      <w:pPr>
        <w:spacing w:after="0" w:line="85" w:lineRule="exact"/>
        <w:rPr>
          <w:sz w:val="20"/>
          <w:szCs w:val="20"/>
          <w:color w:val="auto"/>
        </w:rPr>
      </w:pPr>
    </w:p>
    <w:p>
      <w:pPr>
        <w:ind w:left="440" w:right="20" w:firstLine="1375"/>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(provided that the Board has not reasonably determined that such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49" w:name="page250"/>
    <w:bookmarkEnd w:id="249"/>
    <w:p>
      <w:pPr>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reasonably requested by such Major Investor;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pursuant to this Subsection 3.3 to provide access to any information that it reasonably and in good faith considered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295" w:lineRule="exact"/>
        <w:rPr>
          <w:sz w:val="20"/>
          <w:szCs w:val="20"/>
          <w:color w:val="auto"/>
        </w:rPr>
      </w:pPr>
    </w:p>
    <w:p>
      <w:pPr>
        <w:ind w:left="1820"/>
        <w:spacing w:after="0"/>
        <w:tabs>
          <w:tab w:leader="none" w:pos="2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Observer Rights</w:t>
      </w:r>
      <w:r>
        <w:rPr>
          <w:rFonts w:ascii="Arial" w:cs="Arial" w:eastAsia="Arial" w:hAnsi="Arial"/>
          <w:sz w:val="16"/>
          <w:szCs w:val="16"/>
          <w:color w:val="auto"/>
        </w:rPr>
        <w:t>.</w:t>
      </w:r>
    </w:p>
    <w:p>
      <w:pPr>
        <w:spacing w:after="0" w:line="117" w:lineRule="exact"/>
        <w:rPr>
          <w:sz w:val="20"/>
          <w:szCs w:val="20"/>
          <w:color w:val="auto"/>
        </w:rPr>
      </w:pPr>
    </w:p>
    <w:p>
      <w:pPr>
        <w:ind w:right="40" w:firstLine="2419"/>
        <w:spacing w:after="0" w:line="269" w:lineRule="auto"/>
        <w:tabs>
          <w:tab w:leader="none" w:pos="279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As long as Highland Capital Partners 9 Limited Partnership, Highland Capital Partners 9-B Limited Partnership, Highland Entrepreneurs’ Fund 9 Limited Partnership and/or their affiliates (collectively, “</w:t>
      </w:r>
      <w:r>
        <w:rPr>
          <w:rFonts w:ascii="Arial" w:cs="Arial" w:eastAsia="Arial" w:hAnsi="Arial"/>
          <w:sz w:val="17"/>
          <w:szCs w:val="17"/>
          <w:b w:val="1"/>
          <w:bCs w:val="1"/>
          <w:color w:val="auto"/>
        </w:rPr>
        <w:t>Highland Capital Partners</w:t>
      </w:r>
      <w:r>
        <w:rPr>
          <w:rFonts w:ascii="Arial" w:cs="Arial" w:eastAsia="Arial" w:hAnsi="Arial"/>
          <w:sz w:val="17"/>
          <w:szCs w:val="17"/>
          <w:color w:val="auto"/>
        </w:rPr>
        <w:t>”) owns shares of Preferred Stock (or shares of Common Stock issued upon conversion thereof), the Company shall invite a representative of Highland Capital Partners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with respect to all information so provided, except that such representative may provide such information to Highland Capital Partners for purposes of monitoring its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85" w:lineRule="exact"/>
        <w:rPr>
          <w:rFonts w:ascii="Arial" w:cs="Arial" w:eastAsia="Arial" w:hAnsi="Arial"/>
          <w:sz w:val="17"/>
          <w:szCs w:val="17"/>
          <w:color w:val="auto"/>
        </w:rPr>
      </w:pPr>
    </w:p>
    <w:p>
      <w:pPr>
        <w:ind w:right="80" w:firstLine="2419"/>
        <w:spacing w:after="0" w:line="290" w:lineRule="auto"/>
        <w:tabs>
          <w:tab w:leader="none" w:pos="280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As long as i Ventures and/or its affiliates owns shares of Preferred Stock (or shares of Common Stock issued upon conversion thereof), the Company shall invite a representative of i Ventures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with respect to all information so provided, except that such representative may provide such information to i Ventures for purposes of monitoring its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61" w:lineRule="exact"/>
        <w:rPr>
          <w:rFonts w:ascii="Arial" w:cs="Arial" w:eastAsia="Arial" w:hAnsi="Arial"/>
          <w:sz w:val="16"/>
          <w:szCs w:val="16"/>
          <w:color w:val="auto"/>
        </w:rPr>
      </w:pPr>
    </w:p>
    <w:p>
      <w:pPr>
        <w:ind w:firstLine="2419"/>
        <w:spacing w:after="0" w:line="256" w:lineRule="auto"/>
        <w:tabs>
          <w:tab w:leader="none" w:pos="279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long as Almaz Capital Fund II, L.P. (“</w:t>
      </w:r>
      <w:r>
        <w:rPr>
          <w:rFonts w:ascii="Arial" w:cs="Arial" w:eastAsia="Arial" w:hAnsi="Arial"/>
          <w:sz w:val="18"/>
          <w:szCs w:val="18"/>
          <w:b w:val="1"/>
          <w:bCs w:val="1"/>
          <w:color w:val="auto"/>
        </w:rPr>
        <w:t>Almaz</w:t>
      </w:r>
      <w:r>
        <w:rPr>
          <w:rFonts w:ascii="Arial" w:cs="Arial" w:eastAsia="Arial" w:hAnsi="Arial"/>
          <w:sz w:val="18"/>
          <w:szCs w:val="18"/>
          <w:color w:val="auto"/>
        </w:rPr>
        <w:t>”) and/or its affiliates owns shares of Series C Preferred Stock (or shares of Common Stock issued upon conversion thereof), the Company shall invite a representative of Almaz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with respect to all information so provided, except that such representative may provide such information to Almaz for purposes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50" w:name="page251"/>
    <w:bookmarkEnd w:id="25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monitoring its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87" w:lineRule="exact"/>
        <w:rPr>
          <w:sz w:val="20"/>
          <w:szCs w:val="20"/>
          <w:color w:val="auto"/>
        </w:rPr>
      </w:pPr>
    </w:p>
    <w:p>
      <w:pPr>
        <w:ind w:firstLine="2419"/>
        <w:spacing w:after="0" w:line="270" w:lineRule="auto"/>
        <w:tabs>
          <w:tab w:leader="none" w:pos="280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As long as any T. Rowe Price Investor owns shares of Preferred Stock (or shares of Common Stock issued upon conversion thereof), the Company shall invite a representative of T. Rowe Price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(including with respect to all committees, including executive sessions); provided, however, that such representative shall agree to hold in confidence and trust with respect to all information so provided, except that such representative may provide such information to the T. Rowe Price Investors for purposes of monitoring their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180" w:lineRule="exact"/>
        <w:rPr>
          <w:rFonts w:ascii="Arial" w:cs="Arial" w:eastAsia="Arial" w:hAnsi="Arial"/>
          <w:sz w:val="17"/>
          <w:szCs w:val="17"/>
          <w:color w:val="auto"/>
        </w:rPr>
      </w:pPr>
    </w:p>
    <w:p>
      <w:pPr>
        <w:ind w:firstLine="2419"/>
        <w:spacing w:after="0" w:line="270" w:lineRule="auto"/>
        <w:tabs>
          <w:tab w:leader="none" w:pos="279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As long as Durable owns shares of Preferred Stock (or shares of Common Stock issued upon conversion thereof), the Company shall invite a representative of Durable to attend all meetings of its Board in a nonvoting observer capacity and, in this respect, shall give such representative copies of all notices, minutes, consents, and other materials that it provides to its directors at the same time and in the same manner as provided to such directors (including with respect to all committees, including executive sessions); provided, however, that such representative shall agree to hold in confidence and trust with respect to all information so provided, except that such representative may provide such information to Durable for purposes of monitoring their investment in the Company; and provided further that the Company reserves the right to withhold any information and to exclude such representative from any meeting or portion thereof if, upon advice of counsel to the Company, access to such information or attendance at such meeting would adversely affect the attorney-client privilege between the Company and its counsel or result in the disclosure of trade secrets or a conflict of interest.</w:t>
      </w:r>
    </w:p>
    <w:p>
      <w:pPr>
        <w:spacing w:after="0" w:line="73" w:lineRule="exact"/>
        <w:rPr>
          <w:sz w:val="20"/>
          <w:szCs w:val="20"/>
          <w:color w:val="auto"/>
        </w:rPr>
      </w:pPr>
    </w:p>
    <w:p>
      <w:pPr>
        <w:jc w:val="both"/>
        <w:ind w:left="440" w:firstLine="1375"/>
        <w:spacing w:after="0" w:line="28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The Company shall not use the name or trademarks of (i) T. Rowe Price or any T. Rowe Price Investors or their Affiliates, including the issuance of any press release relating to the sale of the shares of the Company’s capital stock that identifies T. Rowe Price or any T. Rowe Price Investors or their Affiliates, without the prior review and written consent of T. Rowe Price or such T. Rowe Price Investor or</w:t>
      </w:r>
    </w:p>
    <w:p>
      <w:pPr>
        <w:spacing w:after="0" w:line="2" w:lineRule="exact"/>
        <w:rPr>
          <w:sz w:val="20"/>
          <w:szCs w:val="20"/>
          <w:color w:val="auto"/>
        </w:rPr>
      </w:pPr>
    </w:p>
    <w:p>
      <w:pPr>
        <w:ind w:left="440" w:right="480" w:hanging="4"/>
        <w:spacing w:after="0" w:line="260"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Durable or its Affiliates, including the issuance of any press release relating to the sale of the shares of the Company’s capital stock that identifies Durable or their Affiliates, without the prior review and written consent of Durable.</w:t>
      </w:r>
    </w:p>
    <w:p>
      <w:pPr>
        <w:spacing w:after="0" w:line="77" w:lineRule="exact"/>
        <w:rPr>
          <w:sz w:val="20"/>
          <w:szCs w:val="20"/>
          <w:color w:val="auto"/>
        </w:rPr>
      </w:pPr>
    </w:p>
    <w:p>
      <w:pPr>
        <w:ind w:left="1820"/>
        <w:spacing w:after="0"/>
        <w:tabs>
          <w:tab w:leader="none" w:pos="2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Termination of Information and Observer Rights</w:t>
      </w:r>
      <w:r>
        <w:rPr>
          <w:rFonts w:ascii="Arial" w:cs="Arial" w:eastAsia="Arial" w:hAnsi="Arial"/>
          <w:sz w:val="16"/>
          <w:szCs w:val="16"/>
          <w:color w:val="auto"/>
        </w:rPr>
        <w:t>. The covenants set forth in</w:t>
      </w:r>
      <w:r>
        <w:rPr>
          <w:rFonts w:ascii="Arial" w:cs="Arial" w:eastAsia="Arial" w:hAnsi="Arial"/>
          <w:sz w:val="16"/>
          <w:szCs w:val="16"/>
          <w:u w:val="single" w:color="auto"/>
          <w:color w:val="auto"/>
        </w:rPr>
        <w:t xml:space="preserve"> Subsections 3.1 </w:t>
      </w:r>
      <w:r>
        <w:rPr>
          <w:rFonts w:ascii="Arial" w:cs="Arial" w:eastAsia="Arial" w:hAnsi="Arial"/>
          <w:sz w:val="16"/>
          <w:szCs w:val="16"/>
          <w:color w:val="auto"/>
        </w:rPr>
        <w:t>(other than</w:t>
      </w:r>
      <w:r>
        <w:rPr>
          <w:rFonts w:ascii="Arial" w:cs="Arial" w:eastAsia="Arial" w:hAnsi="Arial"/>
          <w:sz w:val="16"/>
          <w:szCs w:val="16"/>
          <w:u w:val="single" w:color="auto"/>
          <w:color w:val="auto"/>
        </w:rPr>
        <w:t xml:space="preserve"> Subsections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3.1(E)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3.1(F))</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shall terminate and be of no further force or effect (i) immediately before the consummation of the IPO; (ii)</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51" w:name="page252"/>
    <w:bookmarkEnd w:id="251"/>
    <w:p>
      <w:pPr>
        <w:ind w:left="42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the Company first becomes subject to the periodic reporting requirements of Section 12(g) or 15(d) of the Exchange Act; or (iii) upon a Deemed Liquidation Event, as such term is defined in the Company’s Amended and Restated Certificate of Incorporation, pursuant to which, with respect to the T. Rowe Price Investors and Durable, such Investors receive proceeds solely in the form of cash and/or marketable securities, whichever event occurs first.</w:t>
      </w:r>
    </w:p>
    <w:p>
      <w:pPr>
        <w:spacing w:after="0" w:line="295" w:lineRule="exact"/>
        <w:rPr>
          <w:sz w:val="20"/>
          <w:szCs w:val="20"/>
          <w:color w:val="auto"/>
        </w:rPr>
      </w:pPr>
    </w:p>
    <w:p>
      <w:pPr>
        <w:ind w:left="1800"/>
        <w:spacing w:after="0"/>
        <w:tabs>
          <w:tab w:leader="none" w:pos="21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7" w:lineRule="exact"/>
        <w:rPr>
          <w:sz w:val="20"/>
          <w:szCs w:val="20"/>
          <w:color w:val="auto"/>
        </w:rPr>
      </w:pPr>
    </w:p>
    <w:p>
      <w:pPr>
        <w:ind w:left="-20" w:right="100" w:firstLine="2419"/>
        <w:spacing w:after="0" w:line="269" w:lineRule="auto"/>
        <w:tabs>
          <w:tab w:leader="none" w:pos="272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(i) is known or becomes known to the public in general (other than as a result of a breach of this </w:t>
      </w:r>
      <w:r>
        <w:rPr>
          <w:rFonts w:ascii="Arial" w:cs="Arial" w:eastAsia="Arial" w:hAnsi="Arial"/>
          <w:sz w:val="17"/>
          <w:szCs w:val="17"/>
          <w:u w:val="single" w:color="auto"/>
          <w:color w:val="auto"/>
        </w:rPr>
        <w:t>Subsection 3.7</w:t>
      </w:r>
      <w:r>
        <w:rPr>
          <w:rFonts w:ascii="Arial" w:cs="Arial" w:eastAsia="Arial" w:hAnsi="Arial"/>
          <w:sz w:val="17"/>
          <w:szCs w:val="17"/>
          <w:color w:val="auto"/>
        </w:rPr>
        <w:t xml:space="preserve"> by such Investor), (ii) is or has been independently developed or conceived by the Investor without use of the Company’s confidential information, or (iii)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Major Investor may disclose confidential information (x) to its attorneys, accountants, consultants, and other professionals to the extent necessary to obtain their services in connection with monitoring its investment in the Company; (y) to an</w:t>
      </w:r>
      <w:r>
        <w:rPr>
          <w:rFonts w:ascii="Arial" w:cs="Arial" w:eastAsia="Arial" w:hAnsi="Arial"/>
          <w:sz w:val="17"/>
          <w:szCs w:val="17"/>
          <w:b w:val="1"/>
          <w:bCs w:val="1"/>
          <w:color w:val="auto"/>
        </w:rPr>
        <w:t>y</w:t>
      </w:r>
      <w:r>
        <w:rPr>
          <w:rFonts w:ascii="Arial" w:cs="Arial" w:eastAsia="Arial" w:hAnsi="Arial"/>
          <w:sz w:val="17"/>
          <w:szCs w:val="17"/>
          <w:color w:val="auto"/>
        </w:rPr>
        <w:t xml:space="preserve"> existing or prospective Affiliate, partner, member, stockholder, or wholly owned subsidiary of such Major Investor in the ordinary course of business, provided that such Major Investor informs such Person that such information is confidential and directs such Person to maintain the confidentiality of such information; or (z) as may otherwise be required by law, provided that such Major Investor promptly notifies the Company of such disclosure and takes reasonable steps to minimize the extent of any such required disclosure.</w:t>
      </w:r>
    </w:p>
    <w:p>
      <w:pPr>
        <w:spacing w:after="0" w:line="178" w:lineRule="exact"/>
        <w:rPr>
          <w:rFonts w:ascii="Arial" w:cs="Arial" w:eastAsia="Arial" w:hAnsi="Arial"/>
          <w:sz w:val="17"/>
          <w:szCs w:val="17"/>
          <w:color w:val="auto"/>
        </w:rPr>
      </w:pPr>
    </w:p>
    <w:p>
      <w:pPr>
        <w:ind w:left="-20" w:firstLine="2419"/>
        <w:spacing w:after="0" w:line="286" w:lineRule="auto"/>
        <w:tabs>
          <w:tab w:leader="none" w:pos="273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herein, T. Rowe Price, each T. Rowe Price Investor, and Durable may disclose any confidential information to any of their respective Affiliates (or any partner, employee or representative of any of the foregoing) (each of the foregoing persons, a “</w:t>
      </w:r>
      <w:r>
        <w:rPr>
          <w:rFonts w:ascii="Arial" w:cs="Arial" w:eastAsia="Arial" w:hAnsi="Arial"/>
          <w:sz w:val="16"/>
          <w:szCs w:val="16"/>
          <w:b w:val="1"/>
          <w:bCs w:val="1"/>
          <w:color w:val="auto"/>
        </w:rPr>
        <w:t>Permitted Disclosee</w:t>
      </w:r>
      <w:r>
        <w:rPr>
          <w:rFonts w:ascii="Arial" w:cs="Arial" w:eastAsia="Arial" w:hAnsi="Arial"/>
          <w:sz w:val="16"/>
          <w:szCs w:val="16"/>
          <w:color w:val="auto"/>
        </w:rPr>
        <w:t xml:space="preserve">”). Furthermore, nothing contained herein shall prevent T. Rowe Price or any T. Rowe Price Investor, Durable, or any Permitted Disclosee from (i) entering into any business, entering into any agreement with a third party, or investing in or engaging in investment discussions with any other company (whether or not competitive with the Company), provided that T. Rowe Price, such T. Rowe Price Investor, Durable or Permitted Disclosee does not, except as permitted in accordance with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disclose or otherwise make use of any proprietary or confidential information of the Company in connection with such activities, or (ii) making any disclosures required by law, rule, regulation or court or other governmental order. For the sake of clarity, nothing contained in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shall in any way restrict or impair the obligations of T. Rowe Price or Durable to report the investment of its advisory clients in the Company (including its internal valuations thereof) in accordance with applicable laws and regulations, without any requirement of prior notice to the Company. Without limiting the foregoing, the Company understands that T. Rowe Price and Durable are subject to examination by the Securities and Exchange Commission and the Financial Industry Regulatory Authority, Inc., and that in examining T. Rowe Price and Durable, such organizations have the right to see all documents and records of T. Rowe Price and Durable, as applicable. The Company consents to disclosures made to those organizations and such other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4" w:right="459" w:bottom="1440" w:gutter="0" w:footer="0" w:header="0"/>
        </w:sectPr>
      </w:pPr>
    </w:p>
    <w:bookmarkStart w:id="252" w:name="page253"/>
    <w:bookmarkEnd w:id="25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similar regulatory bodies in their routine exercise of regulatory authority over T. Rowe Price and Durable without having to comply with the notice provisions of any confidentiality obligation so long as the Company is not the target of such examination.</w:t>
      </w:r>
    </w:p>
    <w:p>
      <w:pPr>
        <w:spacing w:after="0" w:line="278" w:lineRule="exact"/>
        <w:rPr>
          <w:sz w:val="20"/>
          <w:szCs w:val="20"/>
          <w:color w:val="auto"/>
        </w:rPr>
      </w:pPr>
    </w:p>
    <w:p>
      <w:pPr>
        <w:ind w:left="1180" w:hanging="321"/>
        <w:spacing w:after="0"/>
        <w:tabs>
          <w:tab w:leader="none" w:pos="118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left="440" w:right="380" w:firstLine="1375"/>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each Major Investor. Each Major Investor shall be entitled to apportion the right of first offer hereby granted to it among itself and its Affiliates in such proportions as it deems appropriate.</w:t>
      </w:r>
    </w:p>
    <w:p>
      <w:pPr>
        <w:spacing w:after="0" w:line="183" w:lineRule="exact"/>
        <w:rPr>
          <w:sz w:val="20"/>
          <w:szCs w:val="20"/>
          <w:color w:val="auto"/>
        </w:rPr>
      </w:pPr>
    </w:p>
    <w:p>
      <w:pPr>
        <w:ind w:firstLine="2419"/>
        <w:spacing w:after="0" w:line="266" w:lineRule="auto"/>
        <w:tabs>
          <w:tab w:leader="none" w:pos="28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firstLine="2419"/>
        <w:spacing w:after="0" w:line="286" w:lineRule="auto"/>
        <w:tabs>
          <w:tab w:leader="none" w:pos="281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(i) the Common Stock issued and held and (ii) the Common Stock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(such amount, the Major Investor’s “</w:t>
      </w:r>
      <w:r>
        <w:rPr>
          <w:rFonts w:ascii="Arial" w:cs="Arial" w:eastAsia="Arial" w:hAnsi="Arial"/>
          <w:sz w:val="16"/>
          <w:szCs w:val="16"/>
          <w:b w:val="1"/>
          <w:bCs w:val="1"/>
          <w:color w:val="auto"/>
        </w:rPr>
        <w:t>Pro Rata Amount</w:t>
      </w:r>
      <w:r>
        <w:rPr>
          <w:rFonts w:ascii="Arial" w:cs="Arial" w:eastAsia="Arial" w:hAnsi="Arial"/>
          <w:sz w:val="16"/>
          <w:szCs w:val="16"/>
          <w:color w:val="auto"/>
        </w:rPr>
        <w:t>”).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Major Investor</w:t>
      </w:r>
      <w:r>
        <w:rPr>
          <w:rFonts w:ascii="Arial" w:cs="Arial" w:eastAsia="Arial" w:hAnsi="Arial"/>
          <w:sz w:val="16"/>
          <w:szCs w:val="16"/>
          <w:color w:val="auto"/>
        </w:rPr>
        <w:t xml:space="preserve">”) of any other Major Investor’s failure to do likewise. During the ten (10) day period commencing after the Company has given such notice, each Fully Exercising Major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Major Investor bears to the Common Stock issued and held, or issuable (directly or indirectly) upon conversion and/or exercise, as applicable, of the Preferred Stock and any other Derivative Securities then held by all Fully Exercising Major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one hundred twenty (120)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120" w:firstLine="2419"/>
        <w:spacing w:after="0" w:line="259" w:lineRule="auto"/>
        <w:tabs>
          <w:tab w:leader="none" w:pos="280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If all New Securities referred to in the Offer Notice are not elected to be purchased or acquired as provided in </w:t>
      </w:r>
      <w:r>
        <w:rPr>
          <w:rFonts w:ascii="Arial" w:cs="Arial" w:eastAsia="Arial" w:hAnsi="Arial"/>
          <w:sz w:val="18"/>
          <w:szCs w:val="18"/>
          <w:u w:val="single" w:color="auto"/>
          <w:color w:val="auto"/>
        </w:rPr>
        <w:t>Subsection 4.1(b)</w:t>
      </w:r>
      <w:r>
        <w:rPr>
          <w:rFonts w:ascii="Arial" w:cs="Arial" w:eastAsia="Arial" w:hAnsi="Arial"/>
          <w:sz w:val="18"/>
          <w:szCs w:val="18"/>
          <w:color w:val="auto"/>
        </w:rPr>
        <w:t xml:space="preserve">, the Company may, during the ninety (90) day period following the expiration of the periods provided in </w:t>
      </w:r>
      <w:r>
        <w:rPr>
          <w:rFonts w:ascii="Arial" w:cs="Arial" w:eastAsia="Arial" w:hAnsi="Arial"/>
          <w:sz w:val="18"/>
          <w:szCs w:val="18"/>
          <w:u w:val="single" w:color="auto"/>
          <w:color w:val="auto"/>
        </w:rPr>
        <w:t>Subsection 4.1(b)</w:t>
      </w:r>
      <w:r>
        <w:rPr>
          <w:rFonts w:ascii="Arial" w:cs="Arial" w:eastAsia="Arial" w:hAnsi="Arial"/>
          <w:sz w:val="18"/>
          <w:szCs w:val="18"/>
          <w:color w:val="auto"/>
        </w:rPr>
        <w:t>, offer and sell the remaining unsubscribed portion of such New Securities to any Person or Persons at a price not less than, and upon terms no more favorable to the offeree than, those specified in the Offer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3" w:name="page254"/>
    <w:bookmarkEnd w:id="253"/>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If the Company does not enter into an agreement for the sale of the New Securities within such period, or if such agreement is not consummated within sixty (60)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8"/>
          <w:szCs w:val="18"/>
          <w:u w:val="single" w:color="auto"/>
          <w:color w:val="auto"/>
        </w:rPr>
        <w:t>Subsection 4.1</w:t>
      </w:r>
      <w:r>
        <w:rPr>
          <w:rFonts w:ascii="Arial" w:cs="Arial" w:eastAsia="Arial" w:hAnsi="Arial"/>
          <w:sz w:val="18"/>
          <w:szCs w:val="18"/>
          <w:color w:val="auto"/>
        </w:rPr>
        <w:t>.</w:t>
      </w:r>
    </w:p>
    <w:p>
      <w:pPr>
        <w:spacing w:after="0" w:line="184" w:lineRule="exact"/>
        <w:rPr>
          <w:sz w:val="20"/>
          <w:szCs w:val="20"/>
          <w:color w:val="auto"/>
        </w:rPr>
      </w:pPr>
    </w:p>
    <w:p>
      <w:pPr>
        <w:ind w:right="140" w:firstLine="2419"/>
        <w:spacing w:after="0" w:line="263" w:lineRule="auto"/>
        <w:tabs>
          <w:tab w:leader="none" w:pos="281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Company’s Amended and Restated Certificate of Incorporation); (ii) shares of Common Stock issued in the IPO and (iii) the issuance of shares of Preferred Stock pursuant to the Purchase Agreement.</w:t>
      </w:r>
    </w:p>
    <w:p>
      <w:pPr>
        <w:spacing w:after="0" w:line="76" w:lineRule="exact"/>
        <w:rPr>
          <w:sz w:val="20"/>
          <w:szCs w:val="20"/>
          <w:color w:val="auto"/>
        </w:rPr>
      </w:pPr>
    </w:p>
    <w:p>
      <w:pPr>
        <w:ind w:left="440" w:firstLine="1375"/>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Amended and Restated Certificate of Incorporation, whichever event occurs first.</w:t>
      </w:r>
    </w:p>
    <w:p>
      <w:pPr>
        <w:spacing w:after="0" w:line="295" w:lineRule="exact"/>
        <w:rPr>
          <w:sz w:val="20"/>
          <w:szCs w:val="20"/>
          <w:color w:val="auto"/>
        </w:rPr>
      </w:pPr>
    </w:p>
    <w:p>
      <w:pPr>
        <w:ind w:left="1180" w:hanging="321"/>
        <w:spacing w:after="0"/>
        <w:tabs>
          <w:tab w:leader="none" w:pos="11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left="440" w:right="60" w:firstLine="1375"/>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from the Company’s sale of Series E Preferred Stock pursuant to the Purchase Agreement shall be used by the Company for general working capital expenses consistent with financial budgets approved by the Board.</w:t>
      </w:r>
    </w:p>
    <w:p>
      <w:pPr>
        <w:spacing w:after="0" w:line="38" w:lineRule="exact"/>
        <w:rPr>
          <w:sz w:val="20"/>
          <w:szCs w:val="20"/>
          <w:color w:val="auto"/>
        </w:rPr>
      </w:pPr>
    </w:p>
    <w:p>
      <w:pPr>
        <w:ind w:left="440" w:firstLine="1375"/>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shall use its commercially reasonable efforts to maintain from financially sound and reputable insurers (i) Directors and Officers liability insurance in an amount, with a carrier, and on terms and conditions satisfactory to the Board, (ii) term “key-person” insurance on Randy Altschuler in the amount of $2,000,000 and on terms and conditions satisfactory to the Board, (iii) fire and casualty insurance policies with extended coverage, sufficient in amount (subject to reasonable deductibles) to allow the Company to replace any of its properties that might be damaged or destroyed and on terms and conditions satisfactory to the Board, and (iv) errors and omissions insurance in an amount, with a carrier, and on terms and conditions satisfactory to the Board. In each case, the Company will use commercially reasonable efforts to cause such insurance policies to be maintained until such time as the Board (including at least two of the Preferred Directors) determines that such insurance should be discontinued. The key-person policy shall name the Company as loss payee, and no policy described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cancelable by the Company without prior approval by the Board (including at least two of the Preferred Directors).</w:t>
      </w:r>
    </w:p>
    <w:p>
      <w:pPr>
        <w:spacing w:after="0" w:line="58" w:lineRule="exact"/>
        <w:rPr>
          <w:sz w:val="20"/>
          <w:szCs w:val="20"/>
          <w:color w:val="auto"/>
        </w:rPr>
      </w:pPr>
    </w:p>
    <w:p>
      <w:pPr>
        <w:ind w:left="440" w:right="20" w:firstLine="1375"/>
        <w:spacing w:after="0" w:line="29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of the Founders, and will use reasonable efforts to cause key employees designated by the Investors, to enter into a one (1) year noncompetition and nonsolicitation agreement, all such agreements to be in substantially the form as delivered to counsel for the Investors. The Company shall use reasonable efforts to cause each key employee designated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54" w:name="page255"/>
    <w:bookmarkEnd w:id="25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Investors to enter into one (1) year noncompetition and nonsolicitation agreement, such agreement to be in substantially the form as delivered to counsel for the Investors. In addition, the Company shall not amend, modify, terminate, waive, or otherwise alter, in whole or in part, any of the above-referenced agreements or any restricted stock agreement between the Company and any employee, without the consent of at least two of the Preferred Directors.</w:t>
      </w:r>
    </w:p>
    <w:p>
      <w:pPr>
        <w:spacing w:after="0" w:line="79" w:lineRule="exact"/>
        <w:rPr>
          <w:sz w:val="20"/>
          <w:szCs w:val="20"/>
          <w:color w:val="auto"/>
        </w:rPr>
      </w:pPr>
    </w:p>
    <w:p>
      <w:pPr>
        <w:ind w:right="40" w:firstLine="1375"/>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including at least two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forty eight (48) month period, with twenty five percent (25%) vesting on the one (1) year anniversary of the vesting commencement date and the remainder vesting in equal monthly installments over thirty six (36) months, and (ii) a market stand-off provision substantially similar to that in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Without the prior approval by the Board (including at least two of the Preferred Directors), the Company shall not amend, modify, terminate, waive or otherwise alter, in whole or in part, any stock purchase, stock restriction or option agreement with any existing employee or service provider if such alteration would cause it to be inconsistent with this </w:t>
      </w:r>
      <w:r>
        <w:rPr>
          <w:rFonts w:ascii="Arial" w:cs="Arial" w:eastAsia="Arial" w:hAnsi="Arial"/>
          <w:sz w:val="17"/>
          <w:szCs w:val="17"/>
          <w:u w:val="single" w:color="auto"/>
          <w:color w:val="auto"/>
        </w:rPr>
        <w:t>Subsection 5.4</w:t>
      </w:r>
      <w:r>
        <w:rPr>
          <w:rFonts w:ascii="Arial" w:cs="Arial" w:eastAsia="Arial" w:hAnsi="Arial"/>
          <w:sz w:val="17"/>
          <w:szCs w:val="17"/>
          <w:color w:val="auto"/>
        </w:rPr>
        <w:t>. In addition, unless otherwise approved by the Board, including at least two of the Preferred Directors, the Company shall retain a “right of first refusal” on employee transfers until the Company’s IPO and shall have the right to repurchase unvested shares at cost upon termination of employment of a holder of restricted stock. Moreover, the Company shall cause each employee or consultant exercising an option, as a condition to such exercise, to become a party to the ROFR Agreement and the Company’s Amended and Restated Voting Agreement, dated even with the date herewith, in each case as a Key Holder thereunder.</w:t>
      </w:r>
    </w:p>
    <w:p>
      <w:pPr>
        <w:spacing w:after="0" w:line="78" w:lineRule="exact"/>
        <w:rPr>
          <w:sz w:val="20"/>
          <w:szCs w:val="20"/>
          <w:color w:val="auto"/>
        </w:rPr>
      </w:pPr>
    </w:p>
    <w:p>
      <w:pPr>
        <w:ind w:firstLine="1375"/>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Tax Withholdings</w:t>
      </w:r>
      <w:r>
        <w:rPr>
          <w:rFonts w:ascii="Arial" w:cs="Arial" w:eastAsia="Arial" w:hAnsi="Arial"/>
          <w:sz w:val="16"/>
          <w:szCs w:val="16"/>
          <w:color w:val="auto"/>
        </w:rPr>
        <w:t>. The Company shall notify each non-U.S. Investor of any withholding tax applicable to dividend, interest or other payments made to such Investor and the Company shall pay over and remit such withholding taxes, if any, to the applicable governmental authority. The Company shall promptly furnish to such non-U.S. Investor a receipt evidencing each such withholding tax payment in a form sufficient to enable such Investor to obtain any tax credit to which it may be entitled under the laws of its country of incorporation. In advance of any such payments by the Company, in order for a withholding tax rate, other than the standard U.S. thirty percent (30%) rate, to apply, the non-U.S. Investors, as applicable, will provide to the Company a completed U.S. Form W-8, or any future form issued by the U.S. Department of Treasury that serves a similar purpose, to support a reduced rate of U.S. tax withholding as a resident of a foreign country with which the United States has an income tax treaty. Upon the expiration of the Form W-8, or any future form issued by the U.S. Department of Treasury that serves a similar purpose, the Investors, as applicable, will provide a new Form W-8, or any future form issued by the U.S. Department of Treasury that serves a similar purpose, to the Company as required under applicable law and regulations.</w:t>
      </w:r>
    </w:p>
    <w:p>
      <w:pPr>
        <w:spacing w:after="0" w:line="60" w:lineRule="exact"/>
        <w:rPr>
          <w:sz w:val="20"/>
          <w:szCs w:val="20"/>
          <w:color w:val="auto"/>
        </w:rPr>
      </w:pPr>
    </w:p>
    <w:p>
      <w:pPr>
        <w:ind w:right="360" w:firstLine="1375"/>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4" w:right="439" w:bottom="1440" w:gutter="0" w:footer="0" w:header="0"/>
        </w:sectPr>
      </w:pPr>
    </w:p>
    <w:bookmarkStart w:id="255" w:name="page256"/>
    <w:bookmarkEnd w:id="255"/>
    <w:p>
      <w:pPr>
        <w:jc w:val="both"/>
        <w:ind w:left="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with respect to indemnification of members of the Board as in effect immediately before such transaction, whether such obligations are contained in the Company’s Bylaws, its Amended and Restated Certificate of Incorporation, or elsewhere, as the case may be.</w:t>
      </w:r>
    </w:p>
    <w:p>
      <w:pPr>
        <w:spacing w:after="0" w:line="16" w:lineRule="exact"/>
        <w:rPr>
          <w:sz w:val="20"/>
          <w:szCs w:val="20"/>
          <w:color w:val="auto"/>
        </w:rPr>
      </w:pPr>
    </w:p>
    <w:p>
      <w:pPr>
        <w:ind w:left="4" w:right="80" w:firstLine="1375"/>
        <w:spacing w:after="0" w:line="287"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w:t>
      </w:r>
    </w:p>
    <w:p>
      <w:pPr>
        <w:spacing w:after="0" w:line="2" w:lineRule="exact"/>
        <w:rPr>
          <w:sz w:val="20"/>
          <w:szCs w:val="20"/>
          <w:color w:val="auto"/>
        </w:rPr>
      </w:pPr>
    </w:p>
    <w:p>
      <w:pPr>
        <w:ind w:left="4" w:right="40" w:hanging="4"/>
        <w:spacing w:after="0" w:line="267" w:lineRule="auto"/>
        <w:tabs>
          <w:tab w:leader="none" w:pos="24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Amended and Restated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 The Fund Directors and the Fund Indemnitors are intended third party beneficiaries of this Subsection 5.7 and shall have the right, power and authority to enforce the provisions of this Subsection 5.7 as though they were a party to this Agreement.</w:t>
      </w:r>
    </w:p>
    <w:p>
      <w:pPr>
        <w:spacing w:after="0" w:line="183" w:lineRule="exact"/>
        <w:rPr>
          <w:sz w:val="20"/>
          <w:szCs w:val="20"/>
          <w:color w:val="auto"/>
        </w:rPr>
      </w:pPr>
    </w:p>
    <w:p>
      <w:pPr>
        <w:ind w:left="4" w:right="60" w:firstLine="1375"/>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Board Matters</w:t>
      </w:r>
      <w:r>
        <w:rPr>
          <w:rFonts w:ascii="Arial" w:cs="Arial" w:eastAsia="Arial" w:hAnsi="Arial"/>
          <w:sz w:val="18"/>
          <w:szCs w:val="18"/>
          <w:color w:val="auto"/>
        </w:rPr>
        <w:t>. The Board shall meet at least six (6) times per calendar year in accordance with an agreed-upon schedule. The Company shall reimburse the nonemployee directors for all reasonable out-of-pocket expenses for meals, travel and lodging (consistent with the Company’s policies) in connection with the performance of their duties. Each of the Preferred Directors shall be entitled in such person’s discretion to be a member of any Board committee.</w:t>
      </w:r>
    </w:p>
    <w:p>
      <w:pPr>
        <w:spacing w:after="0" w:line="187" w:lineRule="exact"/>
        <w:rPr>
          <w:sz w:val="20"/>
          <w:szCs w:val="20"/>
          <w:color w:val="auto"/>
        </w:rPr>
      </w:pPr>
    </w:p>
    <w:p>
      <w:pPr>
        <w:ind w:left="4" w:right="80" w:firstLine="1375"/>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The Company hereby agrees and acknowledges that Almaz, i Ventures, Highland Capital, Foundry Group Next 2018, L.P. (“</w:t>
      </w:r>
      <w:r>
        <w:rPr>
          <w:rFonts w:ascii="Arial" w:cs="Arial" w:eastAsia="Arial" w:hAnsi="Arial"/>
          <w:sz w:val="18"/>
          <w:szCs w:val="18"/>
          <w:b w:val="1"/>
          <w:bCs w:val="1"/>
          <w:color w:val="auto"/>
        </w:rPr>
        <w:t>Foundry Group</w:t>
      </w:r>
      <w:r>
        <w:rPr>
          <w:rFonts w:ascii="Arial" w:cs="Arial" w:eastAsia="Arial" w:hAnsi="Arial"/>
          <w:sz w:val="18"/>
          <w:szCs w:val="18"/>
          <w:color w:val="auto"/>
        </w:rPr>
        <w:t>”) and Greenspring Opportunities V, L.P., Greenspring Opportunities V-D, L.P., Greenspring Global Partners IX-A, L.P. Greenspring Global Partners IX-C, L.P. (collectively, “</w:t>
      </w:r>
      <w:r>
        <w:rPr>
          <w:rFonts w:ascii="Arial" w:cs="Arial" w:eastAsia="Arial" w:hAnsi="Arial"/>
          <w:sz w:val="18"/>
          <w:szCs w:val="18"/>
          <w:b w:val="1"/>
          <w:bCs w:val="1"/>
          <w:color w:val="auto"/>
        </w:rPr>
        <w:t>Greenspring</w:t>
      </w:r>
      <w:r>
        <w:rPr>
          <w:rFonts w:ascii="Arial" w:cs="Arial" w:eastAsia="Arial" w:hAnsi="Arial"/>
          <w:sz w:val="18"/>
          <w:szCs w:val="18"/>
          <w:color w:val="auto"/>
        </w:rPr>
        <w:t>”), the T. Rowe Price Investors, and Durable (together with their respective Affiliates)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neither Almaz, i Ventures, Highland Capital, Foundry Group, the T. Rowe Price Investors, Durable, nor Greenspring (together with their respective Affiliates) shall be liable to the Company for any claim</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4"/>
          </w:cols>
          <w:pgMar w:left="876" w:top="274" w:right="459" w:bottom="1440" w:gutter="0" w:footer="0" w:header="0"/>
        </w:sectPr>
      </w:pPr>
    </w:p>
    <w:bookmarkStart w:id="256" w:name="page257"/>
    <w:bookmarkEnd w:id="256"/>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arising out of, or based upon, (i) the investment by Almaz, i Ventures, Highland Capital, Foundry Group, Greenspring, the T. Rowe Price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Investors, or Durable (or their respective Affiliates) in any entity competitive with the Company, or (ii) actions taken by any partner, officer,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employee or other representative of Almaz, i Ventures, Highland Capital, Foundry Group, Greenspring, the T. Rowe Price Investors,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Durable (or their respective Affiliates) to assist any such competitive company, whether or not such action was taken as a member of the board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directors of such competitive company or otherwise, and whether or not such action has a detrimental effect on the Company; provided, however,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that the foregoing shall not relieve (x) any of the Investors from liability associated with the unauthorized disclosure of the Company’s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confidential information obtained pursuant to this Agreement, or (y) any director or officer of the Company from any liability associated with 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her fiduciary duties to the Company.</w:t>
      </w:r>
    </w:p>
    <w:p>
      <w:pPr>
        <w:spacing w:after="0" w:line="103" w:lineRule="exact"/>
        <w:rPr>
          <w:sz w:val="20"/>
          <w:szCs w:val="20"/>
          <w:color w:val="auto"/>
        </w:rPr>
      </w:pPr>
    </w:p>
    <w:p>
      <w:pPr>
        <w:ind w:left="4" w:right="300" w:firstLine="1375"/>
        <w:spacing w:after="0" w:line="31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Status as a Corporation.</w:t>
      </w:r>
      <w:r>
        <w:rPr>
          <w:rFonts w:ascii="Arial" w:cs="Arial" w:eastAsia="Arial" w:hAnsi="Arial"/>
          <w:sz w:val="16"/>
          <w:szCs w:val="16"/>
          <w:color w:val="auto"/>
        </w:rPr>
        <w:t xml:space="preserve"> For U.S. federal (and applicable state and local) income tax purposes, (a) the Company is taxable as a domestic corporation and (b) any successor of the Company (including any entity which issues equity to Investors in exchange for capital stock of the Company as a result of a restructuring, merger or otherwise) shall be taxable as a domestic corporation.</w:t>
      </w:r>
    </w:p>
    <w:p>
      <w:pPr>
        <w:spacing w:after="0" w:line="41" w:lineRule="exact"/>
        <w:rPr>
          <w:sz w:val="20"/>
          <w:szCs w:val="20"/>
          <w:color w:val="auto"/>
        </w:rPr>
      </w:pPr>
    </w:p>
    <w:p>
      <w:pPr>
        <w:ind w:left="4" w:right="100" w:firstLine="1375"/>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Termination of Covenants.</w:t>
      </w:r>
      <w:r>
        <w:rPr>
          <w:rFonts w:ascii="Arial" w:cs="Arial" w:eastAsia="Arial" w:hAnsi="Arial"/>
          <w:sz w:val="17"/>
          <w:szCs w:val="17"/>
          <w:color w:val="auto"/>
        </w:rPr>
        <w:t xml:space="preserve"> The covenants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Subsections 5.6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5.7</w:t>
      </w:r>
      <w:r>
        <w:rPr>
          <w:rFonts w:ascii="Arial" w:cs="Arial" w:eastAsia="Arial" w:hAnsi="Arial"/>
          <w:sz w:val="17"/>
          <w:szCs w:val="17"/>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Amended and Restated Certificate of Incorporation, whichever event occurs first.</w:t>
      </w:r>
    </w:p>
    <w:p>
      <w:pPr>
        <w:spacing w:after="0" w:line="279" w:lineRule="exact"/>
        <w:rPr>
          <w:sz w:val="20"/>
          <w:szCs w:val="20"/>
          <w:color w:val="auto"/>
        </w:rPr>
      </w:pPr>
    </w:p>
    <w:p>
      <w:pPr>
        <w:ind w:left="744" w:hanging="321"/>
        <w:spacing w:after="0"/>
        <w:tabs>
          <w:tab w:leader="none" w:pos="74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right="140" w:firstLine="1375"/>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100,000 shares of Registrable Securities (subject to appropriate adjustment for stock splits, stock dividends, combinations, and other recapitalizations); or</w:t>
      </w:r>
    </w:p>
    <w:p>
      <w:pPr>
        <w:spacing w:after="0" w:line="1" w:lineRule="exact"/>
        <w:rPr>
          <w:sz w:val="20"/>
          <w:szCs w:val="20"/>
          <w:color w:val="auto"/>
        </w:rPr>
      </w:pPr>
    </w:p>
    <w:p>
      <w:pPr>
        <w:ind w:left="4" w:hanging="4"/>
        <w:spacing w:after="0" w:line="286" w:lineRule="auto"/>
        <w:tabs>
          <w:tab w:leader="none" w:pos="30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acquires all of the Registrable Securities of such Holder;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w:t>
      </w:r>
    </w:p>
    <w:p>
      <w:pPr>
        <w:spacing w:after="0" w:line="10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4"/>
          </w:cols>
          <w:pgMar w:left="876" w:top="274" w:right="459" w:bottom="1440" w:gutter="0" w:footer="0" w:header="0"/>
        </w:sectPr>
      </w:pPr>
    </w:p>
    <w:bookmarkStart w:id="257" w:name="page258"/>
    <w:bookmarkEnd w:id="25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76" w:lineRule="exact"/>
        <w:rPr>
          <w:sz w:val="20"/>
          <w:szCs w:val="20"/>
          <w:color w:val="auto"/>
        </w:rPr>
      </w:pPr>
    </w:p>
    <w:p>
      <w:pPr>
        <w:ind w:right="620" w:firstLine="1375"/>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w:t>
      </w:r>
    </w:p>
    <w:p>
      <w:pPr>
        <w:spacing w:after="0" w:line="62" w:lineRule="exact"/>
        <w:rPr>
          <w:sz w:val="20"/>
          <w:szCs w:val="20"/>
          <w:color w:val="auto"/>
        </w:rPr>
      </w:pPr>
    </w:p>
    <w:p>
      <w:pPr>
        <w:jc w:val="both"/>
        <w:ind w:right="60" w:firstLine="1375"/>
        <w:spacing w:after="0" w:line="30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6"/>
          <w:szCs w:val="16"/>
          <w:i w:val="1"/>
          <w:iCs w:val="1"/>
          <w:color w:val="auto"/>
        </w:rPr>
        <w:t>e.g.</w:t>
      </w:r>
      <w:r>
        <w:rPr>
          <w:rFonts w:ascii="Arial" w:cs="Arial" w:eastAsia="Arial" w:hAnsi="Arial"/>
          <w:sz w:val="16"/>
          <w:szCs w:val="16"/>
          <w:color w:val="auto"/>
        </w:rPr>
        <w:t>, www.docusign.com) or other transmission method and any counterpart so delivered shall be deemed to have been duly and validly delivered and be valid and effective for all purposes.</w:t>
      </w:r>
    </w:p>
    <w:p>
      <w:pPr>
        <w:spacing w:after="0" w:line="49" w:lineRule="exact"/>
        <w:rPr>
          <w:sz w:val="20"/>
          <w:szCs w:val="20"/>
          <w:color w:val="auto"/>
        </w:rPr>
      </w:pPr>
    </w:p>
    <w:p>
      <w:pPr>
        <w:ind w:right="80" w:firstLine="1375"/>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62" w:lineRule="exact"/>
        <w:rPr>
          <w:sz w:val="20"/>
          <w:szCs w:val="20"/>
          <w:color w:val="auto"/>
        </w:rPr>
      </w:pPr>
    </w:p>
    <w:p>
      <w:pPr>
        <w:ind w:right="60" w:firstLine="1375"/>
        <w:spacing w:after="0" w:line="285"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and/or e-mail address as set forth on the signature page or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 If notice is given to the Company, a copy (which shall not constitute notice) shall also be sent to Cooley LLP, 1299 Pennsylvania Avenue NW, Washington, DC 20004, Attn: Mike Lincoln and Derek Colla, Esq., if notice is given to Highland Capital Partners, a copy (which shall not constitute notice) shall also be sent to Morse, Barnes-Brown &amp; Pendleton, PC, 3</w:t>
      </w:r>
      <w:r>
        <w:rPr>
          <w:rFonts w:ascii="Arial" w:cs="Arial" w:eastAsia="Arial" w:hAnsi="Arial"/>
          <w:sz w:val="13"/>
          <w:szCs w:val="13"/>
          <w:color w:val="auto"/>
        </w:rPr>
        <w:t>rd</w:t>
      </w:r>
      <w:r>
        <w:rPr>
          <w:rFonts w:ascii="Arial" w:cs="Arial" w:eastAsia="Arial" w:hAnsi="Arial"/>
          <w:sz w:val="16"/>
          <w:szCs w:val="16"/>
          <w:color w:val="auto"/>
        </w:rPr>
        <w:t xml:space="preserve"> Avenue, 4</w:t>
      </w:r>
      <w:r>
        <w:rPr>
          <w:rFonts w:ascii="Arial" w:cs="Arial" w:eastAsia="Arial" w:hAnsi="Arial"/>
          <w:sz w:val="13"/>
          <w:szCs w:val="13"/>
          <w:color w:val="auto"/>
        </w:rPr>
        <w:t>th</w:t>
      </w:r>
      <w:r>
        <w:rPr>
          <w:rFonts w:ascii="Arial" w:cs="Arial" w:eastAsia="Arial" w:hAnsi="Arial"/>
          <w:sz w:val="16"/>
          <w:szCs w:val="16"/>
          <w:color w:val="auto"/>
        </w:rPr>
        <w:t xml:space="preserve"> Floor, Waltham, MA 02451, Attn: Michael R. Jabbawy, if notice is given to i Ventures, a copy (which shall not constitute notice) shall also be sent to Wilson Sonsini Goodrich &amp; Rosati PC, 139 Townsend Street, Suite 150, San Francisco, CA 94107, Attn: Rebecca DeGraw, Esq., if notice is given to Foundry Group, a copy (which shall not constitute notice) shall also be sent to Koenig, Oelsner, Taylor, Schoenfeld &amp; Gaddis PC, 999 18th Street, Suite 1740, Denver, CO 80202, Attn: Kevin Gibson, if notice is given to Greenspring, a copy (which shall not constitute notice) shall also be sent to Baker, Donelson, Bearman, Caldwell &amp; Berkowitz, PC, 901 K Street, N.W., Suite 900, Washington, D.C. 20001, Attn: Kevin M. Robertson and if notice is given to the T. Rowe Price Investors or Durable, a copy (which shall not constitute notice) shall also be sent to Goodwin Procter LLP, 1900 N Street NW, Washington D.C. 20036, Attn: James Hutchinson; Cameron Contizano.</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80" w:top="274" w:right="459" w:bottom="1440" w:gutter="0" w:footer="0" w:header="0"/>
        </w:sectPr>
      </w:pPr>
    </w:p>
    <w:bookmarkStart w:id="258" w:name="page259"/>
    <w:bookmarkEnd w:id="258"/>
    <w:p>
      <w:pPr>
        <w:ind w:left="4" w:right="20" w:firstLine="1375"/>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amendment, modification, termination or change to this Agreement that adversely affects any rights or obligations of a Holder or Holders of Securities in a manner different from the rights of other Holders, or in a manner that is disproportionate to the adverse effects on other Holders of the same class or series of stock of the Company held by such Holder, may not be made without the written consent of such Holder or a majority of such Holders,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provided further that any provision hereof may be waived by any waiving party on such party’s own behalf, without the consent of any other party. Notwithstanding the foregoing, this Agreement may not be amended or terminated and the observance of any term hereof may not be waived (i) with respect to any Investor without the written consent of such Investor, unless such amendment, termination, or waiver applies to all Investors in the same fashion,</w:t>
      </w:r>
    </w:p>
    <w:p>
      <w:pPr>
        <w:spacing w:after="0" w:line="4" w:lineRule="exact"/>
        <w:rPr>
          <w:sz w:val="20"/>
          <w:szCs w:val="20"/>
          <w:color w:val="auto"/>
        </w:rPr>
      </w:pPr>
    </w:p>
    <w:p>
      <w:pPr>
        <w:ind w:left="4" w:hanging="4"/>
        <w:spacing w:after="0" w:line="284" w:lineRule="auto"/>
        <w:tabs>
          <w:tab w:leader="none" w:pos="26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with respect to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without the written consent of Highland Capital Partners, (iii) with respect to </w:t>
      </w:r>
      <w:r>
        <w:rPr>
          <w:rFonts w:ascii="Arial" w:cs="Arial" w:eastAsia="Arial" w:hAnsi="Arial"/>
          <w:sz w:val="16"/>
          <w:szCs w:val="16"/>
          <w:u w:val="single" w:color="auto"/>
          <w:color w:val="auto"/>
        </w:rPr>
        <w:t>Section 3.4(c)</w:t>
      </w:r>
      <w:r>
        <w:rPr>
          <w:rFonts w:ascii="Arial" w:cs="Arial" w:eastAsia="Arial" w:hAnsi="Arial"/>
          <w:sz w:val="16"/>
          <w:szCs w:val="16"/>
          <w:color w:val="auto"/>
        </w:rPr>
        <w:t xml:space="preserve">, without the written consent of i Ventures, (iv) with respect to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without the written consent of Almaz, (v) with respect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(as such section relates to the T. Rowe Price Investors),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6.6(v)</w:t>
      </w:r>
      <w:r>
        <w:rPr>
          <w:rFonts w:ascii="Arial" w:cs="Arial" w:eastAsia="Arial" w:hAnsi="Arial"/>
          <w:sz w:val="16"/>
          <w:szCs w:val="16"/>
          <w:color w:val="auto"/>
        </w:rPr>
        <w:t xml:space="preserve"> without the written consent of T. Rowe Price Investors and (vi) with respect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3.6(iii)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(as such section relates to the Durable),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6.6(vi)</w:t>
      </w:r>
      <w:r>
        <w:rPr>
          <w:rFonts w:ascii="Arial" w:cs="Arial" w:eastAsia="Arial" w:hAnsi="Arial"/>
          <w:sz w:val="16"/>
          <w:szCs w:val="16"/>
          <w:color w:val="auto"/>
        </w:rPr>
        <w:t xml:space="preserve"> without the written consent of Durable. Notwithstanding the foregoing, if any amendment of the definition of Major Investor would cause a Major Investor to no longer qualify as a Major Investor, then the amendment shall require the consent of such Major Investor. Notwithstanding the foregoing, if the rights of a Fund Investor (as defined below) under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an offering of New Securities are waived without the consent of such Fund Investor, and any Major Investor actually purchases any New Securities in any such offering, then each Fund Investor who did not consent to such waiver shall be permitted to participate in such offering on a pro rata basis (based on the level of participation of the Major Investor purchasing the largest portion of such Major Investor’s pro rata share, capped at 100%), in accordance with the other provisions (including notice and election periods)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preceding sentence may not be amended in a way that is adverse to any Fund Investor or waived without the consent of each Fund Investor. “Fund Investor” means T. Rowe Price Investors, Durable, Highland Capital Partners, i Ventures, Foundry Group, Almaz and Greenspring.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0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4"/>
          </w:cols>
          <w:pgMar w:left="876" w:top="274" w:right="439" w:bottom="1440" w:gutter="0" w:footer="0" w:header="0"/>
        </w:sectPr>
      </w:pPr>
    </w:p>
    <w:bookmarkStart w:id="259" w:name="page260"/>
    <w:bookmarkEnd w:id="259"/>
    <w:p>
      <w:pPr>
        <w:jc w:val="both"/>
        <w:ind w:right="160" w:firstLine="137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9" w:lineRule="exact"/>
        <w:rPr>
          <w:sz w:val="20"/>
          <w:szCs w:val="20"/>
          <w:color w:val="auto"/>
        </w:rPr>
      </w:pPr>
    </w:p>
    <w:p>
      <w:pPr>
        <w:ind w:right="140" w:firstLine="1375"/>
        <w:spacing w:after="0" w:line="28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Aggregation of Stock</w:t>
      </w:r>
      <w:r>
        <w:rPr>
          <w:rFonts w:ascii="Arial" w:cs="Arial" w:eastAsia="Arial" w:hAnsi="Arial"/>
          <w:sz w:val="17"/>
          <w:szCs w:val="17"/>
          <w:color w:val="auto"/>
        </w:rPr>
        <w:t>. All shares of Registrable Securities held or acquired by Affiliates or Immediate Family Members shall be aggregated together for the purpose of determining the availability of any rights under this Agreement and such Affiliated persons or Immediate Family Members may apportion such rights as among themselves in any manner they deem appropriate.</w:t>
      </w:r>
    </w:p>
    <w:p>
      <w:pPr>
        <w:spacing w:after="0" w:line="57" w:lineRule="exact"/>
        <w:rPr>
          <w:sz w:val="20"/>
          <w:szCs w:val="20"/>
          <w:color w:val="auto"/>
        </w:rPr>
      </w:pPr>
    </w:p>
    <w:p>
      <w:pPr>
        <w:ind w:firstLine="1375"/>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84" w:lineRule="exact"/>
        <w:rPr>
          <w:sz w:val="20"/>
          <w:szCs w:val="20"/>
          <w:color w:val="auto"/>
        </w:rPr>
      </w:pPr>
    </w:p>
    <w:p>
      <w:pPr>
        <w:ind w:firstLine="1375"/>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76" w:lineRule="exact"/>
        <w:rPr>
          <w:sz w:val="20"/>
          <w:szCs w:val="20"/>
          <w:color w:val="auto"/>
        </w:rPr>
      </w:pPr>
    </w:p>
    <w:p>
      <w:pPr>
        <w:ind w:right="60" w:firstLine="1375"/>
        <w:spacing w:after="0" w:line="287"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40"/>
          </w:cols>
          <w:pgMar w:left="880" w:top="274" w:right="479" w:bottom="1440" w:gutter="0" w:footer="0" w:header="0"/>
        </w:sectPr>
      </w:pPr>
    </w:p>
    <w:bookmarkStart w:id="260" w:name="page261"/>
    <w:bookmarkEnd w:id="26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80" w:lineRule="exact"/>
        <w:rPr>
          <w:sz w:val="20"/>
          <w:szCs w:val="20"/>
          <w:color w:val="auto"/>
        </w:rPr>
      </w:pPr>
    </w:p>
    <w:p>
      <w:pPr>
        <w:ind w:right="60" w:firstLine="1375"/>
        <w:spacing w:after="0" w:line="25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84" w:lineRule="exact"/>
        <w:rPr>
          <w:sz w:val="20"/>
          <w:szCs w:val="20"/>
          <w:color w:val="auto"/>
        </w:rPr>
      </w:pPr>
    </w:p>
    <w:p>
      <w:pPr>
        <w:ind w:right="60" w:firstLine="1375"/>
        <w:spacing w:after="0" w:line="272"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Effect on Previous Agreement</w:t>
      </w:r>
      <w:r>
        <w:rPr>
          <w:rFonts w:ascii="Arial" w:cs="Arial" w:eastAsia="Arial" w:hAnsi="Arial"/>
          <w:sz w:val="17"/>
          <w:szCs w:val="17"/>
          <w:color w:val="auto"/>
        </w:rPr>
        <w:t xml:space="preserve">. Upon the execution and delivery of this Agreement by the Company and each holder of Registrable Securities required to amend the Prior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thereof, the Prior Agreement automatically shall terminate and be of no further force and effect and shall be amended and restated in its entirety as set forth in this Agreement. Upon such execution and delivery of this Agreement by the Company and each holder of Registrable Securities required to amend the Prior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thereof,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Purchase Agreement.</w:t>
      </w:r>
    </w:p>
    <w:p>
      <w:pPr>
        <w:spacing w:after="0" w:line="69" w:lineRule="exact"/>
        <w:rPr>
          <w:sz w:val="20"/>
          <w:szCs w:val="20"/>
          <w:color w:val="auto"/>
        </w:rPr>
      </w:pPr>
    </w:p>
    <w:p>
      <w:pPr>
        <w:ind w:left="1380"/>
        <w:spacing w:after="0"/>
        <w:tabs>
          <w:tab w:leader="none" w:pos="184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Third Party Beneficiary</w:t>
      </w:r>
      <w:r>
        <w:rPr>
          <w:rFonts w:ascii="Arial" w:cs="Arial" w:eastAsia="Arial" w:hAnsi="Arial"/>
          <w:sz w:val="16"/>
          <w:szCs w:val="16"/>
          <w:color w:val="auto"/>
        </w:rPr>
        <w:t>. T. Rowe Price is a third party beneficiary of this Agreement.</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00"/>
          </w:cols>
          <w:pgMar w:left="880" w:top="274" w:right="519" w:bottom="1440" w:gutter="0" w:footer="0" w:header="0"/>
        </w:sectPr>
      </w:pPr>
    </w:p>
    <w:bookmarkStart w:id="261" w:name="page262"/>
    <w:bookmarkEnd w:id="261"/>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Randy Altschuler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62" w:name="page263"/>
    <w:bookmarkEnd w:id="262"/>
    <w:p>
      <w:pPr>
        <w:ind w:right="2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NEW HORIZONS FUND,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NEW HORIZONS TRUST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U.S. EQUITIES TRUST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MASSMUTUAL SELECT FUNDS - MASSMUTUAL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SELECT T. ROWE PRICE SMALL AND MID CAP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BLEND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Each account, severally not jointly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T. Rowe Price Associates, Inc., Investment Adviser or</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Subadviser, as applicable</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Baek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Senior Legal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Phone: [*****]</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20"/>
          </w:cols>
          <w:pgMar w:left="440" w:top="270" w:right="639" w:bottom="1440" w:gutter="0" w:footer="0" w:header="0"/>
        </w:sectPr>
      </w:pPr>
    </w:p>
    <w:bookmarkStart w:id="263" w:name="page264"/>
    <w:bookmarkEnd w:id="263"/>
    <w:p>
      <w:pPr>
        <w:ind w:right="18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SMALL-CAP STOCK FUND,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INSTITUTIONAL SMALL-CAP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STOCK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SPECTRUM CONSERVATIVE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ALLOCATION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SPECTRUM MODERATE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ALLOCATION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SPECTRUM MODERATE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GROWTH ALLOCATION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MODERATE ALLOCATION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PORTFOLIO</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U.S. SMALL-CAP STOCK TRUST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VALIC COMPANY I - SMALL CAP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TD MUTUAL FUNDS - TD U.S. SMALL-CAP EQUITY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 ROWE PRICE U.S. SMALL-CAP CORE EQUITY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MINNESOTA LIFE INSURANCE COMPANY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COSTCO 401(K) RETIREMENT PLAN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MASSMUTUAL SELECT FUNDS - MASSMUTUAL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SELECT T. ROWE PRICE SMALL AND MID CAP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BLEND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Each account, severally not jointly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T. Rowe Price Associates, Inc., Investment Adviser or</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Subadviser, as applicable</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Baek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Senior Legal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Phone: [*****]</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980"/>
          </w:cols>
          <w:pgMar w:left="440" w:top="270" w:right="479" w:bottom="1440" w:gutter="0" w:footer="0" w:header="0"/>
        </w:sectPr>
      </w:pPr>
    </w:p>
    <w:bookmarkStart w:id="264" w:name="page265"/>
    <w:bookmarkEnd w:id="26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Preferred Stock Purchase Agreement as of the date first above written.</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 ROWE PRICE SMALL-CAP VALUE FUND,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T. ROWE PRICE U.S. SMALL-CAP VALUE EQUITY</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TRUST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 ROWE PRICE U.S. EQUITIES TRUST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MASSMUTUAL SELECT FUNDS - MASSMUTUAL</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SELECT T. ROWE PRICE SMALL AND MID CAP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BLEND FUND</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Each account, severally not jointly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T. Rowe Price Associates, Inc., Investment Adviser or</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Subadviser, as applicable</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tab/>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4517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Baek</w:t>
      </w:r>
    </w:p>
    <w:p>
      <w:pPr>
        <w:spacing w:after="0" w:line="23"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Senior Legal Counsel</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Phone: [*****]</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880"/>
          </w:cols>
          <w:pgMar w:left="1420" w:top="270" w:right="599" w:bottom="1440" w:gutter="0" w:footer="0" w:header="0"/>
        </w:sectPr>
      </w:pPr>
    </w:p>
    <w:bookmarkStart w:id="265" w:name="page266"/>
    <w:bookmarkEnd w:id="265"/>
    <w:p>
      <w:pPr>
        <w:ind w:right="22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DURABLE CAPITAL MASTER FUND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Durable Capital Associates LLC, its general partner</w:t>
      </w:r>
    </w:p>
    <w:p>
      <w:pPr>
        <w:spacing w:after="0" w:line="222"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Blandino</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Michael Blandino</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Address: c/o Durable Capital</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5425 Wisconsin Avenue, Suite 802</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Chevy Chase, MD 20815</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Email:</w:t>
            </w:r>
          </w:p>
        </w:tc>
        <w:tc>
          <w:tcPr>
            <w:tcW w:w="36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66" w:name="page267"/>
    <w:bookmarkEnd w:id="266"/>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Meridian Growth Fund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Investment Adviser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Meridian Small Cap Growth Fund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Investment Adviser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67" w:name="page268"/>
    <w:bookmarkEnd w:id="267"/>
    <w:p>
      <w:pPr>
        <w:ind w:right="22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GREENSPRING OPPORTUNITIES V, L.P.</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By: Greenspring Opportunities General Partner V, L.P., its</w:t>
      </w:r>
    </w:p>
    <w:p>
      <w:pPr>
        <w:spacing w:after="0" w:line="3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44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Opportunities GP V, LLC, its general partner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Greenspring Associates, Inc.,</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its sole member</w:t>
      </w:r>
    </w:p>
    <w:p>
      <w:pPr>
        <w:spacing w:after="0" w:line="22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14605</wp:posOffset>
            </wp:positionV>
            <wp:extent cx="24085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Eric Thompson</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Operating Officer</w:t>
      </w:r>
    </w:p>
    <w:p>
      <w:pPr>
        <w:spacing w:after="0" w:line="21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GREENSPRING OPPORTUNITIES V-D, L.P.</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By: Greenspring Opportunities General Partner V, L.P., its</w:t>
      </w:r>
    </w:p>
    <w:p>
      <w:pPr>
        <w:spacing w:after="0" w:line="3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44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Greenspring Opportunities GP V, LLC, its general partner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Greenspring Associates, Inc.,</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 sole member</w:t>
      </w:r>
    </w:p>
    <w:p>
      <w:pPr>
        <w:spacing w:after="0" w:line="22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14605</wp:posOffset>
            </wp:positionV>
            <wp:extent cx="24085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Eric Thompson</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Operating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68" w:name="page269"/>
    <w:bookmarkEnd w:id="268"/>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GREENSPRING GLOBAL PARTNERS IX-A, L.P.</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Greenspring General Partner IX, L.P.,</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Greenspring GP IX, LLC.</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14605</wp:posOffset>
            </wp:positionV>
            <wp:extent cx="23399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Eric Thompson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GREENSPRING GLOBAL PARTNERS IX-C, L.P.</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Greenspring General Partner IX, L.P.,</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Greenspring GP IX, LLC.</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Eric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14605</wp:posOffset>
            </wp:positionV>
            <wp:extent cx="23399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Eric Thompson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Operating Officer</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69" w:name="page270"/>
    <w:bookmarkEnd w:id="269"/>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OUNDRY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EXT</w:t>
      </w:r>
      <w:r>
        <w:rPr>
          <w:rFonts w:ascii="Arial" w:cs="Arial" w:eastAsia="Arial" w:hAnsi="Arial"/>
          <w:sz w:val="18"/>
          <w:szCs w:val="18"/>
          <w:b w:val="1"/>
          <w:bCs w:val="1"/>
          <w:color w:val="auto"/>
        </w:rPr>
        <w:t xml:space="preserve"> 2018,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FG N</w:t>
      </w:r>
      <w:r>
        <w:rPr>
          <w:rFonts w:ascii="Arial" w:cs="Arial" w:eastAsia="Arial" w:hAnsi="Arial"/>
          <w:sz w:val="14"/>
          <w:szCs w:val="14"/>
          <w:b w:val="1"/>
          <w:bCs w:val="1"/>
          <w:color w:val="auto"/>
        </w:rPr>
        <w:t>EXT</w:t>
      </w:r>
      <w:r>
        <w:rPr>
          <w:rFonts w:ascii="Arial" w:cs="Arial" w:eastAsia="Arial" w:hAnsi="Arial"/>
          <w:sz w:val="18"/>
          <w:szCs w:val="18"/>
          <w:color w:val="auto"/>
        </w:rPr>
        <w:t xml:space="preserve"> </w:t>
      </w:r>
      <w:r>
        <w:rPr>
          <w:rFonts w:ascii="Arial" w:cs="Arial" w:eastAsia="Arial" w:hAnsi="Arial"/>
          <w:sz w:val="18"/>
          <w:szCs w:val="18"/>
          <w:b w:val="1"/>
          <w:bCs w:val="1"/>
          <w:color w:val="auto"/>
        </w:rPr>
        <w:t>GP 2018,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Seth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Seth Levine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70" w:name="page271"/>
    <w:bookmarkEnd w:id="270"/>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ALMAZ CAPITAL FUND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Almaz Capital Partners II LTD.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Ross Hangebrauck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Ross Hangebrauck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71" w:name="page272"/>
    <w:bookmarkEnd w:id="271"/>
    <w:p>
      <w:pPr>
        <w:ind w:right="22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BMW I VENTURES SCS, SICAV RAIF,</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duly represented by BMW i Ventures, Inc., itself duly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 Baris Guzel and Ulrich Quay</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Baris Guzel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Baris Guzel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Principal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Ulrich Quay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Ulrich Quay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72" w:name="page273"/>
    <w:bookmarkEnd w:id="272"/>
    <w:p>
      <w:pPr>
        <w:ind w:right="6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HIGHLAND CAPITAL PARTNERS 9 LIMITED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Highland Management Partners 9 Limited Partnership,</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HIGHLAND CAPITAL PARTNERS 9-B LIMITED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Highland Management Partners 9 Limited Partnership,</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Manager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60"/>
          </w:cols>
          <w:pgMar w:left="440" w:top="270" w:right="599" w:bottom="1440" w:gutter="0" w:footer="0" w:header="0"/>
        </w:sectPr>
      </w:pPr>
    </w:p>
    <w:bookmarkStart w:id="273" w:name="page274"/>
    <w:bookmarkEnd w:id="273"/>
    <w:p>
      <w:pPr>
        <w:ind w:right="6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HIGHLAND ENTREPRENEURS’ FUND 9 LIMITED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Highland Management Partners 9 Limited Partnership,</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9, LLC,</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Manager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HIGHLAND CAPITAL LEADERS FUND 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Highland Leaders Fund I, GP, L.P. Its General Partner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Highland Leaders Fund I GP, LLC its General Partner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Manager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60"/>
          </w:cols>
          <w:pgMar w:left="440" w:top="270" w:right="599" w:bottom="1440" w:gutter="0" w:footer="0" w:header="0"/>
        </w:sectPr>
      </w:pPr>
    </w:p>
    <w:bookmarkStart w:id="274" w:name="page275"/>
    <w:bookmarkEnd w:id="274"/>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ELL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ECHNOLOGIES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Senior Vice President and Assistant Secretary</w:t>
      </w:r>
    </w:p>
    <w:p>
      <w:pPr>
        <w:spacing w:after="0" w:line="15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75" w:name="page276"/>
    <w:bookmarkEnd w:id="275"/>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Randy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ANDY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LTSCHULER</w:t>
      </w:r>
    </w:p>
    <w:p>
      <w:pPr>
        <w:spacing w:after="0" w:line="16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76" w:name="page277"/>
    <w:bookmarkEnd w:id="276"/>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Cheryl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HERYL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LTSCHULER</w:t>
      </w:r>
    </w:p>
    <w:p>
      <w:pPr>
        <w:spacing w:after="0" w:line="16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77" w:name="page278"/>
    <w:bookmarkEnd w:id="277"/>
    <w:p>
      <w:pPr>
        <w:ind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Seventh Amended and Restated Investors’ Rights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ZFI CAPITAL, LP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Laurence Zuriff</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Partner</w:t>
      </w:r>
    </w:p>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EVENTH</w:t>
      </w:r>
      <w:r>
        <w:rPr>
          <w:rFonts w:ascii="Arial" w:cs="Arial" w:eastAsia="Arial" w:hAnsi="Arial"/>
          <w:sz w:val="18"/>
          <w:szCs w:val="18"/>
          <w:color w:val="auto"/>
        </w:rPr>
        <w:t xml:space="preserve"> 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00"/>
          </w:cols>
          <w:pgMar w:left="440" w:top="270" w:right="659" w:bottom="1440" w:gutter="0" w:footer="0" w:header="0"/>
        </w:sectPr>
      </w:pPr>
    </w:p>
    <w:bookmarkStart w:id="278" w:name="page279"/>
    <w:bookmarkEnd w:id="278"/>
    <w:p>
      <w:pPr>
        <w:jc w:val="center"/>
        <w:ind w:right="-9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Investors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EQUITY INCENTIVE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February 3, 2016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February 3, 2016</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 DATE: February 2, 2026</w:t>
      </w:r>
    </w:p>
    <w:p>
      <w:pPr>
        <w:spacing w:after="0" w:line="234" w:lineRule="exact"/>
        <w:rPr>
          <w:sz w:val="20"/>
          <w:szCs w:val="20"/>
          <w:color w:val="auto"/>
        </w:rPr>
      </w:pPr>
    </w:p>
    <w:p>
      <w:pPr>
        <w:ind w:left="424" w:hanging="424"/>
        <w:spacing w:after="0"/>
        <w:tabs>
          <w:tab w:leader="none" w:pos="42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Employees, Directors and Consultants are eligible to receive Stock Awards.</w:t>
      </w:r>
    </w:p>
    <w:p>
      <w:pPr>
        <w:spacing w:after="0" w:line="225" w:lineRule="exact"/>
        <w:rPr>
          <w:rFonts w:ascii="Arial" w:cs="Arial" w:eastAsia="Arial" w:hAnsi="Arial"/>
          <w:sz w:val="18"/>
          <w:szCs w:val="18"/>
          <w:b w:val="1"/>
          <w:bCs w:val="1"/>
          <w:color w:val="auto"/>
        </w:rPr>
      </w:pPr>
    </w:p>
    <w:p>
      <w:pPr>
        <w:ind w:left="844" w:hanging="404"/>
        <w:spacing w:after="0"/>
        <w:tabs>
          <w:tab w:leader="none" w:pos="844"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types of Stock Awards: (i) Incentive Stock Options,</w:t>
      </w:r>
    </w:p>
    <w:p>
      <w:pPr>
        <w:spacing w:after="0" w:line="27" w:lineRule="exact"/>
        <w:rPr>
          <w:sz w:val="20"/>
          <w:szCs w:val="20"/>
          <w:color w:val="auto"/>
        </w:rPr>
      </w:pPr>
    </w:p>
    <w:p>
      <w:pPr>
        <w:ind w:left="4" w:right="260" w:hanging="4"/>
        <w:spacing w:after="0" w:line="260" w:lineRule="auto"/>
        <w:tabs>
          <w:tab w:leader="none" w:pos="26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Nonstatutory Stock Options, (iii) Stock Appreciation Rights, (iv) Restricted Stock Awards, (v) Restricted Stock Unit Awards and (vi) Other Stock Awards.</w:t>
      </w:r>
    </w:p>
    <w:p>
      <w:pPr>
        <w:spacing w:after="0" w:line="181" w:lineRule="exact"/>
        <w:rPr>
          <w:rFonts w:ascii="Arial" w:cs="Arial" w:eastAsia="Arial" w:hAnsi="Arial"/>
          <w:sz w:val="18"/>
          <w:szCs w:val="18"/>
          <w:color w:val="auto"/>
        </w:rPr>
      </w:pPr>
    </w:p>
    <w:p>
      <w:pPr>
        <w:jc w:val="both"/>
        <w:ind w:left="4" w:right="440" w:firstLine="436"/>
        <w:spacing w:after="0" w:line="266" w:lineRule="auto"/>
        <w:tabs>
          <w:tab w:leader="none" w:pos="82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 of Stock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175" w:lineRule="exact"/>
        <w:rPr>
          <w:rFonts w:ascii="Arial" w:cs="Arial" w:eastAsia="Arial" w:hAnsi="Arial"/>
          <w:sz w:val="18"/>
          <w:szCs w:val="18"/>
          <w:b w:val="1"/>
          <w:bCs w:val="1"/>
          <w:color w:val="auto"/>
        </w:rPr>
      </w:pPr>
    </w:p>
    <w:p>
      <w:pPr>
        <w:ind w:left="4" w:right="60" w:firstLine="436"/>
        <w:spacing w:after="0" w:line="261" w:lineRule="auto"/>
        <w:tabs>
          <w:tab w:leader="none" w:pos="84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 to and Continuation of Prior Plan. </w:t>
      </w:r>
      <w:r>
        <w:rPr>
          <w:rFonts w:ascii="Arial" w:cs="Arial" w:eastAsia="Arial" w:hAnsi="Arial"/>
          <w:sz w:val="18"/>
          <w:szCs w:val="18"/>
          <w:color w:val="auto"/>
        </w:rPr>
        <w:t>The Plan is the successor to and continuation of the NextLine Manufacturing Corp., 2014</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Plan, as amended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From and after 12:01 a.m. Eastern time on the Effective Date, no additional stock awards will be granted under the Prior Plan, provided that all stock awards granted and outstanding under the Prior Plan at such time will remain subject to the terms of the Prior Plan.</w:t>
      </w:r>
    </w:p>
    <w:p>
      <w:pPr>
        <w:spacing w:after="0" w:line="328"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82" w:lineRule="auto"/>
        <w:tabs>
          <w:tab w:leader="none" w:pos="834"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the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844" w:hanging="404"/>
        <w:spacing w:after="0"/>
        <w:tabs>
          <w:tab w:leader="none" w:pos="844"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Board</w:t>
      </w:r>
      <w:r>
        <w:rPr>
          <w:rFonts w:ascii="Arial" w:cs="Arial" w:eastAsia="Arial" w:hAnsi="Arial"/>
          <w:sz w:val="17"/>
          <w:szCs w:val="17"/>
          <w:color w:val="auto"/>
        </w:rPr>
        <w:t>. The Board will have the power, subject to, and within the limitations of, the express provisions of the Plan:</w:t>
      </w:r>
    </w:p>
    <w:p>
      <w:pPr>
        <w:spacing w:after="0" w:line="240" w:lineRule="exact"/>
        <w:rPr>
          <w:rFonts w:ascii="Arial" w:cs="Arial" w:eastAsia="Arial" w:hAnsi="Arial"/>
          <w:sz w:val="17"/>
          <w:szCs w:val="17"/>
          <w:b w:val="1"/>
          <w:bCs w:val="1"/>
          <w:color w:val="auto"/>
        </w:rPr>
      </w:pPr>
    </w:p>
    <w:p>
      <w:pPr>
        <w:ind w:left="4" w:right="20" w:firstLine="987"/>
        <w:spacing w:after="0" w:line="259" w:lineRule="auto"/>
        <w:tabs>
          <w:tab w:leader="none" w:pos="1342" w:val="left"/>
        </w:tabs>
        <w:numPr>
          <w:ilvl w:val="2"/>
          <w:numId w:val="229"/>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Stock Awards; (B) when and how each Stock Award will be granted; (C) what type or combination of types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86" w:lineRule="exact"/>
        <w:rPr>
          <w:rFonts w:ascii="Arial" w:cs="Arial" w:eastAsia="Arial" w:hAnsi="Arial"/>
          <w:sz w:val="18"/>
          <w:szCs w:val="18"/>
          <w:b w:val="1"/>
          <w:bCs w:val="1"/>
          <w:color w:val="auto"/>
        </w:rPr>
      </w:pPr>
    </w:p>
    <w:p>
      <w:pPr>
        <w:ind w:left="4" w:right="140" w:firstLine="987"/>
        <w:spacing w:after="0" w:line="311" w:lineRule="auto"/>
        <w:tabs>
          <w:tab w:leader="none" w:pos="1392" w:val="left"/>
        </w:tabs>
        <w:numPr>
          <w:ilvl w:val="2"/>
          <w:numId w:val="229"/>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80" w:name="page281"/>
    <w:bookmarkEnd w:id="280"/>
    <w:p>
      <w:pPr>
        <w:ind w:left="1444" w:hanging="453"/>
        <w:spacing w:after="0"/>
        <w:tabs>
          <w:tab w:leader="none" w:pos="1444"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Stock Awards granted under it.</w:t>
      </w:r>
    </w:p>
    <w:p>
      <w:pPr>
        <w:spacing w:after="0" w:line="225" w:lineRule="exact"/>
        <w:rPr>
          <w:rFonts w:ascii="Arial" w:cs="Arial" w:eastAsia="Arial" w:hAnsi="Arial"/>
          <w:sz w:val="18"/>
          <w:szCs w:val="18"/>
          <w:b w:val="1"/>
          <w:bCs w:val="1"/>
          <w:color w:val="auto"/>
        </w:rPr>
      </w:pPr>
    </w:p>
    <w:p>
      <w:pPr>
        <w:ind w:left="4" w:right="180" w:firstLine="987"/>
        <w:spacing w:after="0" w:line="277" w:lineRule="auto"/>
        <w:tabs>
          <w:tab w:leader="none" w:pos="1432"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 Stock Award may be exercised or vest (or the time at which cash or shares of Common Stock may be issued in settlement thereof).</w:t>
      </w:r>
    </w:p>
    <w:p>
      <w:pPr>
        <w:spacing w:after="0" w:line="170" w:lineRule="exact"/>
        <w:rPr>
          <w:rFonts w:ascii="Arial" w:cs="Arial" w:eastAsia="Arial" w:hAnsi="Arial"/>
          <w:sz w:val="18"/>
          <w:szCs w:val="18"/>
          <w:b w:val="1"/>
          <w:bCs w:val="1"/>
          <w:color w:val="auto"/>
        </w:rPr>
      </w:pPr>
    </w:p>
    <w:p>
      <w:pPr>
        <w:ind w:left="4" w:right="220" w:firstLine="987"/>
        <w:spacing w:after="0" w:line="263" w:lineRule="auto"/>
        <w:tabs>
          <w:tab w:leader="none" w:pos="1382" w:val="left"/>
        </w:tabs>
        <w:numPr>
          <w:ilvl w:val="1"/>
          <w:numId w:val="230"/>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 Stock Award Agreement, suspension or termination of the Plan will not materially impair a Participant’s economic rights under the Participant’s then-outstanding Stock Award without the affected Participant’s written consent except as provided in subsection (viii) below.</w:t>
      </w:r>
    </w:p>
    <w:p>
      <w:pPr>
        <w:spacing w:after="0" w:line="183" w:lineRule="exact"/>
        <w:rPr>
          <w:rFonts w:ascii="Arial" w:cs="Arial" w:eastAsia="Arial" w:hAnsi="Arial"/>
          <w:sz w:val="18"/>
          <w:szCs w:val="18"/>
          <w:b w:val="1"/>
          <w:bCs w:val="1"/>
          <w:color w:val="auto"/>
        </w:rPr>
      </w:pPr>
    </w:p>
    <w:p>
      <w:pPr>
        <w:ind w:left="4" w:right="60" w:firstLine="987"/>
        <w:spacing w:after="0" w:line="284" w:lineRule="auto"/>
        <w:tabs>
          <w:tab w:leader="none" w:pos="1432"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w:t>
      </w:r>
    </w:p>
    <w:p>
      <w:pPr>
        <w:ind w:left="4" w:right="440" w:hanging="4"/>
        <w:spacing w:after="0" w:line="255" w:lineRule="auto"/>
        <w:tabs>
          <w:tab w:leader="none" w:pos="27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materially extends the term of the Plan, or (F) materially expands the types of Stock Awards available for issuance under the Plan. Except as otherwise provided in the Plan (including subsection (viii) below) or a Stock Award Agreement, no amendment of the Plan will materially impair a Participant’s economic rights under an outstanding Stock Award without the Participant’s written consent.</w:t>
      </w:r>
    </w:p>
    <w:p>
      <w:pPr>
        <w:spacing w:after="0" w:line="189" w:lineRule="exact"/>
        <w:rPr>
          <w:rFonts w:ascii="Arial" w:cs="Arial" w:eastAsia="Arial" w:hAnsi="Arial"/>
          <w:sz w:val="18"/>
          <w:szCs w:val="18"/>
          <w:color w:val="auto"/>
        </w:rPr>
      </w:pPr>
    </w:p>
    <w:p>
      <w:pPr>
        <w:ind w:left="4" w:right="240" w:firstLine="987"/>
        <w:spacing w:after="0" w:line="277" w:lineRule="auto"/>
        <w:tabs>
          <w:tab w:leader="none" w:pos="1482"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70" w:lineRule="exact"/>
        <w:rPr>
          <w:rFonts w:ascii="Arial" w:cs="Arial" w:eastAsia="Arial" w:hAnsi="Arial"/>
          <w:sz w:val="18"/>
          <w:szCs w:val="18"/>
          <w:b w:val="1"/>
          <w:bCs w:val="1"/>
          <w:color w:val="auto"/>
        </w:rPr>
      </w:pPr>
    </w:p>
    <w:p>
      <w:pPr>
        <w:ind w:left="4" w:firstLine="987"/>
        <w:spacing w:after="0" w:line="287" w:lineRule="auto"/>
        <w:tabs>
          <w:tab w:leader="none" w:pos="1532"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provided in the Plan or the applicable Stock Award Agreement, a Participant’s rights under any Stock Award will not be materially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81" w:name="page282"/>
    <w:bookmarkEnd w:id="281"/>
    <w:p>
      <w:pPr>
        <w:ind w:left="4" w:right="60" w:firstLine="987"/>
        <w:spacing w:after="0" w:line="277" w:lineRule="auto"/>
        <w:tabs>
          <w:tab w:leader="none" w:pos="1435" w:val="left"/>
        </w:tabs>
        <w:numPr>
          <w:ilvl w:val="2"/>
          <w:numId w:val="2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Stock Awards.</w:t>
      </w:r>
    </w:p>
    <w:p>
      <w:pPr>
        <w:spacing w:after="0" w:line="170" w:lineRule="exact"/>
        <w:rPr>
          <w:rFonts w:ascii="Arial" w:cs="Arial" w:eastAsia="Arial" w:hAnsi="Arial"/>
          <w:sz w:val="18"/>
          <w:szCs w:val="18"/>
          <w:b w:val="1"/>
          <w:bCs w:val="1"/>
          <w:color w:val="auto"/>
        </w:rPr>
      </w:pPr>
    </w:p>
    <w:p>
      <w:pPr>
        <w:ind w:left="4" w:firstLine="987"/>
        <w:spacing w:after="0" w:line="311" w:lineRule="auto"/>
        <w:tabs>
          <w:tab w:leader="none" w:pos="1382" w:val="left"/>
        </w:tabs>
        <w:numPr>
          <w:ilvl w:val="2"/>
          <w:numId w:val="232"/>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48" w:lineRule="exact"/>
        <w:rPr>
          <w:rFonts w:ascii="Arial" w:cs="Arial" w:eastAsia="Arial" w:hAnsi="Arial"/>
          <w:sz w:val="16"/>
          <w:szCs w:val="16"/>
          <w:b w:val="1"/>
          <w:bCs w:val="1"/>
          <w:color w:val="auto"/>
        </w:rPr>
      </w:pPr>
    </w:p>
    <w:p>
      <w:pPr>
        <w:ind w:left="4" w:right="240" w:firstLine="987"/>
        <w:spacing w:after="0" w:line="291" w:lineRule="auto"/>
        <w:tabs>
          <w:tab w:leader="none" w:pos="1480" w:val="left"/>
        </w:tabs>
        <w:numPr>
          <w:ilvl w:val="2"/>
          <w:numId w:val="232"/>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4" w:hanging="4"/>
        <w:spacing w:after="0" w:line="253" w:lineRule="auto"/>
        <w:tabs>
          <w:tab w:leader="none" w:pos="25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8" w:lineRule="exact"/>
        <w:rPr>
          <w:rFonts w:ascii="Arial" w:cs="Arial" w:eastAsia="Arial" w:hAnsi="Arial"/>
          <w:sz w:val="18"/>
          <w:szCs w:val="18"/>
          <w:color w:val="auto"/>
        </w:rPr>
      </w:pPr>
    </w:p>
    <w:p>
      <w:pPr>
        <w:ind w:left="4" w:firstLine="436"/>
        <w:spacing w:after="0" w:line="292" w:lineRule="auto"/>
        <w:tabs>
          <w:tab w:leader="none" w:pos="824"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r>
        <w:rPr>
          <w:rFonts w:ascii="Arial" w:cs="Arial" w:eastAsia="Arial" w:hAnsi="Arial"/>
          <w:sz w:val="16"/>
          <w:szCs w:val="16"/>
          <w:color w:val="auto"/>
        </w:rPr>
        <w:t>. To the extent permitted by applicable law, the Board may delegate some or all of the administration of the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61" w:lineRule="exact"/>
        <w:rPr>
          <w:rFonts w:ascii="Arial" w:cs="Arial" w:eastAsia="Arial" w:hAnsi="Arial"/>
          <w:sz w:val="16"/>
          <w:szCs w:val="16"/>
          <w:b w:val="1"/>
          <w:bCs w:val="1"/>
          <w:color w:val="auto"/>
        </w:rPr>
      </w:pPr>
    </w:p>
    <w:p>
      <w:pPr>
        <w:ind w:left="4" w:firstLine="436"/>
        <w:spacing w:after="0" w:line="291" w:lineRule="auto"/>
        <w:tabs>
          <w:tab w:leader="none" w:pos="889"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an Officer</w:t>
      </w:r>
      <w:r>
        <w:rPr>
          <w:rFonts w:ascii="Arial" w:cs="Arial" w:eastAsia="Arial" w:hAnsi="Arial"/>
          <w:sz w:val="16"/>
          <w:szCs w:val="16"/>
          <w:color w:val="auto"/>
        </w:rPr>
        <w:t>. The Board may delegate to one or more Officers the authority to do one or both of the following: (i) designate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 below.</w:t>
      </w:r>
    </w:p>
    <w:p>
      <w:pPr>
        <w:spacing w:after="0" w:line="159" w:lineRule="exact"/>
        <w:rPr>
          <w:rFonts w:ascii="Arial" w:cs="Arial" w:eastAsia="Arial" w:hAnsi="Arial"/>
          <w:sz w:val="16"/>
          <w:szCs w:val="16"/>
          <w:b w:val="1"/>
          <w:bCs w:val="1"/>
          <w:color w:val="auto"/>
        </w:rPr>
      </w:pPr>
    </w:p>
    <w:p>
      <w:pPr>
        <w:ind w:left="4" w:right="380" w:firstLine="436"/>
        <w:spacing w:after="0" w:line="282" w:lineRule="auto"/>
        <w:tabs>
          <w:tab w:leader="none" w:pos="824"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82" w:name="page283"/>
    <w:bookmarkEnd w:id="282"/>
    <w:p>
      <w:pPr>
        <w:ind w:left="424" w:hanging="424"/>
        <w:spacing w:after="0"/>
        <w:tabs>
          <w:tab w:leader="none" w:pos="42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0" w:firstLine="987"/>
        <w:spacing w:after="0" w:line="270" w:lineRule="auto"/>
        <w:tabs>
          <w:tab w:leader="none" w:pos="1345" w:val="left"/>
        </w:tabs>
        <w:numPr>
          <w:ilvl w:val="2"/>
          <w:numId w:val="234"/>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9(a) relating to Capitalization Adjustments, the aggregate number of shares of Common Stock that may be issued pursuant to Stock Awards from and after the Effective Date will not exceed 1,634,926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which number represents the sum of (x) 1,363,826 shares available for issuance under the Prior Plan as of 12:01 a.m. Eastern time on the Effective Date plus (y) such number of shares, up to a maximum of 271,100 shares of Common Stock, subject to outstanding stock awards granted under the Prior Plan as of 12:01 a.m. Eastern time on the Effective Date that (1) expire or terminate for any reason prior to exercise or settlement or without all shares covered by such award having been issued; (2) are forfeited, cancelled or otherwise returned to the Company because of the failure to meet a contingency or condition required to vest such shares; or (3) are reacquired, repurchased or withheld (or not issued) to satisfy a tax withholding obligation in connection with an award or to satisfy the purchase price or exercise price of a stock award (such shares,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as and to the extent such Returning Shares become available from time to time.</w:t>
      </w:r>
    </w:p>
    <w:p>
      <w:pPr>
        <w:spacing w:after="0" w:line="180" w:lineRule="exact"/>
        <w:rPr>
          <w:rFonts w:ascii="Arial" w:cs="Arial" w:eastAsia="Arial" w:hAnsi="Arial"/>
          <w:sz w:val="17"/>
          <w:szCs w:val="17"/>
          <w:b w:val="1"/>
          <w:bCs w:val="1"/>
          <w:color w:val="auto"/>
        </w:rPr>
      </w:pPr>
    </w:p>
    <w:p>
      <w:pPr>
        <w:ind w:left="4" w:right="540" w:firstLine="987"/>
        <w:spacing w:after="0" w:line="308" w:lineRule="auto"/>
        <w:tabs>
          <w:tab w:leader="none" w:pos="1395" w:val="left"/>
        </w:tabs>
        <w:numPr>
          <w:ilvl w:val="2"/>
          <w:numId w:val="234"/>
        </w:numPr>
        <w:rPr>
          <w:rFonts w:ascii="Arial" w:cs="Arial" w:eastAsia="Arial" w:hAnsi="Arial"/>
          <w:sz w:val="17"/>
          <w:szCs w:val="17"/>
          <w:b w:val="1"/>
          <w:bCs w:val="1"/>
          <w:color w:val="auto"/>
        </w:rPr>
      </w:pPr>
      <w:r>
        <w:rPr>
          <w:rFonts w:ascii="Arial" w:cs="Arial" w:eastAsia="Arial" w:hAnsi="Arial"/>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42" w:lineRule="exact"/>
        <w:rPr>
          <w:rFonts w:ascii="Arial" w:cs="Arial" w:eastAsia="Arial" w:hAnsi="Arial"/>
          <w:sz w:val="17"/>
          <w:szCs w:val="17"/>
          <w:b w:val="1"/>
          <w:bCs w:val="1"/>
          <w:color w:val="auto"/>
        </w:rPr>
      </w:pPr>
    </w:p>
    <w:p>
      <w:pPr>
        <w:ind w:left="4" w:right="40" w:firstLine="436"/>
        <w:spacing w:after="0" w:line="292" w:lineRule="auto"/>
        <w:tabs>
          <w:tab w:leader="none" w:pos="844"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left="4" w:right="400" w:firstLine="436"/>
        <w:spacing w:after="0" w:line="266" w:lineRule="auto"/>
        <w:tabs>
          <w:tab w:leader="none" w:pos="824"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Share Reserve and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pursuant to the exercise of Incentive Stock Options will be a number of shares of Common Stock equal to five multiplied by the Share Reserve.</w:t>
      </w:r>
    </w:p>
    <w:p>
      <w:pPr>
        <w:spacing w:after="0" w:line="175" w:lineRule="exact"/>
        <w:rPr>
          <w:rFonts w:ascii="Arial" w:cs="Arial" w:eastAsia="Arial" w:hAnsi="Arial"/>
          <w:sz w:val="18"/>
          <w:szCs w:val="18"/>
          <w:b w:val="1"/>
          <w:bCs w:val="1"/>
          <w:color w:val="auto"/>
        </w:rPr>
      </w:pPr>
    </w:p>
    <w:p>
      <w:pPr>
        <w:ind w:left="4" w:right="480" w:firstLine="436"/>
        <w:spacing w:after="0" w:line="282" w:lineRule="auto"/>
        <w:tabs>
          <w:tab w:leader="none" w:pos="844"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436"/>
        <w:spacing w:after="0" w:line="298" w:lineRule="auto"/>
        <w:tabs>
          <w:tab w:leader="none" w:pos="834"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283" w:name="page284"/>
    <w:bookmarkEnd w:id="283"/>
    <w:p>
      <w:pPr>
        <w:ind w:left="4"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61" w:lineRule="exact"/>
        <w:rPr>
          <w:sz w:val="20"/>
          <w:szCs w:val="20"/>
          <w:color w:val="auto"/>
        </w:rPr>
      </w:pPr>
    </w:p>
    <w:p>
      <w:pPr>
        <w:ind w:left="4" w:right="220" w:firstLine="436"/>
        <w:spacing w:after="0" w:line="266" w:lineRule="auto"/>
        <w:tabs>
          <w:tab w:leader="none" w:pos="8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Stockholder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percent of the Fair Market Value on the date of grant and the Option is not exercisable after the expiration of five years from the date of grant.</w:t>
      </w:r>
    </w:p>
    <w:p>
      <w:pPr>
        <w:spacing w:after="0" w:line="175" w:lineRule="exact"/>
        <w:rPr>
          <w:rFonts w:ascii="Arial" w:cs="Arial" w:eastAsia="Arial" w:hAnsi="Arial"/>
          <w:sz w:val="18"/>
          <w:szCs w:val="18"/>
          <w:b w:val="1"/>
          <w:bCs w:val="1"/>
          <w:color w:val="auto"/>
        </w:rPr>
      </w:pPr>
    </w:p>
    <w:p>
      <w:pPr>
        <w:ind w:left="4" w:right="60" w:firstLine="436"/>
        <w:spacing w:after="0" w:line="258" w:lineRule="auto"/>
        <w:tabs>
          <w:tab w:leader="none" w:pos="82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will not be eligible for the grant of a Stock Award if, at the time of grant, either the offer or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2" w:lineRule="exact"/>
        <w:rPr>
          <w:sz w:val="20"/>
          <w:szCs w:val="20"/>
          <w:color w:val="auto"/>
        </w:rPr>
      </w:pPr>
    </w:p>
    <w:p>
      <w:pPr>
        <w:ind w:left="424" w:hanging="424"/>
        <w:spacing w:after="0"/>
        <w:tabs>
          <w:tab w:leader="none" w:pos="42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color w:val="auto"/>
        </w:rPr>
        <w:t>.</w:t>
      </w:r>
    </w:p>
    <w:p>
      <w:pPr>
        <w:spacing w:after="0" w:line="121"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162" w:lineRule="exact"/>
        <w:rPr>
          <w:sz w:val="20"/>
          <w:szCs w:val="20"/>
          <w:color w:val="auto"/>
        </w:rPr>
      </w:pPr>
    </w:p>
    <w:p>
      <w:pPr>
        <w:ind w:left="4" w:right="700" w:firstLine="436"/>
        <w:spacing w:after="0" w:line="312" w:lineRule="auto"/>
        <w:tabs>
          <w:tab w:leader="none" w:pos="834"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4(b) regarding Ten Percent Stockholders, no Option or SAR will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10 years from the date of its grant or such shorter period specified in the Stock Award Agreement.</w:t>
      </w:r>
    </w:p>
    <w:p>
      <w:pPr>
        <w:spacing w:after="0" w:line="139" w:lineRule="exact"/>
        <w:rPr>
          <w:rFonts w:ascii="Arial" w:cs="Arial" w:eastAsia="Arial" w:hAnsi="Arial"/>
          <w:sz w:val="17"/>
          <w:szCs w:val="17"/>
          <w:b w:val="1"/>
          <w:bCs w:val="1"/>
          <w:color w:val="auto"/>
        </w:rPr>
      </w:pPr>
    </w:p>
    <w:p>
      <w:pPr>
        <w:ind w:left="4" w:firstLine="436"/>
        <w:spacing w:after="0" w:line="255" w:lineRule="auto"/>
        <w:tabs>
          <w:tab w:leader="none" w:pos="84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Unless otherwise determined by the Board, and subject to the provisions of Section 4(b) regarding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the exercise or strike price of each Option or SAR will be not less than 100 percent of the Fair Market Value of the Common Stock subject to the Option or SAR on the date the Stock Award is granted. Notwithstanding the foregoing, an Option or SAR may be granted with an exercise or strike price lower than 100 percent of the Fair Market Value of the Common Stock subject to the Stock Award if such Stock Award is granted pursuant to an assumption of or substitution for another option or stock appreciation right pursuant to a Transaction and in a manner consistent with the provisions of Section 409A of the Code and, if applicable, Section 424(a) of the Code. Each SAR will be denominated in shares of Common Stock equivalents.</w:t>
      </w:r>
    </w:p>
    <w:p>
      <w:pPr>
        <w:spacing w:after="0" w:line="188" w:lineRule="exact"/>
        <w:rPr>
          <w:rFonts w:ascii="Arial" w:cs="Arial" w:eastAsia="Arial" w:hAnsi="Arial"/>
          <w:sz w:val="18"/>
          <w:szCs w:val="18"/>
          <w:b w:val="1"/>
          <w:bCs w:val="1"/>
          <w:color w:val="auto"/>
        </w:rPr>
      </w:pPr>
    </w:p>
    <w:p>
      <w:pPr>
        <w:ind w:left="4" w:firstLine="436"/>
        <w:spacing w:after="0" w:line="266" w:lineRule="auto"/>
        <w:tabs>
          <w:tab w:leader="none" w:pos="82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for Options</w:t>
      </w:r>
      <w:r>
        <w:rPr>
          <w:rFonts w:ascii="Arial" w:cs="Arial" w:eastAsia="Arial" w:hAnsi="Arial"/>
          <w:sz w:val="18"/>
          <w:szCs w:val="18"/>
          <w:color w:val="auto"/>
        </w:rPr>
        <w:t>. The purchase price of Common Stock acquired pursuant to the exercise of an Option may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restrict the ability to use certain methods) and to grant Options that require the consent of the Company to use a particular method of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permitted methods of payment are as follows:</w:t>
      </w:r>
    </w:p>
    <w:p>
      <w:pPr>
        <w:spacing w:after="0" w:line="211" w:lineRule="exact"/>
        <w:rPr>
          <w:sz w:val="20"/>
          <w:szCs w:val="20"/>
          <w:color w:val="auto"/>
        </w:rPr>
      </w:pPr>
    </w:p>
    <w:p>
      <w:pPr>
        <w:ind w:left="1340" w:hanging="353"/>
        <w:spacing w:after="0"/>
        <w:tabs>
          <w:tab w:leader="none" w:pos="1340"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right="80" w:firstLine="987"/>
        <w:spacing w:after="0" w:line="263" w:lineRule="auto"/>
        <w:tabs>
          <w:tab w:leader="none" w:pos="1391"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left="1440" w:hanging="453"/>
        <w:spacing w:after="0"/>
        <w:tabs>
          <w:tab w:leader="none" w:pos="1440"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right="180" w:firstLine="987"/>
        <w:spacing w:after="0" w:line="254" w:lineRule="auto"/>
        <w:tabs>
          <w:tab w:leader="none" w:pos="1431"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spacing w:after="0" w:line="194" w:lineRule="exact"/>
        <w:rPr>
          <w:rFonts w:ascii="Arial" w:cs="Arial" w:eastAsia="Arial" w:hAnsi="Arial"/>
          <w:sz w:val="18"/>
          <w:szCs w:val="18"/>
          <w:b w:val="1"/>
          <w:bCs w:val="1"/>
          <w:color w:val="auto"/>
        </w:rPr>
      </w:pPr>
    </w:p>
    <w:p>
      <w:pPr>
        <w:ind w:firstLine="987"/>
        <w:spacing w:after="0" w:line="255" w:lineRule="auto"/>
        <w:tabs>
          <w:tab w:leader="none" w:pos="1381"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(including by the Optionholder delivering to the Company a promissory note on such terms determined by the Board in its sole discretion, if the Board has expressly authorized the loan of funds to the Optionholder for the purpose of enabling or assisting the Optionholder to effect the exercise of his or her Option);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92"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38"/>
        </w:numPr>
        <w:rPr>
          <w:rFonts w:ascii="Arial" w:cs="Arial" w:eastAsia="Arial" w:hAnsi="Arial"/>
          <w:sz w:val="16"/>
          <w:szCs w:val="16"/>
          <w:b w:val="1"/>
          <w:bCs w:val="1"/>
          <w:color w:val="auto"/>
        </w:rPr>
      </w:pPr>
      <w:r>
        <w:rPr>
          <w:rFonts w:ascii="Arial" w:cs="Arial" w:eastAsia="Arial" w:hAnsi="Arial"/>
          <w:sz w:val="16"/>
          <w:szCs w:val="16"/>
          <w:color w:val="auto"/>
        </w:rPr>
        <w:t>in any other form of legal consideration that may be acceptable to the Board and specified in the applicable Stock Award Agreement.</w:t>
      </w:r>
    </w:p>
    <w:p>
      <w:pPr>
        <w:spacing w:after="0" w:line="244" w:lineRule="exact"/>
        <w:rPr>
          <w:rFonts w:ascii="Arial" w:cs="Arial" w:eastAsia="Arial" w:hAnsi="Arial"/>
          <w:sz w:val="16"/>
          <w:szCs w:val="16"/>
          <w:b w:val="1"/>
          <w:bCs w:val="1"/>
          <w:color w:val="auto"/>
        </w:rPr>
      </w:pPr>
    </w:p>
    <w:p>
      <w:pPr>
        <w:ind w:firstLine="436"/>
        <w:spacing w:after="0" w:line="254" w:lineRule="auto"/>
        <w:tabs>
          <w:tab w:leader="none" w:pos="8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85" w:name="page286"/>
    <w:bookmarkEnd w:id="285"/>
    <w:p>
      <w:pPr>
        <w:ind w:firstLine="436"/>
        <w:spacing w:after="0" w:line="266" w:lineRule="auto"/>
        <w:tabs>
          <w:tab w:leader="none" w:pos="82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Transferability of Options and SARs</w:t>
      </w:r>
      <w:r>
        <w:rPr>
          <w:rFonts w:ascii="Arial" w:cs="Arial" w:eastAsia="Arial" w:hAnsi="Arial"/>
          <w:sz w:val="18"/>
          <w:szCs w:val="18"/>
          <w:color w:val="auto"/>
        </w:rPr>
        <w:t>. 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ind w:right="80" w:firstLine="987"/>
        <w:spacing w:after="0" w:line="261" w:lineRule="auto"/>
        <w:tabs>
          <w:tab w:leader="none" w:pos="1341"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9" w:lineRule="exact"/>
        <w:rPr>
          <w:rFonts w:ascii="Arial" w:cs="Arial" w:eastAsia="Arial" w:hAnsi="Arial"/>
          <w:sz w:val="18"/>
          <w:szCs w:val="18"/>
          <w:b w:val="1"/>
          <w:bCs w:val="1"/>
          <w:color w:val="auto"/>
        </w:rPr>
      </w:pPr>
    </w:p>
    <w:p>
      <w:pPr>
        <w:ind w:right="20" w:firstLine="987"/>
        <w:spacing w:after="0" w:line="261" w:lineRule="auto"/>
        <w:tabs>
          <w:tab w:leader="none" w:pos="1391"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right="20" w:firstLine="987"/>
        <w:spacing w:after="0" w:line="255" w:lineRule="auto"/>
        <w:tabs>
          <w:tab w:leader="none" w:pos="1441"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8" w:lineRule="exact"/>
        <w:rPr>
          <w:rFonts w:ascii="Arial" w:cs="Arial" w:eastAsia="Arial" w:hAnsi="Arial"/>
          <w:sz w:val="18"/>
          <w:szCs w:val="18"/>
          <w:b w:val="1"/>
          <w:bCs w:val="1"/>
          <w:color w:val="auto"/>
        </w:rPr>
      </w:pPr>
    </w:p>
    <w:p>
      <w:pPr>
        <w:ind w:right="100" w:firstLine="436"/>
        <w:spacing w:after="0" w:line="277" w:lineRule="auto"/>
        <w:tabs>
          <w:tab w:leader="none" w:pos="80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firstLine="436"/>
        <w:spacing w:after="0" w:line="272" w:lineRule="auto"/>
        <w:tabs>
          <w:tab w:leader="none" w:pos="83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Continuous Service</w:t>
      </w:r>
      <w:r>
        <w:rPr>
          <w:rFonts w:ascii="Arial" w:cs="Arial" w:eastAsia="Arial" w:hAnsi="Arial"/>
          <w:sz w:val="17"/>
          <w:szCs w:val="17"/>
          <w:color w:val="auto"/>
        </w:rPr>
        <w:t>. Except as otherwise provided in the applicable Stock Award Agreement or other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spacing w:after="0" w:line="171" w:lineRule="exact"/>
        <w:rPr>
          <w:rFonts w:ascii="Arial" w:cs="Arial" w:eastAsia="Arial" w:hAnsi="Arial"/>
          <w:sz w:val="17"/>
          <w:szCs w:val="17"/>
          <w:b w:val="1"/>
          <w:bCs w:val="1"/>
          <w:color w:val="auto"/>
        </w:rPr>
      </w:pPr>
    </w:p>
    <w:p>
      <w:pPr>
        <w:ind w:right="240" w:firstLine="436"/>
        <w:spacing w:after="0" w:line="289" w:lineRule="auto"/>
        <w:tabs>
          <w:tab w:leader="none" w:pos="84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Except as otherwise provided in the applicable Stock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the exercise of an Option or SAR following the termination of the Participant’s Continuous Service (other than for Cause and other than upon the Participant’s death or Disability) would be prohibited at any time solely because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86" w:name="page287"/>
    <w:bookmarkEnd w:id="286"/>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the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and (ii) the expiration of the term of the Option or SAR as set forth in the applicable Stock Award Agreement.</w:t>
      </w:r>
    </w:p>
    <w:p>
      <w:pPr>
        <w:spacing w:after="0" w:line="181" w:lineRule="exact"/>
        <w:rPr>
          <w:sz w:val="20"/>
          <w:szCs w:val="20"/>
          <w:color w:val="auto"/>
        </w:rPr>
      </w:pPr>
    </w:p>
    <w:p>
      <w:pPr>
        <w:ind w:right="120" w:firstLine="436"/>
        <w:spacing w:after="0" w:line="254" w:lineRule="auto"/>
        <w:tabs>
          <w:tab w:leader="none" w:pos="79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of Participant</w:t>
      </w:r>
      <w:r>
        <w:rPr>
          <w:rFonts w:ascii="Arial" w:cs="Arial" w:eastAsia="Arial" w:hAnsi="Arial"/>
          <w:sz w:val="18"/>
          <w:szCs w:val="18"/>
          <w:color w:val="auto"/>
        </w:rPr>
        <w:t>. 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91" w:lineRule="exact"/>
        <w:rPr>
          <w:rFonts w:ascii="Arial" w:cs="Arial" w:eastAsia="Arial" w:hAnsi="Arial"/>
          <w:sz w:val="18"/>
          <w:szCs w:val="18"/>
          <w:b w:val="1"/>
          <w:bCs w:val="1"/>
          <w:color w:val="auto"/>
        </w:rPr>
      </w:pPr>
    </w:p>
    <w:p>
      <w:pPr>
        <w:ind w:firstLine="436"/>
        <w:spacing w:after="0" w:line="253" w:lineRule="auto"/>
        <w:tabs>
          <w:tab w:leader="none" w:pos="8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Stock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unless such termination is for Cause),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94" w:lineRule="exact"/>
        <w:rPr>
          <w:rFonts w:ascii="Arial" w:cs="Arial" w:eastAsia="Arial" w:hAnsi="Arial"/>
          <w:sz w:val="18"/>
          <w:szCs w:val="18"/>
          <w:b w:val="1"/>
          <w:bCs w:val="1"/>
          <w:color w:val="auto"/>
        </w:rPr>
      </w:pPr>
    </w:p>
    <w:p>
      <w:pPr>
        <w:ind w:right="160" w:firstLine="436"/>
        <w:spacing w:after="0" w:line="261" w:lineRule="auto"/>
        <w:tabs>
          <w:tab w:leader="none" w:pos="88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Except as explicitly provided otherwise in a Participant’s Stock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79" w:lineRule="exact"/>
        <w:rPr>
          <w:rFonts w:ascii="Arial" w:cs="Arial" w:eastAsia="Arial" w:hAnsi="Arial"/>
          <w:sz w:val="18"/>
          <w:szCs w:val="18"/>
          <w:b w:val="1"/>
          <w:bCs w:val="1"/>
          <w:color w:val="auto"/>
        </w:rPr>
      </w:pPr>
    </w:p>
    <w:p>
      <w:pPr>
        <w:ind w:right="400" w:firstLine="436"/>
        <w:spacing w:after="0" w:line="282" w:lineRule="auto"/>
        <w:tabs>
          <w:tab w:leader="none" w:pos="79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If an Option or SAR is granted to an Employee who is a non-exempt employee for purposes of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the Option or SAR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7" w:name="page288"/>
    <w:bookmarkEnd w:id="287"/>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8" w:lineRule="exact"/>
        <w:rPr>
          <w:sz w:val="20"/>
          <w:szCs w:val="20"/>
          <w:color w:val="auto"/>
        </w:rPr>
      </w:pPr>
    </w:p>
    <w:p>
      <w:pPr>
        <w:ind w:left="4" w:right="140" w:firstLine="436"/>
        <w:spacing w:after="0" w:line="294" w:lineRule="auto"/>
        <w:tabs>
          <w:tab w:leader="none" w:pos="894" w:val="left"/>
        </w:tabs>
        <w:numPr>
          <w:ilvl w:val="1"/>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Early Exercise of Options</w:t>
      </w:r>
      <w:r>
        <w:rPr>
          <w:rFonts w:ascii="Arial" w:cs="Arial" w:eastAsia="Arial" w:hAnsi="Arial"/>
          <w:sz w:val="16"/>
          <w:szCs w:val="16"/>
          <w:color w:val="auto"/>
        </w:rPr>
        <w:t>. An Option may, but need not, include a provision whereby the Optionholder may elect at any time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Optionholder’s Continuous Service terminates to exercise the Option as to any part or all of the shares of Common Stock subject to the Option prior to the full vesting of the Option. Any unvested shares of Common Stock so purchased may be subject to a repurchase right in favor of the Company or to any other restriction the Board determines to be appropriate.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59" w:lineRule="exact"/>
        <w:rPr>
          <w:rFonts w:ascii="Arial" w:cs="Arial" w:eastAsia="Arial" w:hAnsi="Arial"/>
          <w:sz w:val="16"/>
          <w:szCs w:val="16"/>
          <w:b w:val="1"/>
          <w:bCs w:val="1"/>
          <w:color w:val="auto"/>
        </w:rPr>
      </w:pPr>
    </w:p>
    <w:p>
      <w:pPr>
        <w:ind w:left="4" w:right="380" w:firstLine="436"/>
        <w:spacing w:after="0" w:line="282" w:lineRule="auto"/>
        <w:tabs>
          <w:tab w:leader="none" w:pos="844"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The Option or SAR may include a provision whereby the Company may elect to repurchase all or any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acquired by the Participant pursuant to the exercise of the Option or SAR.</w:t>
      </w:r>
    </w:p>
    <w:p>
      <w:pPr>
        <w:spacing w:after="0" w:line="161" w:lineRule="exact"/>
        <w:rPr>
          <w:rFonts w:ascii="Arial" w:cs="Arial" w:eastAsia="Arial" w:hAnsi="Arial"/>
          <w:sz w:val="18"/>
          <w:szCs w:val="18"/>
          <w:b w:val="1"/>
          <w:bCs w:val="1"/>
          <w:color w:val="auto"/>
        </w:rPr>
      </w:pPr>
    </w:p>
    <w:p>
      <w:pPr>
        <w:ind w:left="4" w:right="120" w:firstLine="436"/>
        <w:spacing w:after="0" w:line="261" w:lineRule="auto"/>
        <w:tabs>
          <w:tab w:leader="none" w:pos="834"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Except as expressly provided in this Section 5(o) or in the Stock Award Agreement, such right of first refusal will otherwise comply with any applicable provisions of the bylaws of the Company.</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160" w:firstLine="436"/>
        <w:spacing w:after="0" w:line="274" w:lineRule="auto"/>
        <w:tabs>
          <w:tab w:leader="none" w:pos="834" w:val="left"/>
        </w:tabs>
        <w:numPr>
          <w:ilvl w:val="1"/>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r>
        <w:rPr>
          <w:rFonts w:ascii="Arial" w:cs="Arial" w:eastAsia="Arial" w:hAnsi="Arial"/>
          <w:sz w:val="17"/>
          <w:szCs w:val="17"/>
          <w:color w:val="auto"/>
        </w:rPr>
        <w:t>. 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will deem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incorporation of the provisions hereof by reference in the agreement or otherwise) the substance of each of the following provisions:</w:t>
      </w:r>
    </w:p>
    <w:p>
      <w:pPr>
        <w:spacing w:after="0" w:line="233" w:lineRule="exact"/>
        <w:rPr>
          <w:sz w:val="20"/>
          <w:szCs w:val="20"/>
          <w:color w:val="auto"/>
        </w:rPr>
      </w:pPr>
    </w:p>
    <w:p>
      <w:pPr>
        <w:ind w:right="100" w:firstLine="987"/>
        <w:spacing w:after="0" w:line="266" w:lineRule="auto"/>
        <w:tabs>
          <w:tab w:leader="none" w:pos="1341"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or cash equivalents, (B) past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 Affiliate, or (C) any other form of legal consideration (including future services)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right="660" w:firstLine="987"/>
        <w:spacing w:after="0" w:line="282" w:lineRule="auto"/>
        <w:tabs>
          <w:tab w:leader="none" w:pos="1391"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161" w:lineRule="exact"/>
        <w:rPr>
          <w:rFonts w:ascii="Arial" w:cs="Arial" w:eastAsia="Arial" w:hAnsi="Arial"/>
          <w:sz w:val="18"/>
          <w:szCs w:val="18"/>
          <w:b w:val="1"/>
          <w:bCs w:val="1"/>
          <w:color w:val="auto"/>
        </w:rPr>
      </w:pPr>
    </w:p>
    <w:p>
      <w:pPr>
        <w:ind w:right="140" w:firstLine="987"/>
        <w:spacing w:after="0" w:line="289" w:lineRule="auto"/>
        <w:tabs>
          <w:tab w:leader="none" w:pos="1441"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Participant’s Continuous Service</w:t>
      </w:r>
      <w:r>
        <w:rPr>
          <w:rFonts w:ascii="Arial" w:cs="Arial" w:eastAsia="Arial" w:hAnsi="Arial"/>
          <w:sz w:val="17"/>
          <w:szCs w:val="17"/>
          <w:color w:val="auto"/>
        </w:rPr>
        <w:t>. If a Participant’s Continuous Service terminates, the Company may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 forfeiture condition and/or a repurchase or reacquisition right, any or all of the shares of Common Stock held by the Participant that have not vested as of the date of termination of Continuous Service under the terms of the Restricted Stock Award Agreement.</w:t>
      </w:r>
    </w:p>
    <w:p>
      <w:pPr>
        <w:spacing w:after="0" w:line="157" w:lineRule="exact"/>
        <w:rPr>
          <w:rFonts w:ascii="Arial" w:cs="Arial" w:eastAsia="Arial" w:hAnsi="Arial"/>
          <w:sz w:val="17"/>
          <w:szCs w:val="17"/>
          <w:b w:val="1"/>
          <w:bCs w:val="1"/>
          <w:color w:val="auto"/>
        </w:rPr>
      </w:pPr>
    </w:p>
    <w:p>
      <w:pPr>
        <w:ind w:firstLine="987"/>
        <w:spacing w:after="0" w:line="261" w:lineRule="auto"/>
        <w:tabs>
          <w:tab w:leader="none" w:pos="1431"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will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9" w:lineRule="exact"/>
        <w:rPr>
          <w:rFonts w:ascii="Arial" w:cs="Arial" w:eastAsia="Arial" w:hAnsi="Arial"/>
          <w:sz w:val="18"/>
          <w:szCs w:val="18"/>
          <w:b w:val="1"/>
          <w:bCs w:val="1"/>
          <w:color w:val="auto"/>
        </w:rPr>
      </w:pPr>
    </w:p>
    <w:p>
      <w:pPr>
        <w:ind w:right="380" w:firstLine="987"/>
        <w:spacing w:after="0" w:line="312" w:lineRule="auto"/>
        <w:tabs>
          <w:tab w:leader="none" w:pos="1381"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 A Restricted Stock Award Agreement may provide that any dividends paid on Restricted Stock will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vesting and forfeiture restrictions as apply to the shares subject to the Restricted Stock Award to which they relate</w:t>
      </w:r>
    </w:p>
    <w:p>
      <w:pPr>
        <w:spacing w:after="0" w:line="139" w:lineRule="exact"/>
        <w:rPr>
          <w:rFonts w:ascii="Arial" w:cs="Arial" w:eastAsia="Arial" w:hAnsi="Arial"/>
          <w:sz w:val="17"/>
          <w:szCs w:val="17"/>
          <w:b w:val="1"/>
          <w:bCs w:val="1"/>
          <w:color w:val="auto"/>
        </w:rPr>
      </w:pPr>
    </w:p>
    <w:p>
      <w:pPr>
        <w:ind w:right="660" w:firstLine="987"/>
        <w:spacing w:after="0" w:line="312" w:lineRule="auto"/>
        <w:tabs>
          <w:tab w:leader="none" w:pos="1431"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Right of Repurchase</w:t>
      </w:r>
      <w:r>
        <w:rPr>
          <w:rFonts w:ascii="Arial" w:cs="Arial" w:eastAsia="Arial" w:hAnsi="Arial"/>
          <w:sz w:val="17"/>
          <w:szCs w:val="17"/>
          <w:color w:val="auto"/>
        </w:rPr>
        <w:t>. The Restricted Stock Award Agreement may include a provision whereby the Company may elect to</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 all or any part of the shares of Common Stock acquired by the Participant pursuant to the Restricted Stock Award.</w:t>
      </w:r>
    </w:p>
    <w:p>
      <w:pPr>
        <w:spacing w:after="0" w:line="139" w:lineRule="exact"/>
        <w:rPr>
          <w:rFonts w:ascii="Arial" w:cs="Arial" w:eastAsia="Arial" w:hAnsi="Arial"/>
          <w:sz w:val="17"/>
          <w:szCs w:val="17"/>
          <w:b w:val="1"/>
          <w:bCs w:val="1"/>
          <w:color w:val="auto"/>
        </w:rPr>
      </w:pPr>
    </w:p>
    <w:p>
      <w:pPr>
        <w:ind w:right="140" w:firstLine="436"/>
        <w:spacing w:after="0" w:line="258" w:lineRule="auto"/>
        <w:tabs>
          <w:tab w:leader="none" w:pos="8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83" w:lineRule="exact"/>
        <w:rPr>
          <w:rFonts w:ascii="Arial" w:cs="Arial" w:eastAsia="Arial" w:hAnsi="Arial"/>
          <w:sz w:val="18"/>
          <w:szCs w:val="18"/>
          <w:b w:val="1"/>
          <w:bCs w:val="1"/>
          <w:color w:val="auto"/>
        </w:rPr>
      </w:pPr>
    </w:p>
    <w:p>
      <w:pPr>
        <w:ind w:right="20" w:firstLine="987"/>
        <w:spacing w:after="0" w:line="261" w:lineRule="auto"/>
        <w:tabs>
          <w:tab w:leader="none" w:pos="1341"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right="240" w:firstLine="987"/>
        <w:spacing w:after="0" w:line="282" w:lineRule="auto"/>
        <w:tabs>
          <w:tab w:leader="none" w:pos="1391"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89" w:name="page290"/>
    <w:bookmarkEnd w:id="289"/>
    <w:p>
      <w:pPr>
        <w:ind w:left="4" w:right="240" w:firstLine="987"/>
        <w:spacing w:after="0" w:line="347" w:lineRule="auto"/>
        <w:tabs>
          <w:tab w:leader="none" w:pos="1445" w:val="left"/>
        </w:tabs>
        <w:numPr>
          <w:ilvl w:val="2"/>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jc w:val="both"/>
        <w:ind w:left="4" w:firstLine="987"/>
        <w:spacing w:after="0" w:line="303" w:lineRule="auto"/>
        <w:tabs>
          <w:tab w:leader="none" w:pos="1435" w:val="left"/>
        </w:tabs>
        <w:numPr>
          <w:ilvl w:val="2"/>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Restrictions</w:t>
      </w:r>
      <w:r>
        <w:rPr>
          <w:rFonts w:ascii="Arial" w:cs="Arial" w:eastAsia="Arial" w:hAnsi="Arial"/>
          <w:sz w:val="16"/>
          <w:szCs w:val="16"/>
          <w:color w:val="auto"/>
        </w:rPr>
        <w:t>. At the time of the grant of a Restricted Stock Unit Award, the Board, as it deems appropriate, may impose</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restrictions or conditions that delay the delivery of the shares of Common Stock (or their cash equivalent) subject to a Restricted Stock Unit Award to a time after the vesting of such Restricted Stock Unit Award. The Restricted Stock Unit Award may include a provision whereby the Company may elect to repurchase all or any part of the shares of Common Stock issued to the participant in connection with the Restricted Stock Unit Award.</w:t>
      </w:r>
    </w:p>
    <w:p>
      <w:pPr>
        <w:spacing w:after="0" w:line="150" w:lineRule="exact"/>
        <w:rPr>
          <w:rFonts w:ascii="Arial" w:cs="Arial" w:eastAsia="Arial" w:hAnsi="Arial"/>
          <w:sz w:val="16"/>
          <w:szCs w:val="16"/>
          <w:b w:val="1"/>
          <w:bCs w:val="1"/>
          <w:color w:val="auto"/>
        </w:rPr>
      </w:pPr>
    </w:p>
    <w:p>
      <w:pPr>
        <w:ind w:left="4" w:right="40" w:firstLine="987"/>
        <w:spacing w:after="0" w:line="256" w:lineRule="auto"/>
        <w:tabs>
          <w:tab w:leader="none" w:pos="1385" w:val="left"/>
        </w:tabs>
        <w:numPr>
          <w:ilvl w:val="2"/>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Dividend equivalents may be credited in respect of shares of Common Stock covered by a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Unless otherwise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87" w:lineRule="exact"/>
        <w:rPr>
          <w:rFonts w:ascii="Arial" w:cs="Arial" w:eastAsia="Arial" w:hAnsi="Arial"/>
          <w:sz w:val="18"/>
          <w:szCs w:val="18"/>
          <w:b w:val="1"/>
          <w:bCs w:val="1"/>
          <w:color w:val="auto"/>
        </w:rPr>
      </w:pPr>
    </w:p>
    <w:p>
      <w:pPr>
        <w:ind w:left="4" w:right="240" w:firstLine="987"/>
        <w:spacing w:after="0" w:line="266" w:lineRule="auto"/>
        <w:tabs>
          <w:tab w:leader="none" w:pos="1435" w:val="left"/>
        </w:tabs>
        <w:numPr>
          <w:ilvl w:val="2"/>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75" w:lineRule="exact"/>
        <w:rPr>
          <w:rFonts w:ascii="Arial" w:cs="Arial" w:eastAsia="Arial" w:hAnsi="Arial"/>
          <w:sz w:val="18"/>
          <w:szCs w:val="18"/>
          <w:b w:val="1"/>
          <w:bCs w:val="1"/>
          <w:color w:val="auto"/>
        </w:rPr>
      </w:pPr>
    </w:p>
    <w:p>
      <w:pPr>
        <w:ind w:left="4" w:firstLine="987"/>
        <w:spacing w:after="0" w:line="274" w:lineRule="auto"/>
        <w:tabs>
          <w:tab w:leader="none" w:pos="1485" w:val="left"/>
        </w:tabs>
        <w:numPr>
          <w:ilvl w:val="2"/>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color w:val="auto"/>
        </w:rPr>
        <w:t>. Notwithstanding anything to the contrary set forth herein,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73" w:lineRule="exact"/>
        <w:rPr>
          <w:rFonts w:ascii="Arial" w:cs="Arial" w:eastAsia="Arial" w:hAnsi="Arial"/>
          <w:sz w:val="17"/>
          <w:szCs w:val="17"/>
          <w:b w:val="1"/>
          <w:bCs w:val="1"/>
          <w:color w:val="auto"/>
        </w:rPr>
      </w:pPr>
    </w:p>
    <w:p>
      <w:pPr>
        <w:ind w:left="4" w:firstLine="436"/>
        <w:spacing w:after="0" w:line="274" w:lineRule="auto"/>
        <w:tabs>
          <w:tab w:leader="none" w:pos="824" w:val="left"/>
        </w:tabs>
        <w:numPr>
          <w:ilvl w:val="1"/>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percent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21" w:lineRule="exact"/>
        <w:rPr>
          <w:rFonts w:ascii="Arial" w:cs="Arial" w:eastAsia="Arial" w:hAnsi="Arial"/>
          <w:sz w:val="17"/>
          <w:szCs w:val="17"/>
          <w:b w:val="1"/>
          <w:bCs w:val="1"/>
          <w:color w:val="auto"/>
        </w:rPr>
      </w:pPr>
    </w:p>
    <w:p>
      <w:pPr>
        <w:ind w:left="424" w:hanging="424"/>
        <w:spacing w:after="0"/>
        <w:tabs>
          <w:tab w:leader="none" w:pos="42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82" w:lineRule="auto"/>
        <w:tabs>
          <w:tab w:leader="none" w:pos="834"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then-outstanding Stock Awards.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0" w:right="499" w:bottom="1440" w:gutter="0" w:footer="0" w:header="0"/>
        </w:sectPr>
      </w:pPr>
    </w:p>
    <w:bookmarkStart w:id="290" w:name="page291"/>
    <w:bookmarkEnd w:id="290"/>
    <w:p>
      <w:pPr>
        <w:ind w:left="4" w:right="200" w:firstLine="436"/>
        <w:spacing w:after="0" w:line="291" w:lineRule="auto"/>
        <w:tabs>
          <w:tab w:leader="none" w:pos="844" w:val="left"/>
        </w:tabs>
        <w:numPr>
          <w:ilvl w:val="1"/>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Law Compliance</w:t>
      </w:r>
      <w:r>
        <w:rPr>
          <w:rFonts w:ascii="Arial" w:cs="Arial" w:eastAsia="Arial" w:hAnsi="Arial"/>
          <w:sz w:val="16"/>
          <w:szCs w:val="16"/>
          <w:color w:val="auto"/>
        </w:rPr>
        <w:t>. The Company will seek to obtain from each regulatory commission or agency having jurisdiction 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such authority as may be required to grant Stock Awards and to issue and sell shares of Common Stock upon exercise of the Stock Awards;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this undertaking will not require the Company to register under the Securities Act the Plan, any Stock Award or any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59" w:lineRule="exact"/>
        <w:rPr>
          <w:rFonts w:ascii="Arial" w:cs="Arial" w:eastAsia="Arial" w:hAnsi="Arial"/>
          <w:sz w:val="16"/>
          <w:szCs w:val="16"/>
          <w:b w:val="1"/>
          <w:bCs w:val="1"/>
          <w:color w:val="auto"/>
        </w:rPr>
      </w:pPr>
    </w:p>
    <w:p>
      <w:pPr>
        <w:jc w:val="both"/>
        <w:ind w:left="4" w:firstLine="436"/>
        <w:spacing w:after="0" w:line="281" w:lineRule="auto"/>
        <w:tabs>
          <w:tab w:leader="none" w:pos="824" w:val="left"/>
        </w:tabs>
        <w:numPr>
          <w:ilvl w:val="1"/>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No Obligation to Notify or Minimize Taxes</w:t>
      </w:r>
      <w:r>
        <w:rPr>
          <w:rFonts w:ascii="Arial" w:cs="Arial" w:eastAsia="Arial" w:hAnsi="Arial"/>
          <w:sz w:val="17"/>
          <w:szCs w:val="17"/>
          <w:color w:val="auto"/>
        </w:rPr>
        <w:t>. 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13" w:lineRule="exact"/>
        <w:rPr>
          <w:rFonts w:ascii="Arial" w:cs="Arial" w:eastAsia="Arial" w:hAnsi="Arial"/>
          <w:sz w:val="17"/>
          <w:szCs w:val="17"/>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700" w:firstLine="436"/>
        <w:spacing w:after="0" w:line="282" w:lineRule="auto"/>
        <w:tabs>
          <w:tab w:leader="none" w:pos="834"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left="4" w:firstLine="436"/>
        <w:spacing w:after="0" w:line="273" w:lineRule="auto"/>
        <w:tabs>
          <w:tab w:leader="none" w:pos="844" w:val="left"/>
        </w:tabs>
        <w:numPr>
          <w:ilvl w:val="1"/>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Action Constituting Grant of Stock Awards</w:t>
      </w:r>
      <w:r>
        <w:rPr>
          <w:rFonts w:ascii="Arial" w:cs="Arial" w:eastAsia="Arial" w:hAnsi="Arial"/>
          <w:sz w:val="17"/>
          <w:szCs w:val="17"/>
          <w:color w:val="auto"/>
        </w:rPr>
        <w:t>. Corporate action constituting a grant by the Company of a Stock Award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spacing w:after="0" w:line="171" w:lineRule="exact"/>
        <w:rPr>
          <w:rFonts w:ascii="Arial" w:cs="Arial" w:eastAsia="Arial" w:hAnsi="Arial"/>
          <w:sz w:val="17"/>
          <w:szCs w:val="17"/>
          <w:b w:val="1"/>
          <w:bCs w:val="1"/>
          <w:color w:val="auto"/>
        </w:rPr>
      </w:pPr>
    </w:p>
    <w:p>
      <w:pPr>
        <w:ind w:left="4" w:right="80" w:firstLine="436"/>
        <w:spacing w:after="0" w:line="272" w:lineRule="auto"/>
        <w:tabs>
          <w:tab w:leader="none" w:pos="824" w:val="left"/>
        </w:tabs>
        <w:numPr>
          <w:ilvl w:val="1"/>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 Rights</w:t>
      </w:r>
      <w:r>
        <w:rPr>
          <w:rFonts w:ascii="Arial" w:cs="Arial" w:eastAsia="Arial" w:hAnsi="Arial"/>
          <w:sz w:val="17"/>
          <w:szCs w:val="17"/>
          <w:color w:val="auto"/>
        </w:rPr>
        <w:t>. 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a Stock Award unless and until (i) such Participant has satisfied all requirements for exercise of, or the issuance of shares of Common Stock under, the Stock Award pursuant to its terms or as otherwise required by the Company at the time of exercise or issuance, which, in the Company’s discretion, may include, among other things, the Participant’s execution and delivery of any applicable securityholders’ agreement, investor rights agreement, voting agreement, drag-along agreement, right of first refusal and co-sale agreement or similar agreement that may be in effect from time to time among the Company and the holders of its capital securities (and which may contain, among other provisions, additional restrictions on transfer rights of repurchase in favor of the Company) and (ii) the issuance of the Common Stock subject to the Stock Award has been entered into the books and records of the Company.</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91" w:name="page292"/>
    <w:bookmarkEnd w:id="291"/>
    <w:p>
      <w:pPr>
        <w:ind w:right="40" w:firstLine="436"/>
        <w:spacing w:after="0" w:line="294" w:lineRule="auto"/>
        <w:tabs>
          <w:tab w:leader="none" w:pos="840"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Employment or Other Service Rights</w:t>
      </w:r>
      <w:r>
        <w:rPr>
          <w:rFonts w:ascii="Arial" w:cs="Arial" w:eastAsia="Arial" w:hAnsi="Arial"/>
          <w:sz w:val="16"/>
          <w:szCs w:val="16"/>
          <w:color w:val="auto"/>
        </w:rPr>
        <w:t>. Nothing in the Plan, any Stock Award Agreement or any other instrument executed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9" w:lineRule="exact"/>
        <w:rPr>
          <w:rFonts w:ascii="Arial" w:cs="Arial" w:eastAsia="Arial" w:hAnsi="Arial"/>
          <w:sz w:val="16"/>
          <w:szCs w:val="16"/>
          <w:b w:val="1"/>
          <w:bCs w:val="1"/>
          <w:color w:val="auto"/>
        </w:rPr>
      </w:pPr>
    </w:p>
    <w:p>
      <w:pPr>
        <w:ind w:firstLine="436"/>
        <w:spacing w:after="0" w:line="292" w:lineRule="auto"/>
        <w:tabs>
          <w:tab w:leader="none" w:pos="820"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Time Commitment</w:t>
      </w:r>
      <w:r>
        <w:rPr>
          <w:rFonts w:ascii="Arial" w:cs="Arial" w:eastAsia="Arial" w:hAnsi="Arial"/>
          <w:sz w:val="16"/>
          <w:szCs w:val="16"/>
          <w:color w:val="auto"/>
        </w:rPr>
        <w:t>. In the event a Participant’s regular level of time commitment in the performance of his or her services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(and without the Participant’s consent) to (x) make a corresponding reduction in the number of shares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61" w:lineRule="exact"/>
        <w:rPr>
          <w:rFonts w:ascii="Arial" w:cs="Arial" w:eastAsia="Arial" w:hAnsi="Arial"/>
          <w:sz w:val="16"/>
          <w:szCs w:val="16"/>
          <w:b w:val="1"/>
          <w:bCs w:val="1"/>
          <w:color w:val="auto"/>
        </w:rPr>
      </w:pPr>
    </w:p>
    <w:p>
      <w:pPr>
        <w:ind w:right="40" w:firstLine="436"/>
        <w:spacing w:after="0" w:line="298" w:lineRule="auto"/>
        <w:tabs>
          <w:tab w:leader="none" w:pos="800"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Limitations</w:t>
      </w:r>
      <w:r>
        <w:rPr>
          <w:rFonts w:ascii="Arial" w:cs="Arial" w:eastAsia="Arial" w:hAnsi="Arial"/>
          <w:sz w:val="16"/>
          <w:szCs w:val="16"/>
          <w:color w:val="auto"/>
        </w:rPr>
        <w:t>. 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Arial" w:cs="Arial" w:eastAsia="Arial" w:hAnsi="Arial"/>
          <w:sz w:val="16"/>
          <w:szCs w:val="16"/>
          <w:b w:val="1"/>
          <w:bCs w:val="1"/>
          <w:color w:val="auto"/>
        </w:rPr>
      </w:pPr>
    </w:p>
    <w:p>
      <w:pPr>
        <w:ind w:right="20" w:firstLine="436"/>
        <w:spacing w:after="0" w:line="269" w:lineRule="auto"/>
        <w:tabs>
          <w:tab w:leader="none" w:pos="830"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Assurances</w:t>
      </w:r>
      <w:r>
        <w:rPr>
          <w:rFonts w:ascii="Arial" w:cs="Arial" w:eastAsia="Arial" w:hAnsi="Arial"/>
          <w:sz w:val="17"/>
          <w:szCs w:val="17"/>
          <w:color w:val="auto"/>
        </w:rPr>
        <w:t>. 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92" w:name="page293"/>
    <w:bookmarkEnd w:id="292"/>
    <w:p>
      <w:pPr>
        <w:ind w:left="-20" w:firstLine="436"/>
        <w:spacing w:after="0" w:line="273" w:lineRule="auto"/>
        <w:tabs>
          <w:tab w:leader="none" w:pos="82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Obligations</w:t>
      </w:r>
      <w:r>
        <w:rPr>
          <w:rFonts w:ascii="Arial" w:cs="Arial" w:eastAsia="Arial" w:hAnsi="Arial"/>
          <w:sz w:val="17"/>
          <w:szCs w:val="17"/>
          <w:color w:val="auto"/>
        </w:rPr>
        <w:t>. 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71" w:lineRule="exact"/>
        <w:rPr>
          <w:rFonts w:ascii="Arial" w:cs="Arial" w:eastAsia="Arial" w:hAnsi="Arial"/>
          <w:sz w:val="17"/>
          <w:szCs w:val="17"/>
          <w:b w:val="1"/>
          <w:bCs w:val="1"/>
          <w:color w:val="auto"/>
        </w:rPr>
      </w:pPr>
    </w:p>
    <w:p>
      <w:pPr>
        <w:ind w:left="-20" w:right="140" w:firstLine="436"/>
        <w:spacing w:after="0" w:line="347" w:lineRule="auto"/>
        <w:tabs>
          <w:tab w:leader="none" w:pos="770"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w:t>
      </w:r>
      <w:r>
        <w:rPr>
          <w:rFonts w:ascii="Arial" w:cs="Arial" w:eastAsia="Arial" w:hAnsi="Arial"/>
          <w:sz w:val="16"/>
          <w:szCs w:val="16"/>
          <w:color w:val="auto"/>
        </w:rPr>
        <w:t>. Any reference herein to a “written” agreement or document will include any agreement or document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or posted on the Company’s intranet (or other shared electronic medium controlled by the Company to which the Participant has access).</w:t>
      </w:r>
    </w:p>
    <w:p>
      <w:pPr>
        <w:spacing w:after="0" w:line="115" w:lineRule="exact"/>
        <w:rPr>
          <w:rFonts w:ascii="Arial" w:cs="Arial" w:eastAsia="Arial" w:hAnsi="Arial"/>
          <w:sz w:val="16"/>
          <w:szCs w:val="16"/>
          <w:b w:val="1"/>
          <w:bCs w:val="1"/>
          <w:color w:val="auto"/>
        </w:rPr>
      </w:pPr>
    </w:p>
    <w:p>
      <w:pPr>
        <w:ind w:left="-20" w:right="100" w:firstLine="436"/>
        <w:spacing w:after="0" w:line="273" w:lineRule="auto"/>
        <w:tabs>
          <w:tab w:leader="none" w:pos="78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Deferrals</w:t>
      </w:r>
      <w:r>
        <w:rPr>
          <w:rFonts w:ascii="Arial" w:cs="Arial" w:eastAsia="Arial" w:hAnsi="Arial"/>
          <w:sz w:val="17"/>
          <w:szCs w:val="17"/>
          <w:color w:val="auto"/>
        </w:rPr>
        <w:t>. To the extent permitted by applicable law, the Board, in its sole discretion, may determine that the delivery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1" w:lineRule="exact"/>
        <w:rPr>
          <w:rFonts w:ascii="Arial" w:cs="Arial" w:eastAsia="Arial" w:hAnsi="Arial"/>
          <w:sz w:val="17"/>
          <w:szCs w:val="17"/>
          <w:b w:val="1"/>
          <w:bCs w:val="1"/>
          <w:color w:val="auto"/>
        </w:rPr>
      </w:pPr>
    </w:p>
    <w:p>
      <w:pPr>
        <w:ind w:left="-20" w:firstLine="436"/>
        <w:spacing w:after="0" w:line="269" w:lineRule="auto"/>
        <w:tabs>
          <w:tab w:leader="none" w:pos="820"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color w:val="auto"/>
        </w:rPr>
        <w:t>. To the extent that the Board determines that any Stock Award granted hereunder is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 Notwithstanding anything to the contrary in the Plan (and unless the Stock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1" w:lineRule="exact"/>
        <w:rPr>
          <w:rFonts w:ascii="Arial" w:cs="Arial" w:eastAsia="Arial" w:hAnsi="Arial"/>
          <w:sz w:val="17"/>
          <w:szCs w:val="17"/>
          <w:b w:val="1"/>
          <w:bCs w:val="1"/>
          <w:color w:val="auto"/>
        </w:rPr>
      </w:pPr>
    </w:p>
    <w:p>
      <w:pPr>
        <w:ind w:left="-20" w:right="20" w:firstLine="436"/>
        <w:spacing w:after="0" w:line="258" w:lineRule="auto"/>
        <w:tabs>
          <w:tab w:leader="none" w:pos="77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Rights</w:t>
      </w:r>
      <w:r>
        <w:rPr>
          <w:rFonts w:ascii="Arial" w:cs="Arial" w:eastAsia="Arial" w:hAnsi="Arial"/>
          <w:sz w:val="18"/>
          <w:szCs w:val="18"/>
          <w:color w:val="auto"/>
        </w:rPr>
        <w:t>. The terms of any repurchase right will be specified in the Stock Award Agreement. Unless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repurchase price for vested shares of Common Stock will be the Fair Market Value of the shares of Common Stock on the date of repurchase. Unless otherwise provided by the Board, the repurchase price for unvested shares of Common Stock will be the lower of (i) the Fair Market Value of the shares of Common Stock on the date of repurchase or (ii) their original purchase price. However, the Company will not exercise its repurchase right until at least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0" w:right="459" w:bottom="1440" w:gutter="0" w:footer="0" w:header="0"/>
        </w:sectPr>
      </w:pPr>
    </w:p>
    <w:bookmarkStart w:id="293" w:name="page294"/>
    <w:bookmarkEnd w:id="293"/>
    <w:p>
      <w:pPr>
        <w:ind w:left="4"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68"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436"/>
        <w:spacing w:after="0" w:line="294" w:lineRule="auto"/>
        <w:tabs>
          <w:tab w:leader="none" w:pos="834" w:val="left"/>
        </w:tabs>
        <w:numPr>
          <w:ilvl w:val="1"/>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 Unless otherwise determined by the Board in its sole discretion, no fractional shares of Common Stock (or other applicable securities) shall be issued under the Plan resulting from such Capitalization Adjustment, however the Board, in its sole discretion, may make a cash payment in lieu of fractional shares.</w:t>
      </w:r>
    </w:p>
    <w:p>
      <w:pPr>
        <w:spacing w:after="0" w:line="159" w:lineRule="exact"/>
        <w:rPr>
          <w:rFonts w:ascii="Arial" w:cs="Arial" w:eastAsia="Arial" w:hAnsi="Arial"/>
          <w:sz w:val="16"/>
          <w:szCs w:val="16"/>
          <w:b w:val="1"/>
          <w:bCs w:val="1"/>
          <w:color w:val="auto"/>
        </w:rPr>
      </w:pPr>
    </w:p>
    <w:p>
      <w:pPr>
        <w:ind w:left="4" w:right="80" w:firstLine="436"/>
        <w:spacing w:after="0" w:line="292" w:lineRule="auto"/>
        <w:tabs>
          <w:tab w:leader="none" w:pos="844" w:val="left"/>
        </w:tabs>
        <w:numPr>
          <w:ilvl w:val="1"/>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61" w:lineRule="exact"/>
        <w:rPr>
          <w:rFonts w:ascii="Arial" w:cs="Arial" w:eastAsia="Arial" w:hAnsi="Arial"/>
          <w:sz w:val="16"/>
          <w:szCs w:val="16"/>
          <w:b w:val="1"/>
          <w:bCs w:val="1"/>
          <w:color w:val="auto"/>
        </w:rPr>
      </w:pPr>
    </w:p>
    <w:p>
      <w:pPr>
        <w:ind w:left="4" w:right="20" w:firstLine="436"/>
        <w:spacing w:after="0" w:line="303" w:lineRule="auto"/>
        <w:tabs>
          <w:tab w:leader="none" w:pos="824" w:val="left"/>
        </w:tabs>
        <w:numPr>
          <w:ilvl w:val="1"/>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w:t>
      </w:r>
      <w:r>
        <w:rPr>
          <w:rFonts w:ascii="Arial" w:cs="Arial" w:eastAsia="Arial" w:hAnsi="Arial"/>
          <w:sz w:val="16"/>
          <w:szCs w:val="16"/>
          <w:color w:val="auto"/>
        </w:rPr>
        <w:t>. The following provisions will apply to Stock Awards in the event of a Transaction unless otherwise provided in the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54" w:lineRule="exact"/>
        <w:rPr>
          <w:rFonts w:ascii="Arial" w:cs="Arial" w:eastAsia="Arial" w:hAnsi="Arial"/>
          <w:sz w:val="16"/>
          <w:szCs w:val="16"/>
          <w:b w:val="1"/>
          <w:bCs w:val="1"/>
          <w:color w:val="auto"/>
        </w:rPr>
      </w:pPr>
    </w:p>
    <w:p>
      <w:pPr>
        <w:ind w:left="4" w:right="40" w:firstLine="987"/>
        <w:spacing w:after="0" w:line="263" w:lineRule="auto"/>
        <w:tabs>
          <w:tab w:leader="none" w:pos="1345" w:val="left"/>
        </w:tabs>
        <w:numPr>
          <w:ilvl w:val="2"/>
          <w:numId w:val="253"/>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3" w:lineRule="exact"/>
        <w:rPr>
          <w:rFonts w:ascii="Arial" w:cs="Arial" w:eastAsia="Arial" w:hAnsi="Arial"/>
          <w:sz w:val="18"/>
          <w:szCs w:val="18"/>
          <w:b w:val="1"/>
          <w:bCs w:val="1"/>
          <w:color w:val="auto"/>
        </w:rPr>
      </w:pPr>
    </w:p>
    <w:p>
      <w:pPr>
        <w:ind w:left="4" w:right="560" w:firstLine="987"/>
        <w:spacing w:after="0" w:line="342" w:lineRule="auto"/>
        <w:tabs>
          <w:tab w:leader="none" w:pos="1395" w:val="left"/>
        </w:tabs>
        <w:numPr>
          <w:ilvl w:val="2"/>
          <w:numId w:val="253"/>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23" w:lineRule="exact"/>
        <w:rPr>
          <w:rFonts w:ascii="Arial" w:cs="Arial" w:eastAsia="Arial" w:hAnsi="Arial"/>
          <w:sz w:val="16"/>
          <w:szCs w:val="16"/>
          <w:b w:val="1"/>
          <w:bCs w:val="1"/>
          <w:color w:val="auto"/>
        </w:rPr>
      </w:pPr>
    </w:p>
    <w:p>
      <w:pPr>
        <w:ind w:left="4" w:right="200" w:firstLine="987"/>
        <w:spacing w:after="0" w:line="296" w:lineRule="auto"/>
        <w:tabs>
          <w:tab w:leader="none" w:pos="1445" w:val="left"/>
        </w:tabs>
        <w:numPr>
          <w:ilvl w:val="2"/>
          <w:numId w:val="253"/>
        </w:numPr>
        <w:rPr>
          <w:rFonts w:ascii="Arial" w:cs="Arial" w:eastAsia="Arial" w:hAnsi="Arial"/>
          <w:sz w:val="16"/>
          <w:szCs w:val="16"/>
          <w:b w:val="1"/>
          <w:bCs w:val="1"/>
          <w:color w:val="auto"/>
        </w:rPr>
      </w:pPr>
      <w:r>
        <w:rPr>
          <w:rFonts w:ascii="Arial" w:cs="Arial" w:eastAsia="Arial" w:hAnsi="Arial"/>
          <w:sz w:val="16"/>
          <w:szCs w:val="16"/>
          <w:color w:val="auto"/>
        </w:rPr>
        <w:t xml:space="preserve">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days prior to the effective date of the Transaction), with such Stock Award terminating if not exercised (if applicable) at or prior to the effective time of the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require Participants to complete and deliver to the Company a notice of exercise before the effective date of a Transaction, which exercise is contingent upon the effectiveness of such Transaction;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94" w:name="page295"/>
    <w:bookmarkEnd w:id="294"/>
    <w:p>
      <w:pPr>
        <w:ind w:left="1424" w:hanging="433"/>
        <w:spacing w:after="0"/>
        <w:tabs>
          <w:tab w:leader="none" w:pos="1424"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 for the lapse, in whole or in part, of any reacquisition or repurchase rights held by the Company with respect to the Stock</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left="4" w:right="220" w:firstLine="987"/>
        <w:spacing w:after="0" w:line="342" w:lineRule="auto"/>
        <w:tabs>
          <w:tab w:leader="none" w:pos="1385"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Transaction, in exchange for such consideration or for no consideration as the Board, in its sole discretion, may consider appropriate; and</w:t>
      </w:r>
    </w:p>
    <w:p>
      <w:pPr>
        <w:spacing w:after="0" w:line="123" w:lineRule="exact"/>
        <w:rPr>
          <w:rFonts w:ascii="Arial" w:cs="Arial" w:eastAsia="Arial" w:hAnsi="Arial"/>
          <w:sz w:val="16"/>
          <w:szCs w:val="16"/>
          <w:b w:val="1"/>
          <w:bCs w:val="1"/>
          <w:color w:val="auto"/>
        </w:rPr>
      </w:pPr>
    </w:p>
    <w:p>
      <w:pPr>
        <w:ind w:left="4" w:right="60" w:firstLine="987"/>
        <w:spacing w:after="0" w:line="296" w:lineRule="auto"/>
        <w:tabs>
          <w:tab w:leader="none" w:pos="1435"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6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ind w:left="4" w:firstLine="436"/>
        <w:spacing w:after="0" w:line="289" w:lineRule="auto"/>
        <w:tabs>
          <w:tab w:leader="none" w:pos="844" w:val="left"/>
        </w:tabs>
        <w:numPr>
          <w:ilvl w:val="1"/>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306" w:lineRule="exact"/>
        <w:rPr>
          <w:rFonts w:ascii="Arial" w:cs="Arial" w:eastAsia="Arial" w:hAnsi="Arial"/>
          <w:sz w:val="17"/>
          <w:szCs w:val="17"/>
          <w:b w:val="1"/>
          <w:bCs w:val="1"/>
          <w:color w:val="auto"/>
        </w:rPr>
      </w:pPr>
    </w:p>
    <w:p>
      <w:pPr>
        <w:ind w:left="424" w:hanging="424"/>
        <w:spacing w:after="0"/>
        <w:tabs>
          <w:tab w:leader="none" w:pos="42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314" w:lineRule="auto"/>
        <w:tabs>
          <w:tab w:leader="none" w:pos="834"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Plan Term</w:t>
      </w:r>
      <w:r>
        <w:rPr>
          <w:rFonts w:ascii="Arial" w:cs="Arial" w:eastAsia="Arial" w:hAnsi="Arial"/>
          <w:sz w:val="16"/>
          <w:szCs w:val="16"/>
          <w:color w:val="auto"/>
        </w:rPr>
        <w:t>. The Board may suspend or terminate the Plan at any time. Unless terminated sooner by the Board, the Plan will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41" w:lineRule="exact"/>
        <w:rPr>
          <w:rFonts w:ascii="Arial" w:cs="Arial" w:eastAsia="Arial" w:hAnsi="Arial"/>
          <w:sz w:val="16"/>
          <w:szCs w:val="16"/>
          <w:b w:val="1"/>
          <w:bCs w:val="1"/>
          <w:color w:val="auto"/>
        </w:rPr>
      </w:pPr>
    </w:p>
    <w:p>
      <w:pPr>
        <w:ind w:left="4" w:right="400" w:firstLine="436"/>
        <w:spacing w:after="0" w:line="312" w:lineRule="auto"/>
        <w:tabs>
          <w:tab w:leader="none" w:pos="844" w:val="left"/>
        </w:tabs>
        <w:numPr>
          <w:ilvl w:val="1"/>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No Impairment of Rights</w:t>
      </w:r>
      <w:r>
        <w:rPr>
          <w:rFonts w:ascii="Arial" w:cs="Arial" w:eastAsia="Arial" w:hAnsi="Arial"/>
          <w:sz w:val="17"/>
          <w:szCs w:val="17"/>
          <w:color w:val="auto"/>
        </w:rPr>
        <w:t>. Suspension or termination of the Plan will not impair rights and obligations under any Stock Award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while the Plan is in effect except with the written consent of the affected Participant or as otherwise permitted in the Plan.</w:t>
      </w:r>
    </w:p>
    <w:p>
      <w:pPr>
        <w:spacing w:after="0" w:line="288" w:lineRule="exact"/>
        <w:rPr>
          <w:rFonts w:ascii="Arial" w:cs="Arial" w:eastAsia="Arial" w:hAnsi="Arial"/>
          <w:sz w:val="17"/>
          <w:szCs w:val="17"/>
          <w:b w:val="1"/>
          <w:bCs w:val="1"/>
          <w:color w:val="auto"/>
        </w:rPr>
      </w:pPr>
    </w:p>
    <w:p>
      <w:pPr>
        <w:ind w:left="424" w:hanging="424"/>
        <w:spacing w:after="0"/>
        <w:tabs>
          <w:tab w:leader="none" w:pos="42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Plan will become effective on the Effective Date.</w:t>
      </w:r>
    </w:p>
    <w:p>
      <w:pPr>
        <w:spacing w:after="0" w:line="370" w:lineRule="exact"/>
        <w:rPr>
          <w:sz w:val="20"/>
          <w:szCs w:val="20"/>
          <w:color w:val="auto"/>
        </w:rPr>
      </w:pPr>
    </w:p>
    <w:p>
      <w:pPr>
        <w:ind w:left="424" w:hanging="424"/>
        <w:spacing w:after="0"/>
        <w:tabs>
          <w:tab w:leader="none" w:pos="42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color w:val="auto"/>
        </w:rPr>
        <w:t>.</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95" w:name="page296"/>
    <w:bookmarkEnd w:id="295"/>
    <w:p>
      <w:pPr>
        <w:ind w:left="404" w:hanging="404"/>
        <w:spacing w:after="0"/>
        <w:tabs>
          <w:tab w:leader="none" w:pos="40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color w:val="auto"/>
        </w:rPr>
        <w:t>. As used in the Plan, the following definitions will apply to the capitalized terms indicated below:</w:t>
      </w:r>
    </w:p>
    <w:p>
      <w:pPr>
        <w:spacing w:after="0" w:line="229" w:lineRule="exact"/>
        <w:rPr>
          <w:rFonts w:ascii="Arial" w:cs="Arial" w:eastAsia="Arial" w:hAnsi="Arial"/>
          <w:sz w:val="18"/>
          <w:szCs w:val="18"/>
          <w:b w:val="1"/>
          <w:bCs w:val="1"/>
          <w:color w:val="auto"/>
        </w:rPr>
      </w:pPr>
    </w:p>
    <w:p>
      <w:pPr>
        <w:ind w:left="4" w:firstLine="436"/>
        <w:spacing w:after="0" w:line="263" w:lineRule="auto"/>
        <w:tabs>
          <w:tab w:leader="none" w:pos="834"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183" w:lineRule="exact"/>
        <w:rPr>
          <w:rFonts w:ascii="Arial" w:cs="Arial" w:eastAsia="Arial" w:hAnsi="Arial"/>
          <w:sz w:val="18"/>
          <w:szCs w:val="18"/>
          <w:b w:val="1"/>
          <w:bCs w:val="1"/>
          <w:color w:val="auto"/>
        </w:rPr>
      </w:pPr>
    </w:p>
    <w:p>
      <w:pPr>
        <w:ind w:left="844" w:hanging="404"/>
        <w:spacing w:after="0"/>
        <w:tabs>
          <w:tab w:leader="none" w:pos="844"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60" w:firstLine="436"/>
        <w:spacing w:after="0" w:line="293" w:lineRule="auto"/>
        <w:tabs>
          <w:tab w:leader="none" w:pos="824"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4" w:right="20" w:firstLine="436"/>
        <w:spacing w:after="0" w:line="268" w:lineRule="auto"/>
        <w:tabs>
          <w:tab w:leader="none" w:pos="844" w:val="left"/>
        </w:tabs>
        <w:numPr>
          <w:ilvl w:val="1"/>
          <w:numId w:val="25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Affiliates; (iii) such Participant’s material breach or violation of any contract or agreement between the Participant and the Company or of any statutory duty owed to the Company or any of its Affiliates; (iv) such Participant’s unauthorized use or disclosure of the Company’s or it’s Affiliate’s confidential information or trade secrets; (v) the Participant’s failure to perform the Participant’s assigned duties and responsibilities to the reasonable satisfaction of the Company which failure continues, in the reasonable judgment of the Company, after written notice given to the grantee by the Company; or (vi) the Participant’s gross negligence, willful misconduct or insubordination with respect to the Company or any Affiliate of the Company.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86" w:lineRule="exact"/>
        <w:rPr>
          <w:rFonts w:ascii="Arial" w:cs="Arial" w:eastAsia="Arial" w:hAnsi="Arial"/>
          <w:sz w:val="17"/>
          <w:szCs w:val="17"/>
          <w:b w:val="1"/>
          <w:bCs w:val="1"/>
          <w:color w:val="auto"/>
        </w:rPr>
      </w:pPr>
    </w:p>
    <w:p>
      <w:pPr>
        <w:ind w:left="864" w:hanging="424"/>
        <w:spacing w:after="0"/>
        <w:tabs>
          <w:tab w:leader="none" w:pos="864"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ind w:left="4" w:firstLine="987"/>
        <w:spacing w:after="0" w:line="275" w:lineRule="auto"/>
        <w:tabs>
          <w:tab w:leader="none" w:pos="1345" w:val="left"/>
        </w:tabs>
        <w:numPr>
          <w:ilvl w:val="2"/>
          <w:numId w:val="259"/>
        </w:numPr>
        <w:rPr>
          <w:rFonts w:ascii="Arial" w:cs="Arial" w:eastAsia="Arial" w:hAnsi="Arial"/>
          <w:sz w:val="17"/>
          <w:szCs w:val="17"/>
          <w:b w:val="1"/>
          <w:bCs w:val="1"/>
          <w:color w:val="auto"/>
        </w:rPr>
      </w:pPr>
      <w:r>
        <w:rPr>
          <w:rFonts w:ascii="Arial" w:cs="Arial" w:eastAsia="Arial" w:hAnsi="Arial"/>
          <w:sz w:val="17"/>
          <w:szCs w:val="17"/>
          <w:color w:val="auto"/>
        </w:rPr>
        <w:t>any Exchange Act Person becomes the Owner, directly or indirectly, of securities of the Company representing more than 50 percent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296" w:name="page297"/>
    <w:bookmarkEnd w:id="29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is to obtain financing for the Company through the issuance of equity securities or (C)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5" w:lineRule="exact"/>
        <w:rPr>
          <w:sz w:val="20"/>
          <w:szCs w:val="20"/>
          <w:color w:val="auto"/>
        </w:rPr>
      </w:pPr>
    </w:p>
    <w:p>
      <w:pPr>
        <w:ind w:firstLine="987"/>
        <w:spacing w:after="0" w:line="273" w:lineRule="auto"/>
        <w:tabs>
          <w:tab w:leader="none" w:pos="1391"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percent of the combined outstanding voting power of the surviving Entity in such merger, consolidation or similar transaction or (B) more than 50 percent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177" w:lineRule="exact"/>
        <w:rPr>
          <w:rFonts w:ascii="Arial" w:cs="Arial" w:eastAsia="Arial" w:hAnsi="Arial"/>
          <w:sz w:val="17"/>
          <w:szCs w:val="17"/>
          <w:b w:val="1"/>
          <w:bCs w:val="1"/>
          <w:color w:val="auto"/>
        </w:rPr>
      </w:pPr>
    </w:p>
    <w:p>
      <w:pPr>
        <w:ind w:right="60" w:firstLine="987"/>
        <w:spacing w:after="0" w:line="257" w:lineRule="auto"/>
        <w:tabs>
          <w:tab w:leader="none" w:pos="1441"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percent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8"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Notwithstanding the foregoing, the Company’s initial public offering, any subsequent public offering or another capital raising event, or a sale of assets, merger or other transaction effected solely to change the Company’s domicile shall not constitute a “Change in Control” hereunder.</w:t>
      </w:r>
    </w:p>
    <w:p>
      <w:pPr>
        <w:spacing w:after="0" w:line="124" w:lineRule="exact"/>
        <w:rPr>
          <w:sz w:val="20"/>
          <w:szCs w:val="20"/>
          <w:color w:val="auto"/>
        </w:rPr>
      </w:pPr>
    </w:p>
    <w:p>
      <w:pPr>
        <w:ind w:left="800" w:hanging="364"/>
        <w:spacing w:after="0"/>
        <w:tabs>
          <w:tab w:leader="none" w:pos="80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right="800" w:firstLine="428"/>
        <w:spacing w:after="0" w:line="277" w:lineRule="auto"/>
        <w:tabs>
          <w:tab w:leader="none" w:pos="821"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840" w:hanging="404"/>
        <w:spacing w:after="0"/>
        <w:tabs>
          <w:tab w:leader="none" w:pos="84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Xometry, Inc.</w:t>
      </w:r>
    </w:p>
    <w:p>
      <w:pPr>
        <w:spacing w:after="0" w:line="225" w:lineRule="exact"/>
        <w:rPr>
          <w:rFonts w:ascii="Arial" w:cs="Arial" w:eastAsia="Arial" w:hAnsi="Arial"/>
          <w:sz w:val="18"/>
          <w:szCs w:val="18"/>
          <w:b w:val="1"/>
          <w:bCs w:val="1"/>
          <w:color w:val="auto"/>
        </w:rPr>
      </w:pPr>
    </w:p>
    <w:p>
      <w:pPr>
        <w:ind w:right="60" w:firstLine="436"/>
        <w:spacing w:after="0" w:line="259" w:lineRule="auto"/>
        <w:tabs>
          <w:tab w:leader="none" w:pos="80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97" w:name="page298"/>
    <w:bookmarkEnd w:id="297"/>
    <w:p>
      <w:pPr>
        <w:ind w:firstLine="436"/>
        <w:spacing w:after="0" w:line="268" w:lineRule="auto"/>
        <w:tabs>
          <w:tab w:leader="none" w:pos="840"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6" w:lineRule="exact"/>
        <w:rPr>
          <w:rFonts w:ascii="Arial" w:cs="Arial" w:eastAsia="Arial" w:hAnsi="Arial"/>
          <w:sz w:val="17"/>
          <w:szCs w:val="17"/>
          <w:b w:val="1"/>
          <w:bCs w:val="1"/>
          <w:color w:val="auto"/>
        </w:rPr>
      </w:pPr>
    </w:p>
    <w:p>
      <w:pPr>
        <w:ind w:right="320" w:firstLine="436"/>
        <w:spacing w:after="0" w:line="277" w:lineRule="auto"/>
        <w:tabs>
          <w:tab w:leader="none" w:pos="79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right="80" w:firstLine="987"/>
        <w:spacing w:after="0" w:line="277" w:lineRule="auto"/>
        <w:tabs>
          <w:tab w:leader="none" w:pos="1341"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380" w:hanging="393"/>
        <w:spacing w:after="0"/>
        <w:tabs>
          <w:tab w:leader="none" w:pos="1380"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percent of the outstanding securities of the Company;</w:t>
      </w:r>
    </w:p>
    <w:p>
      <w:pPr>
        <w:spacing w:after="0" w:line="225" w:lineRule="exact"/>
        <w:rPr>
          <w:rFonts w:ascii="Arial" w:cs="Arial" w:eastAsia="Arial" w:hAnsi="Arial"/>
          <w:sz w:val="18"/>
          <w:szCs w:val="18"/>
          <w:b w:val="1"/>
          <w:bCs w:val="1"/>
          <w:color w:val="auto"/>
        </w:rPr>
      </w:pPr>
    </w:p>
    <w:p>
      <w:pPr>
        <w:ind w:left="1440" w:hanging="453"/>
        <w:spacing w:after="0"/>
        <w:tabs>
          <w:tab w:leader="none" w:pos="1440"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100" w:firstLine="987"/>
        <w:spacing w:after="0" w:line="263" w:lineRule="auto"/>
        <w:tabs>
          <w:tab w:leader="none" w:pos="1431" w:val="left"/>
        </w:tabs>
        <w:numPr>
          <w:ilvl w:val="1"/>
          <w:numId w:val="26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880" w:hanging="444"/>
        <w:spacing w:after="0"/>
        <w:tabs>
          <w:tab w:leader="none" w:pos="88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right="120" w:firstLine="436"/>
        <w:spacing w:after="0" w:line="279" w:lineRule="auto"/>
        <w:tabs>
          <w:tab w:leader="none" w:pos="840" w:val="left"/>
        </w:tabs>
        <w:numPr>
          <w:ilvl w:val="0"/>
          <w:numId w:val="26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1" w:lineRule="exact"/>
        <w:rPr>
          <w:rFonts w:ascii="Arial" w:cs="Arial" w:eastAsia="Arial" w:hAnsi="Arial"/>
          <w:sz w:val="17"/>
          <w:szCs w:val="17"/>
          <w:b w:val="1"/>
          <w:bCs w:val="1"/>
          <w:color w:val="auto"/>
        </w:rPr>
      </w:pPr>
    </w:p>
    <w:p>
      <w:pPr>
        <w:ind w:right="280" w:firstLine="436"/>
        <w:spacing w:after="0" w:line="277" w:lineRule="auto"/>
        <w:tabs>
          <w:tab w:leader="none" w:pos="830"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and (ii) the date this Plan is adopted by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98" w:name="page299"/>
    <w:bookmarkEnd w:id="298"/>
    <w:p>
      <w:pPr>
        <w:ind w:firstLine="436"/>
        <w:spacing w:after="0" w:line="277" w:lineRule="auto"/>
        <w:tabs>
          <w:tab w:leader="none" w:pos="84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840" w:hanging="404"/>
        <w:spacing w:after="0"/>
        <w:tabs>
          <w:tab w:leader="none" w:pos="84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820" w:hanging="384"/>
        <w:spacing w:after="0"/>
        <w:tabs>
          <w:tab w:leader="none" w:pos="82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right="60" w:firstLine="436"/>
        <w:spacing w:after="0" w:line="254" w:lineRule="auto"/>
        <w:tabs>
          <w:tab w:leader="none" w:pos="81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percent of the combined voting power of the Company’s then outstanding securities.</w:t>
      </w:r>
    </w:p>
    <w:p>
      <w:pPr>
        <w:spacing w:after="0" w:line="191" w:lineRule="exact"/>
        <w:rPr>
          <w:rFonts w:ascii="Arial" w:cs="Arial" w:eastAsia="Arial" w:hAnsi="Arial"/>
          <w:sz w:val="18"/>
          <w:szCs w:val="18"/>
          <w:b w:val="1"/>
          <w:bCs w:val="1"/>
          <w:color w:val="auto"/>
        </w:rPr>
      </w:pPr>
    </w:p>
    <w:p>
      <w:pPr>
        <w:ind w:right="440" w:firstLine="436"/>
        <w:spacing w:after="0" w:line="277" w:lineRule="auto"/>
        <w:tabs>
          <w:tab w:leader="none" w:pos="80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a manner not inconsistent with Section 409A of the Code or, in the case of an Incentive Stock Option, in compliance with Section 422 of the Code.</w:t>
      </w:r>
    </w:p>
    <w:p>
      <w:pPr>
        <w:spacing w:after="0" w:line="170" w:lineRule="exact"/>
        <w:rPr>
          <w:rFonts w:ascii="Arial" w:cs="Arial" w:eastAsia="Arial" w:hAnsi="Arial"/>
          <w:sz w:val="18"/>
          <w:szCs w:val="18"/>
          <w:b w:val="1"/>
          <w:bCs w:val="1"/>
          <w:color w:val="auto"/>
        </w:rPr>
      </w:pPr>
    </w:p>
    <w:p>
      <w:pPr>
        <w:ind w:firstLine="436"/>
        <w:spacing w:after="0" w:line="277" w:lineRule="auto"/>
        <w:tabs>
          <w:tab w:leader="none" w:pos="84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820" w:hanging="384"/>
        <w:spacing w:after="0"/>
        <w:tabs>
          <w:tab w:leader="none" w:pos="820"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 option granted pursuant to Section 5 of the Plan that does not qualify as an Incentive Stock Option.</w:t>
      </w:r>
    </w:p>
    <w:p>
      <w:pPr>
        <w:spacing w:after="0" w:line="248" w:lineRule="exact"/>
        <w:rPr>
          <w:rFonts w:ascii="Arial" w:cs="Arial" w:eastAsia="Arial" w:hAnsi="Arial"/>
          <w:sz w:val="16"/>
          <w:szCs w:val="16"/>
          <w:b w:val="1"/>
          <w:bCs w:val="1"/>
          <w:color w:val="auto"/>
        </w:rPr>
      </w:pPr>
    </w:p>
    <w:p>
      <w:pPr>
        <w:ind w:left="860" w:hanging="424"/>
        <w:spacing w:after="0"/>
        <w:tabs>
          <w:tab w:leader="none" w:pos="86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5" w:lineRule="exact"/>
        <w:rPr>
          <w:rFonts w:ascii="Arial" w:cs="Arial" w:eastAsia="Arial" w:hAnsi="Arial"/>
          <w:sz w:val="18"/>
          <w:szCs w:val="18"/>
          <w:b w:val="1"/>
          <w:bCs w:val="1"/>
          <w:color w:val="auto"/>
        </w:rPr>
      </w:pPr>
    </w:p>
    <w:p>
      <w:pPr>
        <w:ind w:left="820" w:hanging="384"/>
        <w:spacing w:after="0"/>
        <w:tabs>
          <w:tab w:leader="none" w:pos="820"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ind w:right="440" w:firstLine="436"/>
        <w:spacing w:after="0" w:line="277" w:lineRule="auto"/>
        <w:tabs>
          <w:tab w:leader="none" w:pos="83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70" w:lineRule="exact"/>
        <w:rPr>
          <w:rFonts w:ascii="Arial" w:cs="Arial" w:eastAsia="Arial" w:hAnsi="Arial"/>
          <w:sz w:val="18"/>
          <w:szCs w:val="18"/>
          <w:b w:val="1"/>
          <w:bCs w:val="1"/>
          <w:color w:val="auto"/>
        </w:rPr>
      </w:pPr>
    </w:p>
    <w:p>
      <w:pPr>
        <w:ind w:right="680" w:firstLine="436"/>
        <w:spacing w:after="0" w:line="277" w:lineRule="auto"/>
        <w:tabs>
          <w:tab w:leader="none" w:pos="82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sz w:val="20"/>
          <w:szCs w:val="20"/>
          <w:color w:val="auto"/>
        </w:rPr>
      </w:pPr>
    </w:p>
    <w:p>
      <w:pPr>
        <w:ind w:right="140" w:firstLine="436"/>
        <w:spacing w:after="0" w:line="277" w:lineRule="auto"/>
        <w:tabs>
          <w:tab w:leader="none" w:pos="92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6(c).</w:t>
      </w:r>
    </w:p>
    <w:p>
      <w:pPr>
        <w:spacing w:after="0" w:line="170" w:lineRule="exact"/>
        <w:rPr>
          <w:rFonts w:ascii="Arial" w:cs="Arial" w:eastAsia="Arial" w:hAnsi="Arial"/>
          <w:sz w:val="18"/>
          <w:szCs w:val="18"/>
          <w:b w:val="1"/>
          <w:bCs w:val="1"/>
          <w:color w:val="auto"/>
        </w:rPr>
      </w:pPr>
    </w:p>
    <w:p>
      <w:pPr>
        <w:ind w:right="140" w:firstLine="436"/>
        <w:spacing w:after="0" w:line="342" w:lineRule="auto"/>
        <w:tabs>
          <w:tab w:leader="none" w:pos="940"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9" w:name="page300"/>
    <w:bookmarkEnd w:id="299"/>
    <w:p>
      <w:pPr>
        <w:ind w:firstLine="436"/>
        <w:spacing w:after="0" w:line="286" w:lineRule="auto"/>
        <w:tabs>
          <w:tab w:leader="none" w:pos="90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380" w:firstLine="436"/>
        <w:spacing w:after="0" w:line="277" w:lineRule="auto"/>
        <w:tabs>
          <w:tab w:leader="none" w:pos="94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70" w:lineRule="exact"/>
        <w:rPr>
          <w:rFonts w:ascii="Arial" w:cs="Arial" w:eastAsia="Arial" w:hAnsi="Arial"/>
          <w:sz w:val="18"/>
          <w:szCs w:val="18"/>
          <w:b w:val="1"/>
          <w:bCs w:val="1"/>
          <w:color w:val="auto"/>
        </w:rPr>
      </w:pPr>
    </w:p>
    <w:p>
      <w:pPr>
        <w:ind w:left="900" w:hanging="464"/>
        <w:spacing w:after="0"/>
        <w:tabs>
          <w:tab w:leader="none" w:pos="90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Xometry, Inc. 2016 Equity Incentive Plan.</w:t>
      </w:r>
    </w:p>
    <w:p>
      <w:pPr>
        <w:spacing w:after="0" w:line="225" w:lineRule="exact"/>
        <w:rPr>
          <w:rFonts w:ascii="Arial" w:cs="Arial" w:eastAsia="Arial" w:hAnsi="Arial"/>
          <w:sz w:val="18"/>
          <w:szCs w:val="18"/>
          <w:b w:val="1"/>
          <w:bCs w:val="1"/>
          <w:color w:val="auto"/>
        </w:rPr>
      </w:pPr>
    </w:p>
    <w:p>
      <w:pPr>
        <w:ind w:left="840" w:hanging="412"/>
        <w:spacing w:after="0"/>
        <w:tabs>
          <w:tab w:leader="none" w:pos="84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of Common Stock which is granted pursuant to the terms and conditions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Section 6(a).</w:t>
      </w:r>
    </w:p>
    <w:p>
      <w:pPr>
        <w:spacing w:after="0" w:line="211" w:lineRule="exact"/>
        <w:rPr>
          <w:sz w:val="20"/>
          <w:szCs w:val="20"/>
          <w:color w:val="auto"/>
        </w:rPr>
      </w:pPr>
    </w:p>
    <w:p>
      <w:pPr>
        <w:ind w:right="580" w:firstLine="436"/>
        <w:spacing w:after="0" w:line="263" w:lineRule="auto"/>
        <w:tabs>
          <w:tab w:leader="none" w:pos="92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940" w:hanging="504"/>
        <w:spacing w:after="0"/>
        <w:tabs>
          <w:tab w:leader="none" w:pos="940"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 and conditions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6(b).</w:t>
      </w:r>
    </w:p>
    <w:p>
      <w:pPr>
        <w:spacing w:after="0" w:line="210" w:lineRule="exact"/>
        <w:rPr>
          <w:rFonts w:ascii="Arial" w:cs="Arial" w:eastAsia="Arial" w:hAnsi="Arial"/>
          <w:sz w:val="16"/>
          <w:szCs w:val="16"/>
          <w:b w:val="1"/>
          <w:bCs w:val="1"/>
          <w:color w:val="auto"/>
        </w:rPr>
      </w:pPr>
    </w:p>
    <w:p>
      <w:pPr>
        <w:ind w:right="60" w:firstLine="436"/>
        <w:spacing w:after="0" w:line="263" w:lineRule="auto"/>
        <w:tabs>
          <w:tab w:leader="none" w:pos="8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860" w:hanging="424"/>
        <w:spacing w:after="0"/>
        <w:tabs>
          <w:tab w:leader="none" w:pos="86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940" w:hanging="504"/>
        <w:spacing w:after="0"/>
        <w:tabs>
          <w:tab w:leader="none" w:pos="9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25" w:lineRule="exact"/>
        <w:rPr>
          <w:rFonts w:ascii="Arial" w:cs="Arial" w:eastAsia="Arial" w:hAnsi="Arial"/>
          <w:sz w:val="18"/>
          <w:szCs w:val="18"/>
          <w:b w:val="1"/>
          <w:bCs w:val="1"/>
          <w:color w:val="auto"/>
        </w:rPr>
      </w:pPr>
    </w:p>
    <w:p>
      <w:pPr>
        <w:ind w:left="840" w:hanging="404"/>
        <w:spacing w:after="0"/>
        <w:tabs>
          <w:tab w:leader="none" w:pos="8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right="220" w:firstLine="436"/>
        <w:spacing w:after="0" w:line="277" w:lineRule="auto"/>
        <w:tabs>
          <w:tab w:leader="none" w:pos="10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b w:val="1"/>
          <w:bCs w:val="1"/>
          <w:color w:val="auto"/>
        </w:rPr>
      </w:pPr>
    </w:p>
    <w:p>
      <w:pPr>
        <w:ind w:right="320" w:firstLine="436"/>
        <w:spacing w:after="0" w:line="263" w:lineRule="auto"/>
        <w:tabs>
          <w:tab w:leader="none" w:pos="9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3" w:lineRule="exact"/>
        <w:rPr>
          <w:rFonts w:ascii="Arial" w:cs="Arial" w:eastAsia="Arial" w:hAnsi="Arial"/>
          <w:sz w:val="18"/>
          <w:szCs w:val="18"/>
          <w:b w:val="1"/>
          <w:bCs w:val="1"/>
          <w:color w:val="auto"/>
        </w:rPr>
      </w:pPr>
    </w:p>
    <w:p>
      <w:pPr>
        <w:ind w:right="360" w:firstLine="436"/>
        <w:spacing w:after="0" w:line="308" w:lineRule="auto"/>
        <w:tabs>
          <w:tab w:leader="none" w:pos="920" w:val="left"/>
        </w:tabs>
        <w:numPr>
          <w:ilvl w:val="0"/>
          <w:numId w:val="26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146" w:lineRule="exact"/>
        <w:rPr>
          <w:rFonts w:ascii="Arial" w:cs="Arial" w:eastAsia="Arial" w:hAnsi="Arial"/>
          <w:sz w:val="17"/>
          <w:szCs w:val="17"/>
          <w:b w:val="1"/>
          <w:bCs w:val="1"/>
          <w:color w:val="auto"/>
        </w:rPr>
      </w:pPr>
    </w:p>
    <w:p>
      <w:pPr>
        <w:ind w:right="260" w:firstLine="436"/>
        <w:spacing w:after="0" w:line="277" w:lineRule="auto"/>
        <w:tabs>
          <w:tab w:leader="none" w:pos="9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0" w:lineRule="exact"/>
        <w:rPr>
          <w:rFonts w:ascii="Arial" w:cs="Arial" w:eastAsia="Arial" w:hAnsi="Arial"/>
          <w:sz w:val="18"/>
          <w:szCs w:val="18"/>
          <w:b w:val="1"/>
          <w:bCs w:val="1"/>
          <w:color w:val="auto"/>
        </w:rPr>
      </w:pPr>
    </w:p>
    <w:p>
      <w:pPr>
        <w:ind w:right="480" w:firstLine="436"/>
        <w:spacing w:after="0" w:line="277" w:lineRule="auto"/>
        <w:tabs>
          <w:tab w:leader="none" w:pos="9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percent of the outstanding capital stock having ordinary voting power to elect a majority of the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0" w:name="page301"/>
    <w:bookmarkEnd w:id="30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percent.</w:t>
      </w:r>
    </w:p>
    <w:p>
      <w:pPr>
        <w:spacing w:after="0" w:line="187" w:lineRule="exact"/>
        <w:rPr>
          <w:sz w:val="20"/>
          <w:szCs w:val="20"/>
          <w:color w:val="auto"/>
        </w:rPr>
      </w:pPr>
    </w:p>
    <w:p>
      <w:pPr>
        <w:ind w:right="300" w:firstLine="436"/>
        <w:spacing w:after="0" w:line="277" w:lineRule="auto"/>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percent of the total combined voting power of all classes of stock of the Company or any Affiliate.</w:t>
      </w:r>
    </w:p>
    <w:p>
      <w:pPr>
        <w:spacing w:after="0" w:line="170" w:lineRule="exact"/>
        <w:rPr>
          <w:rFonts w:ascii="Arial" w:cs="Arial" w:eastAsia="Arial" w:hAnsi="Arial"/>
          <w:sz w:val="18"/>
          <w:szCs w:val="18"/>
          <w:b w:val="1"/>
          <w:bCs w:val="1"/>
          <w:color w:val="auto"/>
        </w:rPr>
      </w:pPr>
    </w:p>
    <w:p>
      <w:pPr>
        <w:ind w:left="880" w:hanging="444"/>
        <w:spacing w:after="0"/>
        <w:tabs>
          <w:tab w:leader="none" w:pos="88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440" w:top="274" w:right="55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1 </w:t>
      </w:r>
      <w:r>
        <w:rPr>
          <w:rFonts w:ascii="Arial" w:cs="Arial" w:eastAsia="Arial" w:hAnsi="Arial"/>
          <w:sz w:val="14"/>
          <w:szCs w:val="14"/>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right="120" w:firstLine="436"/>
        <w:spacing w:after="0" w:line="282" w:lineRule="auto"/>
        <w:tabs>
          <w:tab w:leader="none" w:pos="79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820" w:hanging="384"/>
        <w:spacing w:after="0"/>
        <w:tabs>
          <w:tab w:leader="none" w:pos="82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The Plan currently provides for 1,634,926 shares of Common Stock to be reserved for issuance under the Plan; and</w:t>
      </w:r>
    </w:p>
    <w:p>
      <w:pPr>
        <w:spacing w:after="0" w:line="225" w:lineRule="exact"/>
        <w:rPr>
          <w:rFonts w:ascii="Arial" w:cs="Arial" w:eastAsia="Arial" w:hAnsi="Arial"/>
          <w:sz w:val="18"/>
          <w:szCs w:val="18"/>
          <w:b w:val="1"/>
          <w:bCs w:val="1"/>
          <w:color w:val="auto"/>
        </w:rPr>
      </w:pPr>
    </w:p>
    <w:p>
      <w:pPr>
        <w:ind w:right="200" w:firstLine="436"/>
        <w:spacing w:after="0" w:line="277" w:lineRule="auto"/>
        <w:tabs>
          <w:tab w:leader="none" w:pos="792"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1,953,236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0" w:hanging="304"/>
        <w:spacing w:after="0"/>
        <w:tabs>
          <w:tab w:leader="none" w:pos="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reference to “1,634,926 shares” in Section 3(a)(i) of the Plan is hereby amended to reference “1,953,236 shares”.</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all other respects the Plan will remain the same.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1020"/>
          </w:cols>
          <w:pgMar w:left="440" w:top="121" w:right="439" w:bottom="1440" w:gutter="0" w:footer="0" w:header="0"/>
        </w:sectPr>
      </w:pPr>
    </w:p>
    <w:bookmarkStart w:id="302" w:name="page303"/>
    <w:bookmarkEnd w:id="3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hereby certify that the foregoing amendment to the Plan was duly adopted by the Board of Directors of the Company as of June 9, 2017.</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 * *</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June 9, 2017.</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N</w:t>
      </w:r>
      <w:r>
        <w:rPr>
          <w:rFonts w:ascii="Arial" w:cs="Arial" w:eastAsia="Arial" w:hAnsi="Arial"/>
          <w:sz w:val="14"/>
          <w:szCs w:val="14"/>
          <w:color w:val="auto"/>
        </w:rPr>
        <w:t>O</w:t>
      </w:r>
      <w:r>
        <w:rPr>
          <w:rFonts w:ascii="Arial" w:cs="Arial" w:eastAsia="Arial" w:hAnsi="Arial"/>
          <w:sz w:val="18"/>
          <w:szCs w:val="18"/>
          <w:color w:val="auto"/>
        </w:rPr>
        <w:t xml:space="preserve">. 1 </w:t>
      </w:r>
      <w:r>
        <w:rPr>
          <w:rFonts w:ascii="Arial" w:cs="Arial" w:eastAsia="Arial" w:hAnsi="Arial"/>
          <w:sz w:val="14"/>
          <w:szCs w:val="14"/>
          <w:color w:val="auto"/>
        </w:rPr>
        <w:t>TO</w:t>
      </w:r>
      <w:r>
        <w:rPr>
          <w:rFonts w:ascii="Arial" w:cs="Arial" w:eastAsia="Arial" w:hAnsi="Arial"/>
          <w:sz w:val="18"/>
          <w:szCs w:val="18"/>
          <w:color w:val="auto"/>
        </w:rPr>
        <w:t xml:space="preserve"> 2016 E</w:t>
      </w:r>
      <w:r>
        <w:rPr>
          <w:rFonts w:ascii="Arial" w:cs="Arial" w:eastAsia="Arial" w:hAnsi="Arial"/>
          <w:sz w:val="14"/>
          <w:szCs w:val="14"/>
          <w:color w:val="auto"/>
        </w:rPr>
        <w:t>QUITY</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r>
        <w:rPr>
          <w:rFonts w:ascii="Arial" w:cs="Arial" w:eastAsia="Arial" w:hAnsi="Arial"/>
          <w:sz w:val="18"/>
          <w:szCs w:val="18"/>
          <w:color w:val="auto"/>
        </w:rPr>
        <w:t>]</w:t>
      </w:r>
    </w:p>
    <w:p>
      <w:pPr>
        <w:sectPr>
          <w:pgSz w:w="11900" w:h="16838" w:orient="portrait"/>
          <w:cols w:equalWidth="0" w:num="1">
            <w:col w:w="9920"/>
          </w:cols>
          <w:pgMar w:left="880" w:top="274" w:right="109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2 </w:t>
      </w:r>
      <w:r>
        <w:rPr>
          <w:rFonts w:ascii="Arial" w:cs="Arial" w:eastAsia="Arial" w:hAnsi="Arial"/>
          <w:sz w:val="14"/>
          <w:szCs w:val="14"/>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right="120" w:firstLine="436"/>
        <w:spacing w:after="0" w:line="282" w:lineRule="auto"/>
        <w:tabs>
          <w:tab w:leader="none" w:pos="795"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820" w:hanging="384"/>
        <w:spacing w:after="0"/>
        <w:tabs>
          <w:tab w:leader="none" w:pos="820" w:val="left"/>
        </w:tabs>
        <w:numPr>
          <w:ilvl w:val="0"/>
          <w:numId w:val="270"/>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1,953,236 shares of Common Stock to be reserved for issuance under the Plan; and</w:t>
      </w:r>
    </w:p>
    <w:p>
      <w:pPr>
        <w:spacing w:after="0" w:line="236" w:lineRule="exact"/>
        <w:rPr>
          <w:rFonts w:ascii="Arial" w:cs="Arial" w:eastAsia="Arial" w:hAnsi="Arial"/>
          <w:sz w:val="17"/>
          <w:szCs w:val="17"/>
          <w:b w:val="1"/>
          <w:bCs w:val="1"/>
          <w:color w:val="auto"/>
        </w:rPr>
      </w:pPr>
    </w:p>
    <w:p>
      <w:pPr>
        <w:ind w:right="200" w:firstLine="436"/>
        <w:spacing w:after="0" w:line="277" w:lineRule="auto"/>
        <w:tabs>
          <w:tab w:leader="none" w:pos="792"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2,147,233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immediately, Section 3(a)(i) of the Plan is amended and restated in its entirety as follows:</w:t>
      </w:r>
    </w:p>
    <w:p>
      <w:pPr>
        <w:spacing w:after="0" w:line="225" w:lineRule="exact"/>
        <w:rPr>
          <w:sz w:val="20"/>
          <w:szCs w:val="20"/>
          <w:color w:val="auto"/>
        </w:rPr>
      </w:pPr>
    </w:p>
    <w:p>
      <w:pPr>
        <w:ind w:left="760" w:hanging="324"/>
        <w:spacing w:after="0"/>
        <w:tabs>
          <w:tab w:leader="none" w:pos="7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Effective immediately, Section 3(a)(i) of the Plan is amended and restated in its entirety as follows:</w:t>
      </w:r>
    </w:p>
    <w:p>
      <w:pPr>
        <w:spacing w:after="0" w:line="117" w:lineRule="exact"/>
        <w:rPr>
          <w:sz w:val="20"/>
          <w:szCs w:val="20"/>
          <w:color w:val="auto"/>
        </w:rPr>
      </w:pPr>
    </w:p>
    <w:p>
      <w:pPr>
        <w:ind w:left="1420" w:right="120" w:firstLine="383"/>
        <w:spacing w:after="0" w:line="269" w:lineRule="auto"/>
        <w:rPr>
          <w:sz w:val="20"/>
          <w:szCs w:val="20"/>
          <w:color w:val="auto"/>
        </w:rPr>
      </w:pPr>
      <w:r>
        <w:rPr>
          <w:rFonts w:ascii="Arial" w:cs="Arial" w:eastAsia="Arial" w:hAnsi="Arial"/>
          <w:sz w:val="17"/>
          <w:szCs w:val="17"/>
          <w:color w:val="auto"/>
        </w:rPr>
        <w:t xml:space="preserve">“Subject to Section 9(a) relating to Capitalization Adjustments, the aggregate number of shares of Common Stock that may be issued pursuant to Stock Awards from and after the Effective Date will not exceed 2,147,233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which number includes the sum of (x) 1,363,826 shares available for issuance under the Prior Plan as of 12:01 a.m. Eastern time on the Effective Date plus (y) such number of shares, up to a maximum of 271,100 shares of Common Stock, subject to outstanding stock awards granted under the Prior Plan as of 12:01 a.m. Eastern time on the Effective Date that (1) expire or terminate for any reason prior to exercise or settlement or without all shares covered by such award having been issued; (2) are forfeited, cancelled or otherwise returned to the Company because of the failure to meet a contingency or condition required to vest such shares; or (3) are reacquired, repurchased or withheld (or not issued) to satisfy a tax withholding obligation in connection with an award or to satisfy the purchase price or exercise price of a stock award (such shares,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as and to the extent such Returning Shares become available from time to time.”</w:t>
      </w:r>
    </w:p>
    <w:p>
      <w:pPr>
        <w:spacing w:after="0" w:line="18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 all other respects the Plan will remain the same.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1020"/>
          </w:cols>
          <w:pgMar w:left="440" w:top="121" w:right="439"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certify that the foregoing amendment to the Plan was duly adopted by the Board of Directors of the Company as of June 27, 2017.</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 *</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June 30, 2017.</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A</w:t>
      </w:r>
      <w:r>
        <w:rPr>
          <w:rFonts w:ascii="Arial" w:cs="Arial" w:eastAsia="Arial" w:hAnsi="Arial"/>
          <w:sz w:val="14"/>
          <w:szCs w:val="14"/>
          <w:color w:val="auto"/>
        </w:rPr>
        <w:t>MENDMENT</w:t>
      </w:r>
      <w:r>
        <w:rPr>
          <w:rFonts w:ascii="Arial" w:cs="Arial" w:eastAsia="Arial" w:hAnsi="Arial"/>
          <w:sz w:val="18"/>
          <w:szCs w:val="18"/>
          <w:color w:val="auto"/>
        </w:rPr>
        <w:t xml:space="preserve"> N</w:t>
      </w:r>
      <w:r>
        <w:rPr>
          <w:rFonts w:ascii="Arial" w:cs="Arial" w:eastAsia="Arial" w:hAnsi="Arial"/>
          <w:sz w:val="14"/>
          <w:szCs w:val="14"/>
          <w:color w:val="auto"/>
        </w:rPr>
        <w:t>O</w:t>
      </w:r>
      <w:r>
        <w:rPr>
          <w:rFonts w:ascii="Arial" w:cs="Arial" w:eastAsia="Arial" w:hAnsi="Arial"/>
          <w:sz w:val="18"/>
          <w:szCs w:val="18"/>
          <w:color w:val="auto"/>
        </w:rPr>
        <w:t>. 2 T</w:t>
      </w:r>
      <w:r>
        <w:rPr>
          <w:rFonts w:ascii="Arial" w:cs="Arial" w:eastAsia="Arial" w:hAnsi="Arial"/>
          <w:sz w:val="14"/>
          <w:szCs w:val="14"/>
          <w:color w:val="auto"/>
        </w:rPr>
        <w:t>O</w:t>
      </w:r>
      <w:r>
        <w:rPr>
          <w:rFonts w:ascii="Arial" w:cs="Arial" w:eastAsia="Arial" w:hAnsi="Arial"/>
          <w:sz w:val="18"/>
          <w:szCs w:val="18"/>
          <w:color w:val="auto"/>
        </w:rPr>
        <w:t xml:space="preserve"> 2016 E</w:t>
      </w:r>
      <w:r>
        <w:rPr>
          <w:rFonts w:ascii="Arial" w:cs="Arial" w:eastAsia="Arial" w:hAnsi="Arial"/>
          <w:sz w:val="14"/>
          <w:szCs w:val="14"/>
          <w:color w:val="auto"/>
        </w:rPr>
        <w:t>QUITY</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P</w:t>
      </w:r>
      <w:r>
        <w:rPr>
          <w:rFonts w:ascii="Arial" w:cs="Arial" w:eastAsia="Arial" w:hAnsi="Arial"/>
          <w:sz w:val="14"/>
          <w:szCs w:val="14"/>
          <w:color w:val="auto"/>
        </w:rPr>
        <w:t>LAN</w:t>
      </w:r>
      <w:r>
        <w:rPr>
          <w:rFonts w:ascii="Arial" w:cs="Arial" w:eastAsia="Arial" w:hAnsi="Arial"/>
          <w:sz w:val="18"/>
          <w:szCs w:val="18"/>
          <w:color w:val="auto"/>
        </w:rPr>
        <w:t>]</w:t>
      </w:r>
    </w:p>
    <w:p>
      <w:pPr>
        <w:sectPr>
          <w:pgSz w:w="11900" w:h="16838" w:orient="portrait"/>
          <w:cols w:equalWidth="0" w:num="1">
            <w:col w:w="10000"/>
          </w:cols>
          <w:pgMar w:left="880" w:top="274" w:right="101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3 </w:t>
      </w:r>
      <w:r>
        <w:rPr>
          <w:rFonts w:ascii="Arial" w:cs="Arial" w:eastAsia="Arial" w:hAnsi="Arial"/>
          <w:sz w:val="14"/>
          <w:szCs w:val="14"/>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right="120" w:firstLine="436"/>
        <w:spacing w:after="0" w:line="282" w:lineRule="auto"/>
        <w:tabs>
          <w:tab w:leader="none" w:pos="795"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820" w:hanging="384"/>
        <w:spacing w:after="0"/>
        <w:tabs>
          <w:tab w:leader="none" w:pos="820"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2,147,233 shares of Common Stock to be reserved for issuance under the Plan; and</w:t>
      </w:r>
    </w:p>
    <w:p>
      <w:pPr>
        <w:spacing w:after="0" w:line="236" w:lineRule="exact"/>
        <w:rPr>
          <w:rFonts w:ascii="Arial" w:cs="Arial" w:eastAsia="Arial" w:hAnsi="Arial"/>
          <w:sz w:val="17"/>
          <w:szCs w:val="17"/>
          <w:b w:val="1"/>
          <w:bCs w:val="1"/>
          <w:color w:val="auto"/>
        </w:rPr>
      </w:pPr>
    </w:p>
    <w:p>
      <w:pPr>
        <w:ind w:right="200" w:firstLine="436"/>
        <w:spacing w:after="0" w:line="277" w:lineRule="auto"/>
        <w:tabs>
          <w:tab w:leader="none" w:pos="792"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3,348,816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0" w:hanging="304"/>
        <w:spacing w:after="0"/>
        <w:tabs>
          <w:tab w:leader="none" w:pos="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reference to “2,147,233 shares” in Section 3(a)(i) of the Plan is hereby amended to reference “3,348,816 shares”.</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all other respects the Plan will remain the same.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1020"/>
          </w:cols>
          <w:pgMar w:left="440" w:top="121" w:right="43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certify that the foregoing amendment to the Plan was duly adopted by the Board of Directors of the Company as of June 28, 2018.</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 *</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June 28, 2018.</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000"/>
          </w:cols>
          <w:pgMar w:left="880" w:top="274" w:right="10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4 </w:t>
      </w:r>
      <w:r>
        <w:rPr>
          <w:rFonts w:ascii="Arial" w:cs="Arial" w:eastAsia="Arial" w:hAnsi="Arial"/>
          <w:sz w:val="14"/>
          <w:szCs w:val="14"/>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right="120" w:firstLine="436"/>
        <w:spacing w:after="0" w:line="282" w:lineRule="auto"/>
        <w:tabs>
          <w:tab w:leader="none" w:pos="795"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820" w:hanging="384"/>
        <w:spacing w:after="0"/>
        <w:tabs>
          <w:tab w:leader="none" w:pos="820" w:val="left"/>
        </w:tabs>
        <w:numPr>
          <w:ilvl w:val="0"/>
          <w:numId w:val="274"/>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3,348,816 shares of Common Stock to be reserved for issuance under the Plan; and</w:t>
      </w:r>
    </w:p>
    <w:p>
      <w:pPr>
        <w:spacing w:after="0" w:line="236" w:lineRule="exact"/>
        <w:rPr>
          <w:rFonts w:ascii="Arial" w:cs="Arial" w:eastAsia="Arial" w:hAnsi="Arial"/>
          <w:sz w:val="17"/>
          <w:szCs w:val="17"/>
          <w:b w:val="1"/>
          <w:bCs w:val="1"/>
          <w:color w:val="auto"/>
        </w:rPr>
      </w:pPr>
    </w:p>
    <w:p>
      <w:pPr>
        <w:ind w:right="200" w:firstLine="436"/>
        <w:spacing w:after="0" w:line="277" w:lineRule="auto"/>
        <w:tabs>
          <w:tab w:leader="none" w:pos="792" w:val="left"/>
        </w:tabs>
        <w:numPr>
          <w:ilvl w:val="0"/>
          <w:numId w:val="274"/>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4,409,816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40" w:hanging="304"/>
        <w:spacing w:after="0"/>
        <w:tabs>
          <w:tab w:leader="none" w:pos="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reference to “3,348,816 shares” in Section 3(a)(i) of the Plan is hereby amended to reference “4,409,816 shares”.</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all other respects the Plan will remain the same.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1020"/>
          </w:cols>
          <w:pgMar w:left="440" w:top="121" w:right="43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certify that the foregoing amendment to the Plan was duly adopted by the Board of Directors of the Company as of April 30, 2019.</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 * *</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April 30, 2019.</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Laurence Zuriff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060"/>
          </w:cols>
          <w:pgMar w:left="880" w:top="274" w:right="95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5 </w:t>
      </w:r>
      <w:r>
        <w:rPr>
          <w:rFonts w:ascii="Arial" w:cs="Arial" w:eastAsia="Arial" w:hAnsi="Arial"/>
          <w:sz w:val="14"/>
          <w:szCs w:val="14"/>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right="120" w:firstLine="436"/>
        <w:spacing w:after="0" w:line="282" w:lineRule="auto"/>
        <w:tabs>
          <w:tab w:leader="none" w:pos="795"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established the Company’s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820" w:hanging="384"/>
        <w:spacing w:after="0"/>
        <w:tabs>
          <w:tab w:leader="none" w:pos="820"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The Plan currently provides for an aggregate of 4,409,816 shares of Common Stock to be reserved for issuance under the Plan; and</w:t>
      </w:r>
    </w:p>
    <w:p>
      <w:pPr>
        <w:spacing w:after="0" w:line="236" w:lineRule="exact"/>
        <w:rPr>
          <w:rFonts w:ascii="Arial" w:cs="Arial" w:eastAsia="Arial" w:hAnsi="Arial"/>
          <w:sz w:val="17"/>
          <w:szCs w:val="17"/>
          <w:b w:val="1"/>
          <w:bCs w:val="1"/>
          <w:color w:val="auto"/>
        </w:rPr>
      </w:pPr>
    </w:p>
    <w:p>
      <w:pPr>
        <w:ind w:right="200" w:firstLine="436"/>
        <w:spacing w:after="0" w:line="277" w:lineRule="auto"/>
        <w:tabs>
          <w:tab w:leader="none" w:pos="792"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The Company now wishes to amend the Plan to increase the number of shares of Common Stock reserved for issuance under the Plan to an aggregate of 5,694,149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immediately, Section 3(a)(i) of the Plan is amended and restated in its entirety as follows:</w:t>
      </w:r>
    </w:p>
    <w:p>
      <w:pPr>
        <w:spacing w:after="0" w:line="225" w:lineRule="exact"/>
        <w:rPr>
          <w:sz w:val="20"/>
          <w:szCs w:val="20"/>
          <w:color w:val="auto"/>
        </w:rPr>
      </w:pPr>
    </w:p>
    <w:p>
      <w:pPr>
        <w:ind w:left="760" w:hanging="324"/>
        <w:spacing w:after="0"/>
        <w:tabs>
          <w:tab w:leader="none" w:pos="7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Effective immediately, Section 3(a)(i) of the Plan is amended and restated in its entirety as follows:</w:t>
      </w:r>
    </w:p>
    <w:p>
      <w:pPr>
        <w:spacing w:after="0" w:line="117" w:lineRule="exact"/>
        <w:rPr>
          <w:sz w:val="20"/>
          <w:szCs w:val="20"/>
          <w:color w:val="auto"/>
        </w:rPr>
      </w:pPr>
    </w:p>
    <w:p>
      <w:pPr>
        <w:ind w:left="1420" w:right="120" w:firstLine="383"/>
        <w:spacing w:after="0" w:line="269" w:lineRule="auto"/>
        <w:rPr>
          <w:sz w:val="20"/>
          <w:szCs w:val="20"/>
          <w:color w:val="auto"/>
        </w:rPr>
      </w:pPr>
      <w:r>
        <w:rPr>
          <w:rFonts w:ascii="Arial" w:cs="Arial" w:eastAsia="Arial" w:hAnsi="Arial"/>
          <w:sz w:val="17"/>
          <w:szCs w:val="17"/>
          <w:color w:val="auto"/>
        </w:rPr>
        <w:t xml:space="preserve">“Subject to Section 9(a) relating to Capitalization Adjustments, the aggregate number of shares of Common Stock that may be issued pursuant to Stock Awards from and after the Effective Date will not exceed 5,694,149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which number includes the sum of (x) 1,363,826 shares available for issuance under the Prior Plan as of 12:01 a.m. Eastern time on the Effective Date plus (y) such number of shares, up to a maximum of 271,100 shares of Common Stock, subject to outstanding stock awards granted under the Prior Plan as of 12:01 a.m. Eastern time on the Effective Date that (1) expire or terminate for any reason prior to exercise or settlement or without all shares covered by such award having been issued; (2) are forfeited, cancelled or otherwise returned to the Company because of the failure to meet a contingency or condition required to vest such shares; or (3) are reacquired, repurchased or withheld (or not issued) to satisfy a tax withholding obligation in connection with an award or to satisfy the purchase price or exercise price of a stock award (such shares,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as and to the extent such Returning Shares become available from time to time.”</w:t>
      </w:r>
    </w:p>
    <w:p>
      <w:pPr>
        <w:spacing w:after="0" w:line="18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 all other respects the Plan will remain the same.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1020"/>
          </w:cols>
          <w:pgMar w:left="440" w:top="121" w:right="439" w:bottom="1440" w:gutter="0" w:footer="0" w:header="0"/>
        </w:sectPr>
      </w:pPr>
    </w:p>
    <w:bookmarkStart w:id="310" w:name="page311"/>
    <w:bookmarkEnd w:id="3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certify that the foregoing amendment to the Plan was duly adopted by the Board of Directors of the Company as of March 26,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hereby certify that the foregoing amendment to the Plan was duly approved by the Stockholders of the Company as of March 26,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40"/>
          </w:cols>
          <w:pgMar w:left="880" w:top="274" w:right="87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(2016 EQUITY INCENTIVE PLAN)</w:t>
      </w:r>
    </w:p>
    <w:p>
      <w:pPr>
        <w:spacing w:after="0" w:line="2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X</w:t>
      </w:r>
      <w:r>
        <w:rPr>
          <w:rFonts w:ascii="Arial" w:cs="Arial" w:eastAsia="Arial" w:hAnsi="Arial"/>
          <w:sz w:val="12"/>
          <w:szCs w:val="12"/>
          <w:b w:val="1"/>
          <w:bCs w:val="1"/>
          <w:color w:val="auto"/>
        </w:rPr>
        <w:t>OMETRY</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2016 Equity Incentive Plan, as may be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18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14605</wp:posOffset>
            </wp:positionV>
            <wp:extent cx="21945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Grant: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07" w:lineRule="exact"/>
        <w:rPr>
          <w:sz w:val="20"/>
          <w:szCs w:val="20"/>
          <w:color w:val="auto"/>
        </w:rPr>
      </w:pPr>
    </w:p>
    <w:p>
      <w:pPr>
        <w:sectPr>
          <w:pgSz w:w="11900" w:h="16838" w:orient="portrait"/>
          <w:cols w:equalWidth="0" w:num="5">
            <w:col w:w="1140" w:space="460"/>
            <w:col w:w="160" w:space="40"/>
            <w:col w:w="1740" w:space="580"/>
            <w:col w:w="180" w:space="40"/>
            <w:col w:w="6680"/>
          </w:cols>
          <w:pgMar w:left="440" w:top="121" w:right="4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Schedule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Same as Vesting Schedule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Early Exercise Permitted</w:t>
      </w:r>
    </w:p>
    <w:p>
      <w:pPr>
        <w:spacing w:after="0" w:line="150" w:lineRule="exact"/>
        <w:rPr>
          <w:sz w:val="20"/>
          <w:szCs w:val="20"/>
          <w:color w:val="auto"/>
        </w:rPr>
      </w:pPr>
    </w:p>
    <w:p>
      <w:pPr>
        <w:sectPr>
          <w:pgSz w:w="11900" w:h="16838" w:orient="portrait"/>
          <w:cols w:equalWidth="0" w:num="5">
            <w:col w:w="1420" w:space="180"/>
            <w:col w:w="160" w:space="60"/>
            <w:col w:w="1880" w:space="400"/>
            <w:col w:w="160" w:space="40"/>
            <w:col w:w="6720"/>
          </w:cols>
          <w:pgMar w:left="440" w:top="121" w:right="439" w:bottom="1440" w:gutter="0" w:footer="0" w:header="0"/>
          <w:type w:val="continuous"/>
        </w:sectPr>
      </w:pPr>
    </w:p>
    <w:p>
      <w:pPr>
        <w:ind w:left="1540" w:right="60" w:hanging="1538"/>
        <w:spacing w:after="0" w:line="266" w:lineRule="auto"/>
        <w:tabs>
          <w:tab w:leader="none" w:pos="152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Sample of standard vesting.</w:t>
      </w:r>
      <w:r>
        <w:rPr>
          <w:rFonts w:ascii="Arial" w:cs="Arial" w:eastAsia="Arial" w:hAnsi="Arial"/>
          <w:sz w:val="18"/>
          <w:szCs w:val="18"/>
          <w:color w:val="auto"/>
        </w:rPr>
        <w:t xml:space="preserve"> One-fourth </w:t>
      </w:r>
      <w:r>
        <w:rPr>
          <w:rFonts w:ascii="Arial" w:cs="Arial" w:eastAsia="Arial" w:hAnsi="Arial"/>
          <w:sz w:val="18"/>
          <w:szCs w:val="18"/>
          <w:b w:val="1"/>
          <w:bCs w:val="1"/>
          <w:color w:val="auto"/>
        </w:rPr>
        <w:t>(</w:t>
      </w: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of the shares vest one year after the Vesting Commencement Date; the balance of the shares vest in a series of 36 successive equal monthly installments measured from the first anniversary of the Vesting Commencement Date, subject to Optionholder’s Continuous Service as of each such date.]</w:t>
      </w:r>
    </w:p>
    <w:p>
      <w:pPr>
        <w:spacing w:after="0" w:line="8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Payment:</w:t>
      </w:r>
      <w:r>
        <w:rPr>
          <w:sz w:val="20"/>
          <w:szCs w:val="20"/>
          <w:color w:val="auto"/>
        </w:rPr>
        <w:tab/>
      </w:r>
      <w:r>
        <w:rPr>
          <w:rFonts w:ascii="Arial" w:cs="Arial" w:eastAsia="Arial" w:hAnsi="Arial"/>
          <w:sz w:val="18"/>
          <w:szCs w:val="18"/>
          <w:color w:val="auto"/>
        </w:rPr>
        <w:t>By one or a combination of the following items (described in the Option Agreement):</w:t>
      </w:r>
    </w:p>
    <w:p>
      <w:pPr>
        <w:spacing w:after="0" w:line="121" w:lineRule="exact"/>
        <w:rPr>
          <w:sz w:val="20"/>
          <w:szCs w:val="20"/>
          <w:color w:val="auto"/>
        </w:rPr>
      </w:pPr>
    </w:p>
    <w:p>
      <w:pPr>
        <w:ind w:left="1880" w:hanging="342"/>
        <w:spacing w:after="0"/>
        <w:tabs>
          <w:tab w:leader="none" w:pos="1880"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5" w:lineRule="exact"/>
        <w:rPr>
          <w:rFonts w:ascii="MS PGothic" w:cs="MS PGothic" w:eastAsia="MS PGothic" w:hAnsi="MS PGothic"/>
          <w:sz w:val="18"/>
          <w:szCs w:val="18"/>
          <w:color w:val="auto"/>
        </w:rPr>
      </w:pPr>
    </w:p>
    <w:p>
      <w:pPr>
        <w:ind w:left="1880" w:hanging="342"/>
        <w:spacing w:after="0"/>
        <w:tabs>
          <w:tab w:leader="none" w:pos="1880"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1880" w:hanging="342"/>
        <w:spacing w:after="0"/>
        <w:tabs>
          <w:tab w:leader="none" w:pos="1880" w:val="left"/>
        </w:tabs>
        <w:numPr>
          <w:ilvl w:val="0"/>
          <w:numId w:val="278"/>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2" w:lineRule="exact"/>
        <w:rPr>
          <w:sz w:val="20"/>
          <w:szCs w:val="20"/>
          <w:color w:val="auto"/>
        </w:rPr>
      </w:pPr>
    </w:p>
    <w:p>
      <w:pPr>
        <w:ind w:left="1880" w:hanging="342"/>
        <w:spacing w:after="0"/>
        <w:tabs>
          <w:tab w:leader="none" w:pos="1880" w:val="left"/>
        </w:tabs>
        <w:numPr>
          <w:ilvl w:val="1"/>
          <w:numId w:val="279"/>
        </w:numPr>
        <w:rPr>
          <w:rFonts w:ascii="MS PGothic" w:cs="MS PGothic" w:eastAsia="MS PGothic" w:hAnsi="MS PGothic"/>
          <w:sz w:val="18"/>
          <w:szCs w:val="18"/>
          <w:color w:val="auto"/>
        </w:rPr>
      </w:pPr>
      <w:r>
        <w:rPr>
          <w:rFonts w:ascii="Arial" w:cs="Arial" w:eastAsia="Arial" w:hAnsi="Arial"/>
          <w:sz w:val="18"/>
          <w:szCs w:val="18"/>
          <w:color w:val="auto"/>
        </w:rPr>
        <w:t>By deferred payment (subject to the Company’s consent at the time of exercise)</w:t>
      </w:r>
    </w:p>
    <w:p>
      <w:pPr>
        <w:spacing w:after="0" w:line="15" w:lineRule="exact"/>
        <w:rPr>
          <w:rFonts w:ascii="MS PGothic" w:cs="MS PGothic" w:eastAsia="MS PGothic" w:hAnsi="MS PGothic"/>
          <w:sz w:val="18"/>
          <w:szCs w:val="18"/>
          <w:color w:val="auto"/>
        </w:rPr>
      </w:pPr>
    </w:p>
    <w:p>
      <w:pPr>
        <w:ind w:left="1540" w:right="520" w:hanging="2"/>
        <w:spacing w:after="0" w:line="258" w:lineRule="auto"/>
        <w:tabs>
          <w:tab w:leader="none" w:pos="1882" w:val="left"/>
        </w:tabs>
        <w:numPr>
          <w:ilvl w:val="1"/>
          <w:numId w:val="279"/>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59" w:lineRule="exact"/>
        <w:rPr>
          <w:rFonts w:ascii="MS PGothic" w:cs="MS PGothic" w:eastAsia="MS PGothic" w:hAnsi="MS PGothic"/>
          <w:sz w:val="18"/>
          <w:szCs w:val="18"/>
          <w:color w:val="auto"/>
        </w:rPr>
      </w:pPr>
    </w:p>
    <w:p>
      <w:pPr>
        <w:ind w:left="420" w:right="40" w:hanging="432"/>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312" w:name="page313"/>
    <w:bookmarkEnd w:id="312"/>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Terms/Acknowledgements: </w:t>
      </w:r>
      <w:r>
        <w:rPr>
          <w:rFonts w:ascii="Arial" w:cs="Arial" w:eastAsia="Arial" w:hAnsi="Arial"/>
          <w:sz w:val="17"/>
          <w:szCs w:val="17"/>
          <w:color w:val="auto"/>
        </w:rPr>
        <w:t>Optionholder acknowledges receipt of, and understands and agrees to, this Stock Option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and (ii) the following agreements only.</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43425" cy="889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171450</wp:posOffset>
            </wp:positionV>
            <wp:extent cx="45434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543425"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325755</wp:posOffset>
            </wp:positionV>
            <wp:extent cx="45434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480" w:type="dxa"/>
            <w:vAlign w:val="bottom"/>
            <w:gridSpan w:val="3"/>
          </w:tcPr>
          <w:p>
            <w:pPr>
              <w:ind w:left="16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r>
      <w:tr>
        <w:trPr>
          <w:trHeight w:val="418"/>
        </w:trPr>
        <w:tc>
          <w:tcPr>
            <w:tcW w:w="4120" w:type="dxa"/>
            <w:vAlign w:val="bottom"/>
            <w:gridSpan w:val="4"/>
          </w:tcPr>
          <w:p>
            <w:pPr>
              <w:spacing w:after="0"/>
              <w:rPr>
                <w:sz w:val="20"/>
                <w:szCs w:val="20"/>
                <w:color w:val="auto"/>
              </w:rPr>
            </w:pPr>
            <w:r>
              <w:rPr>
                <w:rFonts w:ascii="Arial" w:cs="Arial" w:eastAsia="Arial" w:hAnsi="Arial"/>
                <w:sz w:val="18"/>
                <w:szCs w:val="18"/>
                <w:color w:val="auto"/>
              </w:rPr>
              <w:t>By:</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2"/>
          </w:tcPr>
          <w:p>
            <w:pPr>
              <w:ind w:left="1820"/>
              <w:spacing w:after="0"/>
              <w:rPr>
                <w:sz w:val="20"/>
                <w:szCs w:val="20"/>
                <w:color w:val="auto"/>
              </w:rPr>
            </w:pPr>
            <w:r>
              <w:rPr>
                <w:rFonts w:ascii="Arial" w:cs="Arial" w:eastAsia="Arial" w:hAnsi="Arial"/>
                <w:sz w:val="18"/>
                <w:szCs w:val="18"/>
                <w:color w:val="auto"/>
              </w:rPr>
              <w:t>Signature</w:t>
            </w:r>
          </w:p>
        </w:tc>
        <w:tc>
          <w:tcPr>
            <w:tcW w:w="16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0"/>
                <w:szCs w:val="20"/>
                <w:color w:val="auto"/>
              </w:rPr>
            </w:pPr>
          </w:p>
        </w:tc>
      </w:tr>
      <w:tr>
        <w:trPr>
          <w:trHeight w:val="418"/>
        </w:trPr>
        <w:tc>
          <w:tcPr>
            <w:tcW w:w="380" w:type="dxa"/>
            <w:vAlign w:val="bottom"/>
            <w:gridSpan w:val="2"/>
          </w:tcPr>
          <w:p>
            <w:pPr>
              <w:spacing w:after="0"/>
              <w:rPr>
                <w:sz w:val="20"/>
                <w:szCs w:val="20"/>
                <w:color w:val="auto"/>
              </w:rPr>
            </w:pPr>
            <w:r>
              <w:rPr>
                <w:rFonts w:ascii="Arial" w:cs="Arial" w:eastAsia="Arial" w:hAnsi="Arial"/>
                <w:sz w:val="18"/>
                <w:szCs w:val="18"/>
                <w:color w:val="auto"/>
                <w:w w:val="92"/>
              </w:rPr>
              <w:t>Title:</w:t>
            </w: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80" w:type="dxa"/>
            <w:vAlign w:val="bottom"/>
            <w:gridSpan w:val="3"/>
          </w:tcPr>
          <w:p>
            <w:pPr>
              <w:ind w:left="1620"/>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4"/>
                <w:szCs w:val="24"/>
                <w:color w:val="auto"/>
              </w:rPr>
            </w:pPr>
          </w:p>
        </w:tc>
      </w:tr>
      <w:tr>
        <w:trPr>
          <w:trHeight w:val="20"/>
        </w:trPr>
        <w:tc>
          <w:tcPr>
            <w:tcW w:w="380" w:type="dxa"/>
            <w:vAlign w:val="bottom"/>
            <w:gridSpan w:val="2"/>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439"/>
        </w:trPr>
        <w:tc>
          <w:tcPr>
            <w:tcW w:w="4120" w:type="dxa"/>
            <w:vAlign w:val="bottom"/>
            <w:gridSpan w:val="4"/>
          </w:tcPr>
          <w:p>
            <w:pPr>
              <w:spacing w:after="0"/>
              <w:rPr>
                <w:sz w:val="20"/>
                <w:szCs w:val="20"/>
                <w:color w:val="auto"/>
              </w:rPr>
            </w:pPr>
            <w:r>
              <w:rPr>
                <w:rFonts w:ascii="Arial" w:cs="Arial" w:eastAsia="Arial" w:hAnsi="Arial"/>
                <w:sz w:val="18"/>
                <w:szCs w:val="18"/>
                <w:color w:val="auto"/>
              </w:rPr>
              <w:t>Date:</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2016 Equity Incentive Plan, Notice of Exercise and Voting Agreement</w:t>
      </w:r>
    </w:p>
    <w:p>
      <w:pPr>
        <w:sectPr>
          <w:pgSz w:w="11900" w:h="16838" w:orient="portrait"/>
          <w:cols w:equalWidth="0" w:num="1">
            <w:col w:w="10900"/>
          </w:cols>
          <w:pgMar w:left="440" w:top="270" w:right="55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ectPr>
          <w:pgSz w:w="11900" w:h="16838" w:orient="portrait"/>
          <w:cols w:equalWidth="0" w:num="1">
            <w:col w:w="9019"/>
          </w:cols>
          <w:pgMar w:left="1440" w:top="270" w:right="1440"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XOMETRY,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2016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Pursuant to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xml:space="preserve">”) and this Option Agreement, </w:t>
      </w:r>
      <w:r>
        <w:rPr>
          <w:rFonts w:ascii="Arial" w:cs="Arial" w:eastAsia="Arial" w:hAnsi="Arial"/>
          <w:sz w:val="16"/>
          <w:szCs w:val="16"/>
          <w:b w:val="1"/>
          <w:bCs w:val="1"/>
          <w:color w:val="auto"/>
        </w:rPr>
        <w:t>X</w:t>
      </w:r>
      <w:r>
        <w:rPr>
          <w:rFonts w:ascii="Arial" w:cs="Arial" w:eastAsia="Arial" w:hAnsi="Arial"/>
          <w:sz w:val="12"/>
          <w:szCs w:val="12"/>
          <w:b w:val="1"/>
          <w:bCs w:val="1"/>
          <w:color w:val="auto"/>
        </w:rPr>
        <w:t>OMETRY</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2016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left="620" w:hanging="184"/>
        <w:spacing w:after="0"/>
        <w:tabs>
          <w:tab w:leader="none" w:pos="62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3"/>
          <w:szCs w:val="13"/>
          <w:b w:val="1"/>
          <w:bCs w:val="1"/>
          <w:color w:val="auto"/>
        </w:rPr>
        <w:t>ESTING</w:t>
      </w:r>
      <w:r>
        <w:rPr>
          <w:rFonts w:ascii="Arial" w:cs="Arial" w:eastAsia="Arial" w:hAnsi="Arial"/>
          <w:sz w:val="17"/>
          <w:szCs w:val="17"/>
          <w:color w:val="auto"/>
        </w:rPr>
        <w:t>. Your option will vest as provided in your Grant Notice. Vesting will cease upon the termination of your Continuous Service.</w:t>
      </w:r>
    </w:p>
    <w:p>
      <w:pPr>
        <w:spacing w:after="0" w:line="236" w:lineRule="exact"/>
        <w:rPr>
          <w:rFonts w:ascii="Arial" w:cs="Arial" w:eastAsia="Arial" w:hAnsi="Arial"/>
          <w:sz w:val="17"/>
          <w:szCs w:val="17"/>
          <w:b w:val="1"/>
          <w:bCs w:val="1"/>
          <w:color w:val="auto"/>
        </w:rPr>
      </w:pPr>
    </w:p>
    <w:p>
      <w:pPr>
        <w:ind w:firstLine="436"/>
        <w:spacing w:after="0" w:line="282" w:lineRule="auto"/>
        <w:tabs>
          <w:tab w:leader="none" w:pos="62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color w:val="auto"/>
        </w:rPr>
        <w:t>. The number of shares of Common Stock subject to your option and your exercise price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in your Grant Notice will be adjusted for Capitalization Adjustments.</w:t>
      </w:r>
    </w:p>
    <w:p>
      <w:pPr>
        <w:spacing w:after="0" w:line="161" w:lineRule="exact"/>
        <w:rPr>
          <w:rFonts w:ascii="Arial" w:cs="Arial" w:eastAsia="Arial" w:hAnsi="Arial"/>
          <w:sz w:val="18"/>
          <w:szCs w:val="18"/>
          <w:b w:val="1"/>
          <w:bCs w:val="1"/>
          <w:color w:val="auto"/>
        </w:rPr>
      </w:pPr>
    </w:p>
    <w:p>
      <w:pPr>
        <w:ind w:right="20" w:firstLine="436"/>
        <w:spacing w:after="0" w:line="255" w:lineRule="auto"/>
        <w:tabs>
          <w:tab w:leader="none" w:pos="62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color w:val="auto"/>
        </w:rPr>
        <w:t>. If you are an Employee eligible for overtime compensation under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8" w:lineRule="exact"/>
        <w:rPr>
          <w:rFonts w:ascii="Arial" w:cs="Arial" w:eastAsia="Arial" w:hAnsi="Arial"/>
          <w:sz w:val="18"/>
          <w:szCs w:val="18"/>
          <w:b w:val="1"/>
          <w:bCs w:val="1"/>
          <w:color w:val="auto"/>
        </w:rPr>
      </w:pPr>
    </w:p>
    <w:p>
      <w:pPr>
        <w:ind w:firstLine="436"/>
        <w:spacing w:after="0" w:line="289" w:lineRule="auto"/>
        <w:tabs>
          <w:tab w:leader="none" w:pos="62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PRIOR TO</w:t>
      </w:r>
      <w:r>
        <w:rPr>
          <w:rFonts w:ascii="Arial" w:cs="Arial" w:eastAsia="Arial" w:hAnsi="Arial"/>
          <w:sz w:val="17"/>
          <w:szCs w:val="17"/>
          <w:b w:val="1"/>
          <w:bCs w:val="1"/>
          <w:color w:val="auto"/>
        </w:rPr>
        <w:t xml:space="preserve"> V</w:t>
      </w:r>
      <w:r>
        <w:rPr>
          <w:rFonts w:ascii="Arial" w:cs="Arial" w:eastAsia="Arial" w:hAnsi="Arial"/>
          <w:sz w:val="13"/>
          <w:szCs w:val="13"/>
          <w:b w:val="1"/>
          <w:bCs w:val="1"/>
          <w:color w:val="auto"/>
        </w:rPr>
        <w:t>ESTING</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ARLY</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17"/>
          <w:szCs w:val="17"/>
          <w:b w:val="1"/>
          <w:bCs w:val="1"/>
          <w:color w:val="auto"/>
        </w:rPr>
        <w:t>”)</w:t>
      </w:r>
      <w:r>
        <w:rPr>
          <w:rFonts w:ascii="Arial" w:cs="Arial" w:eastAsia="Arial" w:hAnsi="Arial"/>
          <w:sz w:val="17"/>
          <w:szCs w:val="17"/>
          <w:color w:val="auto"/>
        </w:rPr>
        <w:t>. If permitted in your Grant Notice (</w:t>
      </w:r>
      <w:r>
        <w:rPr>
          <w:rFonts w:ascii="Arial" w:cs="Arial" w:eastAsia="Arial" w:hAnsi="Arial"/>
          <w:sz w:val="17"/>
          <w:szCs w:val="17"/>
          <w:i w:val="1"/>
          <w:iCs w:val="1"/>
          <w:color w:val="auto"/>
        </w:rPr>
        <w:t>i.e.</w:t>
      </w:r>
      <w:r>
        <w:rPr>
          <w:rFonts w:ascii="Arial" w:cs="Arial" w:eastAsia="Arial" w:hAnsi="Arial"/>
          <w:sz w:val="17"/>
          <w:szCs w:val="17"/>
          <w:color w:val="auto"/>
        </w:rPr>
        <w:t>, the “Exercise Schedule” indicates “Early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53" w:lineRule="exact"/>
        <w:rPr>
          <w:rFonts w:ascii="Arial" w:cs="Arial" w:eastAsia="Arial" w:hAnsi="Arial"/>
          <w:sz w:val="17"/>
          <w:szCs w:val="17"/>
          <w:b w:val="1"/>
          <w:bCs w:val="1"/>
          <w:color w:val="auto"/>
        </w:rPr>
      </w:pPr>
    </w:p>
    <w:p>
      <w:pPr>
        <w:ind w:right="100" w:firstLine="987"/>
        <w:spacing w:after="0" w:line="277" w:lineRule="auto"/>
        <w:tabs>
          <w:tab w:leader="none" w:pos="1246"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will be deemed to cover first vested shares of Common Stock and then the earliest vesting installment of unvested shares of Common Stock;</w:t>
      </w:r>
    </w:p>
    <w:p>
      <w:pPr>
        <w:spacing w:after="0" w:line="62" w:lineRule="exact"/>
        <w:rPr>
          <w:rFonts w:ascii="Arial" w:cs="Arial" w:eastAsia="Arial" w:hAnsi="Arial"/>
          <w:sz w:val="18"/>
          <w:szCs w:val="18"/>
          <w:b w:val="1"/>
          <w:bCs w:val="1"/>
          <w:color w:val="auto"/>
        </w:rPr>
      </w:pPr>
    </w:p>
    <w:p>
      <w:pPr>
        <w:ind w:right="20" w:firstLine="987"/>
        <w:spacing w:after="0" w:line="277" w:lineRule="auto"/>
        <w:tabs>
          <w:tab w:leader="none" w:pos="1256" w:val="left"/>
        </w:tabs>
        <w:numPr>
          <w:ilvl w:val="1"/>
          <w:numId w:val="280"/>
        </w:numPr>
        <w:rPr>
          <w:rFonts w:ascii="Arial" w:cs="Arial" w:eastAsia="Arial" w:hAnsi="Arial"/>
          <w:sz w:val="18"/>
          <w:szCs w:val="18"/>
          <w:b w:val="1"/>
          <w:bCs w:val="1"/>
          <w:color w:val="auto"/>
        </w:rPr>
      </w:pPr>
      <w:r>
        <w:rPr>
          <w:rFonts w:ascii="Arial" w:cs="Arial" w:eastAsia="Arial" w:hAnsi="Arial"/>
          <w:sz w:val="18"/>
          <w:szCs w:val="18"/>
          <w:color w:val="auto"/>
        </w:rPr>
        <w:t>you will enter into the Company’s form of Early Exercise Restricted Stock Purchase Agreement with a vesting schedule that will result in the same vesting as if no early exercise had occurred</w:t>
      </w:r>
    </w:p>
    <w:p>
      <w:pPr>
        <w:sectPr>
          <w:pgSz w:w="11900" w:h="16838" w:orient="portrait"/>
          <w:cols w:equalWidth="0" w:num="1">
            <w:col w:w="11000"/>
          </w:cols>
          <w:pgMar w:left="440" w:top="270" w:right="459" w:bottom="1440" w:gutter="0" w:footer="0" w:header="0"/>
        </w:sectPr>
      </w:pPr>
    </w:p>
    <w:bookmarkStart w:id="315" w:name="page316"/>
    <w:bookmarkEnd w:id="315"/>
    <w:p>
      <w:pPr>
        <w:ind w:left="4" w:right="500" w:firstLine="987"/>
        <w:spacing w:after="0" w:line="342" w:lineRule="auto"/>
        <w:tabs>
          <w:tab w:leader="none" w:pos="1240" w:val="left"/>
        </w:tabs>
        <w:numPr>
          <w:ilvl w:val="2"/>
          <w:numId w:val="28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shares of Common Stock so purchased from installments that have not vested as of the date of exercise will be subject to the purchase option in favor of the Company as described in the Company’s form of Early Exercise Restricted Stock Purchase Agreement; and</w:t>
      </w:r>
    </w:p>
    <w:p>
      <w:pPr>
        <w:spacing w:after="0" w:line="15" w:lineRule="exact"/>
        <w:rPr>
          <w:rFonts w:ascii="Arial" w:cs="Arial" w:eastAsia="Arial" w:hAnsi="Arial"/>
          <w:sz w:val="16"/>
          <w:szCs w:val="16"/>
          <w:b w:val="1"/>
          <w:bCs w:val="1"/>
          <w:color w:val="auto"/>
        </w:rPr>
      </w:pPr>
    </w:p>
    <w:p>
      <w:pPr>
        <w:ind w:left="4" w:right="160" w:firstLine="987"/>
        <w:spacing w:after="0" w:line="279" w:lineRule="auto"/>
        <w:tabs>
          <w:tab w:leader="none" w:pos="1260" w:val="left"/>
        </w:tabs>
        <w:numPr>
          <w:ilvl w:val="2"/>
          <w:numId w:val="281"/>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67" w:lineRule="exact"/>
        <w:rPr>
          <w:rFonts w:ascii="Arial" w:cs="Arial" w:eastAsia="Arial" w:hAnsi="Arial"/>
          <w:sz w:val="17"/>
          <w:szCs w:val="17"/>
          <w:b w:val="1"/>
          <w:bCs w:val="1"/>
          <w:color w:val="auto"/>
        </w:rPr>
      </w:pPr>
    </w:p>
    <w:p>
      <w:pPr>
        <w:jc w:val="both"/>
        <w:ind w:left="4" w:firstLine="436"/>
        <w:spacing w:after="0" w:line="266" w:lineRule="auto"/>
        <w:tabs>
          <w:tab w:leader="none" w:pos="624" w:val="left"/>
        </w:tabs>
        <w:numPr>
          <w:ilvl w:val="1"/>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color w:val="auto"/>
        </w:rPr>
        <w:t>. You must pay the full amount of the exercise price for the shares you wish to exercise. You may pay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71" w:lineRule="exact"/>
        <w:rPr>
          <w:rFonts w:ascii="Arial" w:cs="Arial" w:eastAsia="Arial" w:hAnsi="Arial"/>
          <w:sz w:val="18"/>
          <w:szCs w:val="18"/>
          <w:b w:val="1"/>
          <w:bCs w:val="1"/>
          <w:color w:val="auto"/>
        </w:rPr>
      </w:pPr>
    </w:p>
    <w:p>
      <w:pPr>
        <w:ind w:left="4" w:right="120" w:firstLine="987"/>
        <w:spacing w:after="0" w:line="259" w:lineRule="auto"/>
        <w:tabs>
          <w:tab w:leader="none" w:pos="1250" w:val="left"/>
        </w:tabs>
        <w:numPr>
          <w:ilvl w:val="2"/>
          <w:numId w:val="282"/>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78" w:lineRule="exact"/>
        <w:rPr>
          <w:rFonts w:ascii="Arial" w:cs="Arial" w:eastAsia="Arial" w:hAnsi="Arial"/>
          <w:sz w:val="18"/>
          <w:szCs w:val="18"/>
          <w:b w:val="1"/>
          <w:bCs w:val="1"/>
          <w:color w:val="auto"/>
        </w:rPr>
      </w:pPr>
    </w:p>
    <w:p>
      <w:pPr>
        <w:ind w:left="4" w:right="220" w:firstLine="987"/>
        <w:spacing w:after="0" w:line="273" w:lineRule="auto"/>
        <w:tabs>
          <w:tab w:leader="none" w:pos="1260" w:val="left"/>
        </w:tabs>
        <w:numPr>
          <w:ilvl w:val="2"/>
          <w:numId w:val="282"/>
        </w:numPr>
        <w:rPr>
          <w:rFonts w:ascii="Arial" w:cs="Arial" w:eastAsia="Arial" w:hAnsi="Arial"/>
          <w:sz w:val="17"/>
          <w:szCs w:val="17"/>
          <w:b w:val="1"/>
          <w:bCs w:val="1"/>
          <w:color w:val="auto"/>
        </w:rPr>
      </w:pPr>
      <w:r>
        <w:rPr>
          <w:rFonts w:ascii="Arial" w:cs="Arial" w:eastAsia="Arial" w:hAnsi="Arial"/>
          <w:sz w:val="17"/>
          <w:szCs w:val="17"/>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69" w:lineRule="exact"/>
        <w:rPr>
          <w:rFonts w:ascii="Arial" w:cs="Arial" w:eastAsia="Arial" w:hAnsi="Arial"/>
          <w:sz w:val="17"/>
          <w:szCs w:val="17"/>
          <w:b w:val="1"/>
          <w:bCs w:val="1"/>
          <w:color w:val="auto"/>
        </w:rPr>
      </w:pPr>
    </w:p>
    <w:p>
      <w:pPr>
        <w:ind w:left="4" w:right="180" w:firstLine="987"/>
        <w:spacing w:after="0" w:line="285" w:lineRule="auto"/>
        <w:tabs>
          <w:tab w:leader="none" w:pos="1240" w:val="left"/>
        </w:tabs>
        <w:numPr>
          <w:ilvl w:val="2"/>
          <w:numId w:val="282"/>
        </w:numPr>
        <w:rPr>
          <w:rFonts w:ascii="Arial" w:cs="Arial" w:eastAsia="Arial" w:hAnsi="Arial"/>
          <w:sz w:val="16"/>
          <w:szCs w:val="16"/>
          <w:b w:val="1"/>
          <w:bCs w:val="1"/>
          <w:color w:val="auto"/>
        </w:rPr>
      </w:pPr>
      <w:r>
        <w:rPr>
          <w:rFonts w:ascii="Arial" w:cs="Arial" w:eastAsia="Arial" w:hAnsi="Arial"/>
          <w:sz w:val="16"/>
          <w:szCs w:val="16"/>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are delivered to you as a result of such exercise, and (iii) are withheld to satisfy your tax withholding obligations.</w:t>
      </w:r>
    </w:p>
    <w:p>
      <w:pPr>
        <w:spacing w:after="0" w:line="102" w:lineRule="exact"/>
        <w:rPr>
          <w:rFonts w:ascii="Arial" w:cs="Arial" w:eastAsia="Arial" w:hAnsi="Arial"/>
          <w:sz w:val="18"/>
          <w:szCs w:val="18"/>
          <w:color w:val="auto"/>
        </w:rPr>
      </w:pPr>
    </w:p>
    <w:p>
      <w:pPr>
        <w:ind w:left="1264" w:hanging="273"/>
        <w:spacing w:after="0"/>
        <w:tabs>
          <w:tab w:leader="none" w:pos="1264" w:val="left"/>
        </w:tabs>
        <w:numPr>
          <w:ilvl w:val="2"/>
          <w:numId w:val="283"/>
        </w:numPr>
        <w:rPr>
          <w:rFonts w:ascii="Arial" w:cs="Arial" w:eastAsia="Arial" w:hAnsi="Arial"/>
          <w:sz w:val="18"/>
          <w:szCs w:val="18"/>
          <w:b w:val="1"/>
          <w:bCs w:val="1"/>
          <w:color w:val="auto"/>
        </w:rPr>
      </w:pPr>
      <w:r>
        <w:rPr>
          <w:rFonts w:ascii="Arial" w:cs="Arial" w:eastAsia="Arial" w:hAnsi="Arial"/>
          <w:sz w:val="18"/>
          <w:szCs w:val="18"/>
          <w:color w:val="auto"/>
        </w:rPr>
        <w:t>Pursuant to the following deferred payment alternative:</w:t>
      </w:r>
    </w:p>
    <w:p>
      <w:pPr>
        <w:spacing w:after="0" w:line="117" w:lineRule="exact"/>
        <w:rPr>
          <w:rFonts w:ascii="Arial" w:cs="Arial" w:eastAsia="Arial" w:hAnsi="Arial"/>
          <w:sz w:val="18"/>
          <w:szCs w:val="18"/>
          <w:b w:val="1"/>
          <w:bCs w:val="1"/>
          <w:color w:val="auto"/>
        </w:rPr>
      </w:pPr>
    </w:p>
    <w:p>
      <w:pPr>
        <w:ind w:left="4" w:right="180" w:firstLine="1428"/>
        <w:spacing w:after="0" w:line="277" w:lineRule="auto"/>
        <w:tabs>
          <w:tab w:leader="none" w:pos="1651" w:val="left"/>
        </w:tabs>
        <w:numPr>
          <w:ilvl w:val="3"/>
          <w:numId w:val="283"/>
        </w:numPr>
        <w:rPr>
          <w:rFonts w:ascii="Arial" w:cs="Arial" w:eastAsia="Arial" w:hAnsi="Arial"/>
          <w:sz w:val="18"/>
          <w:szCs w:val="18"/>
          <w:b w:val="1"/>
          <w:bCs w:val="1"/>
          <w:color w:val="auto"/>
        </w:rPr>
      </w:pPr>
      <w:r>
        <w:rPr>
          <w:rFonts w:ascii="Arial" w:cs="Arial" w:eastAsia="Arial" w:hAnsi="Arial"/>
          <w:sz w:val="18"/>
          <w:szCs w:val="18"/>
          <w:color w:val="auto"/>
        </w:rPr>
        <w:t>Not less than 100% of the aggregate exercise price, plus accrued interest, shall be due four years from date of exercise or, at the Company’s election, upon termination of your Continuous Service.</w:t>
      </w:r>
    </w:p>
    <w:p>
      <w:pPr>
        <w:spacing w:after="0" w:line="62" w:lineRule="exact"/>
        <w:rPr>
          <w:rFonts w:ascii="Arial" w:cs="Arial" w:eastAsia="Arial" w:hAnsi="Arial"/>
          <w:sz w:val="18"/>
          <w:szCs w:val="18"/>
          <w:b w:val="1"/>
          <w:bCs w:val="1"/>
          <w:color w:val="auto"/>
        </w:rPr>
      </w:pPr>
    </w:p>
    <w:p>
      <w:pPr>
        <w:ind w:left="4" w:right="200" w:firstLine="1428"/>
        <w:spacing w:after="0" w:line="263" w:lineRule="auto"/>
        <w:tabs>
          <w:tab w:leader="none" w:pos="1701" w:val="left"/>
        </w:tabs>
        <w:numPr>
          <w:ilvl w:val="3"/>
          <w:numId w:val="283"/>
        </w:numPr>
        <w:rPr>
          <w:rFonts w:ascii="Arial" w:cs="Arial" w:eastAsia="Arial" w:hAnsi="Arial"/>
          <w:sz w:val="18"/>
          <w:szCs w:val="18"/>
          <w:b w:val="1"/>
          <w:bCs w:val="1"/>
          <w:color w:val="auto"/>
        </w:rPr>
      </w:pPr>
      <w:r>
        <w:rPr>
          <w:rFonts w:ascii="Arial" w:cs="Arial" w:eastAsia="Arial" w:hAnsi="Arial"/>
          <w:sz w:val="18"/>
          <w:szCs w:val="18"/>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ectPr>
          <w:pgSz w:w="11900" w:h="16838" w:orient="portrait"/>
          <w:cols w:equalWidth="0" w:num="1">
            <w:col w:w="11004"/>
          </w:cols>
          <w:pgMar w:left="436" w:top="274" w:right="459" w:bottom="1440" w:gutter="0" w:footer="0" w:header="0"/>
        </w:sectPr>
      </w:pPr>
    </w:p>
    <w:bookmarkStart w:id="316" w:name="page317"/>
    <w:bookmarkEnd w:id="316"/>
    <w:p>
      <w:pPr>
        <w:ind w:left="4" w:right="100" w:firstLine="987"/>
        <w:spacing w:after="0" w:line="279" w:lineRule="auto"/>
        <w:tabs>
          <w:tab w:leader="none" w:pos="1240" w:val="left"/>
        </w:tabs>
        <w:numPr>
          <w:ilvl w:val="1"/>
          <w:numId w:val="28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167" w:lineRule="exact"/>
        <w:rPr>
          <w:rFonts w:ascii="Arial" w:cs="Arial" w:eastAsia="Arial" w:hAnsi="Arial"/>
          <w:sz w:val="17"/>
          <w:szCs w:val="17"/>
          <w:b w:val="1"/>
          <w:bCs w:val="1"/>
          <w:color w:val="auto"/>
        </w:rPr>
      </w:pPr>
    </w:p>
    <w:p>
      <w:pPr>
        <w:ind w:left="624" w:hanging="184"/>
        <w:spacing w:after="0"/>
        <w:tabs>
          <w:tab w:leader="none" w:pos="62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color w:val="auto"/>
        </w:rPr>
        <w:t>. You may exercise your option only for whole shares of Common Stock.</w:t>
      </w:r>
    </w:p>
    <w:p>
      <w:pPr>
        <w:spacing w:after="0" w:line="225" w:lineRule="exact"/>
        <w:rPr>
          <w:rFonts w:ascii="Arial" w:cs="Arial" w:eastAsia="Arial" w:hAnsi="Arial"/>
          <w:sz w:val="18"/>
          <w:szCs w:val="18"/>
          <w:b w:val="1"/>
          <w:bCs w:val="1"/>
          <w:color w:val="auto"/>
        </w:rPr>
      </w:pPr>
    </w:p>
    <w:p>
      <w:pPr>
        <w:ind w:left="4" w:right="320" w:firstLine="436"/>
        <w:spacing w:after="0" w:line="256" w:lineRule="auto"/>
        <w:tabs>
          <w:tab w:leader="none" w:pos="62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color w:val="auto"/>
        </w:rPr>
        <w:t>. In no event may you exercise your option unless the shares of Common Stock issuable upon exercise are</w:t>
      </w:r>
      <w:r>
        <w:rPr>
          <w:rFonts w:ascii="Arial" w:cs="Arial" w:eastAsia="Arial" w:hAnsi="Arial"/>
          <w:sz w:val="18"/>
          <w:szCs w:val="18"/>
          <w:b w:val="1"/>
          <w:bCs w:val="1"/>
          <w:color w:val="auto"/>
        </w:rPr>
        <w:t xml:space="preserve"> </w:t>
      </w:r>
      <w:r>
        <w:rPr>
          <w:rFonts w:ascii="Arial" w:cs="Arial" w:eastAsia="Arial" w:hAnsi="Arial"/>
          <w:sz w:val="18"/>
          <w:szCs w:val="18"/>
          <w:color w:val="auto"/>
        </w:rPr>
        <w:t>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87" w:lineRule="exact"/>
        <w:rPr>
          <w:rFonts w:ascii="Arial" w:cs="Arial" w:eastAsia="Arial" w:hAnsi="Arial"/>
          <w:sz w:val="18"/>
          <w:szCs w:val="18"/>
          <w:b w:val="1"/>
          <w:bCs w:val="1"/>
          <w:color w:val="auto"/>
        </w:rPr>
      </w:pPr>
    </w:p>
    <w:p>
      <w:pPr>
        <w:ind w:left="4" w:right="80" w:firstLine="436"/>
        <w:spacing w:after="0" w:line="282" w:lineRule="auto"/>
        <w:tabs>
          <w:tab w:leader="none" w:pos="62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color w:val="auto"/>
        </w:rPr>
        <w:t>. You may not exercise your option before the Date of Grant or after the expiration of the option’s term. The term of your option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5(h) of the Plan, upon the earliest of the following:</w:t>
      </w:r>
    </w:p>
    <w:p>
      <w:pPr>
        <w:spacing w:after="0" w:line="57" w:lineRule="exact"/>
        <w:rPr>
          <w:rFonts w:ascii="Arial" w:cs="Arial" w:eastAsia="Arial" w:hAnsi="Arial"/>
          <w:sz w:val="18"/>
          <w:szCs w:val="18"/>
          <w:b w:val="1"/>
          <w:bCs w:val="1"/>
          <w:color w:val="auto"/>
        </w:rPr>
      </w:pPr>
    </w:p>
    <w:p>
      <w:pPr>
        <w:ind w:left="1244" w:hanging="253"/>
        <w:spacing w:after="0"/>
        <w:tabs>
          <w:tab w:leader="none" w:pos="1244"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7" w:lineRule="exact"/>
        <w:rPr>
          <w:rFonts w:ascii="Arial" w:cs="Arial" w:eastAsia="Arial" w:hAnsi="Arial"/>
          <w:sz w:val="18"/>
          <w:szCs w:val="18"/>
          <w:b w:val="1"/>
          <w:bCs w:val="1"/>
          <w:color w:val="auto"/>
        </w:rPr>
      </w:pPr>
    </w:p>
    <w:p>
      <w:pPr>
        <w:ind w:left="1264" w:hanging="273"/>
        <w:spacing w:after="0"/>
        <w:tabs>
          <w:tab w:leader="none" w:pos="1264" w:val="left"/>
        </w:tabs>
        <w:numPr>
          <w:ilvl w:val="1"/>
          <w:numId w:val="285"/>
        </w:numPr>
        <w:rPr>
          <w:rFonts w:ascii="Arial" w:cs="Arial" w:eastAsia="Arial" w:hAnsi="Arial"/>
          <w:sz w:val="16"/>
          <w:szCs w:val="16"/>
          <w:b w:val="1"/>
          <w:bCs w:val="1"/>
          <w:color w:val="auto"/>
        </w:rPr>
      </w:pPr>
      <w:r>
        <w:rPr>
          <w:rFonts w:ascii="Arial" w:cs="Arial" w:eastAsia="Arial" w:hAnsi="Arial"/>
          <w:sz w:val="16"/>
          <w:szCs w:val="16"/>
          <w:color w:val="auto"/>
        </w:rPr>
        <w:t>three months after the termination of your Continuous Service for any reason other than Cause, your Disability or your death (except as</w:t>
      </w:r>
    </w:p>
    <w:p>
      <w:pPr>
        <w:spacing w:after="0" w:line="46" w:lineRule="exact"/>
        <w:rPr>
          <w:sz w:val="20"/>
          <w:szCs w:val="20"/>
          <w:color w:val="auto"/>
        </w:rPr>
      </w:pPr>
    </w:p>
    <w:p>
      <w:pPr>
        <w:ind w:left="4" w:right="40"/>
        <w:spacing w:after="0" w:line="281" w:lineRule="auto"/>
        <w:rPr>
          <w:sz w:val="20"/>
          <w:szCs w:val="20"/>
          <w:color w:val="auto"/>
        </w:rPr>
      </w:pPr>
      <w:r>
        <w:rPr>
          <w:rFonts w:ascii="Arial" w:cs="Arial" w:eastAsia="Arial" w:hAnsi="Arial"/>
          <w:sz w:val="16"/>
          <w:szCs w:val="16"/>
          <w:color w:val="auto"/>
        </w:rPr>
        <w:t xml:space="preserve">otherwise provided in Section 8(d)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if (i) you are a Non-Exempt Employee, (ii) your Continuous Service terminates within six months after the Date of Grant, and (iii) you have</w:t>
      </w:r>
      <w:r>
        <w:rPr>
          <w:rFonts w:ascii="Arial" w:cs="Arial" w:eastAsia="Arial" w:hAnsi="Arial"/>
          <w:sz w:val="16"/>
          <w:szCs w:val="16"/>
          <w:i w:val="1"/>
          <w:iCs w:val="1"/>
          <w:color w:val="auto"/>
        </w:rPr>
        <w:t xml:space="preserve"> </w:t>
      </w:r>
      <w:r>
        <w:rPr>
          <w:rFonts w:ascii="Arial" w:cs="Arial" w:eastAsia="Arial" w:hAnsi="Arial"/>
          <w:sz w:val="16"/>
          <w:szCs w:val="16"/>
          <w:color w:val="auto"/>
        </w:rPr>
        <w:t>vested in a portion of your option at the time of your termination of Continuous Service, your option will not expire until the earlier of (x) the later of</w:t>
      </w:r>
    </w:p>
    <w:p>
      <w:pPr>
        <w:spacing w:after="0" w:line="3" w:lineRule="exact"/>
        <w:rPr>
          <w:sz w:val="20"/>
          <w:szCs w:val="20"/>
          <w:color w:val="auto"/>
        </w:rPr>
      </w:pPr>
    </w:p>
    <w:p>
      <w:pPr>
        <w:ind w:left="304" w:hanging="304"/>
        <w:spacing w:after="0"/>
        <w:tabs>
          <w:tab w:leader="none" w:pos="30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date that is seven months after the Date of Grant, and (B) the date that is three months after the termination of your Continuous Service, and</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(y) the Expiration Date;</w:t>
      </w:r>
    </w:p>
    <w:p>
      <w:pPr>
        <w:spacing w:after="0" w:line="102" w:lineRule="exact"/>
        <w:rPr>
          <w:rFonts w:ascii="Arial" w:cs="Arial" w:eastAsia="Arial" w:hAnsi="Arial"/>
          <w:sz w:val="16"/>
          <w:szCs w:val="16"/>
          <w:color w:val="auto"/>
        </w:rPr>
      </w:pPr>
    </w:p>
    <w:p>
      <w:pPr>
        <w:ind w:left="1244" w:hanging="253"/>
        <w:spacing w:after="0"/>
        <w:tabs>
          <w:tab w:leader="none" w:pos="1244" w:val="left"/>
        </w:tabs>
        <w:numPr>
          <w:ilvl w:val="1"/>
          <w:numId w:val="286"/>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 (except as otherwise provided in Section 8(d))</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pacing w:after="0" w:line="102" w:lineRule="exact"/>
        <w:rPr>
          <w:rFonts w:ascii="Arial" w:cs="Arial" w:eastAsia="Arial" w:hAnsi="Arial"/>
          <w:sz w:val="17"/>
          <w:szCs w:val="17"/>
          <w:b w:val="1"/>
          <w:bCs w:val="1"/>
          <w:color w:val="auto"/>
        </w:rPr>
      </w:pPr>
    </w:p>
    <w:p>
      <w:pPr>
        <w:ind w:left="4" w:right="120" w:firstLine="987"/>
        <w:spacing w:after="0" w:line="277" w:lineRule="auto"/>
        <w:tabs>
          <w:tab w:leader="none" w:pos="1260"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either during your Continuous Service or within three (3) months after your Continuous Service terminates for any reason other than Cause;</w:t>
      </w:r>
    </w:p>
    <w:p>
      <w:pPr>
        <w:spacing w:after="0" w:line="62" w:lineRule="exact"/>
        <w:rPr>
          <w:rFonts w:ascii="Arial" w:cs="Arial" w:eastAsia="Arial" w:hAnsi="Arial"/>
          <w:sz w:val="18"/>
          <w:szCs w:val="18"/>
          <w:b w:val="1"/>
          <w:bCs w:val="1"/>
          <w:color w:val="auto"/>
        </w:rPr>
      </w:pPr>
    </w:p>
    <w:p>
      <w:pPr>
        <w:ind w:left="1244" w:hanging="253"/>
        <w:spacing w:after="0"/>
        <w:tabs>
          <w:tab w:leader="none" w:pos="1244"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7" w:lineRule="exact"/>
        <w:rPr>
          <w:rFonts w:ascii="Arial" w:cs="Arial" w:eastAsia="Arial" w:hAnsi="Arial"/>
          <w:sz w:val="18"/>
          <w:szCs w:val="18"/>
          <w:b w:val="1"/>
          <w:bCs w:val="1"/>
          <w:color w:val="auto"/>
        </w:rPr>
      </w:pPr>
    </w:p>
    <w:p>
      <w:pPr>
        <w:ind w:left="1224" w:hanging="233"/>
        <w:spacing w:after="0"/>
        <w:tabs>
          <w:tab w:leader="none" w:pos="1224"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ectPr>
          <w:pgSz w:w="11900" w:h="16838" w:orient="portrait"/>
          <w:cols w:equalWidth="0" w:num="1">
            <w:col w:w="11004"/>
          </w:cols>
          <w:pgMar w:left="436" w:top="274" w:right="459" w:bottom="1440" w:gutter="0" w:footer="0" w:header="0"/>
        </w:sectPr>
      </w:pPr>
    </w:p>
    <w:bookmarkStart w:id="317" w:name="page318"/>
    <w:bookmarkEnd w:id="317"/>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60" w:lineRule="exact"/>
        <w:rPr>
          <w:sz w:val="20"/>
          <w:szCs w:val="20"/>
          <w:color w:val="auto"/>
        </w:rPr>
      </w:pPr>
    </w:p>
    <w:p>
      <w:pPr>
        <w:ind w:left="620" w:hanging="184"/>
        <w:spacing w:after="0"/>
        <w:tabs>
          <w:tab w:leader="none" w:pos="62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right="20" w:firstLine="987"/>
        <w:spacing w:after="0" w:line="301" w:lineRule="auto"/>
        <w:tabs>
          <w:tab w:leader="none" w:pos="1246" w:val="left"/>
        </w:tabs>
        <w:numPr>
          <w:ilvl w:val="1"/>
          <w:numId w:val="287"/>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49" w:lineRule="exact"/>
        <w:rPr>
          <w:rFonts w:ascii="Arial" w:cs="Arial" w:eastAsia="Arial" w:hAnsi="Arial"/>
          <w:sz w:val="16"/>
          <w:szCs w:val="16"/>
          <w:b w:val="1"/>
          <w:bCs w:val="1"/>
          <w:color w:val="auto"/>
        </w:rPr>
      </w:pPr>
    </w:p>
    <w:p>
      <w:pPr>
        <w:ind w:firstLine="987"/>
        <w:spacing w:after="0" w:line="259" w:lineRule="auto"/>
        <w:tabs>
          <w:tab w:leader="none" w:pos="1256"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and you hereby agree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78" w:lineRule="exact"/>
        <w:rPr>
          <w:rFonts w:ascii="Arial" w:cs="Arial" w:eastAsia="Arial" w:hAnsi="Arial"/>
          <w:sz w:val="18"/>
          <w:szCs w:val="18"/>
          <w:b w:val="1"/>
          <w:bCs w:val="1"/>
          <w:color w:val="auto"/>
        </w:rPr>
      </w:pPr>
    </w:p>
    <w:p>
      <w:pPr>
        <w:ind w:right="80" w:firstLine="987"/>
        <w:spacing w:after="0" w:line="286" w:lineRule="auto"/>
        <w:tabs>
          <w:tab w:leader="none" w:pos="1236" w:val="left"/>
        </w:tabs>
        <w:numPr>
          <w:ilvl w:val="1"/>
          <w:numId w:val="287"/>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57" w:lineRule="exact"/>
        <w:rPr>
          <w:rFonts w:ascii="Arial" w:cs="Arial" w:eastAsia="Arial" w:hAnsi="Arial"/>
          <w:sz w:val="17"/>
          <w:szCs w:val="17"/>
          <w:b w:val="1"/>
          <w:bCs w:val="1"/>
          <w:color w:val="auto"/>
        </w:rPr>
      </w:pPr>
    </w:p>
    <w:p>
      <w:pPr>
        <w:ind w:right="20" w:firstLine="987"/>
        <w:spacing w:after="0" w:line="287" w:lineRule="auto"/>
        <w:tabs>
          <w:tab w:leader="none" w:pos="1256" w:val="left"/>
        </w:tabs>
        <w:numPr>
          <w:ilvl w:val="1"/>
          <w:numId w:val="287"/>
        </w:numPr>
        <w:rPr>
          <w:rFonts w:ascii="Arial" w:cs="Arial" w:eastAsia="Arial" w:hAnsi="Arial"/>
          <w:sz w:val="16"/>
          <w:szCs w:val="16"/>
          <w:b w:val="1"/>
          <w:bCs w:val="1"/>
          <w:color w:val="auto"/>
        </w:rPr>
      </w:pPr>
      <w:r>
        <w:rPr>
          <w:rFonts w:ascii="Arial" w:cs="Arial" w:eastAsia="Arial" w:hAnsi="Arial"/>
          <w:sz w:val="16"/>
          <w:szCs w:val="16"/>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63" w:lineRule="exact"/>
        <w:rPr>
          <w:rFonts w:ascii="Arial" w:cs="Arial" w:eastAsia="Arial" w:hAnsi="Arial"/>
          <w:sz w:val="16"/>
          <w:szCs w:val="16"/>
          <w:b w:val="1"/>
          <w:bCs w:val="1"/>
          <w:color w:val="auto"/>
        </w:rPr>
      </w:pPr>
    </w:p>
    <w:p>
      <w:pPr>
        <w:ind w:right="140" w:firstLine="987"/>
        <w:spacing w:after="0" w:line="296" w:lineRule="auto"/>
        <w:tabs>
          <w:tab w:leader="none" w:pos="1236" w:val="left"/>
        </w:tabs>
        <w:numPr>
          <w:ilvl w:val="1"/>
          <w:numId w:val="287"/>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the foregoing, you agree that at the request of the Company at any time and/or as a condition to any exercise of your option, you shall execute and deliver any applicable securityholders’ agreement, investor rights agreement, voting agreement, drag-along agreement, right of first refusal and co-sale agreement or similar agreement (or a joinder thereto) that the Company and/or the holders of its capital securities or options may enter into or that otherwise that may be in effect from time to time (and which may contain, among other provisions, additional restrictions on transfer rights of repurchase in favor of the Company) (collectively, the “</w:t>
      </w:r>
      <w:r>
        <w:rPr>
          <w:rFonts w:ascii="Arial" w:cs="Arial" w:eastAsia="Arial" w:hAnsi="Arial"/>
          <w:sz w:val="16"/>
          <w:szCs w:val="16"/>
          <w:b w:val="1"/>
          <w:bCs w:val="1"/>
          <w:i w:val="1"/>
          <w:iCs w:val="1"/>
          <w:color w:val="auto"/>
        </w:rPr>
        <w:t>Securityholders’ Documents</w:t>
      </w:r>
      <w:r>
        <w:rPr>
          <w:rFonts w:ascii="Arial" w:cs="Arial" w:eastAsia="Arial" w:hAnsi="Arial"/>
          <w:sz w:val="16"/>
          <w:szCs w:val="16"/>
          <w:color w:val="auto"/>
        </w:rPr>
        <w:t>”).</w:t>
      </w:r>
    </w:p>
    <w:p>
      <w:pPr>
        <w:sectPr>
          <w:pgSz w:w="11900" w:h="16838" w:orient="portrait"/>
          <w:cols w:equalWidth="0" w:num="1">
            <w:col w:w="11000"/>
          </w:cols>
          <w:pgMar w:left="440" w:top="274" w:right="459" w:bottom="1440" w:gutter="0" w:footer="0" w:header="0"/>
        </w:sectPr>
      </w:pPr>
    </w:p>
    <w:bookmarkStart w:id="318" w:name="page319"/>
    <w:bookmarkEnd w:id="318"/>
    <w:p>
      <w:pPr>
        <w:ind w:right="100" w:firstLine="436"/>
        <w:spacing w:after="0" w:line="282" w:lineRule="auto"/>
        <w:tabs>
          <w:tab w:leader="none" w:pos="71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4"/>
          <w:szCs w:val="14"/>
          <w:b w:val="1"/>
          <w:bCs w:val="1"/>
          <w:color w:val="auto"/>
        </w:rPr>
        <w:t>RANSFERABILITY</w:t>
      </w:r>
      <w:r>
        <w:rPr>
          <w:rFonts w:ascii="Arial" w:cs="Arial" w:eastAsia="Arial" w:hAnsi="Arial"/>
          <w:sz w:val="18"/>
          <w:szCs w:val="18"/>
          <w:color w:val="auto"/>
        </w:rPr>
        <w:t>. Except as otherwise provided in this Section 10, your option is not transferable,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is exercisable during your life only by you.</w:t>
      </w:r>
    </w:p>
    <w:p>
      <w:pPr>
        <w:spacing w:after="0" w:line="53" w:lineRule="exact"/>
        <w:rPr>
          <w:rFonts w:ascii="Arial" w:cs="Arial" w:eastAsia="Arial" w:hAnsi="Arial"/>
          <w:sz w:val="18"/>
          <w:szCs w:val="18"/>
          <w:b w:val="1"/>
          <w:bCs w:val="1"/>
          <w:color w:val="auto"/>
        </w:rPr>
      </w:pPr>
    </w:p>
    <w:p>
      <w:pPr>
        <w:jc w:val="both"/>
        <w:ind w:right="120" w:firstLine="987"/>
        <w:spacing w:after="0" w:line="266" w:lineRule="auto"/>
        <w:tabs>
          <w:tab w:leader="none" w:pos="1246"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Trusts</w:t>
      </w:r>
      <w:r>
        <w:rPr>
          <w:rFonts w:ascii="Arial" w:cs="Arial" w:eastAsia="Arial" w:hAnsi="Arial"/>
          <w:sz w:val="18"/>
          <w:szCs w:val="18"/>
          <w:color w:val="auto"/>
        </w:rPr>
        <w:t>. Upon receiving written permission from the Board or its duly authorized designee, you may transfer your option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67" w:lineRule="exact"/>
        <w:rPr>
          <w:rFonts w:ascii="Arial" w:cs="Arial" w:eastAsia="Arial" w:hAnsi="Arial"/>
          <w:sz w:val="18"/>
          <w:szCs w:val="18"/>
          <w:b w:val="1"/>
          <w:bCs w:val="1"/>
          <w:color w:val="auto"/>
        </w:rPr>
      </w:pPr>
    </w:p>
    <w:p>
      <w:pPr>
        <w:jc w:val="both"/>
        <w:ind w:firstLine="987"/>
        <w:spacing w:after="0" w:line="289" w:lineRule="auto"/>
        <w:tabs>
          <w:tab w:leader="none" w:pos="1256" w:val="left"/>
        </w:tabs>
        <w:numPr>
          <w:ilvl w:val="1"/>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Upon receiving written permission from the Board or its duly authorized designee, and provided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1" w:lineRule="exact"/>
        <w:rPr>
          <w:rFonts w:ascii="Arial" w:cs="Arial" w:eastAsia="Arial" w:hAnsi="Arial"/>
          <w:sz w:val="16"/>
          <w:szCs w:val="16"/>
          <w:b w:val="1"/>
          <w:bCs w:val="1"/>
          <w:color w:val="auto"/>
        </w:rPr>
      </w:pPr>
    </w:p>
    <w:p>
      <w:pPr>
        <w:ind w:right="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80" w:lineRule="exact"/>
        <w:rPr>
          <w:rFonts w:ascii="Arial" w:cs="Arial" w:eastAsia="Arial" w:hAnsi="Arial"/>
          <w:sz w:val="16"/>
          <w:szCs w:val="16"/>
          <w:b w:val="1"/>
          <w:bCs w:val="1"/>
          <w:color w:val="auto"/>
        </w:rPr>
      </w:pPr>
    </w:p>
    <w:p>
      <w:pPr>
        <w:ind w:right="120" w:firstLine="987"/>
        <w:spacing w:after="0" w:line="277" w:lineRule="auto"/>
        <w:tabs>
          <w:tab w:leader="none" w:pos="1236" w:val="left"/>
        </w:tabs>
        <w:numPr>
          <w:ilvl w:val="1"/>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67" w:lineRule="exact"/>
        <w:rPr>
          <w:rFonts w:ascii="Arial" w:cs="Arial" w:eastAsia="Arial" w:hAnsi="Arial"/>
          <w:sz w:val="17"/>
          <w:szCs w:val="17"/>
          <w:b w:val="1"/>
          <w:bCs w:val="1"/>
          <w:color w:val="auto"/>
        </w:rPr>
      </w:pPr>
    </w:p>
    <w:p>
      <w:pPr>
        <w:ind w:right="60" w:firstLine="436"/>
        <w:spacing w:after="0" w:line="266" w:lineRule="auto"/>
        <w:tabs>
          <w:tab w:leader="none" w:pos="7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IGHT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EPURCHASE</w:t>
      </w:r>
      <w:r>
        <w:rPr>
          <w:rFonts w:ascii="Arial" w:cs="Arial" w:eastAsia="Arial" w:hAnsi="Arial"/>
          <w:sz w:val="18"/>
          <w:szCs w:val="18"/>
          <w:color w:val="auto"/>
        </w:rPr>
        <w:t>. To the extent provided in the Company’s bylaws and/or Securityholders’ Documents in effect at such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elects to exercise its right, the Company will have the right to repurchase all or any part of the shares of Common Stock you acquire pursuant to the exercise of your option.</w:t>
      </w:r>
    </w:p>
    <w:p>
      <w:pPr>
        <w:spacing w:after="0" w:line="175" w:lineRule="exact"/>
        <w:rPr>
          <w:rFonts w:ascii="Arial" w:cs="Arial" w:eastAsia="Arial" w:hAnsi="Arial"/>
          <w:sz w:val="18"/>
          <w:szCs w:val="18"/>
          <w:b w:val="1"/>
          <w:bCs w:val="1"/>
          <w:color w:val="auto"/>
        </w:rPr>
      </w:pPr>
    </w:p>
    <w:p>
      <w:pPr>
        <w:ind w:right="20" w:firstLine="436"/>
        <w:spacing w:after="0" w:line="303" w:lineRule="auto"/>
        <w:tabs>
          <w:tab w:leader="none" w:pos="710"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color w:val="auto"/>
        </w:rPr>
        <w:t>. Your option is not an employment or service contract, and nothing in your option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50" w:lineRule="exact"/>
        <w:rPr>
          <w:rFonts w:ascii="Arial" w:cs="Arial" w:eastAsia="Arial" w:hAnsi="Arial"/>
          <w:sz w:val="16"/>
          <w:szCs w:val="16"/>
          <w:b w:val="1"/>
          <w:bCs w:val="1"/>
          <w:color w:val="auto"/>
        </w:rPr>
      </w:pPr>
    </w:p>
    <w:p>
      <w:pPr>
        <w:ind w:left="700" w:hanging="264"/>
        <w:spacing w:after="0"/>
        <w:tabs>
          <w:tab w:leader="none" w:pos="7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57" w:lineRule="auto"/>
        <w:tabs>
          <w:tab w:leader="none" w:pos="1246"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ectPr>
          <w:pgSz w:w="11900" w:h="16838" w:orient="portrait"/>
          <w:cols w:equalWidth="0" w:num="1">
            <w:col w:w="10980"/>
          </w:cols>
          <w:pgMar w:left="440" w:top="270" w:right="479" w:bottom="1440" w:gutter="0" w:footer="0" w:header="0"/>
        </w:sectPr>
      </w:pPr>
    </w:p>
    <w:bookmarkStart w:id="319" w:name="page320"/>
    <w:bookmarkEnd w:id="319"/>
    <w:p>
      <w:pPr>
        <w:ind w:left="-436" w:firstLine="987"/>
        <w:spacing w:after="0" w:line="269" w:lineRule="auto"/>
        <w:tabs>
          <w:tab w:leader="none" w:pos="820" w:val="left"/>
        </w:tabs>
        <w:numPr>
          <w:ilvl w:val="1"/>
          <w:numId w:val="28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73" w:lineRule="exact"/>
        <w:rPr>
          <w:rFonts w:ascii="Arial" w:cs="Arial" w:eastAsia="Arial" w:hAnsi="Arial"/>
          <w:sz w:val="17"/>
          <w:szCs w:val="17"/>
          <w:b w:val="1"/>
          <w:bCs w:val="1"/>
          <w:color w:val="auto"/>
        </w:rPr>
      </w:pPr>
    </w:p>
    <w:p>
      <w:pPr>
        <w:ind w:left="-436" w:right="60" w:firstLine="987"/>
        <w:spacing w:after="0" w:line="259" w:lineRule="auto"/>
        <w:tabs>
          <w:tab w:leader="none" w:pos="800"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82" w:lineRule="exact"/>
        <w:rPr>
          <w:rFonts w:ascii="Arial" w:cs="Arial" w:eastAsia="Arial" w:hAnsi="Arial"/>
          <w:sz w:val="18"/>
          <w:szCs w:val="18"/>
          <w:b w:val="1"/>
          <w:bCs w:val="1"/>
          <w:color w:val="auto"/>
        </w:rPr>
      </w:pPr>
    </w:p>
    <w:p>
      <w:pPr>
        <w:ind w:left="-436" w:firstLine="436"/>
        <w:spacing w:after="0" w:line="270" w:lineRule="auto"/>
        <w:tabs>
          <w:tab w:leader="none" w:pos="274"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6" w:lineRule="exact"/>
        <w:rPr>
          <w:rFonts w:ascii="Arial" w:cs="Arial" w:eastAsia="Arial" w:hAnsi="Arial"/>
          <w:sz w:val="17"/>
          <w:szCs w:val="17"/>
          <w:b w:val="1"/>
          <w:bCs w:val="1"/>
          <w:color w:val="auto"/>
        </w:rPr>
      </w:pPr>
    </w:p>
    <w:p>
      <w:pPr>
        <w:ind w:left="-436" w:right="420" w:firstLine="436"/>
        <w:spacing w:after="0" w:line="294" w:lineRule="auto"/>
        <w:tabs>
          <w:tab w:leader="none" w:pos="274"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OTICES</w:t>
      </w:r>
      <w:r>
        <w:rPr>
          <w:rFonts w:ascii="Arial" w:cs="Arial" w:eastAsia="Arial" w:hAnsi="Arial"/>
          <w:sz w:val="16"/>
          <w:szCs w:val="16"/>
          <w:color w:val="auto"/>
        </w:rPr>
        <w:t>. Any notices provided for in your option or the Plan will be given in writing (including electronically) and will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0544"/>
          </w:cols>
          <w:pgMar w:left="876" w:top="274" w:right="479" w:bottom="1440" w:gutter="0" w:footer="0" w:header="0"/>
        </w:sectPr>
      </w:pPr>
    </w:p>
    <w:bookmarkStart w:id="320" w:name="page321"/>
    <w:bookmarkEnd w:id="320"/>
    <w:p>
      <w:pPr>
        <w:ind w:left="-436" w:firstLine="436"/>
        <w:spacing w:after="0" w:line="314" w:lineRule="auto"/>
        <w:tabs>
          <w:tab w:leader="none" w:pos="274"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w:t>
      </w:r>
      <w:r>
        <w:rPr>
          <w:rFonts w:ascii="Arial" w:cs="Arial" w:eastAsia="Arial" w:hAnsi="Arial"/>
          <w:sz w:val="12"/>
          <w:szCs w:val="12"/>
          <w:b w:val="1"/>
          <w:bCs w:val="1"/>
          <w:color w:val="auto"/>
        </w:rPr>
        <w:t>OVERNING</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6"/>
          <w:szCs w:val="16"/>
          <w:color w:val="auto"/>
        </w:rPr>
        <w:t>. Your option is subject to all the provisions of the Plan, the provisions of which are hereby made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ectPr>
          <w:pgSz w:w="11900" w:h="16838" w:orient="portrait"/>
          <w:cols w:equalWidth="0" w:num="1">
            <w:col w:w="10364"/>
          </w:cols>
          <w:pgMar w:left="876" w:top="270" w:right="65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2016 EQUITY INCENTIVE PLAN</w:t>
      </w:r>
    </w:p>
    <w:p>
      <w:pPr>
        <w:sectPr>
          <w:pgSz w:w="11900" w:h="16838" w:orient="portrait"/>
          <w:cols w:equalWidth="0" w:num="1">
            <w:col w:w="9019"/>
          </w:cols>
          <w:pgMar w:left="1440" w:top="270" w:right="1440"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9019"/>
          </w:cols>
          <w:pgMar w:left="1440" w:top="270" w:right="1440" w:bottom="1440" w:gutter="0" w:footer="0" w:header="0"/>
        </w:sectPr>
      </w:pPr>
    </w:p>
    <w:bookmarkStart w:id="323" w:name="page324"/>
    <w:bookmarkEnd w:id="3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XOMETRY,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OF EXERCISE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7951 Cessna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Gaithersburg, MD 20879</w:t>
      </w:r>
    </w:p>
    <w:p>
      <w:pPr>
        <w:spacing w:after="0" w:line="211" w:lineRule="exact"/>
        <w:rPr>
          <w:sz w:val="20"/>
          <w:szCs w:val="20"/>
          <w:color w:val="auto"/>
        </w:rPr>
      </w:pPr>
    </w:p>
    <w:p>
      <w:pPr>
        <w:ind w:left="8364"/>
        <w:spacing w:after="0"/>
        <w:rPr>
          <w:sz w:val="20"/>
          <w:szCs w:val="20"/>
          <w:color w:val="auto"/>
        </w:rPr>
      </w:pPr>
      <w:r>
        <w:rPr>
          <w:rFonts w:ascii="Arial" w:cs="Arial" w:eastAsia="Arial" w:hAnsi="Arial"/>
          <w:sz w:val="16"/>
          <w:szCs w:val="16"/>
          <w:color w:val="auto"/>
        </w:rPr>
        <w:t>Date of Exercise: _______________</w:t>
      </w:r>
    </w:p>
    <w:p>
      <w:pPr>
        <w:spacing w:after="0" w:line="244" w:lineRule="exact"/>
        <w:rPr>
          <w:sz w:val="20"/>
          <w:szCs w:val="20"/>
          <w:color w:val="auto"/>
        </w:rPr>
      </w:pPr>
    </w:p>
    <w:p>
      <w:pPr>
        <w:ind w:left="4" w:right="660" w:firstLine="440"/>
        <w:spacing w:after="0" w:line="282"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60" w:lineRule="exact"/>
        <w:rPr>
          <w:sz w:val="20"/>
          <w:szCs w:val="20"/>
          <w:color w:val="auto"/>
        </w:rPr>
      </w:pPr>
    </w:p>
    <w:tbl>
      <w:tblPr>
        <w:tblLayout w:type="fixed"/>
        <w:tblInd w:w="724" w:type="dxa"/>
        <w:tblCellMar>
          <w:top w:w="0" w:type="dxa"/>
          <w:left w:w="0" w:type="dxa"/>
          <w:bottom w:w="0" w:type="dxa"/>
          <w:right w:w="0" w:type="dxa"/>
        </w:tblCellMar>
      </w:tblP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Type of option (check one):</w:t>
            </w:r>
          </w:p>
        </w:tc>
        <w:tc>
          <w:tcPr>
            <w:tcW w:w="2640" w:type="dxa"/>
            <w:vAlign w:val="bottom"/>
            <w:gridSpan w:val="3"/>
          </w:tcPr>
          <w:p>
            <w:pPr>
              <w:ind w:left="1020"/>
              <w:spacing w:after="0" w:line="207" w:lineRule="exact"/>
              <w:rPr>
                <w:sz w:val="20"/>
                <w:szCs w:val="20"/>
                <w:color w:val="auto"/>
              </w:rPr>
            </w:pP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p>
        </w:tc>
        <w:tc>
          <w:tcPr>
            <w:tcW w:w="162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Nonstatutory </w:t>
            </w:r>
            <w:r>
              <w:rPr>
                <w:rFonts w:ascii="MS PGothic" w:cs="MS PGothic" w:eastAsia="MS PGothic" w:hAnsi="MS PGothic"/>
                <w:sz w:val="18"/>
                <w:szCs w:val="18"/>
                <w:color w:val="auto"/>
              </w:rPr>
              <w:t>☐</w:t>
            </w:r>
          </w:p>
        </w:tc>
      </w:tr>
      <w:tr>
        <w:trPr>
          <w:trHeight w:val="263"/>
        </w:trPr>
        <w:tc>
          <w:tcPr>
            <w:tcW w:w="4540" w:type="dxa"/>
            <w:vAlign w:val="bottom"/>
          </w:tcPr>
          <w:p>
            <w:pPr>
              <w:spacing w:after="0"/>
              <w:rPr>
                <w:sz w:val="20"/>
                <w:szCs w:val="20"/>
                <w:color w:val="auto"/>
              </w:rPr>
            </w:pPr>
            <w:r>
              <w:rPr>
                <w:rFonts w:ascii="Arial" w:cs="Arial" w:eastAsia="Arial" w:hAnsi="Arial"/>
                <w:sz w:val="18"/>
                <w:szCs w:val="18"/>
                <w:color w:val="auto"/>
              </w:rPr>
              <w:t>Stock option dated:</w:t>
            </w:r>
          </w:p>
        </w:tc>
        <w:tc>
          <w:tcPr>
            <w:tcW w:w="112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330"/>
        </w:trPr>
        <w:tc>
          <w:tcPr>
            <w:tcW w:w="4540" w:type="dxa"/>
            <w:vAlign w:val="bottom"/>
          </w:tcPr>
          <w:p>
            <w:pPr>
              <w:spacing w:after="0"/>
              <w:rPr>
                <w:sz w:val="20"/>
                <w:szCs w:val="20"/>
                <w:color w:val="auto"/>
              </w:rPr>
            </w:pPr>
            <w:r>
              <w:rPr>
                <w:rFonts w:ascii="Arial" w:cs="Arial" w:eastAsia="Arial" w:hAnsi="Arial"/>
                <w:sz w:val="18"/>
                <w:szCs w:val="18"/>
                <w:color w:val="auto"/>
              </w:rPr>
              <w:t>Number of Shares as</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0"/>
        </w:trPr>
        <w:tc>
          <w:tcPr>
            <w:tcW w:w="4540" w:type="dxa"/>
            <w:vAlign w:val="bottom"/>
          </w:tcPr>
          <w:p>
            <w:pPr>
              <w:spacing w:after="0" w:line="190" w:lineRule="exact"/>
              <w:rPr>
                <w:sz w:val="20"/>
                <w:szCs w:val="20"/>
                <w:color w:val="auto"/>
              </w:rPr>
            </w:pPr>
            <w:r>
              <w:rPr>
                <w:rFonts w:ascii="Arial" w:cs="Arial" w:eastAsia="Arial" w:hAnsi="Arial"/>
                <w:sz w:val="18"/>
                <w:szCs w:val="18"/>
                <w:color w:val="auto"/>
              </w:rPr>
              <w:t>to which option is</w:t>
            </w:r>
          </w:p>
        </w:tc>
        <w:tc>
          <w:tcPr>
            <w:tcW w:w="1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exercised:</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7"/>
        </w:trPr>
        <w:tc>
          <w:tcPr>
            <w:tcW w:w="4540" w:type="dxa"/>
            <w:vAlign w:val="bottom"/>
          </w:tcPr>
          <w:p>
            <w:pPr>
              <w:spacing w:after="0"/>
              <w:rPr>
                <w:sz w:val="20"/>
                <w:szCs w:val="20"/>
                <w:color w:val="auto"/>
              </w:rPr>
            </w:pPr>
            <w:r>
              <w:rPr>
                <w:rFonts w:ascii="Arial" w:cs="Arial" w:eastAsia="Arial" w:hAnsi="Arial"/>
                <w:sz w:val="18"/>
                <w:szCs w:val="18"/>
                <w:color w:val="auto"/>
              </w:rPr>
              <w:t>Certificates to be issued in name of:</w:t>
            </w:r>
          </w:p>
        </w:tc>
        <w:tc>
          <w:tcPr>
            <w:tcW w:w="1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345"/>
        </w:trPr>
        <w:tc>
          <w:tcPr>
            <w:tcW w:w="4540" w:type="dxa"/>
            <w:vAlign w:val="bottom"/>
          </w:tcPr>
          <w:p>
            <w:pPr>
              <w:spacing w:after="0"/>
              <w:rPr>
                <w:sz w:val="20"/>
                <w:szCs w:val="20"/>
                <w:color w:val="auto"/>
              </w:rPr>
            </w:pPr>
            <w:r>
              <w:rPr>
                <w:rFonts w:ascii="Arial" w:cs="Arial" w:eastAsia="Arial" w:hAnsi="Arial"/>
                <w:sz w:val="18"/>
                <w:szCs w:val="18"/>
                <w:color w:val="auto"/>
              </w:rPr>
              <w:t>Total exercise price:</w:t>
            </w:r>
          </w:p>
        </w:tc>
        <w:tc>
          <w:tcPr>
            <w:tcW w:w="264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w w:val="89"/>
              </w:rPr>
              <w:t>$______________</w:t>
            </w:r>
          </w:p>
        </w:tc>
      </w:tr>
      <w:tr>
        <w:trPr>
          <w:trHeight w:val="310"/>
        </w:trPr>
        <w:tc>
          <w:tcPr>
            <w:tcW w:w="4540" w:type="dxa"/>
            <w:vAlign w:val="bottom"/>
          </w:tcPr>
          <w:p>
            <w:pPr>
              <w:spacing w:after="0"/>
              <w:rPr>
                <w:sz w:val="20"/>
                <w:szCs w:val="20"/>
                <w:color w:val="auto"/>
              </w:rPr>
            </w:pPr>
            <w:r>
              <w:rPr>
                <w:rFonts w:ascii="Arial" w:cs="Arial" w:eastAsia="Arial" w:hAnsi="Arial"/>
                <w:sz w:val="18"/>
                <w:szCs w:val="18"/>
                <w:color w:val="auto"/>
              </w:rPr>
              <w:t>Cash payment delivered</w:t>
            </w:r>
          </w:p>
        </w:tc>
        <w:tc>
          <w:tcPr>
            <w:tcW w:w="264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w w:val="89"/>
              </w:rPr>
              <w:t>$______________</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herewith:</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7"/>
        </w:trPr>
        <w:tc>
          <w:tcPr>
            <w:tcW w:w="4540" w:type="dxa"/>
            <w:vAlign w:val="bottom"/>
          </w:tcPr>
          <w:p>
            <w:pPr>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2</w:t>
            </w:r>
            <w:r>
              <w:rPr>
                <w:rFonts w:ascii="Arial" w:cs="Arial" w:eastAsia="Arial" w:hAnsi="Arial"/>
                <w:sz w:val="18"/>
                <w:szCs w:val="18"/>
                <w:color w:val="auto"/>
              </w:rPr>
              <w:t>)</w:t>
            </w:r>
          </w:p>
        </w:tc>
        <w:tc>
          <w:tcPr>
            <w:tcW w:w="264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w w:val="89"/>
              </w:rPr>
              <w:t>$______________</w:t>
            </w: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Value of _________ Shares delivered herewith</w:t>
            </w:r>
            <w:r>
              <w:rPr>
                <w:rFonts w:ascii="Arial" w:cs="Arial" w:eastAsia="Arial" w:hAnsi="Arial"/>
                <w:sz w:val="15"/>
                <w:szCs w:val="15"/>
                <w:color w:val="auto"/>
              </w:rPr>
              <w:t>3</w:t>
            </w:r>
            <w:r>
              <w:rPr>
                <w:rFonts w:ascii="Arial" w:cs="Arial" w:eastAsia="Arial" w:hAnsi="Arial"/>
                <w:sz w:val="18"/>
                <w:szCs w:val="18"/>
                <w:color w:val="auto"/>
              </w:rPr>
              <w:t>:</w:t>
            </w:r>
          </w:p>
        </w:tc>
        <w:tc>
          <w:tcPr>
            <w:tcW w:w="264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w w:val="89"/>
              </w:rPr>
              <w:t>$______________</w:t>
            </w:r>
          </w:p>
        </w:tc>
      </w:tr>
      <w:tr>
        <w:trPr>
          <w:trHeight w:val="324"/>
        </w:trPr>
        <w:tc>
          <w:tcPr>
            <w:tcW w:w="4540" w:type="dxa"/>
            <w:vAlign w:val="bottom"/>
          </w:tcPr>
          <w:p>
            <w:pPr>
              <w:spacing w:after="0"/>
              <w:rPr>
                <w:sz w:val="20"/>
                <w:szCs w:val="20"/>
                <w:color w:val="auto"/>
              </w:rPr>
            </w:pPr>
            <w:r>
              <w:rPr>
                <w:rFonts w:ascii="Arial" w:cs="Arial" w:eastAsia="Arial" w:hAnsi="Arial"/>
                <w:sz w:val="18"/>
                <w:szCs w:val="18"/>
                <w:color w:val="auto"/>
              </w:rPr>
              <w:t>[Promissory note delivered herewith]:</w:t>
            </w:r>
          </w:p>
        </w:tc>
        <w:tc>
          <w:tcPr>
            <w:tcW w:w="2640" w:type="dxa"/>
            <w:vAlign w:val="bottom"/>
            <w:gridSpan w:val="3"/>
          </w:tcPr>
          <w:p>
            <w:pPr>
              <w:ind w:left="1020"/>
              <w:spacing w:after="0"/>
              <w:rPr>
                <w:sz w:val="20"/>
                <w:szCs w:val="20"/>
                <w:color w:val="auto"/>
              </w:rPr>
            </w:pPr>
            <w:r>
              <w:rPr>
                <w:rFonts w:ascii="Arial" w:cs="Arial" w:eastAsia="Arial" w:hAnsi="Arial"/>
                <w:sz w:val="18"/>
                <w:szCs w:val="18"/>
                <w:color w:val="auto"/>
              </w:rPr>
              <w:t>$______________</w:t>
            </w:r>
          </w:p>
        </w:tc>
        <w:tc>
          <w:tcPr>
            <w:tcW w:w="1620" w:type="dxa"/>
            <w:vAlign w:val="bottom"/>
            <w:gridSpan w:val="2"/>
          </w:tcPr>
          <w:p>
            <w:pPr>
              <w:ind w:left="260"/>
              <w:spacing w:after="0"/>
              <w:rPr>
                <w:sz w:val="20"/>
                <w:szCs w:val="20"/>
                <w:color w:val="auto"/>
              </w:rPr>
            </w:pPr>
            <w:r>
              <w:rPr>
                <w:rFonts w:ascii="Arial" w:cs="Arial" w:eastAsia="Arial" w:hAnsi="Arial"/>
                <w:sz w:val="18"/>
                <w:szCs w:val="18"/>
                <w:color w:val="auto"/>
                <w:w w:val="89"/>
              </w:rPr>
              <w:t>$______________</w:t>
            </w:r>
          </w:p>
        </w:tc>
      </w:tr>
    </w:tbl>
    <w:p>
      <w:pPr>
        <w:spacing w:after="0" w:line="20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2016 Equity Incentive Plan,</w:t>
      </w:r>
    </w:p>
    <w:p>
      <w:pPr>
        <w:spacing w:after="0" w:line="46" w:lineRule="exact"/>
        <w:rPr>
          <w:sz w:val="20"/>
          <w:szCs w:val="20"/>
          <w:color w:val="auto"/>
        </w:rPr>
      </w:pPr>
    </w:p>
    <w:p>
      <w:pPr>
        <w:ind w:left="264" w:hanging="264"/>
        <w:spacing w:after="0"/>
        <w:tabs>
          <w:tab w:leader="none" w:pos="26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to provide for the payment by me to you (in the manner designated by you) of your withholding obligation, if any, relating to the exercise of this</w:t>
      </w:r>
    </w:p>
    <w:p>
      <w:pPr>
        <w:spacing w:after="0" w:line="20" w:lineRule="exact"/>
        <w:rPr>
          <w:rFonts w:ascii="Arial" w:cs="Arial" w:eastAsia="Arial" w:hAnsi="Arial"/>
          <w:sz w:val="17"/>
          <w:szCs w:val="17"/>
          <w:color w:val="auto"/>
        </w:rPr>
      </w:pPr>
    </w:p>
    <w:p>
      <w:pPr>
        <w:ind w:left="4" w:right="100"/>
        <w:spacing w:after="0" w:line="255" w:lineRule="auto"/>
        <w:rPr>
          <w:rFonts w:ascii="Arial" w:cs="Arial" w:eastAsia="Arial" w:hAnsi="Arial"/>
          <w:sz w:val="17"/>
          <w:szCs w:val="17"/>
          <w:color w:val="auto"/>
        </w:rPr>
      </w:pPr>
      <w:r>
        <w:rPr>
          <w:rFonts w:ascii="Arial" w:cs="Arial" w:eastAsia="Arial" w:hAnsi="Arial"/>
          <w:sz w:val="18"/>
          <w:szCs w:val="18"/>
          <w:color w:val="auto"/>
        </w:rPr>
        <w:t>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w:t>
      </w:r>
    </w:p>
    <w:p>
      <w:pPr>
        <w:spacing w:after="0" w:line="19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715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6"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agreement.</w:t>
      </w:r>
    </w:p>
    <w:p>
      <w:pPr>
        <w:spacing w:after="0" w:line="22" w:lineRule="exact"/>
        <w:rPr>
          <w:sz w:val="20"/>
          <w:szCs w:val="20"/>
          <w:color w:val="auto"/>
        </w:rPr>
      </w:pPr>
    </w:p>
    <w:p>
      <w:pPr>
        <w:ind w:left="424" w:right="200" w:hanging="424"/>
        <w:spacing w:after="0" w:line="256" w:lineRule="auto"/>
        <w:tabs>
          <w:tab w:leader="none" w:pos="424" w:val="left"/>
        </w:tabs>
        <w:numPr>
          <w:ilvl w:val="0"/>
          <w:numId w:val="294"/>
        </w:numPr>
        <w:rPr>
          <w:rFonts w:ascii="Arial" w:cs="Arial" w:eastAsia="Arial" w:hAnsi="Arial"/>
          <w:sz w:val="15"/>
          <w:szCs w:val="15"/>
          <w:color w:val="auto"/>
        </w:rPr>
      </w:pPr>
      <w:r>
        <w:rPr>
          <w:rFonts w:ascii="Arial" w:cs="Arial" w:eastAsia="Arial" w:hAnsi="Arial"/>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ectPr>
          <w:pgSz w:w="11900" w:h="16838" w:orient="portrait"/>
          <w:cols w:equalWidth="0" w:num="1">
            <w:col w:w="11024"/>
          </w:cols>
          <w:pgMar w:left="436" w:top="270" w:right="439" w:bottom="1440" w:gutter="0" w:footer="0" w:header="0"/>
        </w:sectPr>
      </w:pPr>
    </w:p>
    <w:bookmarkStart w:id="324" w:name="page325"/>
    <w:bookmarkEnd w:id="324"/>
    <w:p>
      <w:pPr>
        <w:ind w:right="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4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 further acknowledge that I will not be able to resell the Shares for at least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4"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180 days following the effective date of a registration statement of the Company filed under the Securities Act (or such longer period as the underwriters or the Company shall request to facilitate compliance with FINRA Rule 2711 or NYSE Member Rule 472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7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177800</wp:posOffset>
            </wp:positionV>
            <wp:extent cx="21602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300" w:lineRule="exact"/>
        <w:rPr>
          <w:sz w:val="20"/>
          <w:szCs w:val="20"/>
          <w:color w:val="auto"/>
        </w:rPr>
      </w:pPr>
    </w:p>
    <w:p>
      <w:pPr>
        <w:jc w:val="center"/>
        <w:ind w:left="7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151765</wp:posOffset>
            </wp:positionV>
            <wp:extent cx="21602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32"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Name (Please Print)</w:t>
      </w:r>
    </w:p>
    <w:p>
      <w:pPr>
        <w:spacing w:after="0" w:line="277"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-6350</wp:posOffset>
            </wp:positionV>
            <wp:extent cx="21602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147320</wp:posOffset>
            </wp:positionV>
            <wp:extent cx="21602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60270" cy="889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301625</wp:posOffset>
            </wp:positionV>
            <wp:extent cx="21602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James Rallo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effective as of April 13,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Company desires to employ the Executive and, in connection therewith, to compensate the Executive for Executive’s personal services to the Company;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Executive wishes to be employed by the Company and provide personal services to the Company in return for certain compensation.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70" w:lineRule="exact"/>
        <w:rPr>
          <w:sz w:val="20"/>
          <w:szCs w:val="20"/>
          <w:color w:val="auto"/>
        </w:rPr>
      </w:pPr>
    </w:p>
    <w:p>
      <w:pPr>
        <w:ind w:left="960" w:hanging="532"/>
        <w:spacing w:after="0"/>
        <w:tabs>
          <w:tab w:leader="none" w:pos="9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7" w:lineRule="exact"/>
        <w:rPr>
          <w:sz w:val="20"/>
          <w:szCs w:val="20"/>
          <w:color w:val="auto"/>
        </w:rPr>
      </w:pPr>
    </w:p>
    <w:p>
      <w:pPr>
        <w:ind w:right="280" w:firstLine="991"/>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Position; Board Role</w:t>
      </w:r>
      <w:r>
        <w:rPr>
          <w:rFonts w:ascii="Arial" w:cs="Arial" w:eastAsia="Arial" w:hAnsi="Arial"/>
          <w:sz w:val="18"/>
          <w:szCs w:val="18"/>
          <w:color w:val="auto"/>
        </w:rPr>
        <w:t>. Subject to the terms set forth herein, the Company agrees to employ Executive in the position of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Executive hereby accepts such employment. The Parties agree that Executive’s start date of employment will be on or about April 13, 2020. During the term of Executive’s employment with the Company, Executive will devote Executive’s best efforts and substantially all of Executive’s business time and attention to the business of the Company.</w:t>
      </w:r>
    </w:p>
    <w:p>
      <w:pPr>
        <w:spacing w:after="0" w:line="180"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report to the Company’s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 Executive will perform such duties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normally associated with his position, as assigned from time to time by the CEO. Executive shall perform his duties under this Agreement principally out of the Company’s headquarters office, or such other location as assigned. In addition, the Executive shall make such business trips to such places as may be necessary or advisable for the efficient operations of the Company.</w:t>
      </w:r>
    </w:p>
    <w:p>
      <w:pPr>
        <w:spacing w:after="0" w:line="180"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Company Policies and Benefits</w:t>
      </w:r>
      <w:r>
        <w:rPr>
          <w:rFonts w:ascii="Arial" w:cs="Arial" w:eastAsia="Arial" w:hAnsi="Arial"/>
          <w:sz w:val="18"/>
          <w:szCs w:val="18"/>
          <w:color w:val="auto"/>
        </w:rPr>
        <w:t>. The employment relationship between the parties shall also be subject to the Company’s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his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337" w:lineRule="exact"/>
        <w:rPr>
          <w:sz w:val="20"/>
          <w:szCs w:val="20"/>
          <w:color w:val="auto"/>
        </w:rPr>
      </w:pPr>
    </w:p>
    <w:p>
      <w:pPr>
        <w:ind w:left="960" w:hanging="532"/>
        <w:spacing w:after="0"/>
        <w:tabs>
          <w:tab w:leader="none" w:pos="9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OMPENSATION</w:t>
      </w:r>
      <w:r>
        <w:rPr>
          <w:rFonts w:ascii="Arial" w:cs="Arial" w:eastAsia="Arial" w:hAnsi="Arial"/>
          <w:sz w:val="18"/>
          <w:szCs w:val="18"/>
          <w:b w:val="1"/>
          <w:bCs w:val="1"/>
          <w:color w:val="auto"/>
        </w:rPr>
        <w:t>.</w:t>
      </w:r>
    </w:p>
    <w:p>
      <w:pPr>
        <w:spacing w:after="0" w:line="117" w:lineRule="exact"/>
        <w:rPr>
          <w:sz w:val="20"/>
          <w:szCs w:val="20"/>
          <w:color w:val="auto"/>
        </w:rPr>
      </w:pPr>
    </w:p>
    <w:p>
      <w:pPr>
        <w:ind w:right="240" w:firstLine="991"/>
        <w:spacing w:after="0" w:line="26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Salary</w:t>
      </w:r>
      <w:r>
        <w:rPr>
          <w:rFonts w:ascii="Arial" w:cs="Arial" w:eastAsia="Arial" w:hAnsi="Arial"/>
          <w:sz w:val="18"/>
          <w:szCs w:val="18"/>
          <w:color w:val="auto"/>
        </w:rPr>
        <w:t>. Executive shall receive for Executive’s services to be rendered hereunder an initial annualized base salary of $315,000,</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annual review and increase by the Company in its sole discretion, and subject to decrease but only pursuant to a salary reduction program applicable generally to the Company’s similarly situated employees, payable subject to standard federal and state payroll withholding requirements in accordance with Company’s standard payroll practices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326" w:name="page327"/>
    <w:bookmarkEnd w:id="326"/>
    <w:p>
      <w:pPr>
        <w:ind w:left="980"/>
        <w:spacing w:after="0"/>
        <w:tabs>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u w:val="single" w:color="auto"/>
          <w:color w:val="auto"/>
        </w:rPr>
        <w:t>Annual Bonus.</w:t>
      </w:r>
    </w:p>
    <w:p>
      <w:pPr>
        <w:spacing w:after="0" w:line="121" w:lineRule="exact"/>
        <w:rPr>
          <w:sz w:val="20"/>
          <w:szCs w:val="20"/>
          <w:color w:val="auto"/>
        </w:rPr>
      </w:pPr>
    </w:p>
    <w:p>
      <w:pPr>
        <w:ind w:right="60" w:firstLine="1428"/>
        <w:spacing w:after="0" w:line="269" w:lineRule="auto"/>
        <w:tabs>
          <w:tab w:leader="none" w:pos="1822" w:val="left"/>
        </w:tabs>
        <w:numPr>
          <w:ilvl w:val="0"/>
          <w:numId w:val="297"/>
        </w:numPr>
        <w:rPr>
          <w:rFonts w:ascii="Arial" w:cs="Arial" w:eastAsia="Arial" w:hAnsi="Arial"/>
          <w:sz w:val="17"/>
          <w:szCs w:val="17"/>
          <w:b w:val="1"/>
          <w:bCs w:val="1"/>
          <w:color w:val="auto"/>
        </w:rPr>
      </w:pPr>
      <w:r>
        <w:rPr>
          <w:rFonts w:ascii="Arial" w:cs="Arial" w:eastAsia="Arial" w:hAnsi="Arial"/>
          <w:sz w:val="17"/>
          <w:szCs w:val="17"/>
          <w:color w:val="auto"/>
        </w:rPr>
        <w:t>During Employment. Executive shall be eligible to earn an annual calendar year performance bonus (the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with an annual target of 33% of Executive’s then-current Base Salary (the “</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The Annual Bonus will be based on the bonus plan formula used for the Company’s senior executives (as set by the Company and confirmed by the Board in its reasonable good faith discretion). The Annual Bonus, if any, will be subject to applicable payroll deductions and withholdings. For calendar year 2020, so long as Executive remains employed pursuant to this Agreement through December 31, 2020, Executive is guaranteed his Target Bonus, prorated for the number of days of the calendar year he is employed. Beginning in 2021, no amount of any Annual Bonus is guaranteed at any time, and, except as otherwise stated in Section 6.2(b), Executive must be an employee in good standing through the December 31 of the applicable calendar year (the “</w:t>
      </w:r>
      <w:r>
        <w:rPr>
          <w:rFonts w:ascii="Arial" w:cs="Arial" w:eastAsia="Arial" w:hAnsi="Arial"/>
          <w:sz w:val="17"/>
          <w:szCs w:val="17"/>
          <w:b w:val="1"/>
          <w:bCs w:val="1"/>
          <w:i w:val="1"/>
          <w:iCs w:val="1"/>
          <w:color w:val="auto"/>
        </w:rPr>
        <w:t>Bonus Year</w:t>
      </w:r>
      <w:r>
        <w:rPr>
          <w:rFonts w:ascii="Arial" w:cs="Arial" w:eastAsia="Arial" w:hAnsi="Arial"/>
          <w:sz w:val="17"/>
          <w:szCs w:val="17"/>
          <w:color w:val="auto"/>
        </w:rPr>
        <w:t>”) to be eligible to receive an Annual Bonus for that Bonus Year. With the exception of the Annual Bonus for calendar year 2020, which shall be prorated from Executive’s start date of employment, no partial or prorated bonuses will be provided. Subject to Section 6.2, any Annual Bonus, if earned, will be paid at the same time annual bonuses are generally paid to other similarly-situated employees of the Company, but not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year following the applicable Bonus Year. Executive’s eligibility for an Annual Bonus is subject to change in the discretion of the Board (or any authorized committee thereof).</w:t>
      </w:r>
    </w:p>
    <w:p>
      <w:pPr>
        <w:spacing w:after="0" w:line="178" w:lineRule="exact"/>
        <w:rPr>
          <w:rFonts w:ascii="Arial" w:cs="Arial" w:eastAsia="Arial" w:hAnsi="Arial"/>
          <w:sz w:val="17"/>
          <w:szCs w:val="17"/>
          <w:b w:val="1"/>
          <w:bCs w:val="1"/>
          <w:color w:val="auto"/>
        </w:rPr>
      </w:pPr>
    </w:p>
    <w:p>
      <w:pPr>
        <w:jc w:val="both"/>
        <w:ind w:right="260" w:firstLine="1428"/>
        <w:spacing w:after="0" w:line="342" w:lineRule="auto"/>
        <w:tabs>
          <w:tab w:leader="none" w:pos="1832"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Upon Termination. Subject to the provisions of Section 6, in the event Executive leaves the employ of the Company for any reason prior to December 31 of the applicable Bonus Year, Executive is not eligible for an Annual Bonus, prorated or otherwise, for that Bonus Year.</w:t>
      </w:r>
    </w:p>
    <w:p>
      <w:pPr>
        <w:spacing w:after="0" w:line="12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Stock Option</w:t>
      </w:r>
      <w:r>
        <w:rPr>
          <w:rFonts w:ascii="Arial" w:cs="Arial" w:eastAsia="Arial" w:hAnsi="Arial"/>
          <w:sz w:val="16"/>
          <w:szCs w:val="16"/>
          <w:color w:val="auto"/>
        </w:rPr>
        <w:t>. Subject to approval by the Board at the first regularly scheduled Board meeting following the date Executive begins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(the “</w:t>
      </w:r>
      <w:r>
        <w:rPr>
          <w:rFonts w:ascii="Arial" w:cs="Arial" w:eastAsia="Arial" w:hAnsi="Arial"/>
          <w:sz w:val="16"/>
          <w:szCs w:val="16"/>
          <w:b w:val="1"/>
          <w:bCs w:val="1"/>
          <w:i w:val="1"/>
          <w:iCs w:val="1"/>
          <w:color w:val="auto"/>
        </w:rPr>
        <w:t>Start Date</w:t>
      </w:r>
      <w:r>
        <w:rPr>
          <w:rFonts w:ascii="Arial" w:cs="Arial" w:eastAsia="Arial" w:hAnsi="Arial"/>
          <w:sz w:val="16"/>
          <w:szCs w:val="16"/>
          <w:color w:val="auto"/>
        </w:rPr>
        <w:t>“) the Company shall grant Executive an option to purchase 458,822 shares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with an exercise price equal to the fair market value of a share of common stock as determined by the Board as of the date of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Company’s 2016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individual stock option grant notice and agreements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 will be subject to the terms and conditions of the Plan and the Executive’s grant agreement and will vest twenty-five percent (25%)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one-year anniversary of the Start Date, and thereafter over the ensuing three (3) years in a series of thirty-six (36) successive equal monthly installments,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Executive’s continuous service as of each such date. The Option shall begin vesting effective on the Start Date. The Option shall be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stock option, under Section 422 of the Code (as defined in Section 2.4 below), to the maximum extent permissible. As set forth in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6.2 of this Agreement, the Option will include double-trigger accelerated vesting in the event of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as defined in the Plan.</w:t>
      </w:r>
    </w:p>
    <w:p>
      <w:pPr>
        <w:spacing w:after="0" w:line="230" w:lineRule="exact"/>
        <w:rPr>
          <w:sz w:val="20"/>
          <w:szCs w:val="20"/>
          <w:color w:val="auto"/>
        </w:rPr>
      </w:pPr>
    </w:p>
    <w:p>
      <w:pPr>
        <w:ind w:firstLine="991"/>
        <w:spacing w:after="0" w:line="312"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Expense Reimbursement</w:t>
      </w:r>
      <w:r>
        <w:rPr>
          <w:rFonts w:ascii="Arial" w:cs="Arial" w:eastAsia="Arial" w:hAnsi="Arial"/>
          <w:sz w:val="17"/>
          <w:szCs w:val="17"/>
          <w:color w:val="auto"/>
        </w:rPr>
        <w:t>. The Company will reimburse Executive for reasonable business expenses with proper documentation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 Company’s standard expense reimbursement policy. For the avoidance of doubt, to the extent that any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27" w:name="page328"/>
    <w:bookmarkEnd w:id="32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reimbursements payable to Executive are subject to the provisions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83" w:lineRule="exact"/>
        <w:rPr>
          <w:sz w:val="20"/>
          <w:szCs w:val="20"/>
          <w:color w:val="auto"/>
        </w:rPr>
      </w:pPr>
    </w:p>
    <w:p>
      <w:pPr>
        <w:ind w:left="760" w:hanging="324"/>
        <w:spacing w:after="0"/>
        <w:tabs>
          <w:tab w:leader="none" w:pos="7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are</w:t>
      </w:r>
    </w:p>
    <w:p>
      <w:pPr>
        <w:spacing w:after="0" w:line="2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entering into an Employee Confidentiality Information, Inventions, Non-Solicitation and Non-Competition Agreement (the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may be amended by the parties from time to time without regard to this Agreement. The Confidential Information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contains provisions that are intended by the parties to survive and do survive termination or expiration of this Agreement.</w:t>
      </w:r>
    </w:p>
    <w:p>
      <w:pPr>
        <w:spacing w:after="0" w:line="169" w:lineRule="exact"/>
        <w:rPr>
          <w:sz w:val="20"/>
          <w:szCs w:val="20"/>
          <w:color w:val="auto"/>
        </w:rPr>
      </w:pPr>
    </w:p>
    <w:p>
      <w:pPr>
        <w:ind w:right="20" w:firstLine="436"/>
        <w:spacing w:after="0" w:line="272" w:lineRule="auto"/>
        <w:tabs>
          <w:tab w:leader="none" w:pos="755"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UTSIDE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3"/>
          <w:szCs w:val="13"/>
          <w:b w:val="1"/>
          <w:bCs w:val="1"/>
          <w:u w:val="single" w:color="auto"/>
          <w:color w:val="auto"/>
        </w:rPr>
        <w:t>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not, while employed by the Company, undertake or engage in any other employment, occupation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enterprise, including accepting any appointment to the board of directors of another company, that would interfere or conflict, either directly or indirectly,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by the Board. This restriction shall not, however, preclude the Executive (x) from owning less than one percent (1%) of the total outstanding shares of a publicly traded company, or (y) from employment or service in any capacity with Affiliates of the Company. As used in this Agreement, “</w:t>
      </w:r>
      <w:r>
        <w:rPr>
          <w:rFonts w:ascii="Arial" w:cs="Arial" w:eastAsia="Arial" w:hAnsi="Arial"/>
          <w:sz w:val="17"/>
          <w:szCs w:val="17"/>
          <w:b w:val="1"/>
          <w:bCs w:val="1"/>
          <w:i w:val="1"/>
          <w:iCs w:val="1"/>
          <w:color w:val="auto"/>
        </w:rPr>
        <w:t>Affiliates</w:t>
      </w:r>
      <w:r>
        <w:rPr>
          <w:rFonts w:ascii="Arial" w:cs="Arial" w:eastAsia="Arial" w:hAnsi="Arial"/>
          <w:sz w:val="17"/>
          <w:szCs w:val="17"/>
          <w:color w:val="auto"/>
        </w:rPr>
        <w:t>” means an entity under common management or control with the Company.</w:t>
      </w:r>
    </w:p>
    <w:p>
      <w:pPr>
        <w:spacing w:after="0" w:line="171" w:lineRule="exact"/>
        <w:rPr>
          <w:rFonts w:ascii="Arial" w:cs="Arial" w:eastAsia="Arial" w:hAnsi="Arial"/>
          <w:sz w:val="17"/>
          <w:szCs w:val="17"/>
          <w:b w:val="1"/>
          <w:bCs w:val="1"/>
          <w:color w:val="auto"/>
        </w:rPr>
      </w:pPr>
    </w:p>
    <w:p>
      <w:pPr>
        <w:ind w:firstLine="436"/>
        <w:spacing w:after="0" w:line="258" w:lineRule="auto"/>
        <w:tabs>
          <w:tab w:leader="none" w:pos="755"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represents that Executive’s performance of all the terms of this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3" w:lineRule="exact"/>
        <w:rPr>
          <w:rFonts w:ascii="Arial" w:cs="Arial" w:eastAsia="Arial" w:hAnsi="Arial"/>
          <w:sz w:val="18"/>
          <w:szCs w:val="18"/>
          <w:b w:val="1"/>
          <w:bCs w:val="1"/>
          <w:color w:val="auto"/>
        </w:rPr>
      </w:pPr>
    </w:p>
    <w:p>
      <w:pPr>
        <w:ind w:right="140" w:firstLine="436"/>
        <w:spacing w:after="0" w:line="289" w:lineRule="auto"/>
        <w:tabs>
          <w:tab w:leader="none" w:pos="755"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w:t>
      </w:r>
      <w:r>
        <w:rPr>
          <w:rFonts w:ascii="Arial" w:cs="Arial" w:eastAsia="Arial" w:hAnsi="Arial"/>
          <w:sz w:val="13"/>
          <w:szCs w:val="13"/>
          <w:b w:val="1"/>
          <w:bCs w:val="1"/>
          <w:u w:val="single" w:color="auto"/>
          <w:color w:val="auto"/>
        </w:rPr>
        <w:t>ERMINATION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3"/>
          <w:szCs w:val="13"/>
          <w:b w:val="1"/>
          <w:bCs w:val="1"/>
          <w:u w:val="single" w:color="auto"/>
          <w:color w:val="auto"/>
        </w:rPr>
        <w:t>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w:t>
      </w:r>
      <w:r>
        <w:rPr>
          <w:rFonts w:ascii="Arial" w:cs="Arial" w:eastAsia="Arial" w:hAnsi="Arial"/>
          <w:sz w:val="13"/>
          <w:szCs w:val="13"/>
          <w:b w:val="1"/>
          <w:bCs w:val="1"/>
          <w:u w:val="single" w:color="auto"/>
          <w:color w:val="auto"/>
        </w:rPr>
        <w:t>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acknowledge that Executive’s employment relationship with the Company is at-will. Either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26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Termination by the Company without Cause or by the Executive for Good Reason Not in Connection with a Change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w:t>
      </w:r>
    </w:p>
    <w:p>
      <w:pPr>
        <w:spacing w:after="0" w:line="103" w:lineRule="exact"/>
        <w:rPr>
          <w:sz w:val="20"/>
          <w:szCs w:val="20"/>
          <w:color w:val="auto"/>
        </w:rPr>
      </w:pPr>
    </w:p>
    <w:p>
      <w:pPr>
        <w:ind w:right="100" w:firstLine="1428"/>
        <w:spacing w:after="0" w:line="259" w:lineRule="auto"/>
        <w:tabs>
          <w:tab w:leader="none" w:pos="1818"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pursuant to this Section 6.1 at any time, in accordance with Section 6.7, without “Cause” (as defined in Section 6.3(b) below) by giving notice as described in Section 7.1 of this Agreement. A termination pursuant to Section 6.5 or 6.6 below is not a termination without Cause for purposes of receiving the benefits described in this Section 6.1.</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28" w:name="page329"/>
    <w:bookmarkEnd w:id="328"/>
    <w:p>
      <w:pPr>
        <w:ind w:left="-60" w:firstLine="1428"/>
        <w:spacing w:after="0" w:line="293" w:lineRule="auto"/>
        <w:tabs>
          <w:tab w:leader="none" w:pos="1772" w:val="left"/>
        </w:tabs>
        <w:numPr>
          <w:ilvl w:val="1"/>
          <w:numId w:val="30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terminates Executive’s employment at any time, not in connection with a Change in Control, without Cause or Executive terminates his employment with the Company for “Good Reason” (as defined in Section 6.1(h) below), then Executive shall be entitled to receive the Accrued Obligations (defined in 6.1(e) below). In addition, if Executive is terminated pursuant to this Section 6.1, and provided that such termination constitutes a “separation from service” (as defined under Treasury Regulation Section 1.409A-1(h), without regard to any alternative definition thereunder, a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and further provided that Executive complies with the obligations in Section 6.1(c) below (including but not limited to the Release requirement), then Executive shall also be eligible to receive the following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w:t>
      </w:r>
    </w:p>
    <w:p>
      <w:pPr>
        <w:spacing w:after="0" w:line="56" w:lineRule="exact"/>
        <w:rPr>
          <w:rFonts w:ascii="Arial" w:cs="Arial" w:eastAsia="Arial" w:hAnsi="Arial"/>
          <w:sz w:val="16"/>
          <w:szCs w:val="16"/>
          <w:b w:val="1"/>
          <w:bCs w:val="1"/>
          <w:color w:val="auto"/>
        </w:rPr>
      </w:pPr>
    </w:p>
    <w:p>
      <w:pPr>
        <w:jc w:val="both"/>
        <w:ind w:left="380" w:right="180" w:firstLine="1900"/>
        <w:spacing w:after="0" w:line="259" w:lineRule="auto"/>
        <w:tabs>
          <w:tab w:leader="none" w:pos="2630" w:val="left"/>
        </w:tabs>
        <w:numPr>
          <w:ilvl w:val="2"/>
          <w:numId w:val="301"/>
        </w:numPr>
        <w:rPr>
          <w:rFonts w:ascii="Arial" w:cs="Arial" w:eastAsia="Arial" w:hAnsi="Arial"/>
          <w:sz w:val="18"/>
          <w:szCs w:val="18"/>
          <w:b w:val="1"/>
          <w:bCs w:val="1"/>
          <w:color w:val="auto"/>
        </w:rPr>
      </w:pPr>
      <w:r>
        <w:rPr>
          <w:rFonts w:ascii="Arial" w:cs="Arial" w:eastAsia="Arial" w:hAnsi="Arial"/>
          <w:sz w:val="18"/>
          <w:szCs w:val="18"/>
          <w:color w:val="auto"/>
        </w:rPr>
        <w:t>The Company will pay Executive an amount equal to Executive’s then current Base Salary for nine (9) months, less all applicable withholdings and deductions (“</w:t>
      </w:r>
      <w:r>
        <w:rPr>
          <w:rFonts w:ascii="Arial" w:cs="Arial" w:eastAsia="Arial" w:hAnsi="Arial"/>
          <w:sz w:val="18"/>
          <w:szCs w:val="18"/>
          <w:b w:val="1"/>
          <w:bCs w:val="1"/>
          <w:i w:val="1"/>
          <w:iCs w:val="1"/>
          <w:color w:val="auto"/>
        </w:rPr>
        <w:t>Severance</w:t>
      </w:r>
      <w:r>
        <w:rPr>
          <w:rFonts w:ascii="Arial" w:cs="Arial" w:eastAsia="Arial" w:hAnsi="Arial"/>
          <w:sz w:val="18"/>
          <w:szCs w:val="18"/>
          <w:color w:val="auto"/>
        </w:rPr>
        <w:t>”), paid in equal installments beginning on the Company’s first regularly scheduled payroll date following the Release Effective Date (as defined in Section 6.1(c) below), with the remaining installments occurring on the Company’s regularly scheduled payroll dates thereafter.</w:t>
      </w:r>
    </w:p>
    <w:p>
      <w:pPr>
        <w:spacing w:after="0" w:line="78" w:lineRule="exact"/>
        <w:rPr>
          <w:rFonts w:ascii="Arial" w:cs="Arial" w:eastAsia="Arial" w:hAnsi="Arial"/>
          <w:sz w:val="18"/>
          <w:szCs w:val="18"/>
          <w:b w:val="1"/>
          <w:bCs w:val="1"/>
          <w:color w:val="auto"/>
        </w:rPr>
      </w:pPr>
    </w:p>
    <w:p>
      <w:pPr>
        <w:ind w:left="380" w:firstLine="1900"/>
        <w:spacing w:after="0" w:line="286" w:lineRule="auto"/>
        <w:tabs>
          <w:tab w:leader="none" w:pos="2683" w:val="left"/>
        </w:tabs>
        <w:numPr>
          <w:ilvl w:val="2"/>
          <w:numId w:val="301"/>
        </w:numPr>
        <w:rPr>
          <w:rFonts w:ascii="Arial" w:cs="Arial" w:eastAsia="Arial" w:hAnsi="Arial"/>
          <w:sz w:val="16"/>
          <w:szCs w:val="16"/>
          <w:b w:val="1"/>
          <w:bCs w:val="1"/>
          <w:color w:val="auto"/>
        </w:rPr>
      </w:pPr>
      <w:r>
        <w:rPr>
          <w:rFonts w:ascii="Arial" w:cs="Arial" w:eastAsia="Arial" w:hAnsi="Arial"/>
          <w:sz w:val="16"/>
          <w:szCs w:val="16"/>
          <w:color w:val="auto"/>
        </w:rPr>
        <w:t>Provided Executive timely elects continued coverage under COBRA under the Company’s group health plans following such termination, the Company will pay Executive’s COBRA premiums, to continue Executive’s health insurance coverage in effect on the termination date until the earliest of: (1) nine (9) months following the termination date (the “</w:t>
      </w:r>
      <w:r>
        <w:rPr>
          <w:rFonts w:ascii="Arial" w:cs="Arial" w:eastAsia="Arial" w:hAnsi="Arial"/>
          <w:sz w:val="16"/>
          <w:szCs w:val="16"/>
          <w:b w:val="1"/>
          <w:bCs w:val="1"/>
          <w:i w:val="1"/>
          <w:iCs w:val="1"/>
          <w:color w:val="auto"/>
        </w:rPr>
        <w:t>COBRA Severance Period</w:t>
      </w:r>
      <w:r>
        <w:rPr>
          <w:rFonts w:ascii="Arial" w:cs="Arial" w:eastAsia="Arial" w:hAnsi="Arial"/>
          <w:sz w:val="16"/>
          <w:szCs w:val="16"/>
          <w:color w:val="auto"/>
        </w:rPr>
        <w:t>”); (2) the date when Executive becomes eligible for substantially equivalent health insurance coverage in connection with new employment or self-employment; or</w:t>
      </w:r>
    </w:p>
    <w:p>
      <w:pPr>
        <w:spacing w:after="0" w:line="1" w:lineRule="exact"/>
        <w:rPr>
          <w:rFonts w:ascii="Arial" w:cs="Arial" w:eastAsia="Arial" w:hAnsi="Arial"/>
          <w:sz w:val="16"/>
          <w:szCs w:val="16"/>
          <w:b w:val="1"/>
          <w:bCs w:val="1"/>
          <w:color w:val="auto"/>
        </w:rPr>
      </w:pPr>
    </w:p>
    <w:p>
      <w:pPr>
        <w:ind w:left="380" w:right="20" w:hanging="4"/>
        <w:spacing w:after="0" w:line="287" w:lineRule="auto"/>
        <w:tabs>
          <w:tab w:leader="none" w:pos="63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date Executive ceases to be eligible for COBRA continuation coverage for any reason, including plan termination (such period from the termination date through the earlier of (1)-(3),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(such amount, the “</w:t>
      </w:r>
      <w:r>
        <w:rPr>
          <w:rFonts w:ascii="Arial" w:cs="Arial" w:eastAsia="Arial" w:hAnsi="Arial"/>
          <w:sz w:val="16"/>
          <w:szCs w:val="16"/>
          <w:b w:val="1"/>
          <w:bCs w:val="1"/>
          <w:i w:val="1"/>
          <w:iCs w:val="1"/>
          <w:color w:val="auto"/>
        </w:rPr>
        <w:t>Special Severance Payment</w:t>
      </w:r>
      <w:r>
        <w:rPr>
          <w:rFonts w:ascii="Arial" w:cs="Arial" w:eastAsia="Arial" w:hAnsi="Arial"/>
          <w:sz w:val="16"/>
          <w:szCs w:val="16"/>
          <w:color w:val="auto"/>
        </w:rPr>
        <w:t>”), for the remainder of the COBRA Payment Period. Nothing in this Agreement shall deprive Executive of his rights under COBRA or ERISA for benefits under plans and policies arising under his employment by the Company.</w:t>
      </w:r>
    </w:p>
    <w:p>
      <w:pPr>
        <w:spacing w:after="0" w:line="169" w:lineRule="exact"/>
        <w:rPr>
          <w:rFonts w:ascii="Arial" w:cs="Arial" w:eastAsia="Arial" w:hAnsi="Arial"/>
          <w:sz w:val="16"/>
          <w:szCs w:val="16"/>
          <w:color w:val="auto"/>
        </w:rPr>
      </w:pPr>
    </w:p>
    <w:p>
      <w:pPr>
        <w:ind w:left="-60" w:firstLine="1428"/>
        <w:spacing w:after="0" w:line="279" w:lineRule="auto"/>
        <w:tabs>
          <w:tab w:leader="none" w:pos="1752"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Executive shall receive the Severance pursuant to Section 6.1(b) of this Agreement if: (i) within the timeframe provided by the Company, which shall be no later than the 60th day following the date of Executive’s Separation from Service, he has signed and delivered to the Company a separation agreement containing an effective, general release of claims in favor of the Company and its affiliates and representatives, in the form presented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cannot be revoked in whole or part by such date (the date that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500" w:top="274" w:right="519" w:bottom="1440" w:gutter="0" w:footer="0" w:header="0"/>
        </w:sectPr>
      </w:pPr>
    </w:p>
    <w:bookmarkStart w:id="329" w:name="page330"/>
    <w:bookmarkEnd w:id="329"/>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Release can no longer be revoked is referred to as the “</w:t>
      </w:r>
      <w:r>
        <w:rPr>
          <w:rFonts w:ascii="Arial" w:cs="Arial" w:eastAsia="Arial" w:hAnsi="Arial"/>
          <w:sz w:val="17"/>
          <w:szCs w:val="17"/>
          <w:b w:val="1"/>
          <w:bCs w:val="1"/>
          <w:i w:val="1"/>
          <w:iCs w:val="1"/>
          <w:color w:val="auto"/>
        </w:rPr>
        <w:t>Release Effective Date</w:t>
      </w:r>
      <w:r>
        <w:rPr>
          <w:rFonts w:ascii="Arial" w:cs="Arial" w:eastAsia="Arial" w:hAnsi="Arial"/>
          <w:sz w:val="17"/>
          <w:szCs w:val="17"/>
          <w:color w:val="auto"/>
        </w:rPr>
        <w:t>”); (ii) if he holds any other positions with the Company or any Affiliate, including a position on the Board, he resigns such position(s) to be effective no later than the date of Executive’s termination date (or such other date as requested by the Board); (iii) he returns all Company property; (iv) he complies with his post-termination obligations under this Agreement and the Confidential Information Agreement; and (v) he complies with the terms of the Release, including without limitation any non-disparagement and confidentiality provisions contained in the Release. To the extent that any severance payments are deferred compensation under Section 409A of the Code, and are not otherwise exempt from the application of Section 409A, then, if the period during which Executive may consider and sign the Release spans two calendar years, the payment of Severance will not be made or begin until the later calendar year.</w:t>
      </w:r>
    </w:p>
    <w:p>
      <w:pPr>
        <w:spacing w:after="0" w:line="177" w:lineRule="exact"/>
        <w:rPr>
          <w:sz w:val="20"/>
          <w:szCs w:val="20"/>
          <w:color w:val="auto"/>
        </w:rPr>
      </w:pPr>
    </w:p>
    <w:p>
      <w:pPr>
        <w:jc w:val="both"/>
        <w:ind w:right="80" w:firstLine="1428"/>
        <w:spacing w:after="0" w:line="301" w:lineRule="auto"/>
        <w:tabs>
          <w:tab w:leader="none" w:pos="1832" w:val="left"/>
        </w:tabs>
        <w:numPr>
          <w:ilvl w:val="0"/>
          <w:numId w:val="303"/>
        </w:numPr>
        <w:rPr>
          <w:rFonts w:ascii="Arial" w:cs="Arial" w:eastAsia="Arial" w:hAnsi="Arial"/>
          <w:sz w:val="16"/>
          <w:szCs w:val="16"/>
          <w:b w:val="1"/>
          <w:bCs w:val="1"/>
          <w:color w:val="auto"/>
        </w:rPr>
      </w:pPr>
      <w:r>
        <w:rPr>
          <w:rFonts w:ascii="Arial" w:cs="Arial" w:eastAsia="Arial" w:hAnsi="Arial"/>
          <w:sz w:val="16"/>
          <w:szCs w:val="16"/>
          <w:color w:val="auto"/>
        </w:rPr>
        <w:t>Provided that Executive complies with the obligations in Section 6.1(c), on the first regularly scheduled payroll date following the Release Effective Date the Company will (i) make the first payment to Executive under Section 6.1(b)(i) and, in a lump sum, an amount equal to the aggregate amount of payments that the Company would have paid Executive through such date had the payments commenced on Executive’s date of termination through such 60th day, with the balance of the payments paid thereafter on the schedule described above.</w:t>
      </w:r>
    </w:p>
    <w:p>
      <w:pPr>
        <w:spacing w:after="0" w:line="157" w:lineRule="exact"/>
        <w:rPr>
          <w:rFonts w:ascii="Arial" w:cs="Arial" w:eastAsia="Arial" w:hAnsi="Arial"/>
          <w:sz w:val="16"/>
          <w:szCs w:val="16"/>
          <w:b w:val="1"/>
          <w:bCs w:val="1"/>
          <w:color w:val="auto"/>
        </w:rPr>
      </w:pPr>
    </w:p>
    <w:p>
      <w:pPr>
        <w:ind w:right="300" w:firstLine="1428"/>
        <w:spacing w:after="0" w:line="296" w:lineRule="auto"/>
        <w:tabs>
          <w:tab w:leader="none" w:pos="1812" w:val="left"/>
        </w:tabs>
        <w:numPr>
          <w:ilvl w:val="0"/>
          <w:numId w:val="303"/>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Accrued Obligations</w:t>
      </w:r>
      <w:r>
        <w:rPr>
          <w:rFonts w:ascii="Arial" w:cs="Arial" w:eastAsia="Arial" w:hAnsi="Arial"/>
          <w:sz w:val="16"/>
          <w:szCs w:val="16"/>
          <w:color w:val="auto"/>
        </w:rPr>
        <w:t>” are (i) Executive’s accrued but unpaid salary and all accrued and unused vacation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Executive will be paid all of the Accrued Obligations on the Company’s first payroll date after Executive’s date of termination from employment or earlier if required by law.</w:t>
      </w:r>
    </w:p>
    <w:p>
      <w:pPr>
        <w:spacing w:after="0" w:line="161" w:lineRule="exact"/>
        <w:rPr>
          <w:rFonts w:ascii="Arial" w:cs="Arial" w:eastAsia="Arial" w:hAnsi="Arial"/>
          <w:sz w:val="16"/>
          <w:szCs w:val="16"/>
          <w:b w:val="1"/>
          <w:bCs w:val="1"/>
          <w:color w:val="auto"/>
        </w:rPr>
      </w:pPr>
    </w:p>
    <w:p>
      <w:pPr>
        <w:ind w:right="180" w:firstLine="1428"/>
        <w:spacing w:after="0" w:line="263" w:lineRule="auto"/>
        <w:tabs>
          <w:tab w:leader="none" w:pos="1788"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The Severance or Change in Control Severance Benefits (as defined below) provided to Executive pursuant to Section 6.1 or Section 6.2 are in lieu of, and not in addition to, any benefits to which Executive may otherwise be entitled under any Company severance plan, policy or program.</w:t>
      </w:r>
    </w:p>
    <w:p>
      <w:pPr>
        <w:spacing w:after="0" w:line="183" w:lineRule="exact"/>
        <w:rPr>
          <w:rFonts w:ascii="Arial" w:cs="Arial" w:eastAsia="Arial" w:hAnsi="Arial"/>
          <w:sz w:val="18"/>
          <w:szCs w:val="18"/>
          <w:b w:val="1"/>
          <w:bCs w:val="1"/>
          <w:color w:val="auto"/>
        </w:rPr>
      </w:pPr>
    </w:p>
    <w:p>
      <w:pPr>
        <w:ind w:firstLine="1428"/>
        <w:spacing w:after="0" w:line="311" w:lineRule="auto"/>
        <w:tabs>
          <w:tab w:leader="none" w:pos="1812" w:val="left"/>
        </w:tabs>
        <w:numPr>
          <w:ilvl w:val="0"/>
          <w:numId w:val="303"/>
        </w:numPr>
        <w:rPr>
          <w:rFonts w:ascii="Arial" w:cs="Arial" w:eastAsia="Arial" w:hAnsi="Arial"/>
          <w:sz w:val="16"/>
          <w:szCs w:val="16"/>
          <w:b w:val="1"/>
          <w:bCs w:val="1"/>
          <w:color w:val="auto"/>
        </w:rPr>
      </w:pPr>
      <w:r>
        <w:rPr>
          <w:rFonts w:ascii="Arial" w:cs="Arial" w:eastAsia="Arial" w:hAnsi="Arial"/>
          <w:sz w:val="16"/>
          <w:szCs w:val="16"/>
          <w:color w:val="auto"/>
        </w:rPr>
        <w:t>Any damages caused by the termination of Executive’s employment without Cause or by the Executive for Good Reason would be difficult to ascertain; therefore, the Severance or Change in Control Severance Benefits for which Executive is eligible pursuant to Section 6.1(b) or 6.2 in exchange for the Release is agreed to by the parties as liquidated damages, to serve as full compensation, and not a penalty.</w:t>
      </w:r>
    </w:p>
    <w:p>
      <w:pPr>
        <w:spacing w:after="0" w:line="148" w:lineRule="exact"/>
        <w:rPr>
          <w:rFonts w:ascii="Arial" w:cs="Arial" w:eastAsia="Arial" w:hAnsi="Arial"/>
          <w:sz w:val="16"/>
          <w:szCs w:val="16"/>
          <w:b w:val="1"/>
          <w:bCs w:val="1"/>
          <w:color w:val="auto"/>
        </w:rPr>
      </w:pPr>
    </w:p>
    <w:p>
      <w:pPr>
        <w:ind w:right="60" w:firstLine="1428"/>
        <w:spacing w:after="0" w:line="255" w:lineRule="auto"/>
        <w:tabs>
          <w:tab w:leader="none" w:pos="1832"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the occurrence of any of the following events without Executive’s consent: (i) a material reduction in Executive’s Base Salary, which the parties agree is a reduction of at least ten percent (10%) of Executive’s Base Salary (unless pursuant to a salary reduction program applicable generally to the Company’s similarly situated employees); (ii) a material reduction in Executive’s duties (including responsibilities and/or authorities),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reduction in duties (including responsibilities and/or authorities) in connection with a conversion of the Company to a subsidiary, division or unit of an acquiring entity in connection with a Change in Control cannot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30" w:name="page331"/>
    <w:bookmarkEnd w:id="330"/>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considered Good Reason for the first six (6) months following the Change in Control; (iii) a material breach by the Company or any successor entity of any employment-related contract between the Company and Executive; or (iv) the relocation of Executive’s principal place of employment, without Executive’s consent, in a manner that lengthens his one-way commute distance by fifty (50) or more miles from his then-current principal place of employment immediately prior to such relocation;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termination by Executive shall only be deemed for Good Reason pursuant to this definition if: (1) Executive gives the Company written notice of his intent to terminate for Good Reason within thirty (30) days following the first occurrence of the condition(s) that he believes constitute(s) Good Reason, which notice shall describe such condition(s); (2) the Company fails to remedy such condition(s) within thirty (30) days following receipt of the written notice (the “</w:t>
      </w:r>
      <w:r>
        <w:rPr>
          <w:rFonts w:ascii="Arial" w:cs="Arial" w:eastAsia="Arial" w:hAnsi="Arial"/>
          <w:sz w:val="16"/>
          <w:szCs w:val="16"/>
          <w:b w:val="1"/>
          <w:bCs w:val="1"/>
          <w:i w:val="1"/>
          <w:iCs w:val="1"/>
          <w:color w:val="auto"/>
        </w:rPr>
        <w:t>Cure Period</w:t>
      </w:r>
      <w:r>
        <w:rPr>
          <w:rFonts w:ascii="Arial" w:cs="Arial" w:eastAsia="Arial" w:hAnsi="Arial"/>
          <w:sz w:val="16"/>
          <w:szCs w:val="16"/>
          <w:color w:val="auto"/>
        </w:rPr>
        <w:t>”); (3) the Company has not, prior to receiving such notice from Executive, already informed Executive that his employment with the Company is being terminated; and (4) Executive voluntarily terminates his employment within thirty (30) days following the end of the Cure Period.</w:t>
      </w:r>
    </w:p>
    <w:p>
      <w:pPr>
        <w:spacing w:after="0" w:line="162" w:lineRule="exact"/>
        <w:rPr>
          <w:sz w:val="20"/>
          <w:szCs w:val="20"/>
          <w:color w:val="auto"/>
        </w:rPr>
      </w:pPr>
    </w:p>
    <w:p>
      <w:pPr>
        <w:ind w:left="4" w:right="140" w:firstLine="991"/>
        <w:spacing w:after="0" w:line="29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Termination by the Company without Cause or Resignation by Executive for Good Reason (in connection with a Change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In the event that the Company terminates Executive’s employment without Cause or Executive resigns for Good Reason within three</w:t>
      </w:r>
    </w:p>
    <w:p>
      <w:pPr>
        <w:spacing w:after="0" w:line="1" w:lineRule="exact"/>
        <w:rPr>
          <w:sz w:val="20"/>
          <w:szCs w:val="20"/>
          <w:color w:val="auto"/>
        </w:rPr>
      </w:pPr>
    </w:p>
    <w:p>
      <w:pPr>
        <w:ind w:left="4" w:right="40" w:hanging="4"/>
        <w:spacing w:after="0" w:line="253" w:lineRule="auto"/>
        <w:tabs>
          <w:tab w:leader="none" w:pos="25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months prior to or twelve (12) months following the effective date of a Change in Control (“</w:t>
      </w:r>
      <w:r>
        <w:rPr>
          <w:rFonts w:ascii="Arial" w:cs="Arial" w:eastAsia="Arial" w:hAnsi="Arial"/>
          <w:sz w:val="18"/>
          <w:szCs w:val="18"/>
          <w:b w:val="1"/>
          <w:bCs w:val="1"/>
          <w:i w:val="1"/>
          <w:iCs w:val="1"/>
          <w:color w:val="auto"/>
        </w:rPr>
        <w:t>Change in Control Termination Date</w:t>
      </w:r>
      <w:r>
        <w:rPr>
          <w:rFonts w:ascii="Arial" w:cs="Arial" w:eastAsia="Arial" w:hAnsi="Arial"/>
          <w:sz w:val="18"/>
          <w:szCs w:val="18"/>
          <w:color w:val="auto"/>
        </w:rPr>
        <w:t>”), then Executive shall be entitled to the Accrued Obligations and, subject to Executive’s compliance with Section 6.1(b) and (c) above, including but not limited to the Release requirement and Executive’s continued compliance with his obligations to the Company under his Confidential Information Agreement, then Executive will be eligible for the following “</w:t>
      </w:r>
      <w:r>
        <w:rPr>
          <w:rFonts w:ascii="Arial" w:cs="Arial" w:eastAsia="Arial" w:hAnsi="Arial"/>
          <w:sz w:val="18"/>
          <w:szCs w:val="18"/>
          <w:b w:val="1"/>
          <w:bCs w:val="1"/>
          <w:i w:val="1"/>
          <w:iCs w:val="1"/>
          <w:color w:val="auto"/>
        </w:rPr>
        <w:t>Change in Control Severance Benefits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824" w:hanging="392"/>
        <w:spacing w:after="0"/>
        <w:tabs>
          <w:tab w:leader="none" w:pos="1824"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Executive shall be eligible to receive the Severance under the terms and conditions described in Section 6.1;</w:t>
      </w:r>
    </w:p>
    <w:p>
      <w:pPr>
        <w:spacing w:after="0" w:line="225" w:lineRule="exact"/>
        <w:rPr>
          <w:rFonts w:ascii="Arial" w:cs="Arial" w:eastAsia="Arial" w:hAnsi="Arial"/>
          <w:sz w:val="18"/>
          <w:szCs w:val="18"/>
          <w:b w:val="1"/>
          <w:bCs w:val="1"/>
          <w:color w:val="auto"/>
        </w:rPr>
      </w:pPr>
    </w:p>
    <w:p>
      <w:pPr>
        <w:ind w:left="4" w:firstLine="1428"/>
        <w:spacing w:after="0" w:line="257" w:lineRule="auto"/>
        <w:tabs>
          <w:tab w:leader="none" w:pos="1833"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The Company shall pay Executive an amount equal to Executive’s full Target Bonus for the calendar year in which Executive’s termination occurs, pro-rated for the number of days of the calendar year he is employed and, if the termination occurs between January 1 and March 15 and Executive has not yet been paid an Annual Bonus for the preceding Bonus Year, then Executive shall also receive an amount equal to his unpaid Annual Bonus for the preceding Bonus Year, payable subject to standard federal and state payroll withholding requirements on the Company’s first regularly scheduled payroll date following the Release Effective Date; and</w:t>
      </w:r>
    </w:p>
    <w:p>
      <w:pPr>
        <w:spacing w:after="0" w:line="187" w:lineRule="exact"/>
        <w:rPr>
          <w:rFonts w:ascii="Arial" w:cs="Arial" w:eastAsia="Arial" w:hAnsi="Arial"/>
          <w:sz w:val="18"/>
          <w:szCs w:val="18"/>
          <w:b w:val="1"/>
          <w:bCs w:val="1"/>
          <w:color w:val="auto"/>
        </w:rPr>
      </w:pPr>
    </w:p>
    <w:p>
      <w:pPr>
        <w:ind w:left="4" w:firstLine="1428"/>
        <w:spacing w:after="0" w:line="255" w:lineRule="auto"/>
        <w:tabs>
          <w:tab w:leader="none" w:pos="1816" w:val="left"/>
        </w:tabs>
        <w:numPr>
          <w:ilvl w:val="1"/>
          <w:numId w:val="304"/>
        </w:numPr>
        <w:rPr>
          <w:rFonts w:ascii="Arial" w:cs="Arial" w:eastAsia="Arial" w:hAnsi="Arial"/>
          <w:sz w:val="18"/>
          <w:szCs w:val="18"/>
          <w:b w:val="1"/>
          <w:bCs w:val="1"/>
          <w:color w:val="auto"/>
        </w:rPr>
      </w:pPr>
      <w:r>
        <w:rPr>
          <w:rFonts w:ascii="Arial" w:cs="Arial" w:eastAsia="Arial" w:hAnsi="Arial"/>
          <w:sz w:val="18"/>
          <w:szCs w:val="18"/>
          <w:color w:val="auto"/>
        </w:rPr>
        <w:t>Effective as of the later of Executive’s Change in Control Termination Date or the effective date of the Change in Control, the vesting and exercisability of all outstanding equity awards that are held by Executive as of immediately prior to the Change in Control Termination Date shall be accelerated (and lapse, in the case of reacquisition or repurchase rights) in full. Executive’s equity awards shall remain outstanding following Executive’s Change in Control Termination Date if and to the extent necessary to give effect to this Section 6.2(c), subject to earlier termination under the terms of the equity plan under which such awards were granted and the original maximum term of the award (without regard to Executive’s termination).</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331" w:name="page332"/>
    <w:bookmarkEnd w:id="331"/>
    <w:p>
      <w:pPr>
        <w:ind w:left="980"/>
        <w:spacing w:after="0"/>
        <w:tabs>
          <w:tab w:leader="none" w:pos="1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21" w:lineRule="exact"/>
        <w:rPr>
          <w:sz w:val="20"/>
          <w:szCs w:val="20"/>
          <w:color w:val="auto"/>
        </w:rPr>
      </w:pPr>
    </w:p>
    <w:p>
      <w:pPr>
        <w:ind w:right="280" w:firstLine="1428"/>
        <w:spacing w:after="0" w:line="277" w:lineRule="auto"/>
        <w:tabs>
          <w:tab w:leader="none" w:pos="1818"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at any time for Cause by giving notice as described in Section 6.7 of this Agreement.</w:t>
      </w:r>
    </w:p>
    <w:p>
      <w:pPr>
        <w:spacing w:after="0" w:line="170" w:lineRule="exact"/>
        <w:rPr>
          <w:rFonts w:ascii="Arial" w:cs="Arial" w:eastAsia="Arial" w:hAnsi="Arial"/>
          <w:sz w:val="18"/>
          <w:szCs w:val="18"/>
          <w:b w:val="1"/>
          <w:bCs w:val="1"/>
          <w:color w:val="auto"/>
        </w:rPr>
      </w:pPr>
    </w:p>
    <w:p>
      <w:pPr>
        <w:ind w:right="40" w:firstLine="1428"/>
        <w:spacing w:after="0" w:line="293" w:lineRule="auto"/>
        <w:tabs>
          <w:tab w:leader="none" w:pos="1832" w:val="left"/>
        </w:tabs>
        <w:numPr>
          <w:ilvl w:val="0"/>
          <w:numId w:val="30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for termination shall mean that the Company has determined in its reasonable sole discretion, after the expiration of 10 days after written notice without a cure (to the extent curable), that the Executive has engaged in any of the following: (i) a material breach of any covenant or condition under this Agreement or any other agreement between the parties; (ii) any act constituting fraud, immoral or disreputable conduct that has a material injurious impact on the Company; (iii) any conduct which constitutes a felony under applicable law; (iv) violation of any Company policy or any act of misconduct that has a material injurious impact on the Company; (v) repeated refusal to follow or implement a clear and reasonable directive of Company; (vi) gross negligence or incompetence in the performance of Executive’s duties; or (vii) breach of fiduciary duty.</w:t>
      </w:r>
    </w:p>
    <w:p>
      <w:pPr>
        <w:spacing w:after="0" w:line="164" w:lineRule="exact"/>
        <w:rPr>
          <w:rFonts w:ascii="Arial" w:cs="Arial" w:eastAsia="Arial" w:hAnsi="Arial"/>
          <w:sz w:val="16"/>
          <w:szCs w:val="16"/>
          <w:b w:val="1"/>
          <w:bCs w:val="1"/>
          <w:color w:val="auto"/>
        </w:rPr>
      </w:pPr>
    </w:p>
    <w:p>
      <w:pPr>
        <w:ind w:right="20" w:firstLine="1428"/>
        <w:spacing w:after="0" w:line="263" w:lineRule="auto"/>
        <w:tabs>
          <w:tab w:leader="none" w:pos="1857"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the Severance, Change in Control Severance Benefits, or any other severance compensation or benefit, except that, consistent with the Company’s standard payroll policies, the Company shall provide to Executive the Accrued Obligations.</w:t>
      </w:r>
    </w:p>
    <w:p>
      <w:pPr>
        <w:spacing w:after="0" w:line="28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Resignation by Executive (other than for Good Reason)</w:t>
      </w:r>
      <w:r>
        <w:rPr>
          <w:rFonts w:ascii="Arial" w:cs="Arial" w:eastAsia="Arial" w:hAnsi="Arial"/>
          <w:sz w:val="16"/>
          <w:szCs w:val="16"/>
          <w:color w:val="auto"/>
        </w:rPr>
        <w:t>.</w:t>
      </w:r>
    </w:p>
    <w:p>
      <w:pPr>
        <w:spacing w:after="0" w:line="121" w:lineRule="exact"/>
        <w:rPr>
          <w:sz w:val="20"/>
          <w:szCs w:val="20"/>
          <w:color w:val="auto"/>
        </w:rPr>
      </w:pPr>
    </w:p>
    <w:p>
      <w:pPr>
        <w:ind w:left="1820" w:hanging="392"/>
        <w:spacing w:after="0"/>
        <w:tabs>
          <w:tab w:leader="none" w:pos="1820"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Executive may resign from Executive’s employment with the Company at any time by giving notice as described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6.7.</w:t>
      </w:r>
    </w:p>
    <w:p>
      <w:pPr>
        <w:spacing w:after="0" w:line="211" w:lineRule="exact"/>
        <w:rPr>
          <w:sz w:val="20"/>
          <w:szCs w:val="20"/>
          <w:color w:val="auto"/>
        </w:rPr>
      </w:pPr>
    </w:p>
    <w:p>
      <w:pPr>
        <w:ind w:right="60" w:firstLine="1428"/>
        <w:spacing w:after="0" w:line="263" w:lineRule="auto"/>
        <w:tabs>
          <w:tab w:leader="none" w:pos="1832"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In the event Executive resigns from Executive’s employment with the Company (other than for Good Reason), Executive will not receive the Severance, Change in Control Severance Benefits, or any other severance compensation or benefit, except that, pursuant to the Company’s standard payroll policies, the Company shall provide to Executive the Accrued Obligations.</w:t>
      </w:r>
    </w:p>
    <w:p>
      <w:pPr>
        <w:spacing w:after="0" w:line="28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21" w:lineRule="exact"/>
        <w:rPr>
          <w:sz w:val="20"/>
          <w:szCs w:val="20"/>
          <w:color w:val="auto"/>
        </w:rPr>
      </w:pPr>
    </w:p>
    <w:p>
      <w:pPr>
        <w:ind w:right="160" w:firstLine="1428"/>
        <w:spacing w:after="0" w:line="259" w:lineRule="auto"/>
        <w:tabs>
          <w:tab w:leader="none" w:pos="1822"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In the event of Executive’s death while employed pursuant to this Agreement, all obligations of the parties hereunder shall terminate immediately, and the Company shall, pursuant to the Company’s standard payroll policies, provide to the Executive’s legal representatives Executive’s Accrued Obligations, and, if the termination occurs between January 1 and March 15, Executive shall be eligible to be awarded an unpaid Annual Bonus for the preceding Bonus Year.</w:t>
      </w:r>
    </w:p>
    <w:p>
      <w:pPr>
        <w:spacing w:after="0" w:line="186" w:lineRule="exact"/>
        <w:rPr>
          <w:rFonts w:ascii="Arial" w:cs="Arial" w:eastAsia="Arial" w:hAnsi="Arial"/>
          <w:sz w:val="18"/>
          <w:szCs w:val="18"/>
          <w:b w:val="1"/>
          <w:bCs w:val="1"/>
          <w:color w:val="auto"/>
        </w:rPr>
      </w:pPr>
    </w:p>
    <w:p>
      <w:pPr>
        <w:ind w:firstLine="1428"/>
        <w:spacing w:after="0" w:line="257" w:lineRule="auto"/>
        <w:tabs>
          <w:tab w:leader="none" w:pos="1832"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Subject to applicable state and federal law, the Company shall at all times have the right, upon written notice to Executive, to terminate this Agreement based on the Executive’s Disability (as defined below). Termination by the Company of the Executive’s employment based on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mean termination because the Executive is unable due to a physical or mental condition to perform the essential functions of his position with or without reasonable accommodation for six (6) months in the aggregate during any twelve (12) month period or based on the written certification by two licensed physicians of the likely continuation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332" w:name="page333"/>
    <w:bookmarkEnd w:id="33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condition for such period. This definition shall be interpreted and applied consistent with the Americans with Disabilities Act, the Family and Medical Leave Act, and other applicable law. In the event Executive’s employment is terminated based on the Executive’s Disability, Executive will not receive the Severance, or any other severance compensation or benefit, except that, pursuant to the Company’s standard payroll policies, the Company shall provide to Executive the Accrued Obligations and, if the termination occurs between January 1 and March 15, Executive shall be eligible to be awarded an unpaid Annual Bonus for the preceding Bonus Year.</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Termination Due to Discontinuance of Business</w:t>
      </w:r>
      <w:r>
        <w:rPr>
          <w:rFonts w:ascii="Arial" w:cs="Arial" w:eastAsia="Arial" w:hAnsi="Arial"/>
          <w:sz w:val="18"/>
          <w:szCs w:val="18"/>
          <w:color w:val="auto"/>
        </w:rPr>
        <w:t>. Anything in this Agreement to the contrary notwithstanding, in the event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business is discontinued because rendered impracticable by substantial financial losses, lack of funding, legal decisions, administrative rulings, declaration of war, dissolution, national or local economic depression or crisis or any reasons beyond the control of the Company, then this Agreement shall terminate as of the day the Company determines to cease operation with the same force and effect as if such day of the month were originally set as the termination date hereof. In the event this Agreement is terminated pursuant to this Section 6.6, Executive will not receive any of the Severance, or any other compensation or benefits, except that, pursuant to the Company’s standard payroll policies, the Company shall pay to Executive the Accrued Obligations.</w:t>
      </w:r>
    </w:p>
    <w:p>
      <w:pPr>
        <w:spacing w:after="0" w:line="29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21" w:lineRule="exact"/>
        <w:rPr>
          <w:sz w:val="20"/>
          <w:szCs w:val="20"/>
          <w:color w:val="auto"/>
        </w:rPr>
      </w:pPr>
    </w:p>
    <w:p>
      <w:pPr>
        <w:ind w:left="1820" w:hanging="392"/>
        <w:spacing w:after="0"/>
        <w:tabs>
          <w:tab w:leader="none" w:pos="1820"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117" w:lineRule="exact"/>
        <w:rPr>
          <w:rFonts w:ascii="Arial" w:cs="Arial" w:eastAsia="Arial" w:hAnsi="Arial"/>
          <w:sz w:val="18"/>
          <w:szCs w:val="18"/>
          <w:b w:val="1"/>
          <w:bCs w:val="1"/>
          <w:color w:val="auto"/>
        </w:rPr>
      </w:pPr>
    </w:p>
    <w:p>
      <w:pPr>
        <w:ind w:left="980" w:firstLine="1812"/>
        <w:spacing w:after="0" w:line="263" w:lineRule="auto"/>
        <w:tabs>
          <w:tab w:leader="none" w:pos="3134"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immediately after the Company gives notice to Executive of Executive’s termination, with or without Cause, unless pursuant to Section 6.3(b) in which case ten (10) days after notice if not cured or unless the Company specifies a later date, in which case, termination shall be effective as of such later date;</w:t>
      </w:r>
    </w:p>
    <w:p>
      <w:pPr>
        <w:spacing w:after="0" w:line="75" w:lineRule="exact"/>
        <w:rPr>
          <w:rFonts w:ascii="Arial" w:cs="Arial" w:eastAsia="Arial" w:hAnsi="Arial"/>
          <w:sz w:val="18"/>
          <w:szCs w:val="18"/>
          <w:b w:val="1"/>
          <w:bCs w:val="1"/>
          <w:color w:val="auto"/>
        </w:rPr>
      </w:pPr>
    </w:p>
    <w:p>
      <w:pPr>
        <w:ind w:left="3200" w:hanging="408"/>
        <w:spacing w:after="0"/>
        <w:tabs>
          <w:tab w:leader="none" w:pos="3200"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immediately upon the Executive’s death;</w:t>
      </w:r>
    </w:p>
    <w:p>
      <w:pPr>
        <w:spacing w:after="0" w:line="117" w:lineRule="exact"/>
        <w:rPr>
          <w:rFonts w:ascii="Arial" w:cs="Arial" w:eastAsia="Arial" w:hAnsi="Arial"/>
          <w:sz w:val="18"/>
          <w:szCs w:val="18"/>
          <w:b w:val="1"/>
          <w:bCs w:val="1"/>
          <w:color w:val="auto"/>
        </w:rPr>
      </w:pPr>
    </w:p>
    <w:p>
      <w:pPr>
        <w:jc w:val="both"/>
        <w:ind w:left="980" w:right="560" w:firstLine="1812"/>
        <w:spacing w:after="0" w:line="311" w:lineRule="auto"/>
        <w:tabs>
          <w:tab w:leader="none" w:pos="3234" w:val="left"/>
        </w:tabs>
        <w:numPr>
          <w:ilvl w:val="1"/>
          <w:numId w:val="309"/>
        </w:numPr>
        <w:rPr>
          <w:rFonts w:ascii="Arial" w:cs="Arial" w:eastAsia="Arial" w:hAnsi="Arial"/>
          <w:sz w:val="16"/>
          <w:szCs w:val="16"/>
          <w:b w:val="1"/>
          <w:bCs w:val="1"/>
          <w:color w:val="auto"/>
        </w:rPr>
      </w:pPr>
      <w:r>
        <w:rPr>
          <w:rFonts w:ascii="Arial" w:cs="Arial" w:eastAsia="Arial" w:hAnsi="Arial"/>
          <w:sz w:val="16"/>
          <w:szCs w:val="16"/>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Executive has not returned to the full time performance of Executive’s duties prior to such date;</w:t>
      </w:r>
    </w:p>
    <w:p>
      <w:pPr>
        <w:spacing w:after="0" w:line="40" w:lineRule="exact"/>
        <w:rPr>
          <w:rFonts w:ascii="Arial" w:cs="Arial" w:eastAsia="Arial" w:hAnsi="Arial"/>
          <w:sz w:val="16"/>
          <w:szCs w:val="16"/>
          <w:b w:val="1"/>
          <w:bCs w:val="1"/>
          <w:color w:val="auto"/>
        </w:rPr>
      </w:pPr>
    </w:p>
    <w:p>
      <w:pPr>
        <w:ind w:left="980" w:right="40" w:firstLine="1812"/>
        <w:spacing w:after="0" w:line="259" w:lineRule="auto"/>
        <w:tabs>
          <w:tab w:leader="none" w:pos="3224"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 xml:space="preserve">ten (10) days after the Executive gives written notice to the Company of Executive’s resignation not for Good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78" w:lineRule="exact"/>
        <w:rPr>
          <w:rFonts w:ascii="Arial" w:cs="Arial" w:eastAsia="Arial" w:hAnsi="Arial"/>
          <w:sz w:val="18"/>
          <w:szCs w:val="18"/>
          <w:b w:val="1"/>
          <w:bCs w:val="1"/>
          <w:color w:val="auto"/>
        </w:rPr>
      </w:pPr>
    </w:p>
    <w:p>
      <w:pPr>
        <w:ind w:left="3180" w:hanging="388"/>
        <w:spacing w:after="0"/>
        <w:tabs>
          <w:tab w:leader="none" w:pos="3180" w:val="left"/>
        </w:tabs>
        <w:numPr>
          <w:ilvl w:val="1"/>
          <w:numId w:val="309"/>
        </w:numPr>
        <w:rPr>
          <w:rFonts w:ascii="Arial" w:cs="Arial" w:eastAsia="Arial" w:hAnsi="Arial"/>
          <w:sz w:val="17"/>
          <w:szCs w:val="17"/>
          <w:b w:val="1"/>
          <w:bCs w:val="1"/>
          <w:color w:val="auto"/>
        </w:rPr>
      </w:pPr>
      <w:r>
        <w:rPr>
          <w:rFonts w:ascii="Arial" w:cs="Arial" w:eastAsia="Arial" w:hAnsi="Arial"/>
          <w:sz w:val="17"/>
          <w:szCs w:val="17"/>
          <w:color w:val="auto"/>
        </w:rPr>
        <w:t>for a termination for Good Reason, immediately upon Executive’s full satisfaction of the requirements of</w:t>
      </w:r>
    </w:p>
    <w:p>
      <w:pPr>
        <w:spacing w:after="0" w:line="34" w:lineRule="exact"/>
        <w:rPr>
          <w:rFonts w:ascii="Arial" w:cs="Arial" w:eastAsia="Arial" w:hAnsi="Arial"/>
          <w:sz w:val="17"/>
          <w:szCs w:val="17"/>
          <w:b w:val="1"/>
          <w:bCs w:val="1"/>
          <w:color w:val="auto"/>
        </w:rPr>
      </w:pPr>
    </w:p>
    <w:p>
      <w:pPr>
        <w:ind w:left="980"/>
        <w:spacing w:after="0"/>
        <w:rPr>
          <w:rFonts w:ascii="Arial" w:cs="Arial" w:eastAsia="Arial" w:hAnsi="Arial"/>
          <w:sz w:val="17"/>
          <w:szCs w:val="17"/>
          <w:b w:val="1"/>
          <w:bCs w:val="1"/>
          <w:color w:val="auto"/>
        </w:rPr>
      </w:pPr>
      <w:r>
        <w:rPr>
          <w:rFonts w:ascii="Arial" w:cs="Arial" w:eastAsia="Arial" w:hAnsi="Arial"/>
          <w:sz w:val="18"/>
          <w:szCs w:val="18"/>
          <w:color w:val="auto"/>
        </w:rPr>
        <w:t>Section 6.1(h).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33" w:name="page334"/>
    <w:bookmarkEnd w:id="333"/>
    <w:p>
      <w:pPr>
        <w:ind w:firstLine="1428"/>
        <w:spacing w:after="0" w:line="259" w:lineRule="auto"/>
        <w:tabs>
          <w:tab w:leader="none" w:pos="1832" w:val="left"/>
        </w:tabs>
        <w:numPr>
          <w:ilvl w:val="0"/>
          <w:numId w:val="31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3" w:lineRule="exact"/>
        <w:rPr>
          <w:sz w:val="20"/>
          <w:szCs w:val="20"/>
          <w:color w:val="auto"/>
        </w:rPr>
      </w:pPr>
    </w:p>
    <w:p>
      <w:pPr>
        <w:ind w:right="220" w:firstLine="991"/>
        <w:spacing w:after="0" w:line="274"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b w:val="1"/>
          <w:bCs w:val="1"/>
          <w:u w:val="single" w:color="auto"/>
          <w:color w:val="auto"/>
        </w:rPr>
        <w:t>Cooperation With Company After Termination of Employment</w:t>
      </w:r>
      <w:r>
        <w:rPr>
          <w:rFonts w:ascii="Arial" w:cs="Arial" w:eastAsia="Arial" w:hAnsi="Arial"/>
          <w:sz w:val="17"/>
          <w:szCs w:val="17"/>
          <w:color w:val="auto"/>
        </w:rPr>
        <w:t>. Following termination of Executive’s employment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Executive shall fully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 Company will reimburse Executive, consistent with Section 2.4 of this Agreement, for any reasonable business expenses incurred and, if Executive is not receiving severance at the time cooperation is requested and if the required cooperation exceeds 10 hours per month, Executive will be compensated at an hourly rated determined by dividing his most recent Base Salary by 2,080.</w:t>
      </w:r>
    </w:p>
    <w:p>
      <w:pPr>
        <w:spacing w:after="0" w:line="28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w:t>
      </w:r>
    </w:p>
    <w:p>
      <w:pPr>
        <w:spacing w:after="0" w:line="121" w:lineRule="exact"/>
        <w:rPr>
          <w:sz w:val="20"/>
          <w:szCs w:val="20"/>
          <w:color w:val="auto"/>
        </w:rPr>
      </w:pPr>
    </w:p>
    <w:p>
      <w:pPr>
        <w:ind w:right="40" w:firstLine="1428"/>
        <w:spacing w:after="0" w:line="288" w:lineRule="auto"/>
        <w:tabs>
          <w:tab w:leader="none" w:pos="1822" w:val="left"/>
        </w:tabs>
        <w:numPr>
          <w:ilvl w:val="0"/>
          <w:numId w:val="311"/>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herein, the following provisions apply to the extent severance benefits provided herein are subject to the Code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Severance shall not commence until the Executive has a Separation from Service. Each installment of severance is a separate “payment” for purposes of Treas. Reg. Section 1.409A-2(b)(2)(i), and the severance is intended to satisfy the exemptions from application of Section 409A provided under Treasury Regulations Sections 1.409A-1(b)(4), 1.409A-1(b)(5) and 1.409A-1(b)(9). However, if such exemptions are not available and the Executive is, upon separation from service, a “specified employee” for purposes of Section 409A, then, solely to the extent necessary to avoid adverse personal tax consequences under Section 409A, the timing of the severance payments shall be delayed until the earlier of (i) six (6) months and one day after the Executive’s separation from service, or (ii) the Executive’s death. The parties acknowledge that the exemptions from application of Section 409A to severance benefits are fact specific, and any later amendment of this Agreement to alter the timing, amount or conditions that will trigger payment of severance benefits may preclude the ability of severance benefits provided under this Agreement to qualify for an exemption.</w:t>
      </w:r>
    </w:p>
    <w:p>
      <w:pPr>
        <w:spacing w:after="0" w:line="168" w:lineRule="exact"/>
        <w:rPr>
          <w:rFonts w:ascii="Arial" w:cs="Arial" w:eastAsia="Arial" w:hAnsi="Arial"/>
          <w:sz w:val="16"/>
          <w:szCs w:val="16"/>
          <w:b w:val="1"/>
          <w:bCs w:val="1"/>
          <w:color w:val="auto"/>
        </w:rPr>
      </w:pPr>
    </w:p>
    <w:p>
      <w:pPr>
        <w:ind w:right="60" w:firstLine="1428"/>
        <w:spacing w:after="0" w:line="259" w:lineRule="auto"/>
        <w:tabs>
          <w:tab w:leader="none" w:pos="1832"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It is intended that this Agreement shall comply with the requirements of Section 409A, and any ambiguity contained herein shall be interpreted in such manner so as to avoid adverse personal tax consequences under Section 409A. Notwithstanding the foregoing, the Company shall in no event be obligated to indemnify the Executive for any taxes or interest that may be assessed by the Internal Revenue Service pursuant to Section 409A of the Code to payments made pursuant to this Agreement.</w:t>
      </w:r>
    </w:p>
    <w:p>
      <w:pPr>
        <w:spacing w:after="0" w:line="331" w:lineRule="exact"/>
        <w:rPr>
          <w:sz w:val="20"/>
          <w:szCs w:val="20"/>
          <w:color w:val="auto"/>
        </w:rPr>
      </w:pPr>
    </w:p>
    <w:p>
      <w:pPr>
        <w:ind w:left="960" w:hanging="532"/>
        <w:spacing w:after="0"/>
        <w:tabs>
          <w:tab w:leader="none" w:pos="9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991"/>
        <w:spacing w:after="0" w:line="31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notices required hereunder to be in writing shall be deemed effectively given: (a) upon personal delivery to the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be notified, (b) when sent by electronic mail or confirmed facsimile if sent during normal business hours of the recipient, and if not, then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34" w:name="page335"/>
    <w:bookmarkEnd w:id="334"/>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the Executive may designate by ten (10) days advance written notice to the other.</w:t>
      </w:r>
    </w:p>
    <w:p>
      <w:pPr>
        <w:spacing w:after="0" w:line="184"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1"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Executive or it shall not thereby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waived any preceding or succeeding breach of the same or any other provision of this Agreement.</w:t>
      </w:r>
    </w:p>
    <w:p>
      <w:pPr>
        <w:spacing w:after="0" w:line="162" w:lineRule="exact"/>
        <w:rPr>
          <w:sz w:val="20"/>
          <w:szCs w:val="20"/>
          <w:color w:val="auto"/>
        </w:rPr>
      </w:pPr>
    </w:p>
    <w:p>
      <w:pPr>
        <w:ind w:right="240" w:firstLine="991"/>
        <w:spacing w:after="0" w:line="291"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constitutes the entire agreement between Executive and the Company with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Confidential Information Agreement and may also enter into an Option Agreement. Any such separate agreements govern other aspects of the relationship between the parties, have or may have provisions that survive termination of the Executive’s employment under this Agreement, may be amended or superseded by the parties without regard to this agreement and are enforceable according to their terms without regard to the enforcement provision of this Agreement.</w:t>
      </w:r>
    </w:p>
    <w:p>
      <w:pPr>
        <w:spacing w:after="0" w:line="159"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but all of which taken together will constitute one and the same Agreement.</w:t>
      </w:r>
    </w:p>
    <w:p>
      <w:pPr>
        <w:spacing w:after="0" w:line="162"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2" w:lineRule="exact"/>
        <w:rPr>
          <w:sz w:val="20"/>
          <w:szCs w:val="20"/>
          <w:color w:val="auto"/>
        </w:rPr>
      </w:pPr>
    </w:p>
    <w:p>
      <w:pPr>
        <w:ind w:right="100" w:firstLine="991"/>
        <w:spacing w:after="0" w:line="256"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The Executive may not assign or transfer this Agreement or any rights or obligations hereunder, other than to his estate upon his death.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35" w:name="page336"/>
    <w:bookmarkEnd w:id="335"/>
    <w:p>
      <w:pPr>
        <w:ind w:right="6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7.8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Maryland.</w:t>
      </w:r>
    </w:p>
    <w:p>
      <w:pPr>
        <w:spacing w:after="0" w:line="162"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Resolution of Disputes</w:t>
      </w:r>
      <w:r>
        <w:rPr>
          <w:rFonts w:ascii="Arial" w:cs="Arial" w:eastAsia="Arial" w:hAnsi="Arial"/>
          <w:sz w:val="16"/>
          <w:szCs w:val="16"/>
          <w:color w:val="auto"/>
        </w:rPr>
        <w:t>. The parties recognize that litigation in federal or state courts or before federal or state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Gaithersburg, Maryland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Arial" w:cs="Arial" w:eastAsia="Arial" w:hAnsi="Arial"/>
          <w:sz w:val="16"/>
          <w:szCs w:val="16"/>
          <w:b w:val="1"/>
          <w:bCs w:val="1"/>
          <w:color w:val="auto"/>
        </w:rPr>
        <w:t>exclusive remedy</w:t>
      </w:r>
      <w:r>
        <w:rPr>
          <w:rFonts w:ascii="Arial" w:cs="Arial" w:eastAsia="Arial" w:hAnsi="Arial"/>
          <w:sz w:val="16"/>
          <w:szCs w:val="16"/>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36" w:name="page337"/>
    <w:bookmarkEnd w:id="33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have executed this Employment Agreement on the day and year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4"/>
          <w:szCs w:val="14"/>
          <w:b w:val="1"/>
          <w:bCs w:val="1"/>
          <w:color w:val="auto"/>
        </w:rPr>
        <w:t>OMETRY</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CEO</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James Rallo</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79"/>
          </w:cols>
          <w:pgMar w:left="880" w:top="270" w:right="1440" w:bottom="1440" w:gutter="0" w:footer="0" w:header="0"/>
        </w:sectPr>
      </w:pPr>
    </w:p>
    <w:bookmarkStart w:id="337" w:name="page338"/>
    <w:bookmarkEnd w:id="3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NVENTIONS</w:t>
      </w:r>
      <w:r>
        <w:rPr>
          <w:rFonts w:ascii="Arial" w:cs="Arial" w:eastAsia="Arial" w:hAnsi="Arial"/>
          <w:sz w:val="18"/>
          <w:szCs w:val="18"/>
          <w:b w:val="1"/>
          <w:bCs w:val="1"/>
          <w:color w:val="auto"/>
        </w:rPr>
        <w:t>, N</w:t>
      </w:r>
      <w:r>
        <w:rPr>
          <w:rFonts w:ascii="Arial" w:cs="Arial" w:eastAsia="Arial" w:hAnsi="Arial"/>
          <w:sz w:val="14"/>
          <w:szCs w:val="14"/>
          <w:b w:val="1"/>
          <w:bCs w:val="1"/>
          <w:color w:val="auto"/>
        </w:rPr>
        <w:t>ON</w:t>
      </w:r>
      <w:r>
        <w:rPr>
          <w:rFonts w:ascii="Arial" w:cs="Arial" w:eastAsia="Arial" w:hAnsi="Arial"/>
          <w:sz w:val="18"/>
          <w:szCs w:val="18"/>
          <w:b w:val="1"/>
          <w:bCs w:val="1"/>
          <w:color w:val="auto"/>
        </w:rPr>
        <w:t>-S</w:t>
      </w:r>
      <w:r>
        <w:rPr>
          <w:rFonts w:ascii="Arial" w:cs="Arial" w:eastAsia="Arial" w:hAnsi="Arial"/>
          <w:sz w:val="14"/>
          <w:szCs w:val="14"/>
          <w:b w:val="1"/>
          <w:bCs w:val="1"/>
          <w:color w:val="auto"/>
        </w:rPr>
        <w:t>OLICITATION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Xometry, Inc. Subsidiaries</w:t>
      </w:r>
    </w:p>
    <w:p>
      <w:pPr>
        <w:spacing w:after="0" w:line="135" w:lineRule="exact"/>
        <w:rPr>
          <w:sz w:val="20"/>
          <w:szCs w:val="20"/>
          <w:color w:val="auto"/>
        </w:rPr>
      </w:pPr>
    </w:p>
    <w:p>
      <w:pPr>
        <w:ind w:left="960" w:hanging="532"/>
        <w:spacing w:after="0"/>
        <w:tabs>
          <w:tab w:leader="none" w:pos="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MakeTime, Inc., a Delaware corporation.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Gesellschaftsvertrag Shift GmbH, a German company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413BEC"/>
    <w:multiLevelType w:val="hybridMultilevel"/>
    <w:lvl w:ilvl="0">
      <w:lvlJc w:val="left"/>
      <w:lvlText w:val="(%1)"/>
      <w:numFmt w:val="decimal"/>
      <w:start w:val="1"/>
    </w:lvl>
  </w:abstractNum>
  <w:abstractNum w:abstractNumId="1">
    <w:nsid w:val="17180B0B"/>
    <w:multiLevelType w:val="hybridMultilevel"/>
    <w:lvl w:ilvl="0">
      <w:lvlJc w:val="left"/>
      <w:lvlText w:val="(%1)"/>
      <w:numFmt w:val="decimal"/>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
      <w:numFmt w:val="bullet"/>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
      <w:numFmt w:val="bullet"/>
      <w:start w:val="1"/>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1)"/>
      <w:numFmt w:val="decimal"/>
      <w:start w:val="1"/>
    </w:lvl>
  </w:abstractNum>
  <w:abstractNum w:abstractNumId="19">
    <w:nsid w:val="6B1D2C14"/>
    <w:multiLevelType w:val="hybridMultilevel"/>
    <w:lvl w:ilvl="0">
      <w:lvlJc w:val="left"/>
      <w:lvlText w:val="(%1)"/>
      <w:numFmt w:val="decimal"/>
      <w:start w:val="1"/>
    </w:lvl>
  </w:abstractNum>
  <w:abstractNum w:abstractNumId="20">
    <w:nsid w:val="68B867D3"/>
    <w:multiLevelType w:val="hybridMultilevel"/>
    <w:lvl w:ilvl="0">
      <w:lvlJc w:val="left"/>
      <w:lvlText w:val="(%1)"/>
      <w:numFmt w:val="decimal"/>
      <w:start w:val="2"/>
    </w:lvl>
  </w:abstractNum>
  <w:abstractNum w:abstractNumId="21">
    <w:nsid w:val="3F7F5DD9"/>
    <w:multiLevelType w:val="hybridMultilevel"/>
    <w:lvl w:ilvl="0">
      <w:lvlJc w:val="left"/>
      <w:lvlText w:val="(%1)"/>
      <w:numFmt w:val="decimal"/>
      <w:start w:val="4"/>
    </w:lvl>
  </w:abstractNum>
  <w:abstractNum w:abstractNumId="22">
    <w:nsid w:val="2AE05A34"/>
    <w:multiLevelType w:val="hybridMultilevel"/>
    <w:lvl w:ilvl="0">
      <w:lvlJc w:val="left"/>
      <w:lvlText w:val="(%1)"/>
      <w:numFmt w:val="decimal"/>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1)"/>
      <w:numFmt w:val="decimal"/>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
      <w:numFmt w:val="bullet"/>
      <w:start w:val="1"/>
    </w:lvl>
  </w:abstractNum>
  <w:abstractNum w:abstractNumId="46">
    <w:nsid w:val="1A9A9E69"/>
    <w:multiLevelType w:val="hybridMultilevel"/>
    <w:lvl w:ilvl="0">
      <w:lvlJc w:val="left"/>
      <w:lvlText w:val="•"/>
      <w:numFmt w:val="bullet"/>
      <w:start w:val="1"/>
    </w:lvl>
  </w:abstractNum>
  <w:abstractNum w:abstractNumId="47">
    <w:nsid w:val="475E256A"/>
    <w:multiLevelType w:val="hybridMultilevel"/>
    <w:lvl w:ilvl="0">
      <w:lvlJc w:val="left"/>
      <w:lvlText w:val="•"/>
      <w:numFmt w:val="bullet"/>
      <w:start w:val="1"/>
    </w:lvl>
  </w:abstractNum>
  <w:abstractNum w:abstractNumId="48">
    <w:nsid w:val="368DB37E"/>
    <w:multiLevelType w:val="hybridMultilevel"/>
    <w:lvl w:ilvl="0">
      <w:lvlJc w:val="left"/>
      <w:lvlText w:val="•"/>
      <w:numFmt w:val="bullet"/>
      <w:start w:val="1"/>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
      <w:numFmt w:val="bullet"/>
      <w:start w:val="1"/>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
      <w:numFmt w:val="bullet"/>
      <w:start w:val="1"/>
    </w:lvl>
  </w:abstractNum>
  <w:abstractNum w:abstractNumId="55">
    <w:nsid w:val="7E0F6384"/>
    <w:multiLevelType w:val="hybridMultilevel"/>
    <w:lvl w:ilvl="0">
      <w:lvlJc w:val="left"/>
      <w:lvlText w:val="•"/>
      <w:numFmt w:val="bullet"/>
      <w:start w:val="1"/>
    </w:lvl>
  </w:abstractNum>
  <w:abstractNum w:abstractNumId="56">
    <w:nsid w:val="2B4B8B53"/>
    <w:multiLevelType w:val="hybridMultilevel"/>
    <w:lvl w:ilvl="0">
      <w:lvlJc w:val="left"/>
      <w:lvlText w:val="•"/>
      <w:numFmt w:val="bullet"/>
      <w:start w:val="1"/>
    </w:lvl>
  </w:abstractNum>
  <w:abstractNum w:abstractNumId="57">
    <w:nsid w:val="72E3413A"/>
    <w:multiLevelType w:val="hybridMultilevel"/>
    <w:lvl w:ilvl="0">
      <w:lvlJc w:val="left"/>
      <w:lvlText w:val="(%1)"/>
      <w:numFmt w:val="decimal"/>
      <w:start w:val="1"/>
    </w:lvl>
  </w:abstractNum>
  <w:abstractNum w:abstractNumId="58">
    <w:nsid w:val="116AE494"/>
    <w:multiLevelType w:val="hybridMultilevel"/>
    <w:lvl w:ilvl="0">
      <w:lvlJc w:val="left"/>
      <w:lvlText w:val="•"/>
      <w:numFmt w:val="bullet"/>
      <w:start w:val="1"/>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1)"/>
      <w:numFmt w:val="decimal"/>
      <w:start w:val="1"/>
    </w:lvl>
  </w:abstractNum>
  <w:abstractNum w:abstractNumId="62">
    <w:nsid w:val="631F1690"/>
    <w:multiLevelType w:val="hybridMultilevel"/>
    <w:lvl w:ilvl="0">
      <w:lvlJc w:val="left"/>
      <w:lvlText w:val="•"/>
      <w:numFmt w:val="bullet"/>
      <w:start w:val="1"/>
    </w:lvl>
  </w:abstractNum>
  <w:abstractNum w:abstractNumId="63">
    <w:nsid w:val="25973E32"/>
    <w:multiLevelType w:val="hybridMultilevel"/>
    <w:lvl w:ilvl="0">
      <w:lvlJc w:val="left"/>
      <w:lvlText w:val="(%1)"/>
      <w:numFmt w:val="decimal"/>
      <w:start w:val="1"/>
    </w:lvl>
  </w:abstractNum>
  <w:abstractNum w:abstractNumId="64">
    <w:nsid w:val="EAD6F57"/>
    <w:multiLevelType w:val="hybridMultilevel"/>
    <w:lvl w:ilvl="0">
      <w:lvlJc w:val="left"/>
      <w:lvlText w:val="(%1)"/>
      <w:numFmt w:val="decimal"/>
      <w:start w:val="1"/>
    </w:lvl>
  </w:abstractNum>
  <w:abstractNum w:abstractNumId="65">
    <w:nsid w:val="6EC9D844"/>
    <w:multiLevelType w:val="hybridMultilevel"/>
    <w:lvl w:ilvl="0">
      <w:lvlJc w:val="left"/>
      <w:lvlText w:val="(%1)"/>
      <w:numFmt w:val="decimal"/>
      <w:start w:val="1"/>
    </w:lvl>
  </w:abstractNum>
  <w:abstractNum w:abstractNumId="66">
    <w:nsid w:val="5C49EAEE"/>
    <w:multiLevelType w:val="hybridMultilevel"/>
    <w:lvl w:ilvl="0">
      <w:lvlJc w:val="left"/>
      <w:lvlText w:val="•"/>
      <w:numFmt w:val="bullet"/>
      <w:start w:val="1"/>
    </w:lvl>
  </w:abstractNum>
  <w:abstractNum w:abstractNumId="67">
    <w:nsid w:val="64AF49B"/>
    <w:multiLevelType w:val="hybridMultilevel"/>
    <w:lvl w:ilvl="0">
      <w:lvlJc w:val="left"/>
      <w:lvlText w:val="•"/>
      <w:numFmt w:val="bullet"/>
      <w:start w:val="1"/>
    </w:lvl>
  </w:abstractNum>
  <w:abstractNum w:abstractNumId="68">
    <w:nsid w:val="397C46BC"/>
    <w:multiLevelType w:val="hybridMultilevel"/>
    <w:lvl w:ilvl="0">
      <w:lvlJc w:val="left"/>
      <w:lvlText w:val="•"/>
      <w:numFmt w:val="bullet"/>
      <w:start w:val="1"/>
    </w:lvl>
  </w:abstractNum>
  <w:abstractNum w:abstractNumId="69">
    <w:nsid w:val="7E448DE9"/>
    <w:multiLevelType w:val="hybridMultilevel"/>
    <w:lvl w:ilvl="0">
      <w:lvlJc w:val="left"/>
      <w:lvlText w:val="•"/>
      <w:numFmt w:val="bullet"/>
      <w:start w:val="1"/>
    </w:lvl>
  </w:abstractNum>
  <w:abstractNum w:abstractNumId="70">
    <w:nsid w:val="5A9CC3E5"/>
    <w:multiLevelType w:val="hybridMultilevel"/>
    <w:lvl w:ilvl="0">
      <w:lvlJc w:val="left"/>
      <w:lvlText w:val="*"/>
      <w:numFmt w:val="bullet"/>
      <w:start w:val="1"/>
    </w:lvl>
  </w:abstractNum>
  <w:abstractNum w:abstractNumId="71">
    <w:nsid w:val="1AFE3625"/>
    <w:multiLevelType w:val="hybridMultilevel"/>
    <w:lvl w:ilvl="0">
      <w:lvlJc w:val="left"/>
      <w:lvlText w:val="(%1)"/>
      <w:numFmt w:val="decimal"/>
      <w:start w:val="1"/>
    </w:lvl>
  </w:abstractNum>
  <w:abstractNum w:abstractNumId="72">
    <w:nsid w:val="3CA88ECF"/>
    <w:multiLevelType w:val="hybridMultilevel"/>
    <w:lvl w:ilvl="0">
      <w:lvlJc w:val="left"/>
      <w:lvlText w:val="(%1)"/>
      <w:numFmt w:val="decimal"/>
      <w:start w:val="1"/>
    </w:lvl>
  </w:abstractNum>
  <w:abstractNum w:abstractNumId="73">
    <w:nsid w:val="6EBE4208"/>
    <w:multiLevelType w:val="hybridMultilevel"/>
    <w:lvl w:ilvl="0">
      <w:lvlJc w:val="left"/>
      <w:lvlText w:val="•"/>
      <w:numFmt w:val="bullet"/>
      <w:start w:val="1"/>
    </w:lvl>
  </w:abstractNum>
  <w:abstractNum w:abstractNumId="74">
    <w:nsid w:val="C058DF5"/>
    <w:multiLevelType w:val="hybridMultilevel"/>
    <w:lvl w:ilvl="0">
      <w:lvlJc w:val="left"/>
      <w:lvlText w:val="•"/>
      <w:numFmt w:val="bullet"/>
      <w:start w:val="1"/>
    </w:lvl>
  </w:abstractNum>
  <w:abstractNum w:abstractNumId="75">
    <w:nsid w:val="CBE5BE9"/>
    <w:multiLevelType w:val="hybridMultilevel"/>
    <w:lvl w:ilvl="0">
      <w:lvlJc w:val="left"/>
      <w:lvlText w:val="(%1)"/>
      <w:numFmt w:val="lowerLetter"/>
      <w:start w:val="1"/>
    </w:lvl>
  </w:abstractNum>
  <w:abstractNum w:abstractNumId="76">
    <w:nsid w:val="3102BBE2"/>
    <w:multiLevelType w:val="hybridMultilevel"/>
    <w:lvl w:ilvl="0">
      <w:lvlJc w:val="left"/>
      <w:lvlText w:val="•"/>
      <w:numFmt w:val="bullet"/>
      <w:start w:val="1"/>
    </w:lvl>
  </w:abstractNum>
  <w:abstractNum w:abstractNumId="77">
    <w:nsid w:val="26A02C5E"/>
    <w:multiLevelType w:val="hybridMultilevel"/>
    <w:lvl w:ilvl="0">
      <w:lvlJc w:val="left"/>
      <w:lvlText w:val="•"/>
      <w:numFmt w:val="bullet"/>
      <w:start w:val="1"/>
    </w:lvl>
  </w:abstractNum>
  <w:abstractNum w:abstractNumId="78">
    <w:nsid w:val="541C8153"/>
    <w:multiLevelType w:val="hybridMultilevel"/>
    <w:lvl w:ilvl="0">
      <w:lvlJc w:val="left"/>
      <w:lvlText w:val="•"/>
      <w:numFmt w:val="bullet"/>
      <w:start w:val="1"/>
    </w:lvl>
  </w:abstractNum>
  <w:abstractNum w:abstractNumId="79">
    <w:nsid w:val="67906F60"/>
    <w:multiLevelType w:val="hybridMultilevel"/>
    <w:lvl w:ilvl="0">
      <w:lvlJc w:val="left"/>
      <w:lvlText w:val="(%1)"/>
      <w:numFmt w:val="decimal"/>
      <w:start w:val="1"/>
    </w:lvl>
  </w:abstractNum>
  <w:abstractNum w:abstractNumId="80">
    <w:nsid w:val="10DB9DAA"/>
    <w:multiLevelType w:val="hybridMultilevel"/>
    <w:lvl w:ilvl="0">
      <w:lvlJc w:val="left"/>
      <w:lvlText w:val="(%1)"/>
      <w:numFmt w:val="lowerLetter"/>
      <w:start w:val="1"/>
    </w:lvl>
  </w:abstractNum>
  <w:abstractNum w:abstractNumId="81">
    <w:nsid w:val="697D2D2"/>
    <w:multiLevelType w:val="hybridMultilevel"/>
    <w:lvl w:ilvl="0">
      <w:lvlJc w:val="left"/>
      <w:lvlText w:val="(%1)"/>
      <w:numFmt w:val="lowerLetter"/>
      <w:start w:val="2"/>
    </w:lvl>
  </w:abstractNum>
  <w:abstractNum w:abstractNumId="82">
    <w:nsid w:val="6D68AB2"/>
    <w:multiLevelType w:val="hybridMultilevel"/>
    <w:lvl w:ilvl="0">
      <w:lvlJc w:val="left"/>
      <w:lvlText w:val="(%1)"/>
      <w:numFmt w:val="lowerLetter"/>
      <w:start w:val="3"/>
    </w:lvl>
  </w:abstractNum>
  <w:abstractNum w:abstractNumId="83">
    <w:nsid w:val="3A966CD0"/>
    <w:multiLevelType w:val="hybridMultilevel"/>
    <w:lvl w:ilvl="0">
      <w:lvlJc w:val="left"/>
      <w:lvlText w:val="(%1)"/>
      <w:numFmt w:val="lowerLetter"/>
      <w:start w:val="4"/>
    </w:lvl>
  </w:abstractNum>
  <w:abstractNum w:abstractNumId="84">
    <w:nsid w:val="63F37E85"/>
    <w:multiLevelType w:val="hybridMultilevel"/>
    <w:lvl w:ilvl="0">
      <w:lvlJc w:val="left"/>
      <w:lvlText w:val="(%1)"/>
      <w:numFmt w:val="lowerLetter"/>
      <w:start w:val="5"/>
    </w:lvl>
  </w:abstractNum>
  <w:abstractNum w:abstractNumId="85">
    <w:nsid w:val="5895F5FA"/>
    <w:multiLevelType w:val="hybridMultilevel"/>
    <w:lvl w:ilvl="0">
      <w:lvlJc w:val="left"/>
      <w:lvlText w:val="(%1)"/>
      <w:numFmt w:val="lowerLetter"/>
      <w:start w:val="6"/>
    </w:lvl>
  </w:abstractNum>
  <w:abstractNum w:abstractNumId="86">
    <w:nsid w:val="38A5D054"/>
    <w:multiLevelType w:val="hybridMultilevel"/>
    <w:lvl w:ilvl="0">
      <w:lvlJc w:val="left"/>
      <w:lvlText w:val="(%1)"/>
      <w:numFmt w:val="lowerLetter"/>
      <w:start w:val="7"/>
    </w:lvl>
  </w:abstractNum>
  <w:abstractNum w:abstractNumId="87">
    <w:nsid w:val="F3F09D8"/>
    <w:multiLevelType w:val="hybridMultilevel"/>
    <w:lvl w:ilvl="0">
      <w:lvlJc w:val="left"/>
      <w:lvlText w:val="(%1)"/>
      <w:numFmt w:val="lowerLetter"/>
      <w:start w:val="8"/>
    </w:lvl>
  </w:abstractNum>
  <w:abstractNum w:abstractNumId="88">
    <w:nsid w:val="4B793735"/>
    <w:multiLevelType w:val="hybridMultilevel"/>
    <w:lvl w:ilvl="0">
      <w:lvlJc w:val="left"/>
      <w:lvlText w:val="(%1)"/>
      <w:numFmt w:val="lowerRoman"/>
      <w:start w:val="1"/>
    </w:lvl>
  </w:abstractNum>
  <w:abstractNum w:abstractNumId="89">
    <w:nsid w:val="4A10B4E8"/>
    <w:multiLevelType w:val="hybridMultilevel"/>
    <w:lvl w:ilvl="0">
      <w:lvlJc w:val="left"/>
      <w:lvlText w:val="(%1)"/>
      <w:numFmt w:val="lowerLetter"/>
      <w:start w:val="10"/>
    </w:lvl>
  </w:abstractNum>
  <w:abstractNum w:abstractNumId="90">
    <w:nsid w:val="43D3BCD4"/>
    <w:multiLevelType w:val="hybridMultilevel"/>
    <w:lvl w:ilvl="0">
      <w:lvlJc w:val="left"/>
      <w:lvlText w:val="(%1)"/>
      <w:numFmt w:val="lowerLetter"/>
      <w:start w:val="11"/>
    </w:lvl>
  </w:abstractNum>
  <w:abstractNum w:abstractNumId="91">
    <w:nsid w:val="4C2A7166"/>
    <w:multiLevelType w:val="hybridMultilevel"/>
    <w:lvl w:ilvl="0">
      <w:lvlJc w:val="left"/>
      <w:lvlText w:val="(%1)"/>
      <w:numFmt w:val="lowerLetter"/>
      <w:start w:val="12"/>
    </w:lvl>
  </w:abstractNum>
  <w:abstractNum w:abstractNumId="92">
    <w:nsid w:val="2E534A82"/>
    <w:multiLevelType w:val="hybridMultilevel"/>
    <w:lvl w:ilvl="0">
      <w:lvlJc w:val="left"/>
      <w:lvlText w:val="(%1)"/>
      <w:numFmt w:val="lowerLetter"/>
      <w:start w:val="13"/>
    </w:lvl>
  </w:abstractNum>
  <w:abstractNum w:abstractNumId="93">
    <w:nsid w:val="26F2D364"/>
    <w:multiLevelType w:val="hybridMultilevel"/>
    <w:lvl w:ilvl="0">
      <w:lvlJc w:val="left"/>
      <w:lvlText w:val="(%1)"/>
      <w:numFmt w:val="lowerLetter"/>
      <w:start w:val="14"/>
    </w:lvl>
  </w:abstractNum>
  <w:abstractNum w:abstractNumId="94">
    <w:nsid w:val="71C1AF98"/>
    <w:multiLevelType w:val="hybridMultilevel"/>
    <w:lvl w:ilvl="0">
      <w:lvlJc w:val="left"/>
      <w:lvlText w:val="(%1)"/>
      <w:numFmt w:val="lowerLetter"/>
      <w:start w:val="15"/>
    </w:lvl>
  </w:abstractNum>
  <w:abstractNum w:abstractNumId="95">
    <w:nsid w:val="3D00B9D9"/>
    <w:multiLevelType w:val="hybridMultilevel"/>
    <w:lvl w:ilvl="0">
      <w:lvlJc w:val="left"/>
      <w:lvlText w:val="(%1)"/>
      <w:numFmt w:val="lowerLetter"/>
      <w:start w:val="16"/>
    </w:lvl>
  </w:abstractNum>
  <w:abstractNum w:abstractNumId="96">
    <w:nsid w:val="15BCABA8"/>
    <w:multiLevelType w:val="hybridMultilevel"/>
    <w:lvl w:ilvl="0">
      <w:lvlJc w:val="left"/>
      <w:lvlText w:val="(%1)"/>
      <w:numFmt w:val="lowerLetter"/>
      <w:start w:val="17"/>
    </w:lvl>
  </w:abstractNum>
  <w:abstractNum w:abstractNumId="97">
    <w:nsid w:val="4E0B9A87"/>
    <w:multiLevelType w:val="hybridMultilevel"/>
    <w:lvl w:ilvl="0">
      <w:lvlJc w:val="left"/>
      <w:lvlText w:val="(%1)"/>
      <w:numFmt w:val="lowerLetter"/>
      <w:start w:val="18"/>
    </w:lvl>
  </w:abstractNum>
  <w:abstractNum w:abstractNumId="98">
    <w:nsid w:val="434BAE75"/>
    <w:multiLevelType w:val="hybridMultilevel"/>
    <w:lvl w:ilvl="0">
      <w:lvlJc w:val="left"/>
      <w:lvlText w:val="•"/>
      <w:numFmt w:val="bullet"/>
      <w:start w:val="1"/>
    </w:lvl>
  </w:abstractNum>
  <w:abstractNum w:abstractNumId="99">
    <w:nsid w:val="4F38F265"/>
    <w:multiLevelType w:val="hybridMultilevel"/>
    <w:lvl w:ilvl="0">
      <w:lvlJc w:val="left"/>
      <w:lvlText w:val="(%1)"/>
      <w:numFmt w:val="lowerLetter"/>
      <w:start w:val="19"/>
    </w:lvl>
  </w:abstractNum>
  <w:abstractNum w:abstractNumId="100">
    <w:nsid w:val="4C502870"/>
    <w:multiLevelType w:val="hybridMultilevel"/>
    <w:lvl w:ilvl="0">
      <w:lvlJc w:val="left"/>
      <w:lvlText w:val="(%1)"/>
      <w:numFmt w:val="lowerLetter"/>
      <w:start w:val="20"/>
    </w:lvl>
  </w:abstractNum>
  <w:abstractNum w:abstractNumId="101">
    <w:nsid w:val="1DE8725A"/>
    <w:multiLevelType w:val="hybridMultilevel"/>
    <w:lvl w:ilvl="0">
      <w:lvlJc w:val="left"/>
      <w:lvlText w:val="(%1)"/>
      <w:numFmt w:val="lowerLetter"/>
      <w:start w:val="21"/>
    </w:lvl>
  </w:abstractNum>
  <w:abstractNum w:abstractNumId="102">
    <w:nsid w:val="6A37288A"/>
    <w:multiLevelType w:val="hybridMultilevel"/>
    <w:lvl w:ilvl="0">
      <w:lvlJc w:val="left"/>
      <w:lvlText w:val="(%1)"/>
      <w:numFmt w:val="lowerRoman"/>
      <w:start w:val="5"/>
    </w:lvl>
  </w:abstractNum>
  <w:abstractNum w:abstractNumId="103">
    <w:nsid w:val="8F8B73F"/>
    <w:multiLevelType w:val="hybridMultilevel"/>
    <w:lvl w:ilvl="0">
      <w:lvlJc w:val="left"/>
      <w:lvlText w:val="(%1)"/>
      <w:numFmt w:val="lowerLetter"/>
      <w:start w:val="23"/>
    </w:lvl>
  </w:abstractNum>
  <w:abstractNum w:abstractNumId="104">
    <w:nsid w:val="CA6B462"/>
    <w:multiLevelType w:val="hybridMultilevel"/>
    <w:lvl w:ilvl="0">
      <w:lvlJc w:val="left"/>
      <w:lvlText w:val="(%1)"/>
      <w:numFmt w:val="lowerRoman"/>
      <w:start w:val="10"/>
    </w:lvl>
  </w:abstractNum>
  <w:abstractNum w:abstractNumId="105">
    <w:nsid w:val="763CB680"/>
    <w:multiLevelType w:val="hybridMultilevel"/>
    <w:lvl w:ilvl="0">
      <w:lvlJc w:val="left"/>
      <w:lvlText w:val="(%1)"/>
      <w:numFmt w:val="decimal"/>
      <w:start w:val="3"/>
    </w:lvl>
  </w:abstractNum>
  <w:abstractNum w:abstractNumId="106">
    <w:nsid w:val="15B71329"/>
    <w:multiLevelType w:val="hybridMultilevel"/>
    <w:lvl w:ilvl="0">
      <w:lvlJc w:val="left"/>
      <w:lvlText w:val="(%1)"/>
      <w:numFmt w:val="decimal"/>
      <w:start w:val="5"/>
    </w:lvl>
  </w:abstractNum>
  <w:abstractNum w:abstractNumId="107">
    <w:nsid w:val="3DA97044"/>
    <w:multiLevelType w:val="hybridMultilevel"/>
    <w:lvl w:ilvl="0">
      <w:lvlJc w:val="left"/>
      <w:lvlText w:val="(%1)"/>
      <w:numFmt w:val="decimal"/>
      <w:start w:val="6"/>
    </w:lvl>
  </w:abstractNum>
  <w:abstractNum w:abstractNumId="108">
    <w:nsid w:val="1CDCE2DE"/>
    <w:multiLevelType w:val="hybridMultilevel"/>
    <w:lvl w:ilvl="0">
      <w:lvlJc w:val="left"/>
      <w:lvlText w:val="(%1)"/>
      <w:numFmt w:val="decimal"/>
      <w:start w:val="7"/>
    </w:lvl>
  </w:abstractNum>
  <w:abstractNum w:abstractNumId="109">
    <w:nsid w:val="69D3947C"/>
    <w:multiLevelType w:val="hybridMultilevel"/>
    <w:lvl w:ilvl="0">
      <w:lvlJc w:val="left"/>
      <w:lvlText w:val="(%1)"/>
      <w:numFmt w:val="lowerLetter"/>
      <w:start w:val="1"/>
    </w:lvl>
  </w:abstractNum>
  <w:abstractNum w:abstractNumId="110">
    <w:nsid w:val="2539DFA5"/>
    <w:multiLevelType w:val="hybridMultilevel"/>
    <w:lvl w:ilvl="0">
      <w:lvlJc w:val="left"/>
      <w:lvlText w:val="(%1)"/>
      <w:numFmt w:val="lowerLetter"/>
      <w:start w:val="2"/>
    </w:lvl>
  </w:abstractNum>
  <w:abstractNum w:abstractNumId="111">
    <w:nsid w:val="2DB88089"/>
    <w:multiLevelType w:val="hybridMultilevel"/>
    <w:lvl w:ilvl="0">
      <w:lvlJc w:val="left"/>
      <w:lvlText w:val="(%1)"/>
      <w:numFmt w:val="lowerLetter"/>
      <w:start w:val="3"/>
    </w:lvl>
  </w:abstractNum>
  <w:abstractNum w:abstractNumId="112">
    <w:nsid w:val="706B674E"/>
    <w:multiLevelType w:val="hybridMultilevel"/>
    <w:lvl w:ilvl="0">
      <w:lvlJc w:val="left"/>
      <w:lvlText w:val="(%1)"/>
      <w:numFmt w:val="lowerLetter"/>
      <w:start w:val="4"/>
    </w:lvl>
  </w:abstractNum>
  <w:abstractNum w:abstractNumId="113">
    <w:nsid w:val="2C106A57"/>
    <w:multiLevelType w:val="hybridMultilevel"/>
    <w:lvl w:ilvl="0">
      <w:lvlJc w:val="left"/>
      <w:lvlText w:val="(%1)"/>
      <w:numFmt w:val="lowerLetter"/>
      <w:start w:val="5"/>
    </w:lvl>
  </w:abstractNum>
  <w:abstractNum w:abstractNumId="114">
    <w:nsid w:val="684EED59"/>
    <w:multiLevelType w:val="hybridMultilevel"/>
    <w:lvl w:ilvl="0">
      <w:lvlJc w:val="left"/>
      <w:lvlText w:val="(%1)"/>
      <w:numFmt w:val="decimal"/>
      <w:start w:val="9"/>
    </w:lvl>
  </w:abstractNum>
  <w:abstractNum w:abstractNumId="115">
    <w:nsid w:val="545EE5D3"/>
    <w:multiLevelType w:val="hybridMultilevel"/>
    <w:lvl w:ilvl="0">
      <w:lvlJc w:val="left"/>
      <w:lvlText w:val="(%1)"/>
      <w:numFmt w:val="decimal"/>
      <w:start w:val="10"/>
    </w:lvl>
  </w:abstractNum>
  <w:abstractNum w:abstractNumId="116">
    <w:nsid w:val="4A66051"/>
    <w:multiLevelType w:val="hybridMultilevel"/>
    <w:lvl w:ilvl="0">
      <w:lvlJc w:val="left"/>
      <w:lvlText w:val="(%1)"/>
      <w:numFmt w:val="decimal"/>
      <w:start w:val="11"/>
    </w:lvl>
  </w:abstractNum>
  <w:abstractNum w:abstractNumId="117">
    <w:nsid w:val="20F4BDAD"/>
    <w:multiLevelType w:val="hybridMultilevel"/>
    <w:lvl w:ilvl="0">
      <w:lvlJc w:val="left"/>
      <w:lvlText w:val="(%1)"/>
      <w:numFmt w:val="decimal"/>
      <w:start w:val="12"/>
    </w:lvl>
  </w:abstractNum>
  <w:abstractNum w:abstractNumId="118">
    <w:nsid w:val="639DEFAC"/>
    <w:multiLevelType w:val="hybridMultilevel"/>
    <w:lvl w:ilvl="0">
      <w:lvlJc w:val="left"/>
      <w:lvlText w:val="(%1)"/>
      <w:numFmt w:val="decimal"/>
      <w:start w:val="13"/>
    </w:lvl>
  </w:abstractNum>
  <w:abstractNum w:abstractNumId="119">
    <w:nsid w:val="501F9786"/>
    <w:multiLevelType w:val="hybridMultilevel"/>
    <w:lvl w:ilvl="0">
      <w:lvlJc w:val="left"/>
      <w:lvlText w:val="(%1)"/>
      <w:numFmt w:val="decimal"/>
      <w:start w:val="14"/>
    </w:lvl>
  </w:abstractNum>
  <w:abstractNum w:abstractNumId="120">
    <w:nsid w:val="6B057295"/>
    <w:multiLevelType w:val="hybridMultilevel"/>
    <w:lvl w:ilvl="0">
      <w:lvlJc w:val="left"/>
      <w:lvlText w:val="(%1)"/>
      <w:numFmt w:val="decimal"/>
      <w:start w:val="15"/>
    </w:lvl>
  </w:abstractNum>
  <w:abstractNum w:abstractNumId="121">
    <w:nsid w:val="2771AC80"/>
    <w:multiLevelType w:val="hybridMultilevel"/>
    <w:lvl w:ilvl="0">
      <w:lvlJc w:val="left"/>
      <w:lvlText w:val="(%1)"/>
      <w:numFmt w:val="decimal"/>
      <w:start w:val="16"/>
    </w:lvl>
  </w:abstractNum>
  <w:abstractNum w:abstractNumId="122">
    <w:nsid w:val="1C4A08EC"/>
    <w:multiLevelType w:val="hybridMultilevel"/>
    <w:lvl w:ilvl="0">
      <w:lvlJc w:val="left"/>
      <w:lvlText w:val="(%1)"/>
      <w:numFmt w:val="decimal"/>
      <w:start w:val="17"/>
    </w:lvl>
  </w:abstractNum>
  <w:abstractNum w:abstractNumId="123">
    <w:nsid w:val="1958BD17"/>
    <w:multiLevelType w:val="hybridMultilevel"/>
    <w:lvl w:ilvl="0">
      <w:lvlJc w:val="left"/>
      <w:lvlText w:val="(%1)"/>
      <w:numFmt w:val="decimal"/>
      <w:start w:val="18"/>
    </w:lvl>
  </w:abstractNum>
  <w:abstractNum w:abstractNumId="124">
    <w:nsid w:val="4E647FE4"/>
    <w:multiLevelType w:val="hybridMultilevel"/>
    <w:lvl w:ilvl="0">
      <w:lvlJc w:val="left"/>
      <w:lvlText w:val="$"/>
      <w:numFmt w:val="bullet"/>
      <w:start w:val="1"/>
    </w:lvl>
  </w:abstractNum>
  <w:abstractNum w:abstractNumId="125">
    <w:nsid w:val="E0BB885"/>
    <w:multiLevelType w:val="hybridMultilevel"/>
    <w:lvl w:ilvl="0">
      <w:lvlJc w:val="left"/>
      <w:lvlText w:val="$"/>
      <w:numFmt w:val="bullet"/>
      <w:start w:val="1"/>
    </w:lvl>
  </w:abstractNum>
  <w:abstractNum w:abstractNumId="126">
    <w:nsid w:val="565976F1"/>
    <w:multiLevelType w:val="hybridMultilevel"/>
    <w:lvl w:ilvl="0">
      <w:lvlJc w:val="left"/>
      <w:lvlText w:val="*"/>
      <w:numFmt w:val="bullet"/>
      <w:start w:val="1"/>
    </w:lvl>
  </w:abstractNum>
  <w:abstractNum w:abstractNumId="127">
    <w:nsid w:val="64212B8C"/>
    <w:multiLevelType w:val="hybridMultilevel"/>
    <w:lvl w:ilvl="0">
      <w:lvlJc w:val="left"/>
      <w:lvlText w:val="(%1)"/>
      <w:numFmt w:val="decimal"/>
      <w:start w:val="1"/>
    </w:lvl>
  </w:abstractNum>
  <w:abstractNum w:abstractNumId="128">
    <w:nsid w:val="5C17530C"/>
    <w:multiLevelType w:val="hybridMultilevel"/>
    <w:lvl w:ilvl="0">
      <w:lvlJc w:val="left"/>
      <w:lvlText w:val="(%1)"/>
      <w:numFmt w:val="decimal"/>
      <w:start w:val="2"/>
    </w:lvl>
  </w:abstractNum>
  <w:abstractNum w:abstractNumId="129">
    <w:nsid w:val="19A52566"/>
    <w:multiLevelType w:val="hybridMultilevel"/>
    <w:lvl w:ilvl="0">
      <w:lvlJc w:val="left"/>
      <w:lvlText w:val="%1"/>
      <w:numFmt w:val="decimal"/>
      <w:start w:val="1"/>
    </w:lvl>
    <w:lvl w:ilvl="1">
      <w:lvlJc w:val="left"/>
      <w:lvlText w:val="(%2)"/>
      <w:numFmt w:val="decimal"/>
      <w:start w:val="1"/>
    </w:lvl>
  </w:abstractNum>
  <w:abstractNum w:abstractNumId="130">
    <w:nsid w:val="335A1DF1"/>
    <w:multiLevelType w:val="hybridMultilevel"/>
    <w:lvl w:ilvl="0">
      <w:lvlJc w:val="left"/>
      <w:lvlText w:val="(%1)"/>
      <w:numFmt w:val="decimal"/>
      <w:start w:val="1"/>
    </w:lvl>
    <w:lvl w:ilvl="1">
      <w:lvlJc w:val="left"/>
      <w:lvlText w:val="(%2)"/>
      <w:numFmt w:val="decimal"/>
      <w:start w:val="2"/>
    </w:lvl>
  </w:abstractNum>
  <w:abstractNum w:abstractNumId="131">
    <w:nsid w:val="28677B7C"/>
    <w:multiLevelType w:val="hybridMultilevel"/>
    <w:lvl w:ilvl="0">
      <w:lvlJc w:val="left"/>
      <w:lvlText w:val="*"/>
      <w:numFmt w:val="bullet"/>
      <w:start w:val="1"/>
    </w:lvl>
  </w:abstractNum>
  <w:abstractNum w:abstractNumId="132">
    <w:nsid w:val="378D97C0"/>
    <w:multiLevelType w:val="hybridMultilevel"/>
    <w:lvl w:ilvl="0">
      <w:lvlJc w:val="left"/>
      <w:lvlText w:val="%1."/>
      <w:numFmt w:val="decimal"/>
      <w:start w:val="1"/>
    </w:lvl>
  </w:abstractNum>
  <w:abstractNum w:abstractNumId="133">
    <w:nsid w:val="1D91467C"/>
    <w:multiLevelType w:val="hybridMultilevel"/>
    <w:lvl w:ilvl="0">
      <w:lvlJc w:val="left"/>
      <w:lvlText w:val="%1."/>
      <w:numFmt w:val="upperLetter"/>
      <w:start w:val="1"/>
    </w:lvl>
    <w:lvl w:ilvl="1">
      <w:lvlJc w:val="left"/>
      <w:lvlText w:val="%2."/>
      <w:numFmt w:val="decimal"/>
      <w:start w:val="1"/>
    </w:lvl>
  </w:abstractNum>
  <w:abstractNum w:abstractNumId="134">
    <w:nsid w:val="316032BB"/>
    <w:multiLevelType w:val="hybridMultilevel"/>
    <w:lvl w:ilvl="0">
      <w:lvlJc w:val="left"/>
      <w:lvlText w:val="%1"/>
      <w:numFmt w:val="upperLetter"/>
      <w:start w:val="1"/>
    </w:lvl>
    <w:lvl w:ilvl="1">
      <w:lvlJc w:val="left"/>
      <w:lvlText w:val="%2."/>
      <w:numFmt w:val="decimal"/>
      <w:start w:val="2"/>
    </w:lvl>
  </w:abstractNum>
  <w:abstractNum w:abstractNumId="135">
    <w:nsid w:val="44344C22"/>
    <w:multiLevelType w:val="hybridMultilevel"/>
    <w:lvl w:ilvl="0">
      <w:lvlJc w:val="left"/>
      <w:lvlText w:val="%1."/>
      <w:numFmt w:val="upperLetter"/>
      <w:start w:val="2"/>
    </w:lvl>
    <w:lvl w:ilvl="1">
      <w:lvlJc w:val="left"/>
      <w:lvlText w:val="%2"/>
      <w:numFmt w:val="decimal"/>
      <w:start w:val="1"/>
    </w:lvl>
  </w:abstractNum>
  <w:abstractNum w:abstractNumId="136">
    <w:nsid w:val="13CDFCFC"/>
    <w:multiLevelType w:val="hybridMultilevel"/>
    <w:lvl w:ilvl="0">
      <w:lvlJc w:val="left"/>
      <w:lvlText w:val="(%1)"/>
      <w:numFmt w:val="lowerRoman"/>
      <w:start w:val="2"/>
    </w:lvl>
    <w:lvl w:ilvl="1">
      <w:lvlJc w:val="left"/>
      <w:lvlText w:val="%2"/>
      <w:numFmt w:val="decimal"/>
      <w:start w:val="1"/>
    </w:lvl>
  </w:abstractNum>
  <w:abstractNum w:abstractNumId="137">
    <w:nsid w:val="471745E4"/>
    <w:multiLevelType w:val="hybridMultilevel"/>
    <w:lvl w:ilvl="0">
      <w:lvlJc w:val="left"/>
      <w:lvlText w:val="(%1)"/>
      <w:numFmt w:val="lowerRoman"/>
      <w:start w:val="5"/>
    </w:lvl>
    <w:lvl w:ilvl="1">
      <w:lvlJc w:val="left"/>
      <w:lvlText w:val="%2."/>
      <w:numFmt w:val="decimal"/>
      <w:start w:val="1"/>
    </w:lvl>
  </w:abstractNum>
  <w:abstractNum w:abstractNumId="138">
    <w:nsid w:val="1DDBC66"/>
    <w:multiLevelType w:val="hybridMultilevel"/>
    <w:lvl w:ilvl="0">
      <w:lvlJc w:val="left"/>
      <w:lvlText w:val="%1."/>
      <w:numFmt w:val="decimal"/>
      <w:start w:val="2"/>
    </w:lvl>
  </w:abstractNum>
  <w:abstractNum w:abstractNumId="139">
    <w:nsid w:val="30AADFDA"/>
    <w:multiLevelType w:val="hybridMultilevel"/>
    <w:lvl w:ilvl="0">
      <w:lvlJc w:val="left"/>
      <w:lvlText w:val="(%1)"/>
      <w:numFmt w:val="lowerLetter"/>
      <w:start w:val="1"/>
    </w:lvl>
    <w:lvl w:ilvl="1">
      <w:lvlJc w:val="left"/>
      <w:lvlText w:val="(%2)"/>
      <w:numFmt w:val="lowerRoman"/>
      <w:start w:val="1"/>
    </w:lvl>
  </w:abstractNum>
  <w:abstractNum w:abstractNumId="140">
    <w:nsid w:val="30EADA61"/>
    <w:multiLevelType w:val="hybridMultilevel"/>
    <w:lvl w:ilvl="0">
      <w:lvlJc w:val="left"/>
      <w:lvlText w:val="%1"/>
      <w:numFmt w:val="lowerLetter"/>
      <w:start w:val="1"/>
    </w:lvl>
    <w:lvl w:ilvl="1">
      <w:lvlJc w:val="left"/>
      <w:lvlText w:val="(%2)"/>
      <w:numFmt w:val="lowerLetter"/>
      <w:start w:val="1"/>
    </w:lvl>
  </w:abstractNum>
  <w:abstractNum w:abstractNumId="141">
    <w:nsid w:val="27179C0B"/>
    <w:multiLevelType w:val="hybridMultilevel"/>
    <w:lvl w:ilvl="0">
      <w:lvlJc w:val="left"/>
      <w:lvlText w:val="(%1)"/>
      <w:numFmt w:val="lowerLetter"/>
      <w:start w:val="9"/>
    </w:lvl>
    <w:lvl w:ilvl="1">
      <w:lvlJc w:val="left"/>
      <w:lvlText w:val="%2"/>
      <w:numFmt w:val="lowerLetter"/>
      <w:start w:val="1"/>
    </w:lvl>
  </w:abstractNum>
  <w:abstractNum w:abstractNumId="142">
    <w:nsid w:val="5E636063"/>
    <w:multiLevelType w:val="hybridMultilevel"/>
    <w:lvl w:ilvl="0">
      <w:lvlJc w:val="left"/>
      <w:lvlText w:val="%1."/>
      <w:numFmt w:val="decimal"/>
      <w:start w:val="3"/>
    </w:lvl>
  </w:abstractNum>
  <w:abstractNum w:abstractNumId="143">
    <w:nsid w:val="215641AF"/>
    <w:multiLevelType w:val="hybridMultilevel"/>
    <w:lvl w:ilvl="0">
      <w:lvlJc w:val="left"/>
      <w:lvlText w:val="(%1)"/>
      <w:numFmt w:val="decimal"/>
      <w:start w:val="1"/>
    </w:lvl>
  </w:abstractNum>
  <w:abstractNum w:abstractNumId="144">
    <w:nsid w:val="53280662"/>
    <w:multiLevelType w:val="hybridMultilevel"/>
    <w:lvl w:ilvl="0">
      <w:lvlJc w:val="left"/>
      <w:lvlText w:val="(%1)"/>
      <w:numFmt w:val="decimal"/>
      <w:start w:val="1"/>
    </w:lvl>
  </w:abstractNum>
  <w:abstractNum w:abstractNumId="145">
    <w:nsid w:val="46B24DBC"/>
    <w:multiLevelType w:val="hybridMultilevel"/>
    <w:lvl w:ilvl="0">
      <w:lvlJc w:val="left"/>
      <w:lvlText w:val="%1."/>
      <w:numFmt w:val="decimal"/>
      <w:start w:val="4"/>
    </w:lvl>
  </w:abstractNum>
  <w:abstractNum w:abstractNumId="146">
    <w:nsid w:val="75B52783"/>
    <w:multiLevelType w:val="hybridMultilevel"/>
    <w:lvl w:ilvl="0">
      <w:lvlJc w:val="left"/>
      <w:lvlText w:val="(%1)"/>
      <w:numFmt w:val="lowerLetter"/>
      <w:start w:val="1"/>
    </w:lvl>
  </w:abstractNum>
  <w:abstractNum w:abstractNumId="147">
    <w:nsid w:val="57CE66B4"/>
    <w:multiLevelType w:val="hybridMultilevel"/>
    <w:lvl w:ilvl="0">
      <w:lvlJc w:val="left"/>
      <w:lvlText w:val="(%1)"/>
      <w:numFmt w:val="lowerLetter"/>
      <w:start w:val="2"/>
    </w:lvl>
    <w:lvl w:ilvl="1">
      <w:lvlJc w:val="left"/>
      <w:lvlText w:val="(%2)"/>
      <w:numFmt w:val="lowerRoman"/>
      <w:start w:val="1"/>
    </w:lvl>
  </w:abstractNum>
  <w:abstractNum w:abstractNumId="148">
    <w:nsid w:val="67A70B69"/>
    <w:multiLevelType w:val="hybridMultilevel"/>
    <w:lvl w:ilvl="0">
      <w:lvlJc w:val="left"/>
      <w:lvlText w:val="(%1)"/>
      <w:numFmt w:val="lowerRoman"/>
      <w:start w:val="3"/>
    </w:lvl>
  </w:abstractNum>
  <w:abstractNum w:abstractNumId="149">
    <w:nsid w:val="5953172F"/>
    <w:multiLevelType w:val="hybridMultilevel"/>
    <w:lvl w:ilvl="0">
      <w:lvlJc w:val="left"/>
      <w:lvlText w:val="%1"/>
      <w:numFmt w:val="decimal"/>
      <w:start w:val="1"/>
    </w:lvl>
    <w:lvl w:ilvl="1">
      <w:lvlJc w:val="left"/>
      <w:lvlText w:val="(%2)"/>
      <w:numFmt w:val="lowerLetter"/>
      <w:start w:val="1"/>
    </w:lvl>
  </w:abstractNum>
  <w:abstractNum w:abstractNumId="150">
    <w:nsid w:val="27EDFE3A"/>
    <w:multiLevelType w:val="hybridMultilevel"/>
    <w:lvl w:ilvl="0">
      <w:lvlJc w:val="left"/>
      <w:lvlText w:val="(%1)"/>
      <w:numFmt w:val="decimal"/>
      <w:start w:val="2"/>
    </w:lvl>
    <w:lvl w:ilvl="1">
      <w:lvlJc w:val="left"/>
      <w:lvlText w:val="(%2)"/>
      <w:numFmt w:val="lowerLetter"/>
      <w:start w:val="3"/>
    </w:lvl>
  </w:abstractNum>
  <w:abstractNum w:abstractNumId="151">
    <w:nsid w:val="52AC7DFF"/>
    <w:multiLevelType w:val="hybridMultilevel"/>
    <w:lvl w:ilvl="0">
      <w:lvlJc w:val="left"/>
      <w:lvlText w:val="(%1)"/>
      <w:numFmt w:val="lowerLetter"/>
      <w:start w:val="4"/>
    </w:lvl>
  </w:abstractNum>
  <w:abstractNum w:abstractNumId="152">
    <w:nsid w:val="C4C3AF"/>
    <w:multiLevelType w:val="hybridMultilevel"/>
    <w:lvl w:ilvl="0">
      <w:lvlJc w:val="left"/>
      <w:lvlText w:val="(%1)"/>
      <w:numFmt w:val="lowerLetter"/>
      <w:start w:val="1"/>
    </w:lvl>
  </w:abstractNum>
  <w:abstractNum w:abstractNumId="153">
    <w:nsid w:val="44380727"/>
    <w:multiLevelType w:val="hybridMultilevel"/>
    <w:lvl w:ilvl="0">
      <w:lvlJc w:val="left"/>
      <w:lvlText w:val="(%1)"/>
      <w:numFmt w:val="lowerLetter"/>
      <w:start w:val="2"/>
    </w:lvl>
  </w:abstractNum>
  <w:abstractNum w:abstractNumId="154">
    <w:nsid w:val="6C053B16"/>
    <w:multiLevelType w:val="hybridMultilevel"/>
    <w:lvl w:ilvl="0">
      <w:lvlJc w:val="left"/>
      <w:lvlText w:val="(%1)"/>
      <w:numFmt w:val="lowerLetter"/>
      <w:start w:val="3"/>
    </w:lvl>
  </w:abstractNum>
  <w:abstractNum w:abstractNumId="155">
    <w:nsid w:val="4F294393"/>
    <w:multiLevelType w:val="hybridMultilevel"/>
    <w:lvl w:ilvl="0">
      <w:lvlJc w:val="left"/>
      <w:lvlText w:val="(%1)"/>
      <w:numFmt w:val="lowerLetter"/>
      <w:start w:val="1"/>
    </w:lvl>
    <w:lvl w:ilvl="1">
      <w:lvlJc w:val="left"/>
      <w:lvlText w:val="(%2)"/>
      <w:numFmt w:val="lowerRoman"/>
      <w:start w:val="1"/>
    </w:lvl>
  </w:abstractNum>
  <w:abstractNum w:abstractNumId="156">
    <w:nsid w:val="5243BFAC"/>
    <w:multiLevelType w:val="hybridMultilevel"/>
    <w:lvl w:ilvl="0">
      <w:lvlJc w:val="left"/>
      <w:lvlText w:val="(%1)"/>
      <w:numFmt w:val="lowerLetter"/>
      <w:start w:val="2"/>
    </w:lvl>
    <w:lvl w:ilvl="1">
      <w:lvlJc w:val="left"/>
      <w:lvlText w:val="(%2)"/>
      <w:numFmt w:val="lowerRoman"/>
      <w:start w:val="1"/>
    </w:lvl>
  </w:abstractNum>
  <w:abstractNum w:abstractNumId="157">
    <w:nsid w:val="425EB207"/>
    <w:multiLevelType w:val="hybridMultilevel"/>
    <w:lvl w:ilvl="0">
      <w:lvlJc w:val="left"/>
      <w:lvlText w:val="(%1)"/>
      <w:numFmt w:val="lowerRoman"/>
      <w:start w:val="1"/>
    </w:lvl>
  </w:abstractNum>
  <w:abstractNum w:abstractNumId="158">
    <w:nsid w:val="334A6F1F"/>
    <w:multiLevelType w:val="hybridMultilevel"/>
    <w:lvl w:ilvl="0">
      <w:lvlJc w:val="left"/>
      <w:lvlText w:val="(%1)"/>
      <w:numFmt w:val="lowerLetter"/>
      <w:start w:val="1"/>
    </w:lvl>
  </w:abstractNum>
  <w:abstractNum w:abstractNumId="159">
    <w:nsid w:val="2E5B12B8"/>
    <w:multiLevelType w:val="hybridMultilevel"/>
    <w:lvl w:ilvl="0">
      <w:lvlJc w:val="left"/>
      <w:lvlText w:val="(%1)"/>
      <w:numFmt w:val="lowerLetter"/>
      <w:start w:val="2"/>
    </w:lvl>
  </w:abstractNum>
  <w:abstractNum w:abstractNumId="160">
    <w:nsid w:val="5C03D76D"/>
    <w:multiLevelType w:val="hybridMultilevel"/>
    <w:lvl w:ilvl="0">
      <w:lvlJc w:val="left"/>
      <w:lvlText w:val="(%1)"/>
      <w:numFmt w:val="lowerRoman"/>
      <w:start w:val="1"/>
    </w:lvl>
  </w:abstractNum>
  <w:abstractNum w:abstractNumId="161">
    <w:nsid w:val="66A48D11"/>
    <w:multiLevelType w:val="hybridMultilevel"/>
    <w:lvl w:ilvl="0">
      <w:lvlJc w:val="left"/>
      <w:lvlText w:val="%1."/>
      <w:numFmt w:val="decimal"/>
      <w:start w:val="5"/>
    </w:lvl>
  </w:abstractNum>
  <w:abstractNum w:abstractNumId="162">
    <w:nsid w:val="56C28E34"/>
    <w:multiLevelType w:val="hybridMultilevel"/>
    <w:lvl w:ilvl="0">
      <w:lvlJc w:val="left"/>
      <w:lvlText w:val="%1."/>
      <w:numFmt w:val="decimal"/>
      <w:start w:val="6"/>
    </w:lvl>
  </w:abstractNum>
  <w:abstractNum w:abstractNumId="163">
    <w:nsid w:val="13916F2D"/>
    <w:multiLevelType w:val="hybridMultilevel"/>
    <w:lvl w:ilvl="0">
      <w:lvlJc w:val="left"/>
      <w:lvlText w:val="%1."/>
      <w:numFmt w:val="decimal"/>
      <w:start w:val="3"/>
    </w:lvl>
  </w:abstractNum>
  <w:abstractNum w:abstractNumId="164">
    <w:nsid w:val="435D38D"/>
    <w:multiLevelType w:val="hybridMultilevel"/>
    <w:lvl w:ilvl="0">
      <w:lvlJc w:val="left"/>
      <w:lvlText w:val="(%1)"/>
      <w:numFmt w:val="lowerLetter"/>
      <w:start w:val="1"/>
    </w:lvl>
  </w:abstractNum>
  <w:abstractNum w:abstractNumId="165">
    <w:nsid w:val="822C0EF"/>
    <w:multiLevelType w:val="hybridMultilevel"/>
    <w:lvl w:ilvl="0">
      <w:lvlJc w:val="left"/>
      <w:lvlText w:val="(%1)"/>
      <w:numFmt w:val="lowerLetter"/>
      <w:start w:val="3"/>
    </w:lvl>
  </w:abstractNum>
  <w:abstractNum w:abstractNumId="166">
    <w:nsid w:val="57C5BB4F"/>
    <w:multiLevelType w:val="hybridMultilevel"/>
    <w:lvl w:ilvl="0">
      <w:lvlJc w:val="left"/>
      <w:lvlText w:val="(%1)"/>
      <w:numFmt w:val="lowerLetter"/>
      <w:start w:val="5"/>
    </w:lvl>
  </w:abstractNum>
  <w:abstractNum w:abstractNumId="167">
    <w:nsid w:val="1803D089"/>
    <w:multiLevelType w:val="hybridMultilevel"/>
    <w:lvl w:ilvl="0">
      <w:lvlJc w:val="left"/>
      <w:lvlText w:val="(%1)"/>
      <w:numFmt w:val="lowerLetter"/>
      <w:start w:val="1"/>
    </w:lvl>
  </w:abstractNum>
  <w:abstractNum w:abstractNumId="168">
    <w:nsid w:val="4F3A06D4"/>
    <w:multiLevelType w:val="hybridMultilevel"/>
    <w:lvl w:ilvl="0">
      <w:lvlJc w:val="left"/>
      <w:lvlText w:val="(%1)"/>
      <w:numFmt w:val="lowerLetter"/>
      <w:start w:val="1"/>
    </w:lvl>
  </w:abstractNum>
  <w:abstractNum w:abstractNumId="169">
    <w:nsid w:val="59A377B6"/>
    <w:multiLevelType w:val="hybridMultilevel"/>
    <w:lvl w:ilvl="0">
      <w:lvlJc w:val="left"/>
      <w:lvlText w:val="%1"/>
      <w:numFmt w:val="lowerLetter"/>
      <w:start w:val="1"/>
    </w:lvl>
    <w:lvl w:ilvl="1">
      <w:lvlJc w:val="left"/>
      <w:lvlText w:val="(%2)"/>
      <w:numFmt w:val="lowerLetter"/>
      <w:start w:val="4"/>
    </w:lvl>
  </w:abstractNum>
  <w:abstractNum w:abstractNumId="170">
    <w:nsid w:val="48AEB063"/>
    <w:multiLevelType w:val="hybridMultilevel"/>
    <w:lvl w:ilvl="0">
      <w:lvlJc w:val="left"/>
      <w:lvlText w:val="(%1)"/>
      <w:numFmt w:val="lowerLetter"/>
      <w:start w:val="35"/>
    </w:lvl>
    <w:lvl w:ilvl="1">
      <w:lvlJc w:val="left"/>
      <w:lvlText w:val="%2"/>
      <w:numFmt w:val="lowerLetter"/>
      <w:start w:val="1"/>
    </w:lvl>
  </w:abstractNum>
  <w:abstractNum w:abstractNumId="171">
    <w:nsid w:val="24E135"/>
    <w:multiLevelType w:val="hybridMultilevel"/>
    <w:lvl w:ilvl="0">
      <w:lvlJc w:val="left"/>
      <w:lvlText w:val="(%1)"/>
      <w:numFmt w:val="lowerLetter"/>
      <w:start w:val="1"/>
    </w:lvl>
  </w:abstractNum>
  <w:abstractNum w:abstractNumId="172">
    <w:nsid w:val="BB13C1"/>
    <w:multiLevelType w:val="hybridMultilevel"/>
    <w:lvl w:ilvl="0">
      <w:lvlJc w:val="left"/>
      <w:lvlText w:val="(%1)"/>
      <w:numFmt w:val="lowerLetter"/>
      <w:start w:val="1"/>
    </w:lvl>
  </w:abstractNum>
  <w:abstractNum w:abstractNumId="173">
    <w:nsid w:val="271210C7"/>
    <w:multiLevelType w:val="hybridMultilevel"/>
    <w:lvl w:ilvl="0">
      <w:lvlJc w:val="left"/>
      <w:lvlText w:val="(%1)"/>
      <w:numFmt w:val="lowerLetter"/>
      <w:start w:val="1"/>
    </w:lvl>
  </w:abstractNum>
  <w:abstractNum w:abstractNumId="174">
    <w:nsid w:val="217B22E4"/>
    <w:multiLevelType w:val="hybridMultilevel"/>
    <w:lvl w:ilvl="0">
      <w:lvlJc w:val="left"/>
      <w:lvlText w:val="(%1)"/>
      <w:numFmt w:val="lowerLetter"/>
      <w:start w:val="2"/>
    </w:lvl>
  </w:abstractNum>
  <w:abstractNum w:abstractNumId="175">
    <w:nsid w:val="53E31A24"/>
    <w:multiLevelType w:val="hybridMultilevel"/>
    <w:lvl w:ilvl="0">
      <w:lvlJc w:val="left"/>
      <w:lvlText w:val="%1"/>
      <w:numFmt w:val="lowerLetter"/>
      <w:start w:val="1"/>
    </w:lvl>
    <w:lvl w:ilvl="1">
      <w:lvlJc w:val="left"/>
      <w:lvlText w:val="(%2)"/>
      <w:numFmt w:val="lowerLetter"/>
      <w:start w:val="1"/>
    </w:lvl>
  </w:abstractNum>
  <w:abstractNum w:abstractNumId="176">
    <w:nsid w:val="6DC45E83"/>
    <w:multiLevelType w:val="hybridMultilevel"/>
    <w:lvl w:ilvl="0">
      <w:lvlJc w:val="left"/>
      <w:lvlText w:val="(%1)"/>
      <w:numFmt w:val="lowerLetter"/>
      <w:start w:val="9"/>
    </w:lvl>
    <w:lvl w:ilvl="1">
      <w:lvlJc w:val="left"/>
      <w:lvlText w:val="(%2)"/>
      <w:numFmt w:val="lowerLetter"/>
      <w:start w:val="2"/>
    </w:lvl>
  </w:abstractNum>
  <w:abstractNum w:abstractNumId="177">
    <w:nsid w:val="17304A67"/>
    <w:multiLevelType w:val="hybridMultilevel"/>
    <w:lvl w:ilvl="0">
      <w:lvlJc w:val="left"/>
      <w:lvlText w:val="(%1)"/>
      <w:numFmt w:val="lowerLetter"/>
      <w:start w:val="4"/>
    </w:lvl>
  </w:abstractNum>
  <w:abstractNum w:abstractNumId="178">
    <w:nsid w:val="2BB180D8"/>
    <w:multiLevelType w:val="hybridMultilevel"/>
    <w:lvl w:ilvl="0">
      <w:lvlJc w:val="left"/>
      <w:lvlText w:val="(%1)"/>
      <w:numFmt w:val="lowerLetter"/>
      <w:start w:val="1"/>
    </w:lvl>
  </w:abstractNum>
  <w:abstractNum w:abstractNumId="179">
    <w:nsid w:val="556B69ED"/>
    <w:multiLevelType w:val="hybridMultilevel"/>
    <w:lvl w:ilvl="0">
      <w:lvlJc w:val="left"/>
      <w:lvlText w:val="(%1)"/>
      <w:numFmt w:val="lowerLetter"/>
      <w:start w:val="2"/>
    </w:lvl>
  </w:abstractNum>
  <w:abstractNum w:abstractNumId="180">
    <w:nsid w:val="70836196"/>
    <w:multiLevelType w:val="hybridMultilevel"/>
    <w:lvl w:ilvl="0">
      <w:lvlJc w:val="left"/>
      <w:lvlText w:val="(%1)"/>
      <w:numFmt w:val="lowerLetter"/>
      <w:start w:val="1"/>
    </w:lvl>
  </w:abstractNum>
  <w:abstractNum w:abstractNumId="181">
    <w:nsid w:val="539F7F12"/>
    <w:multiLevelType w:val="hybridMultilevel"/>
    <w:lvl w:ilvl="0">
      <w:lvlJc w:val="left"/>
      <w:lvlText w:val="(%1)"/>
      <w:numFmt w:val="lowerLetter"/>
      <w:start w:val="4"/>
    </w:lvl>
  </w:abstractNum>
  <w:abstractNum w:abstractNumId="182">
    <w:nsid w:val="2817E7EC"/>
    <w:multiLevelType w:val="hybridMultilevel"/>
    <w:lvl w:ilvl="0">
      <w:lvlJc w:val="left"/>
      <w:lvlText w:val="(%1)"/>
      <w:numFmt w:val="lowerLetter"/>
      <w:start w:val="1"/>
    </w:lvl>
  </w:abstractNum>
  <w:abstractNum w:abstractNumId="183">
    <w:nsid w:val="71482545"/>
    <w:multiLevelType w:val="hybridMultilevel"/>
    <w:lvl w:ilvl="0">
      <w:lvlJc w:val="left"/>
      <w:lvlText w:val="(%1)"/>
      <w:numFmt w:val="lowerLetter"/>
      <w:start w:val="3"/>
    </w:lvl>
  </w:abstractNum>
  <w:abstractNum w:abstractNumId="184">
    <w:nsid w:val="17D78639"/>
    <w:multiLevelType w:val="hybridMultilevel"/>
    <w:lvl w:ilvl="0">
      <w:lvlJc w:val="left"/>
      <w:lvlText w:val="(%1)"/>
      <w:numFmt w:val="lowerLetter"/>
      <w:start w:val="1"/>
    </w:lvl>
  </w:abstractNum>
  <w:abstractNum w:abstractNumId="185">
    <w:nsid w:val="141D2302"/>
    <w:multiLevelType w:val="hybridMultilevel"/>
    <w:lvl w:ilvl="0">
      <w:lvlJc w:val="left"/>
      <w:lvlText w:val="(%1)"/>
      <w:numFmt w:val="lowerLetter"/>
      <w:start w:val="4"/>
    </w:lvl>
  </w:abstractNum>
  <w:abstractNum w:abstractNumId="186">
    <w:nsid w:val="407168D8"/>
    <w:multiLevelType w:val="hybridMultilevel"/>
    <w:lvl w:ilvl="0">
      <w:lvlJc w:val="left"/>
      <w:lvlText w:val="(%1)"/>
      <w:numFmt w:val="lowerLetter"/>
      <w:start w:val="6"/>
    </w:lvl>
    <w:lvl w:ilvl="1">
      <w:lvlJc w:val="left"/>
      <w:lvlText w:val="(%2)"/>
      <w:numFmt w:val="decimal"/>
      <w:start w:val="1"/>
    </w:lvl>
  </w:abstractNum>
  <w:abstractNum w:abstractNumId="187">
    <w:nsid w:val="6A1B45E5"/>
    <w:multiLevelType w:val="hybridMultilevel"/>
    <w:lvl w:ilvl="0">
      <w:lvlJc w:val="left"/>
      <w:lvlText w:val="(%1)"/>
      <w:numFmt w:val="lowerLetter"/>
      <w:start w:val="1"/>
    </w:lvl>
  </w:abstractNum>
  <w:abstractNum w:abstractNumId="188">
    <w:nsid w:val="567BD50A"/>
    <w:multiLevelType w:val="hybridMultilevel"/>
    <w:lvl w:ilvl="0">
      <w:lvlJc w:val="left"/>
      <w:lvlText w:val="(%1)"/>
      <w:numFmt w:val="lowerRoman"/>
      <w:start w:val="3"/>
    </w:lvl>
  </w:abstractNum>
  <w:abstractNum w:abstractNumId="189">
    <w:nsid w:val="73BBD7F8"/>
    <w:multiLevelType w:val="hybridMultilevel"/>
    <w:lvl w:ilvl="0">
      <w:lvlJc w:val="left"/>
      <w:lvlText w:val="(%1)"/>
      <w:numFmt w:val="lowerRoman"/>
      <w:start w:val="2"/>
    </w:lvl>
  </w:abstractNum>
  <w:abstractNum w:abstractNumId="190">
    <w:nsid w:val="1876589D"/>
    <w:multiLevelType w:val="hybridMultilevel"/>
    <w:lvl w:ilvl="0">
      <w:lvlJc w:val="left"/>
      <w:lvlText w:val="%1."/>
      <w:numFmt w:val="decimal"/>
      <w:start w:val="2"/>
    </w:lvl>
    <w:lvl w:ilvl="1">
      <w:lvlJc w:val="left"/>
      <w:lvlText w:val="(%2)"/>
      <w:numFmt w:val="lowerLetter"/>
      <w:start w:val="1"/>
    </w:lvl>
  </w:abstractNum>
  <w:abstractNum w:abstractNumId="191">
    <w:nsid w:val="327FAC77"/>
    <w:multiLevelType w:val="hybridMultilevel"/>
    <w:lvl w:ilvl="0">
      <w:lvlJc w:val="left"/>
      <w:lvlText w:val="(%1)"/>
      <w:numFmt w:val="lowerLetter"/>
      <w:start w:val="3"/>
    </w:lvl>
  </w:abstractNum>
  <w:abstractNum w:abstractNumId="192">
    <w:nsid w:val="5A606509"/>
    <w:multiLevelType w:val="hybridMultilevel"/>
    <w:lvl w:ilvl="0">
      <w:lvlJc w:val="left"/>
      <w:lvlText w:val="(%1)"/>
      <w:numFmt w:val="lowerLetter"/>
      <w:start w:val="1"/>
    </w:lvl>
  </w:abstractNum>
  <w:abstractNum w:abstractNumId="193">
    <w:nsid w:val="6F38E6D1"/>
    <w:multiLevelType w:val="hybridMultilevel"/>
    <w:lvl w:ilvl="0">
      <w:lvlJc w:val="left"/>
      <w:lvlText w:val="(%1)"/>
      <w:numFmt w:val="decimal"/>
      <w:start w:val="100"/>
    </w:lvl>
  </w:abstractNum>
  <w:abstractNum w:abstractNumId="194">
    <w:nsid w:val="46111BA5"/>
    <w:multiLevelType w:val="hybridMultilevel"/>
    <w:lvl w:ilvl="0">
      <w:lvlJc w:val="left"/>
      <w:lvlText w:val="(%1)"/>
      <w:numFmt w:val="lowerLetter"/>
      <w:start w:val="1"/>
    </w:lvl>
  </w:abstractNum>
  <w:abstractNum w:abstractNumId="195">
    <w:nsid w:val="5E963896"/>
    <w:multiLevelType w:val="hybridMultilevel"/>
    <w:lvl w:ilvl="0">
      <w:lvlJc w:val="left"/>
      <w:lvlText w:val="(%1)"/>
      <w:numFmt w:val="lowerLetter"/>
      <w:start w:val="3"/>
    </w:lvl>
  </w:abstractNum>
  <w:abstractNum w:abstractNumId="196">
    <w:nsid w:val="775BA7C1"/>
    <w:multiLevelType w:val="hybridMultilevel"/>
    <w:lvl w:ilvl="0">
      <w:lvlJc w:val="left"/>
      <w:lvlText w:val="(%1)"/>
      <w:numFmt w:val="lowerLetter"/>
      <w:start w:val="1"/>
    </w:lvl>
  </w:abstractNum>
  <w:abstractNum w:abstractNumId="197">
    <w:nsid w:val="1DD6D6F4"/>
    <w:multiLevelType w:val="hybridMultilevel"/>
    <w:lvl w:ilvl="0">
      <w:lvlJc w:val="left"/>
      <w:lvlText w:val="(%1)"/>
      <w:numFmt w:val="lowerLetter"/>
      <w:start w:val="2"/>
    </w:lvl>
  </w:abstractNum>
  <w:abstractNum w:abstractNumId="198">
    <w:nsid w:val="769A091F"/>
    <w:multiLevelType w:val="hybridMultilevel"/>
    <w:lvl w:ilvl="0">
      <w:lvlJc w:val="left"/>
      <w:lvlText w:val="%1"/>
      <w:numFmt w:val="lowerLetter"/>
      <w:start w:val="1"/>
    </w:lvl>
    <w:lvl w:ilvl="1">
      <w:lvlJc w:val="left"/>
      <w:lvlText w:val="(%2)"/>
      <w:numFmt w:val="lowerLetter"/>
      <w:start w:val="4"/>
    </w:lvl>
  </w:abstractNum>
  <w:abstractNum w:abstractNumId="199">
    <w:nsid w:val="4695AE95"/>
    <w:multiLevelType w:val="hybridMultilevel"/>
    <w:lvl w:ilvl="0">
      <w:lvlJc w:val="left"/>
      <w:lvlText w:val="(%1)"/>
      <w:numFmt w:val="lowerLetter"/>
      <w:start w:val="9"/>
    </w:lvl>
    <w:lvl w:ilvl="1">
      <w:lvlJc w:val="left"/>
      <w:lvlText w:val="(%2)"/>
      <w:numFmt w:val="lowerLetter"/>
      <w:start w:val="5"/>
    </w:lvl>
  </w:abstractNum>
  <w:abstractNum w:abstractNumId="200">
    <w:nsid w:val="777A4EAA"/>
    <w:multiLevelType w:val="hybridMultilevel"/>
    <w:lvl w:ilvl="0">
      <w:lvlJc w:val="left"/>
      <w:lvlText w:val="(%1)"/>
      <w:numFmt w:val="lowerLetter"/>
      <w:start w:val="1"/>
    </w:lvl>
  </w:abstractNum>
  <w:abstractNum w:abstractNumId="201">
    <w:nsid w:val="3F48B982"/>
    <w:multiLevelType w:val="hybridMultilevel"/>
    <w:lvl w:ilvl="0">
      <w:lvlJc w:val="left"/>
      <w:lvlText w:val="%1"/>
      <w:numFmt w:val="decimal"/>
      <w:start w:val="1"/>
    </w:lvl>
    <w:lvl w:ilvl="1">
      <w:lvlJc w:val="left"/>
      <w:lvlText w:val="(%2)"/>
      <w:numFmt w:val="lowerLetter"/>
      <w:start w:val="2"/>
    </w:lvl>
  </w:abstractNum>
  <w:abstractNum w:abstractNumId="202">
    <w:nsid w:val="46BA8FCA"/>
    <w:multiLevelType w:val="hybridMultilevel"/>
    <w:lvl w:ilvl="0">
      <w:lvlJc w:val="left"/>
      <w:lvlText w:val="(%1)"/>
      <w:numFmt w:val="decimal"/>
      <w:start w:val="90"/>
    </w:lvl>
    <w:lvl w:ilvl="1">
      <w:lvlJc w:val="left"/>
      <w:lvlText w:val="%2"/>
      <w:numFmt w:val="lowerLetter"/>
      <w:start w:val="1"/>
    </w:lvl>
  </w:abstractNum>
  <w:abstractNum w:abstractNumId="203">
    <w:nsid w:val="7835626C"/>
    <w:multiLevelType w:val="hybridMultilevel"/>
    <w:lvl w:ilvl="0">
      <w:lvlJc w:val="left"/>
      <w:lvlText w:val="(%1)"/>
      <w:numFmt w:val="lowerLetter"/>
      <w:start w:val="1"/>
    </w:lvl>
  </w:abstractNum>
  <w:abstractNum w:abstractNumId="204">
    <w:nsid w:val="665ACA49"/>
    <w:multiLevelType w:val="hybridMultilevel"/>
    <w:lvl w:ilvl="0">
      <w:lvlJc w:val="left"/>
      <w:lvlText w:val="(%1)"/>
      <w:numFmt w:val="lowerLetter"/>
      <w:start w:val="3"/>
    </w:lvl>
  </w:abstractNum>
  <w:abstractNum w:abstractNumId="205">
    <w:nsid w:val="6835B2AE"/>
    <w:multiLevelType w:val="hybridMultilevel"/>
    <w:lvl w:ilvl="0">
      <w:lvlJc w:val="left"/>
      <w:lvlText w:val="%1"/>
      <w:numFmt w:val="decimal"/>
      <w:start w:val="1"/>
    </w:lvl>
    <w:lvl w:ilvl="1">
      <w:lvlJc w:val="left"/>
      <w:lvlText w:val="(%2)"/>
      <w:numFmt w:val="lowerLetter"/>
      <w:start w:val="2"/>
    </w:lvl>
  </w:abstractNum>
  <w:abstractNum w:abstractNumId="206">
    <w:nsid w:val="4C187C90"/>
    <w:multiLevelType w:val="hybridMultilevel"/>
    <w:lvl w:ilvl="0">
      <w:lvlJc w:val="left"/>
      <w:lvlText w:val="%1."/>
      <w:numFmt w:val="decimal"/>
      <w:start w:val="3"/>
    </w:lvl>
    <w:lvl w:ilvl="1">
      <w:lvlJc w:val="left"/>
      <w:lvlText w:val="%2"/>
      <w:numFmt w:val="lowerLetter"/>
      <w:start w:val="1"/>
    </w:lvl>
  </w:abstractNum>
  <w:abstractNum w:abstractNumId="207">
    <w:nsid w:val="541F28CD"/>
    <w:multiLevelType w:val="hybridMultilevel"/>
    <w:lvl w:ilvl="0">
      <w:lvlJc w:val="left"/>
      <w:lvlText w:val="%1"/>
      <w:numFmt w:val="lowerLetter"/>
      <w:start w:val="1"/>
    </w:lvl>
    <w:lvl w:ilvl="1">
      <w:lvlJc w:val="left"/>
      <w:lvlText w:val="(%2)"/>
      <w:numFmt w:val="lowerLetter"/>
      <w:start w:val="1"/>
    </w:lvl>
  </w:abstractNum>
  <w:abstractNum w:abstractNumId="208">
    <w:nsid w:val="7F65FD16"/>
    <w:multiLevelType w:val="hybridMultilevel"/>
    <w:lvl w:ilvl="0">
      <w:lvlJc w:val="left"/>
      <w:lvlText w:val="(%1)"/>
      <w:numFmt w:val="lowerLetter"/>
      <w:start w:val="9"/>
    </w:lvl>
    <w:lvl w:ilvl="1">
      <w:lvlJc w:val="left"/>
      <w:lvlText w:val="(%2)"/>
      <w:numFmt w:val="lowerLetter"/>
      <w:start w:val="3"/>
    </w:lvl>
  </w:abstractNum>
  <w:abstractNum w:abstractNumId="209">
    <w:nsid w:val="77C9FD68"/>
    <w:multiLevelType w:val="hybridMultilevel"/>
    <w:lvl w:ilvl="0">
      <w:lvlJc w:val="left"/>
      <w:lvlText w:val="(%1)"/>
      <w:numFmt w:val="lowerLetter"/>
      <w:start w:val="5"/>
    </w:lvl>
  </w:abstractNum>
  <w:abstractNum w:abstractNumId="210">
    <w:nsid w:val="298A92BA"/>
    <w:multiLevelType w:val="hybridMultilevel"/>
    <w:lvl w:ilvl="0">
      <w:lvlJc w:val="left"/>
      <w:lvlText w:val="(%1)"/>
      <w:numFmt w:val="upperLetter"/>
      <w:start w:val="1"/>
    </w:lvl>
  </w:abstractNum>
  <w:abstractNum w:abstractNumId="211">
    <w:nsid w:val="6FE95EAC"/>
    <w:multiLevelType w:val="hybridMultilevel"/>
    <w:lvl w:ilvl="0">
      <w:lvlJc w:val="left"/>
      <w:lvlText w:val="(%1)"/>
      <w:numFmt w:val="upperLetter"/>
      <w:start w:val="3"/>
    </w:lvl>
  </w:abstractNum>
  <w:abstractNum w:abstractNumId="212">
    <w:nsid w:val="4B697C7A"/>
    <w:multiLevelType w:val="hybridMultilevel"/>
    <w:lvl w:ilvl="0">
      <w:lvlJc w:val="left"/>
      <w:lvlText w:val="(%1)"/>
      <w:numFmt w:val="upperLetter"/>
      <w:start w:val="4"/>
    </w:lvl>
  </w:abstractNum>
  <w:abstractNum w:abstractNumId="213">
    <w:nsid w:val="51A27AA6"/>
    <w:multiLevelType w:val="hybridMultilevel"/>
    <w:lvl w:ilvl="0">
      <w:lvlJc w:val="left"/>
      <w:lvlText w:val="(%1)"/>
      <w:numFmt w:val="lowerRoman"/>
      <w:start w:val="1"/>
    </w:lvl>
  </w:abstractNum>
  <w:abstractNum w:abstractNumId="214">
    <w:nsid w:val="613183F2"/>
    <w:multiLevelType w:val="hybridMultilevel"/>
    <w:lvl w:ilvl="0">
      <w:lvlJc w:val="left"/>
      <w:lvlText w:val="(%1)"/>
      <w:numFmt w:val="lowerLetter"/>
      <w:start w:val="1"/>
    </w:lvl>
  </w:abstractNum>
  <w:abstractNum w:abstractNumId="215">
    <w:nsid w:val="634102B4"/>
    <w:multiLevelType w:val="hybridMultilevel"/>
    <w:lvl w:ilvl="0">
      <w:lvlJc w:val="left"/>
      <w:lvlText w:val="(%1)"/>
      <w:numFmt w:val="lowerLetter"/>
      <w:start w:val="4"/>
    </w:lvl>
  </w:abstractNum>
  <w:abstractNum w:abstractNumId="216">
    <w:nsid w:val="65BF9DA8"/>
    <w:multiLevelType w:val="hybridMultilevel"/>
    <w:lvl w:ilvl="0">
      <w:lvlJc w:val="left"/>
      <w:lvlText w:val="(%1)"/>
      <w:numFmt w:val="lowerRoman"/>
      <w:start w:val="2"/>
    </w:lvl>
  </w:abstractNum>
  <w:abstractNum w:abstractNumId="217">
    <w:nsid w:val="21A2ECCA"/>
    <w:multiLevelType w:val="hybridMultilevel"/>
    <w:lvl w:ilvl="0">
      <w:lvlJc w:val="left"/>
      <w:lvlText w:val="%1)"/>
      <w:numFmt w:val="lowerLetter"/>
      <w:start w:val="1"/>
    </w:lvl>
  </w:abstractNum>
  <w:abstractNum w:abstractNumId="218">
    <w:nsid w:val="4D5C4899"/>
    <w:multiLevelType w:val="hybridMultilevel"/>
    <w:lvl w:ilvl="0">
      <w:lvlJc w:val="left"/>
      <w:lvlText w:val="%1."/>
      <w:numFmt w:val="decimal"/>
      <w:start w:val="4"/>
    </w:lvl>
  </w:abstractNum>
  <w:abstractNum w:abstractNumId="219">
    <w:nsid w:val="3C3B72B2"/>
    <w:multiLevelType w:val="hybridMultilevel"/>
    <w:lvl w:ilvl="0">
      <w:lvlJc w:val="left"/>
      <w:lvlText w:val="(%1)"/>
      <w:numFmt w:val="lowerLetter"/>
      <w:start w:val="1"/>
    </w:lvl>
  </w:abstractNum>
  <w:abstractNum w:abstractNumId="220">
    <w:nsid w:val="155EC4C2"/>
    <w:multiLevelType w:val="hybridMultilevel"/>
    <w:lvl w:ilvl="0">
      <w:lvlJc w:val="left"/>
      <w:lvlText w:val="(%1)"/>
      <w:numFmt w:val="lowerLetter"/>
      <w:start w:val="4"/>
    </w:lvl>
  </w:abstractNum>
  <w:abstractNum w:abstractNumId="221">
    <w:nsid w:val="65D2A137"/>
    <w:multiLevelType w:val="hybridMultilevel"/>
    <w:lvl w:ilvl="0">
      <w:lvlJc w:val="left"/>
      <w:lvlText w:val="%1."/>
      <w:numFmt w:val="decimal"/>
      <w:start w:val="5"/>
    </w:lvl>
  </w:abstractNum>
  <w:abstractNum w:abstractNumId="222">
    <w:nsid w:val="6EBB1F2A"/>
    <w:multiLevelType w:val="hybridMultilevel"/>
    <w:lvl w:ilvl="0">
      <w:lvlJc w:val="left"/>
      <w:lvlText w:val="(%1)"/>
      <w:numFmt w:val="lowerLetter"/>
      <w:start w:val="1"/>
    </w:lvl>
  </w:abstractNum>
  <w:abstractNum w:abstractNumId="223">
    <w:nsid w:val="6FBF29CB"/>
    <w:multiLevelType w:val="hybridMultilevel"/>
    <w:lvl w:ilvl="0">
      <w:lvlJc w:val="left"/>
      <w:lvlText w:val="%1."/>
      <w:numFmt w:val="decimal"/>
      <w:start w:val="6"/>
    </w:lvl>
  </w:abstractNum>
  <w:abstractNum w:abstractNumId="224">
    <w:nsid w:val="550B8808"/>
    <w:multiLevelType w:val="hybridMultilevel"/>
    <w:lvl w:ilvl="0">
      <w:lvlJc w:val="left"/>
      <w:lvlText w:val="(%1)"/>
      <w:numFmt w:val="lowerRoman"/>
      <w:start w:val="4"/>
    </w:lvl>
  </w:abstractNum>
  <w:abstractNum w:abstractNumId="225">
    <w:nsid w:val="34CC3ACF"/>
    <w:multiLevelType w:val="hybridMultilevel"/>
    <w:lvl w:ilvl="0">
      <w:lvlJc w:val="left"/>
      <w:lvlText w:val="(%1)"/>
      <w:numFmt w:val="lowerRoman"/>
      <w:start w:val="2"/>
    </w:lvl>
  </w:abstractNum>
  <w:abstractNum w:abstractNumId="226">
    <w:nsid w:val="4E556261"/>
    <w:multiLevelType w:val="hybridMultilevel"/>
    <w:lvl w:ilvl="0">
      <w:lvlJc w:val="left"/>
      <w:lvlText w:val="%1."/>
      <w:numFmt w:val="decimal"/>
      <w:start w:val="1"/>
    </w:lvl>
    <w:lvl w:ilvl="1">
      <w:lvlJc w:val="left"/>
      <w:lvlText w:val="(%2)"/>
      <w:numFmt w:val="lowerLetter"/>
      <w:start w:val="1"/>
    </w:lvl>
  </w:abstractNum>
  <w:abstractNum w:abstractNumId="227">
    <w:nsid w:val="4C672FC9"/>
    <w:multiLevelType w:val="hybridMultilevel"/>
    <w:lvl w:ilvl="0">
      <w:lvlJc w:val="left"/>
      <w:lvlText w:val="(%1)"/>
      <w:numFmt w:val="lowerLetter"/>
      <w:start w:val="35"/>
    </w:lvl>
    <w:lvl w:ilvl="1">
      <w:lvlJc w:val="left"/>
      <w:lvlText w:val="(%2)"/>
      <w:numFmt w:val="lowerLetter"/>
      <w:start w:val="3"/>
    </w:lvl>
  </w:abstractNum>
  <w:abstractNum w:abstractNumId="228">
    <w:nsid w:val="52A311C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9">
    <w:nsid w:val="44EF6B80"/>
    <w:multiLevelType w:val="hybridMultilevel"/>
    <w:lvl w:ilvl="0">
      <w:lvlJc w:val="left"/>
      <w:lvlText w:val="%1"/>
      <w:numFmt w:val="upperLetter"/>
      <w:start w:val="1"/>
    </w:lvl>
    <w:lvl w:ilvl="1">
      <w:lvlJc w:val="left"/>
      <w:lvlText w:val="(%2)"/>
      <w:numFmt w:val="lowerRoman"/>
      <w:start w:val="3"/>
    </w:lvl>
  </w:abstractNum>
  <w:abstractNum w:abstractNumId="230">
    <w:nsid w:val="12FCDE5E"/>
    <w:multiLevelType w:val="hybridMultilevel"/>
    <w:lvl w:ilvl="0">
      <w:lvlJc w:val="left"/>
      <w:lvlText w:val="(%1)"/>
      <w:numFmt w:val="upperLetter"/>
      <w:start w:val="5"/>
    </w:lvl>
    <w:lvl w:ilvl="1">
      <w:lvlJc w:val="left"/>
      <w:lvlText w:val="(%2)"/>
      <w:numFmt w:val="lowerRoman"/>
      <w:start w:val="7"/>
    </w:lvl>
  </w:abstractNum>
  <w:abstractNum w:abstractNumId="231">
    <w:nsid w:val="4A1D606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32">
    <w:nsid w:val="4382503"/>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33">
    <w:nsid w:val="59B76E2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4">
    <w:nsid w:val="4252C2DA"/>
    <w:multiLevelType w:val="hybridMultilevel"/>
    <w:lvl w:ilvl="0">
      <w:lvlJc w:val="left"/>
      <w:lvlText w:val="(%1)"/>
      <w:numFmt w:val="lowerLetter"/>
      <w:start w:val="2"/>
    </w:lvl>
  </w:abstractNum>
  <w:abstractNum w:abstractNumId="235">
    <w:nsid w:val="6A92EF4C"/>
    <w:multiLevelType w:val="hybridMultilevel"/>
    <w:lvl w:ilvl="0">
      <w:lvlJc w:val="left"/>
      <w:lvlText w:val="%1."/>
      <w:numFmt w:val="decimal"/>
      <w:start w:val="5"/>
    </w:lvl>
  </w:abstractNum>
  <w:abstractNum w:abstractNumId="236">
    <w:nsid w:val="41ED20D7"/>
    <w:multiLevelType w:val="hybridMultilevel"/>
    <w:lvl w:ilvl="0">
      <w:lvlJc w:val="left"/>
      <w:lvlText w:val="(%1)"/>
      <w:numFmt w:val="lowerLetter"/>
      <w:start w:val="1"/>
    </w:lvl>
  </w:abstractNum>
  <w:abstractNum w:abstractNumId="237">
    <w:nsid w:val="E6B3F6A"/>
    <w:multiLevelType w:val="hybridMultilevel"/>
    <w:lvl w:ilvl="0">
      <w:lvlJc w:val="left"/>
      <w:lvlText w:val="%1"/>
      <w:numFmt w:val="lowerLetter"/>
      <w:start w:val="1"/>
    </w:lvl>
    <w:lvl w:ilvl="1">
      <w:lvlJc w:val="left"/>
      <w:lvlText w:val="(%2)"/>
      <w:numFmt w:val="lowerRoman"/>
      <w:start w:val="1"/>
    </w:lvl>
  </w:abstractNum>
  <w:abstractNum w:abstractNumId="238">
    <w:nsid w:val="3EB21819"/>
    <w:multiLevelType w:val="hybridMultilevel"/>
    <w:lvl w:ilvl="0">
      <w:lvlJc w:val="left"/>
      <w:lvlText w:val="(%1)"/>
      <w:numFmt w:val="lowerLetter"/>
      <w:start w:val="4"/>
    </w:lvl>
    <w:lvl w:ilvl="1">
      <w:lvlJc w:val="left"/>
      <w:lvlText w:val="%2"/>
      <w:numFmt w:val="lowerRoman"/>
      <w:start w:val="1"/>
    </w:lvl>
  </w:abstractNum>
  <w:abstractNum w:abstractNumId="239">
    <w:nsid w:val="41531DED"/>
    <w:multiLevelType w:val="hybridMultilevel"/>
    <w:lvl w:ilvl="0">
      <w:lvlJc w:val="left"/>
      <w:lvlText w:val="(%1)"/>
      <w:numFmt w:val="lowerLetter"/>
      <w:start w:val="5"/>
    </w:lvl>
    <w:lvl w:ilvl="1">
      <w:lvlJc w:val="left"/>
      <w:lvlText w:val="(%2)"/>
      <w:numFmt w:val="lowerRoman"/>
      <w:start w:val="1"/>
    </w:lvl>
  </w:abstractNum>
  <w:abstractNum w:abstractNumId="240">
    <w:nsid w:val="6353CD2"/>
    <w:multiLevelType w:val="hybridMultilevel"/>
    <w:lvl w:ilvl="0">
      <w:lvlJc w:val="left"/>
      <w:lvlText w:val="(%1)"/>
      <w:numFmt w:val="lowerLetter"/>
      <w:start w:val="9"/>
    </w:lvl>
  </w:abstractNum>
  <w:abstractNum w:abstractNumId="241">
    <w:nsid w:val="683CAAD3"/>
    <w:multiLevelType w:val="hybridMultilevel"/>
    <w:lvl w:ilvl="0">
      <w:lvlJc w:val="left"/>
      <w:lvlText w:val="%1"/>
      <w:numFmt w:val="decimal"/>
      <w:start w:val="1"/>
    </w:lvl>
    <w:lvl w:ilvl="1">
      <w:lvlJc w:val="left"/>
      <w:lvlText w:val="(%2)"/>
      <w:numFmt w:val="lowerLetter"/>
      <w:start w:val="13"/>
    </w:lvl>
  </w:abstractNum>
  <w:abstractNum w:abstractNumId="242">
    <w:nsid w:val="313C7C99"/>
    <w:multiLevelType w:val="hybridMultilevel"/>
    <w:lvl w:ilvl="0">
      <w:lvlJc w:val="left"/>
      <w:lvlText w:val="%1."/>
      <w:numFmt w:val="decimal"/>
      <w:start w:val="6"/>
    </w:lvl>
    <w:lvl w:ilvl="1">
      <w:lvlJc w:val="left"/>
      <w:lvlText w:val="(%2)"/>
      <w:numFmt w:val="lowerLetter"/>
      <w:start w:val="1"/>
    </w:lvl>
  </w:abstractNum>
  <w:abstractNum w:abstractNumId="243">
    <w:nsid w:val="519EB94C"/>
    <w:multiLevelType w:val="hybridMultilevel"/>
    <w:lvl w:ilvl="0">
      <w:lvlJc w:val="left"/>
      <w:lvlText w:val="%1"/>
      <w:numFmt w:val="lowerLetter"/>
      <w:start w:val="1"/>
    </w:lvl>
    <w:lvl w:ilvl="1">
      <w:lvlJc w:val="left"/>
      <w:lvlText w:val="(%2)"/>
      <w:numFmt w:val="lowerRoman"/>
      <w:start w:val="1"/>
    </w:lvl>
  </w:abstractNum>
  <w:abstractNum w:abstractNumId="244">
    <w:nsid w:val="39DF2579"/>
    <w:multiLevelType w:val="hybridMultilevel"/>
    <w:lvl w:ilvl="0">
      <w:lvlJc w:val="left"/>
      <w:lvlText w:val="(%1)"/>
      <w:numFmt w:val="lowerLetter"/>
      <w:start w:val="2"/>
    </w:lvl>
    <w:lvl w:ilvl="1">
      <w:lvlJc w:val="left"/>
      <w:lvlText w:val="(%2)"/>
      <w:numFmt w:val="lowerRoman"/>
      <w:start w:val="1"/>
    </w:lvl>
  </w:abstractNum>
  <w:abstractNum w:abstractNumId="245">
    <w:nsid w:val="126E008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46">
    <w:nsid w:val="34DFBC0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7">
    <w:nsid w:val="1F9EC32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8">
    <w:nsid w:val="3410ED56"/>
    <w:multiLevelType w:val="hybridMultilevel"/>
    <w:lvl w:ilvl="0">
      <w:lvlJc w:val="left"/>
      <w:lvlText w:val="%1"/>
      <w:numFmt w:val="decimal"/>
      <w:start w:val="1"/>
    </w:lvl>
    <w:lvl w:ilvl="1">
      <w:lvlJc w:val="left"/>
      <w:lvlText w:val="(%2)"/>
      <w:numFmt w:val="lowerLetter"/>
      <w:start w:val="2"/>
    </w:lvl>
  </w:abstractNum>
  <w:abstractNum w:abstractNumId="249">
    <w:nsid w:val="23C049A"/>
    <w:multiLevelType w:val="hybridMultilevel"/>
    <w:lvl w:ilvl="0">
      <w:lvlJc w:val="left"/>
      <w:lvlText w:val="%1."/>
      <w:numFmt w:val="decimal"/>
      <w:start w:val="8"/>
    </w:lvl>
    <w:lvl w:ilvl="1">
      <w:lvlJc w:val="left"/>
      <w:lvlText w:val="(%2)"/>
      <w:numFmt w:val="lowerLetter"/>
      <w:start w:val="1"/>
    </w:lvl>
  </w:abstractNum>
  <w:abstractNum w:abstractNumId="250">
    <w:nsid w:val="5BDA35D4"/>
    <w:multiLevelType w:val="hybridMultilevel"/>
    <w:lvl w:ilvl="0">
      <w:lvlJc w:val="left"/>
      <w:lvlText w:val="(%1)"/>
      <w:numFmt w:val="lowerLetter"/>
      <w:start w:val="4"/>
    </w:lvl>
  </w:abstractNum>
  <w:abstractNum w:abstractNumId="251">
    <w:nsid w:val="496FB218"/>
    <w:multiLevelType w:val="hybridMultilevel"/>
    <w:lvl w:ilvl="0">
      <w:lvlJc w:val="left"/>
      <w:lvlText w:val="(%1)"/>
      <w:numFmt w:val="lowerLetter"/>
      <w:start w:val="8"/>
    </w:lvl>
  </w:abstractNum>
  <w:abstractNum w:abstractNumId="252">
    <w:nsid w:val="680EA5D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3">
    <w:nsid w:val="4A9554FE"/>
    <w:multiLevelType w:val="hybridMultilevel"/>
    <w:lvl w:ilvl="0">
      <w:lvlJc w:val="left"/>
      <w:lvlText w:val="(%1)"/>
      <w:numFmt w:val="lowerRoman"/>
      <w:start w:val="4"/>
    </w:lvl>
  </w:abstractNum>
  <w:abstractNum w:abstractNumId="254">
    <w:nsid w:val="392EDBE4"/>
    <w:multiLevelType w:val="hybridMultilevel"/>
    <w:lvl w:ilvl="0">
      <w:lvlJc w:val="left"/>
      <w:lvlText w:val="(%1)"/>
      <w:numFmt w:val="lowerRoman"/>
      <w:start w:val="5"/>
    </w:lvl>
  </w:abstractNum>
  <w:abstractNum w:abstractNumId="255">
    <w:nsid w:val="3D1A2DD9"/>
    <w:multiLevelType w:val="hybridMultilevel"/>
    <w:lvl w:ilvl="0">
      <w:lvlJc w:val="left"/>
      <w:lvlText w:val="%1"/>
      <w:numFmt w:val="decimal"/>
      <w:start w:val="1"/>
    </w:lvl>
    <w:lvl w:ilvl="1">
      <w:lvlJc w:val="left"/>
      <w:lvlText w:val="(%2)"/>
      <w:numFmt w:val="lowerLetter"/>
      <w:start w:val="4"/>
    </w:lvl>
  </w:abstractNum>
  <w:abstractNum w:abstractNumId="256">
    <w:nsid w:val="7F618FCD"/>
    <w:multiLevelType w:val="hybridMultilevel"/>
    <w:lvl w:ilvl="0">
      <w:lvlJc w:val="left"/>
      <w:lvlText w:val="%1."/>
      <w:numFmt w:val="decimal"/>
      <w:start w:val="10"/>
    </w:lvl>
    <w:lvl w:ilvl="1">
      <w:lvlJc w:val="left"/>
      <w:lvlText w:val="(%2)"/>
      <w:numFmt w:val="lowerLetter"/>
      <w:start w:val="1"/>
    </w:lvl>
  </w:abstractNum>
  <w:abstractNum w:abstractNumId="257">
    <w:nsid w:val="7843E45"/>
    <w:multiLevelType w:val="hybridMultilevel"/>
    <w:lvl w:ilvl="0">
      <w:lvlJc w:val="left"/>
      <w:lvlText w:val="%1."/>
      <w:numFmt w:val="decimal"/>
      <w:start w:val="12"/>
    </w:lvl>
  </w:abstractNum>
  <w:abstractNum w:abstractNumId="258">
    <w:nsid w:val="9815DA3"/>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259">
    <w:nsid w:val="5204A191"/>
    <w:multiLevelType w:val="hybridMultilevel"/>
    <w:lvl w:ilvl="0">
      <w:lvlJc w:val="left"/>
      <w:lvlText w:val="(%1)"/>
      <w:numFmt w:val="lowerRoman"/>
      <w:start w:val="2"/>
    </w:lvl>
  </w:abstractNum>
  <w:abstractNum w:abstractNumId="260">
    <w:nsid w:val="4C73A9C6"/>
    <w:multiLevelType w:val="hybridMultilevel"/>
    <w:lvl w:ilvl="0">
      <w:lvlJc w:val="left"/>
      <w:lvlText w:val="(%1)"/>
      <w:numFmt w:val="lowerLetter"/>
      <w:start w:val="6"/>
    </w:lvl>
  </w:abstractNum>
  <w:abstractNum w:abstractNumId="261">
    <w:nsid w:val="1C7E3C01"/>
    <w:multiLevelType w:val="hybridMultilevel"/>
    <w:lvl w:ilvl="0">
      <w:lvlJc w:val="left"/>
      <w:lvlText w:val="(%1)"/>
      <w:numFmt w:val="lowerLetter"/>
      <w:start w:val="11"/>
    </w:lvl>
    <w:lvl w:ilvl="1">
      <w:lvlJc w:val="left"/>
      <w:lvlText w:val="(%2)"/>
      <w:numFmt w:val="lowerRoman"/>
      <w:start w:val="1"/>
    </w:lvl>
  </w:abstractNum>
  <w:abstractNum w:abstractNumId="262">
    <w:nsid w:val="1C2201FF"/>
    <w:multiLevelType w:val="hybridMultilevel"/>
    <w:lvl w:ilvl="0">
      <w:lvlJc w:val="left"/>
      <w:lvlText w:val="(%1)"/>
      <w:numFmt w:val="lowerLetter"/>
      <w:start w:val="16"/>
    </w:lvl>
  </w:abstractNum>
  <w:abstractNum w:abstractNumId="263">
    <w:nsid w:val="50ABCEC9"/>
    <w:multiLevelType w:val="hybridMultilevel"/>
    <w:lvl w:ilvl="0">
      <w:lvlJc w:val="left"/>
      <w:lvlText w:val="(%1)"/>
      <w:numFmt w:val="lowerLetter"/>
      <w:start w:val="27"/>
    </w:lvl>
  </w:abstractNum>
  <w:abstractNum w:abstractNumId="264">
    <w:nsid w:val="7635AA2A"/>
    <w:multiLevelType w:val="hybridMultilevel"/>
    <w:lvl w:ilvl="0">
      <w:lvlJc w:val="left"/>
      <w:lvlText w:val="(%1)"/>
      <w:numFmt w:val="lowerLetter"/>
      <w:start w:val="29"/>
    </w:lvl>
  </w:abstractNum>
  <w:abstractNum w:abstractNumId="265">
    <w:nsid w:val="5E74C4D9"/>
    <w:multiLevelType w:val="hybridMultilevel"/>
    <w:lvl w:ilvl="0">
      <w:lvlJc w:val="left"/>
      <w:lvlText w:val="(%1)"/>
      <w:numFmt w:val="lowerLetter"/>
      <w:start w:val="33"/>
    </w:lvl>
  </w:abstractNum>
  <w:abstractNum w:abstractNumId="266">
    <w:nsid w:val="3B3EBE15"/>
    <w:multiLevelType w:val="hybridMultilevel"/>
    <w:lvl w:ilvl="0">
      <w:lvlJc w:val="left"/>
      <w:lvlText w:val="(%1)"/>
      <w:numFmt w:val="lowerLetter"/>
      <w:start w:val="44"/>
    </w:lvl>
  </w:abstractNum>
  <w:abstractNum w:abstractNumId="267">
    <w:nsid w:val="3822CB01"/>
    <w:multiLevelType w:val="hybridMultilevel"/>
    <w:lvl w:ilvl="0">
      <w:lvlJc w:val="left"/>
      <w:lvlText w:val="%1."/>
      <w:numFmt w:val="upperLetter"/>
      <w:start w:val="1"/>
    </w:lvl>
  </w:abstractNum>
  <w:abstractNum w:abstractNumId="268">
    <w:nsid w:val="6CE00443"/>
    <w:multiLevelType w:val="hybridMultilevel"/>
    <w:lvl w:ilvl="0">
      <w:lvlJc w:val="left"/>
      <w:lvlText w:val="%1."/>
      <w:numFmt w:val="decimal"/>
      <w:start w:val="1"/>
    </w:lvl>
  </w:abstractNum>
  <w:abstractNum w:abstractNumId="269">
    <w:nsid w:val="79F0D62F"/>
    <w:multiLevelType w:val="hybridMultilevel"/>
    <w:lvl w:ilvl="0">
      <w:lvlJc w:val="left"/>
      <w:lvlText w:val="%1."/>
      <w:numFmt w:val="upperLetter"/>
      <w:start w:val="1"/>
    </w:lvl>
  </w:abstractNum>
  <w:abstractNum w:abstractNumId="270">
    <w:nsid w:val="7975E8EE"/>
    <w:multiLevelType w:val="hybridMultilevel"/>
    <w:lvl w:ilvl="0">
      <w:lvlJc w:val="left"/>
      <w:lvlText w:val="%1."/>
      <w:numFmt w:val="decimal"/>
      <w:start w:val="1"/>
    </w:lvl>
  </w:abstractNum>
  <w:abstractNum w:abstractNumId="271">
    <w:nsid w:val="73154115"/>
    <w:multiLevelType w:val="hybridMultilevel"/>
    <w:lvl w:ilvl="0">
      <w:lvlJc w:val="left"/>
      <w:lvlText w:val="%1."/>
      <w:numFmt w:val="upperLetter"/>
      <w:start w:val="1"/>
    </w:lvl>
  </w:abstractNum>
  <w:abstractNum w:abstractNumId="272">
    <w:nsid w:val="622D8102"/>
    <w:multiLevelType w:val="hybridMultilevel"/>
    <w:lvl w:ilvl="0">
      <w:lvlJc w:val="left"/>
      <w:lvlText w:val="%1."/>
      <w:numFmt w:val="decimal"/>
      <w:start w:val="1"/>
    </w:lvl>
  </w:abstractNum>
  <w:abstractNum w:abstractNumId="273">
    <w:nsid w:val="2AB26587"/>
    <w:multiLevelType w:val="hybridMultilevel"/>
    <w:lvl w:ilvl="0">
      <w:lvlJc w:val="left"/>
      <w:lvlText w:val="%1."/>
      <w:numFmt w:val="upperLetter"/>
      <w:start w:val="1"/>
    </w:lvl>
  </w:abstractNum>
  <w:abstractNum w:abstractNumId="274">
    <w:nsid w:val="44B3FA61"/>
    <w:multiLevelType w:val="hybridMultilevel"/>
    <w:lvl w:ilvl="0">
      <w:lvlJc w:val="left"/>
      <w:lvlText w:val="%1."/>
      <w:numFmt w:val="decimal"/>
      <w:start w:val="1"/>
    </w:lvl>
  </w:abstractNum>
  <w:abstractNum w:abstractNumId="275">
    <w:nsid w:val="1C0CA67C"/>
    <w:multiLevelType w:val="hybridMultilevel"/>
    <w:lvl w:ilvl="0">
      <w:lvlJc w:val="left"/>
      <w:lvlText w:val="%1."/>
      <w:numFmt w:val="upperLetter"/>
      <w:start w:val="1"/>
    </w:lvl>
  </w:abstractNum>
  <w:abstractNum w:abstractNumId="276">
    <w:nsid w:val="3D206613"/>
    <w:multiLevelType w:val="hybridMultilevel"/>
    <w:lvl w:ilvl="0">
      <w:lvlJc w:val="left"/>
      <w:lvlText w:val="%1."/>
      <w:numFmt w:val="decimal"/>
      <w:start w:val="1"/>
    </w:lvl>
  </w:abstractNum>
  <w:abstractNum w:abstractNumId="277">
    <w:nsid w:val="7993B662"/>
    <w:multiLevelType w:val="hybridMultilevel"/>
    <w:lvl w:ilvl="0">
      <w:lvlJc w:val="left"/>
      <w:lvlText w:val="☒"/>
      <w:numFmt w:val="bullet"/>
      <w:start w:val="1"/>
    </w:lvl>
  </w:abstractNum>
  <w:abstractNum w:abstractNumId="278">
    <w:nsid w:val="3BAB699E"/>
    <w:multiLevelType w:val="hybridMultilevel"/>
    <w:lvl w:ilvl="0">
      <w:lvlJc w:val="left"/>
      <w:lvlText w:val="%1"/>
      <w:numFmt w:val="decimal"/>
      <w:start w:val="1"/>
    </w:lvl>
    <w:lvl w:ilvl="1">
      <w:lvlJc w:val="left"/>
      <w:lvlText w:val="☐"/>
      <w:numFmt w:val="bullet"/>
      <w:start w:val="1"/>
    </w:lvl>
  </w:abstractNum>
  <w:abstractNum w:abstractNumId="279">
    <w:nsid w:val="71315369"/>
    <w:multiLevelType w:val="hybridMultilevel"/>
    <w:lvl w:ilvl="0">
      <w:lvlJc w:val="left"/>
      <w:lvlText w:val="%1."/>
      <w:numFmt w:val="decimal"/>
      <w:start w:val="1"/>
    </w:lvl>
    <w:lvl w:ilvl="1">
      <w:lvlJc w:val="left"/>
      <w:lvlText w:val="(%2)"/>
      <w:numFmt w:val="lowerLetter"/>
      <w:start w:val="1"/>
    </w:lvl>
  </w:abstractNum>
  <w:abstractNum w:abstractNumId="280">
    <w:nsid w:val="7BCFBAF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81">
    <w:nsid w:val="17859F7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82">
    <w:nsid w:val="3AA1058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83">
    <w:nsid w:val="63DE60CD"/>
    <w:multiLevelType w:val="hybridMultilevel"/>
    <w:lvl w:ilvl="0">
      <w:lvlJc w:val="left"/>
      <w:lvlText w:val="%1"/>
      <w:numFmt w:val="decimal"/>
      <w:start w:val="1"/>
    </w:lvl>
    <w:lvl w:ilvl="1">
      <w:lvlJc w:val="left"/>
      <w:lvlText w:val="(%2)"/>
      <w:numFmt w:val="lowerLetter"/>
      <w:start w:val="5"/>
    </w:lvl>
  </w:abstractNum>
  <w:abstractNum w:abstractNumId="284">
    <w:nsid w:val="621AF471"/>
    <w:multiLevelType w:val="hybridMultilevel"/>
    <w:lvl w:ilvl="0">
      <w:lvlJc w:val="left"/>
      <w:lvlText w:val="%1."/>
      <w:numFmt w:val="decimal"/>
      <w:start w:val="6"/>
    </w:lvl>
    <w:lvl w:ilvl="1">
      <w:lvlJc w:val="left"/>
      <w:lvlText w:val="(%2)"/>
      <w:numFmt w:val="lowerLetter"/>
      <w:start w:val="1"/>
    </w:lvl>
  </w:abstractNum>
  <w:abstractNum w:abstractNumId="285">
    <w:nsid w:val="73CFE165"/>
    <w:multiLevelType w:val="hybridMultilevel"/>
    <w:lvl w:ilvl="0">
      <w:lvlJc w:val="left"/>
      <w:lvlText w:val="(%1)"/>
      <w:numFmt w:val="upperLetter"/>
      <w:start w:val="1"/>
    </w:lvl>
    <w:lvl w:ilvl="1">
      <w:lvlJc w:val="left"/>
      <w:lvlText w:val="(%2)"/>
      <w:numFmt w:val="lowerLetter"/>
      <w:start w:val="3"/>
    </w:lvl>
  </w:abstractNum>
  <w:abstractNum w:abstractNumId="286">
    <w:nsid w:val="20F88EA6"/>
    <w:multiLevelType w:val="hybridMultilevel"/>
    <w:lvl w:ilvl="0">
      <w:lvlJc w:val="left"/>
      <w:lvlText w:val="%1."/>
      <w:numFmt w:val="decimal"/>
      <w:start w:val="9"/>
    </w:lvl>
    <w:lvl w:ilvl="1">
      <w:lvlJc w:val="left"/>
      <w:lvlText w:val="(%2)"/>
      <w:numFmt w:val="lowerLetter"/>
      <w:start w:val="1"/>
    </w:lvl>
  </w:abstractNum>
  <w:abstractNum w:abstractNumId="287">
    <w:nsid w:val="617C843E"/>
    <w:multiLevelType w:val="hybridMultilevel"/>
    <w:lvl w:ilvl="0">
      <w:lvlJc w:val="left"/>
      <w:lvlText w:val="%1."/>
      <w:numFmt w:val="decimal"/>
      <w:start w:val="10"/>
    </w:lvl>
    <w:lvl w:ilvl="1">
      <w:lvlJc w:val="left"/>
      <w:lvlText w:val="(%2)"/>
      <w:numFmt w:val="lowerLetter"/>
      <w:start w:val="1"/>
    </w:lvl>
  </w:abstractNum>
  <w:abstractNum w:abstractNumId="288">
    <w:nsid w:val="7B541FAB"/>
    <w:multiLevelType w:val="hybridMultilevel"/>
    <w:lvl w:ilvl="0">
      <w:lvlJc w:val="left"/>
      <w:lvlText w:val="%1"/>
      <w:numFmt w:val="decimal"/>
      <w:start w:val="1"/>
    </w:lvl>
    <w:lvl w:ilvl="1">
      <w:lvlJc w:val="left"/>
      <w:lvlText w:val="(%2)"/>
      <w:numFmt w:val="lowerLetter"/>
      <w:start w:val="2"/>
    </w:lvl>
  </w:abstractNum>
  <w:abstractNum w:abstractNumId="289">
    <w:nsid w:val="2A79EC49"/>
    <w:multiLevelType w:val="hybridMultilevel"/>
    <w:lvl w:ilvl="0">
      <w:lvlJc w:val="left"/>
      <w:lvlText w:val="%1."/>
      <w:numFmt w:val="decimal"/>
      <w:start w:val="14"/>
    </w:lvl>
    <w:lvl w:ilvl="1">
      <w:lvlJc w:val="left"/>
      <w:lvlText w:val="%2"/>
      <w:numFmt w:val="lowerLetter"/>
      <w:start w:val="1"/>
    </w:lvl>
  </w:abstractNum>
  <w:abstractNum w:abstractNumId="290">
    <w:nsid w:val="338125CF"/>
    <w:multiLevelType w:val="hybridMultilevel"/>
    <w:lvl w:ilvl="0">
      <w:lvlJc w:val="left"/>
      <w:lvlText w:val="%1."/>
      <w:numFmt w:val="decimal"/>
      <w:start w:val="16"/>
    </w:lvl>
  </w:abstractNum>
  <w:abstractNum w:abstractNumId="291">
    <w:nsid w:val="47C7C971"/>
    <w:multiLevelType w:val="hybridMultilevel"/>
    <w:lvl w:ilvl="0">
      <w:lvlJc w:val="left"/>
      <w:lvlText w:val="(%1)"/>
      <w:numFmt w:val="lowerRoman"/>
      <w:start w:val="2"/>
    </w:lvl>
  </w:abstractNum>
  <w:abstractNum w:abstractNumId="292">
    <w:nsid w:val="46F8284B"/>
    <w:multiLevelType w:val="hybridMultilevel"/>
    <w:lvl w:ilvl="0">
      <w:lvlJc w:val="left"/>
      <w:lvlText w:val="2"/>
      <w:numFmt w:val="bullet"/>
      <w:start w:val="1"/>
    </w:lvl>
  </w:abstractNum>
  <w:abstractNum w:abstractNumId="293">
    <w:nsid w:val="4FA327CE"/>
    <w:multiLevelType w:val="hybridMultilevel"/>
    <w:lvl w:ilvl="0">
      <w:lvlJc w:val="left"/>
      <w:lvlText w:val="3"/>
      <w:numFmt w:val="bullet"/>
      <w:start w:val="1"/>
    </w:lvl>
  </w:abstractNum>
  <w:abstractNum w:abstractNumId="294">
    <w:nsid w:val="1873983A"/>
    <w:multiLevelType w:val="hybridMultilevel"/>
    <w:lvl w:ilvl="0">
      <w:lvlJc w:val="left"/>
      <w:lvlText w:val="%1."/>
      <w:numFmt w:val="decimal"/>
      <w:start w:val="1"/>
    </w:lvl>
  </w:abstractNum>
  <w:abstractNum w:abstractNumId="295">
    <w:nsid w:val="3D2DD275"/>
    <w:multiLevelType w:val="hybridMultilevel"/>
    <w:lvl w:ilvl="0">
      <w:lvlJc w:val="left"/>
      <w:lvlText w:val="%1."/>
      <w:numFmt w:val="decimal"/>
      <w:start w:val="2"/>
    </w:lvl>
  </w:abstractNum>
  <w:abstractNum w:abstractNumId="296">
    <w:nsid w:val="2E17ECA7"/>
    <w:multiLevelType w:val="hybridMultilevel"/>
    <w:lvl w:ilvl="0">
      <w:lvlJc w:val="left"/>
      <w:lvlText w:val="(%1)"/>
      <w:numFmt w:val="lowerLetter"/>
      <w:start w:val="1"/>
    </w:lvl>
  </w:abstractNum>
  <w:abstractNum w:abstractNumId="297">
    <w:nsid w:val="53B2564F"/>
    <w:multiLevelType w:val="hybridMultilevel"/>
    <w:lvl w:ilvl="0">
      <w:lvlJc w:val="left"/>
      <w:lvlText w:val="%1."/>
      <w:numFmt w:val="decimal"/>
      <w:start w:val="3"/>
    </w:lvl>
  </w:abstractNum>
  <w:abstractNum w:abstractNumId="298">
    <w:nsid w:val="75509D76"/>
    <w:multiLevelType w:val="hybridMultilevel"/>
    <w:lvl w:ilvl="0">
      <w:lvlJc w:val="left"/>
      <w:lvlText w:val="%1."/>
      <w:numFmt w:val="decimal"/>
      <w:start w:val="4"/>
    </w:lvl>
  </w:abstractNum>
  <w:abstractNum w:abstractNumId="299">
    <w:nsid w:val="1AF7F0EA"/>
    <w:multiLevelType w:val="hybridMultilevel"/>
    <w:lvl w:ilvl="0">
      <w:lvlJc w:val="left"/>
      <w:lvlText w:val="(%1)"/>
      <w:numFmt w:val="lowerLetter"/>
      <w:start w:val="1"/>
    </w:lvl>
  </w:abstractNum>
  <w:abstractNum w:abstractNumId="300">
    <w:nsid w:val="4DA32C7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1">
    <w:nsid w:val="6EC68664"/>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abstractNum>
  <w:abstractNum w:abstractNumId="302">
    <w:nsid w:val="E0D31FF"/>
    <w:multiLevelType w:val="hybridMultilevel"/>
    <w:lvl w:ilvl="0">
      <w:lvlJc w:val="left"/>
      <w:lvlText w:val="(%1)"/>
      <w:numFmt w:val="lowerLetter"/>
      <w:start w:val="4"/>
    </w:lvl>
  </w:abstractNum>
  <w:abstractNum w:abstractNumId="303">
    <w:nsid w:val="2FD0AD81"/>
    <w:multiLevelType w:val="hybridMultilevel"/>
    <w:lvl w:ilvl="0">
      <w:lvlJc w:val="left"/>
      <w:lvlText w:val="(%1)"/>
      <w:numFmt w:val="decimal"/>
      <w:start w:val="3"/>
    </w:lvl>
    <w:lvl w:ilvl="1">
      <w:lvlJc w:val="left"/>
      <w:lvlText w:val="(%2)"/>
      <w:numFmt w:val="lowerLetter"/>
      <w:start w:val="1"/>
    </w:lvl>
  </w:abstractNum>
  <w:abstractNum w:abstractNumId="304">
    <w:nsid w:val="1978EBEB"/>
    <w:multiLevelType w:val="hybridMultilevel"/>
    <w:lvl w:ilvl="0">
      <w:lvlJc w:val="left"/>
      <w:lvlText w:val="(%1)"/>
      <w:numFmt w:val="lowerLetter"/>
      <w:start w:val="1"/>
    </w:lvl>
  </w:abstractNum>
  <w:abstractNum w:abstractNumId="305">
    <w:nsid w:val="52C12C61"/>
    <w:multiLevelType w:val="hybridMultilevel"/>
    <w:lvl w:ilvl="0">
      <w:lvlJc w:val="left"/>
      <w:lvlText w:val="(%1)"/>
      <w:numFmt w:val="lowerLetter"/>
      <w:start w:val="1"/>
    </w:lvl>
  </w:abstractNum>
  <w:abstractNum w:abstractNumId="306">
    <w:nsid w:val="4BDD53FD"/>
    <w:multiLevelType w:val="hybridMultilevel"/>
    <w:lvl w:ilvl="0">
      <w:lvlJc w:val="left"/>
      <w:lvlText w:val="(%1)"/>
      <w:numFmt w:val="lowerLetter"/>
      <w:start w:val="2"/>
    </w:lvl>
  </w:abstractNum>
  <w:abstractNum w:abstractNumId="307">
    <w:nsid w:val="569951FE"/>
    <w:multiLevelType w:val="hybridMultilevel"/>
    <w:lvl w:ilvl="0">
      <w:lvlJc w:val="left"/>
      <w:lvlText w:val="(%1)"/>
      <w:numFmt w:val="lowerLetter"/>
      <w:start w:val="1"/>
    </w:lvl>
  </w:abstractNum>
  <w:abstractNum w:abstractNumId="308">
    <w:nsid w:val="4C54E2C3"/>
    <w:multiLevelType w:val="hybridMultilevel"/>
    <w:lvl w:ilvl="0">
      <w:lvlJc w:val="left"/>
      <w:lvlText w:val="(%1)"/>
      <w:numFmt w:val="lowerLetter"/>
      <w:start w:val="1"/>
    </w:lvl>
    <w:lvl w:ilvl="1">
      <w:lvlJc w:val="left"/>
      <w:lvlText w:val="(%2)"/>
      <w:numFmt w:val="lowerRoman"/>
      <w:start w:val="1"/>
    </w:lvl>
  </w:abstractNum>
  <w:abstractNum w:abstractNumId="309">
    <w:nsid w:val="788BD9B"/>
    <w:multiLevelType w:val="hybridMultilevel"/>
    <w:lvl w:ilvl="0">
      <w:lvlJc w:val="left"/>
      <w:lvlText w:val="(%1)"/>
      <w:numFmt w:val="lowerLetter"/>
      <w:start w:val="2"/>
    </w:lvl>
  </w:abstractNum>
  <w:abstractNum w:abstractNumId="310">
    <w:nsid w:val="47CAA567"/>
    <w:multiLevelType w:val="hybridMultilevel"/>
    <w:lvl w:ilvl="0">
      <w:lvlJc w:val="left"/>
      <w:lvlText w:val="(%1)"/>
      <w:numFmt w:val="lowerLetter"/>
      <w:start w:val="1"/>
    </w:lvl>
  </w:abstractNum>
  <w:abstractNum w:abstractNumId="311">
    <w:nsid w:val="48249DBF"/>
    <w:multiLevelType w:val="hybridMultilevel"/>
    <w:lvl w:ilvl="0">
      <w:lvlJc w:val="left"/>
      <w:lvlText w:val="%1."/>
      <w:numFmt w:val="decimal"/>
      <w:start w:val="7"/>
    </w:lvl>
  </w:abstractNum>
  <w:abstractNum w:abstractNumId="312">
    <w:nsid w:val="1F0E5D0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2021-06-04T23:09:29Z</dcterms:created>
  <dcterms:modified xsi:type="dcterms:W3CDTF">2021-06-04T23:09:29Z</dcterms:modified>
</cp:coreProperties>
</file>