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$0.000001 per share</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200" w:hanging="469"/>
        <w:spacing w:after="0" w:line="342" w:lineRule="auto"/>
        <w:tabs>
          <w:tab w:leader="none" w:pos="752"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Foundry Group Next 2018, L.P.</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1,371,112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1,371,112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1,371,112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2.9% of Common Stock (3.1%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412" w:right="20" w:hanging="412"/>
        <w:spacing w:after="0" w:line="254" w:lineRule="auto"/>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13G is filed by Foundry Group Next 2018, L.P. (“2018 LP”), FG Next GP 2018, LLC (“2018 LLC”), Foundry Venture Capital 2016, L.P. (“2016 LP”), Foundry Venture 2016, LLC (“2016 LLC”), Brad Feld (“Feld”), Seth Levine (“Levine”) and Ryan McIntyre (“McIntyre” and with Feld and Levine, the “Managing Members”) (collectively, the “Reporting Persons”). The Reporting Persons expressly disclaim status as a “group” for purposes of this Schedule 13G.</w:t>
      </w:r>
    </w:p>
    <w:p>
      <w:pPr>
        <w:spacing w:after="0" w:line="2" w:lineRule="exact"/>
        <w:rPr>
          <w:rFonts w:ascii="Arial" w:cs="Arial" w:eastAsia="Arial" w:hAnsi="Arial"/>
          <w:sz w:val="18"/>
          <w:szCs w:val="18"/>
          <w:color w:val="auto"/>
        </w:rPr>
      </w:pPr>
    </w:p>
    <w:p>
      <w:pPr>
        <w:ind w:left="412" w:right="60" w:hanging="412"/>
        <w:spacing w:after="0" w:line="250" w:lineRule="auto"/>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1,371,112 shares of the Issuer’s Class A common stock held by 2018 LP. 2018 LLC is the general partner of 2018 LP and the Managing Members are the managing members of 2018 LLC. 2018 LP, 2018 LLC and the Managing Members share power to direct the voting and disposition of the shares. The information with respect to the ownership of the Class A common stock by the Reporting Persons filing this statement on Schedule 13G is provided as of December 31, 2022.</w:t>
      </w:r>
    </w:p>
    <w:p>
      <w:pPr>
        <w:spacing w:after="0" w:line="1"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1.4%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-2196465</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-2676525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-3156585</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-3499485</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-3979545</wp:posOffset>
            </wp:positionV>
            <wp:extent cx="5846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2" w:name="page3"/>
    <w:bookmarkEnd w:id="2"/>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342" w:lineRule="auto"/>
        <w:tabs>
          <w:tab w:leader="none" w:pos="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Names of Reporting Persons FG Next GP 2018, LLC</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1,371,112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1,371,112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1,371,112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2.9% of Common Stock (3.1%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412" w:right="380" w:hanging="412"/>
        <w:spacing w:after="0" w:line="258" w:lineRule="auto"/>
        <w:tabs>
          <w:tab w:leader="none" w:pos="4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12" w:right="60" w:hanging="412"/>
        <w:spacing w:after="0" w:line="250" w:lineRule="auto"/>
        <w:tabs>
          <w:tab w:leader="none" w:pos="4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1,371,112 shares of the Issuer’s Class A common stock held by 2018 LP. 2018 LLC is the general partner of 2018 LP and the Managing Members are the managing members of 2018 LLC. 2018 LP, 2018 LLC and the Managing Members share power to direct the voting and disposition of the shares. The information with respect to the ownership of the Class A common stock by the Reporting Persons filing this statement on Schedule 13G is provided as of December 31, 2022.</w:t>
      </w:r>
    </w:p>
    <w:p>
      <w:pPr>
        <w:spacing w:after="0" w:line="1"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1.4%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-1922145</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-2402205</wp:posOffset>
            </wp:positionV>
            <wp:extent cx="6694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-2882265</wp:posOffset>
            </wp:positionV>
            <wp:extent cx="6694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-3225165</wp:posOffset>
            </wp:positionV>
            <wp:extent cx="6694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-3705225</wp:posOffset>
            </wp:positionV>
            <wp:extent cx="5846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3" w:name="page4"/>
    <w:bookmarkEnd w:id="3"/>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7940" w:hanging="469"/>
        <w:spacing w:after="0" w:line="342" w:lineRule="auto"/>
        <w:tabs>
          <w:tab w:leader="none" w:pos="7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Foundry Venture Capital 2016, L.P.</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320,596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320,596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320,596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0.7% of Common Stock (0.7%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412" w:right="380" w:hanging="412"/>
        <w:spacing w:after="0" w:line="258" w:lineRule="auto"/>
        <w:tabs>
          <w:tab w:leader="none" w:pos="4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12" w:right="180" w:hanging="412"/>
        <w:spacing w:after="0" w:line="250" w:lineRule="auto"/>
        <w:tabs>
          <w:tab w:leader="none" w:pos="4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320,596 shares of the Issuer’s Class A common stock held by 2016 LP. 2016 LLC is the general partner of 2016 LP and the Managing Members are managing members of 2016 LLC. 2016 LP, 2016 LLC and the Managing Members share power to direct the voting and disposition of the shares. The information with respect to the ownership of the Class A common stock by the Reporting Persons filing this statement on Schedule 13G is provided as of December 31, 2022.</w:t>
      </w:r>
    </w:p>
    <w:p>
      <w:pPr>
        <w:spacing w:after="0" w:line="1"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0.3%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-1922145</wp:posOffset>
            </wp:positionV>
            <wp:extent cx="6694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-2402205</wp:posOffset>
            </wp:positionV>
            <wp:extent cx="6694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-2882265</wp:posOffset>
            </wp:positionV>
            <wp:extent cx="6694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-3225165</wp:posOffset>
            </wp:positionV>
            <wp:extent cx="669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-3705225</wp:posOffset>
            </wp:positionV>
            <wp:extent cx="5846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4" w:name="page5"/>
    <w:bookmarkEnd w:id="4"/>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both"/>
        <w:ind w:left="752" w:right="8420" w:hanging="469"/>
        <w:spacing w:after="0" w:line="342" w:lineRule="auto"/>
        <w:tabs>
          <w:tab w:leader="none" w:pos="7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Names of Reporting Persons Foundry Venture 2016, LLC</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320,596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1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320,596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320,596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0.7% of Common Stock (0.7%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412" w:right="380" w:hanging="412"/>
        <w:spacing w:after="0" w:line="258" w:lineRule="auto"/>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12" w:right="180" w:hanging="412"/>
        <w:spacing w:after="0" w:line="250" w:lineRule="auto"/>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320,596 shares of the Issuer’s Class A common stock held by 2016 LP. 2016 LLC is the general partner of 2016 LP and the Managing Members are managing members of 2016 LLC. 2016 LP, 2016 LLC and the Managing Members share power to direct the voting and disposition of the shares. The information with respect to the ownership of the Class A common stock by the Reporting Persons filing this statement on Schedule 13G is provided as of December 31, 2022.</w:t>
      </w:r>
    </w:p>
    <w:p>
      <w:pPr>
        <w:spacing w:after="0" w:line="1"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0.3%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-1922145</wp:posOffset>
            </wp:positionV>
            <wp:extent cx="6694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-2402205</wp:posOffset>
            </wp:positionV>
            <wp:extent cx="66948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-2882265</wp:posOffset>
            </wp:positionV>
            <wp:extent cx="6694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-3225165</wp:posOffset>
            </wp:positionV>
            <wp:extent cx="66948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-3705225</wp:posOffset>
            </wp:positionV>
            <wp:extent cx="5846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5" w:name="page6"/>
    <w:bookmarkEnd w:id="5"/>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277"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Bradley A. Feld</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1,691,708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1,691,708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1,691,708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3.6% of Common Stock (3.8%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412" w:right="380" w:hanging="412"/>
        <w:spacing w:after="0" w:line="258" w:lineRule="auto"/>
        <w:tabs>
          <w:tab w:leader="none" w:pos="4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12" w:hanging="412"/>
        <w:spacing w:after="0" w:line="250" w:lineRule="auto"/>
        <w:tabs>
          <w:tab w:leader="none" w:pos="4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1,371,112 shares held of the Issuer’s Class A common stock held by 2018 LP and 320,596 shares held of the Issuer’s Class A common stock held by 2016 LP. 2018 LLC is the general partner of 2018 LP and 2016 LLC is the general partner of 2016 LP. The Managing Members are managing managers of each of 2018 LLC and 2016 LLC. 2018 LP, 2018 LLC and the Managing Members share power to direct the voting and disposition of the shares held by 2018 LP and 2016 LP, 2016 LLC and the Managing Members share power to direct the voting and disposition of the shares held by 2016 LP. The information with respect to the ownership of the Class A common stock by the Reporting Persons filing this statement on Schedule 13G is provided as of December 31, 2022.</w:t>
      </w:r>
    </w:p>
    <w:p>
      <w:pPr>
        <w:spacing w:after="0" w:line="2"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1.7%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-2196465</wp:posOffset>
            </wp:positionV>
            <wp:extent cx="6694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-2676525</wp:posOffset>
            </wp:positionV>
            <wp:extent cx="6694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-3156585</wp:posOffset>
            </wp:positionV>
            <wp:extent cx="6694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-3499485</wp:posOffset>
            </wp:positionV>
            <wp:extent cx="6694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-3979545</wp:posOffset>
            </wp:positionV>
            <wp:extent cx="58464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6" w:name="page7"/>
    <w:bookmarkEnd w:id="6"/>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277" w:lineRule="auto"/>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 Seth Levine</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1,691,708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1,691,708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1,691,708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3.6% of Common Stock (3.8%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412" w:right="380" w:hanging="412"/>
        <w:spacing w:after="0" w:line="258" w:lineRule="auto"/>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12" w:hanging="412"/>
        <w:spacing w:after="0" w:line="250" w:lineRule="auto"/>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1,371,112 shares held of the Issuer’s Class A common stock held by 2018 LP and 320,596 shares held of the Issuer’s Class A common stock held by 2016 LP. 2018 LLC is the general partner of 2018 LP and 2016 LLC is the general partner of 2016 LP. The Managing Members are managing managers of each of 2018 LLC and 2016 LLC. 2018 LP, 2018 LLC and the Managing Members share power to direct the voting and disposition of the shares held by 2018 LP and 2016 LP, 2016 LLC and the Managing Members share power to direct the voting and disposition of the shares held by 2016 LP. The information with respect to the ownership of the Class A common stock by the Reporting Persons filing this statement on Schedule 13G is provided as of December 31, 2022.</w:t>
      </w:r>
    </w:p>
    <w:p>
      <w:pPr>
        <w:spacing w:after="0" w:line="2"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1.7%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-2196465</wp:posOffset>
            </wp:positionV>
            <wp:extent cx="6694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-2676525</wp:posOffset>
            </wp:positionV>
            <wp:extent cx="66948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-3156585</wp:posOffset>
            </wp:positionV>
            <wp:extent cx="6694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-3499485</wp:posOffset>
            </wp:positionV>
            <wp:extent cx="6694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-3979545</wp:posOffset>
            </wp:positionV>
            <wp:extent cx="58464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7" w:name="page8"/>
    <w:bookmarkEnd w:id="7"/>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308" w:lineRule="auto"/>
        <w:tabs>
          <w:tab w:leader="none" w:pos="7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Names of Reporting Persons Ryan A. McIntyre</w:t>
      </w:r>
    </w:p>
    <w:p>
      <w:pPr>
        <w:spacing w:after="0" w:line="254" w:lineRule="exact"/>
        <w:rPr>
          <w:rFonts w:ascii="Arial" w:cs="Arial" w:eastAsia="Arial" w:hAnsi="Arial"/>
          <w:sz w:val="17"/>
          <w:szCs w:val="17"/>
          <w:color w:val="auto"/>
        </w:rPr>
      </w:pPr>
    </w:p>
    <w:p>
      <w:pPr>
        <w:ind w:left="752" w:hanging="469"/>
        <w:spacing w:after="0"/>
        <w:tabs>
          <w:tab w:leader="none" w:pos="7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1,691,708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1,691,708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1,691,708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3.6% of Common Stock (3.8%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412" w:right="380" w:hanging="412"/>
        <w:spacing w:after="0" w:line="258" w:lineRule="auto"/>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left="412" w:hanging="412"/>
        <w:spacing w:after="0" w:line="250" w:lineRule="auto"/>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1,371,112 shares held of the Issuer’s Class A common stock held by 2018 LP and 320,596 shares held of the Issuer’s Class A common stock held by 2016 LP. 2018 LLC is the general partner of 2018 LP and 2016 LLC is the general partner of 2016 LP. The Managing Members are managing managers of each of 2018 LLC and 2016 LLC. 2018 LP, 2018 LLC and the Managing Members share power to direct the voting and disposition of the shares held by 2018 LP and 2016 LP, 2016 LLC and the Managing Members share power to direct the voting and disposition of the shares held by 2016 LP. The information with respect to the ownership of the Class A common stock by the Reporting Persons filing this statement on Schedule 13G is provided as of December 31, 2022.</w:t>
      </w:r>
    </w:p>
    <w:p>
      <w:pPr>
        <w:spacing w:after="0" w:line="2" w:lineRule="exact"/>
        <w:rPr>
          <w:rFonts w:ascii="Arial" w:cs="Arial" w:eastAsia="Arial" w:hAnsi="Arial"/>
          <w:sz w:val="18"/>
          <w:szCs w:val="18"/>
          <w:color w:val="auto"/>
        </w:rPr>
      </w:pPr>
    </w:p>
    <w:p>
      <w:pPr>
        <w:ind w:left="412" w:right="100" w:hanging="412"/>
        <w:spacing w:after="0" w:line="250" w:lineRule="auto"/>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47,397,563 shares of Common Stock (44,721,409 shares of Class A Common Stock and 2,676,154 shares of Class B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right="80" w:hanging="412"/>
        <w:spacing w:after="0" w:line="250" w:lineRule="auto"/>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44,721,409 shares of the Issuer’s Class A Common Stock outstanding as of September 30, 2022, as reported on the Issuer’s Quarterly Report on Form 10-Q for the quarter ended September 30, 2022, filed with the SEC on November 14, 2022.</w:t>
      </w:r>
    </w:p>
    <w:p>
      <w:pPr>
        <w:spacing w:after="0" w:line="1" w:lineRule="exact"/>
        <w:rPr>
          <w:rFonts w:ascii="Arial" w:cs="Arial" w:eastAsia="Arial" w:hAnsi="Arial"/>
          <w:sz w:val="18"/>
          <w:szCs w:val="18"/>
          <w:color w:val="auto"/>
        </w:rPr>
      </w:pPr>
    </w:p>
    <w:p>
      <w:pPr>
        <w:ind w:left="412" w:hanging="412"/>
        <w:spacing w:after="0"/>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1.7%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-2196465</wp:posOffset>
            </wp:positionV>
            <wp:extent cx="6694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-2676525</wp:posOffset>
            </wp:positionV>
            <wp:extent cx="66948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-3156585</wp:posOffset>
            </wp:positionV>
            <wp:extent cx="66948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-3499485</wp:posOffset>
            </wp:positionV>
            <wp:extent cx="6694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-3979545</wp:posOffset>
            </wp:positionV>
            <wp:extent cx="58464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60" w:right="7640" w:hanging="454"/>
        <w:spacing w:after="0" w:line="342" w:lineRule="auto"/>
        <w:tabs>
          <w:tab w:leader="none" w:pos="1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 of Issuer Xometry, Inc.</w:t>
      </w:r>
    </w:p>
    <w:p>
      <w:pPr>
        <w:spacing w:after="0" w:line="29" w:lineRule="exact"/>
        <w:rPr>
          <w:rFonts w:ascii="Arial" w:cs="Arial" w:eastAsia="Arial" w:hAnsi="Arial"/>
          <w:sz w:val="16"/>
          <w:szCs w:val="16"/>
          <w:color w:val="auto"/>
        </w:rPr>
      </w:pPr>
    </w:p>
    <w:p>
      <w:pPr>
        <w:ind w:left="1360" w:right="5340" w:hanging="454"/>
        <w:spacing w:after="0" w:line="258"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 of Issuer’s Principal Executive Offices 7529 Standish Place, Suite 200</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Derwood, MD 20855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40005</wp:posOffset>
            </wp:positionV>
            <wp:extent cx="62750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-447675</wp:posOffset>
            </wp:positionV>
            <wp:extent cx="62750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60" w:right="6200" w:hanging="454"/>
        <w:spacing w:after="0" w:line="253"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Person Filing Foundry Group Next 2018, L.P. FG Next GP 2018, LLC Foundry Venture Capital 2016, L.P. Foundry Venture 2016, LLC Bradley A. Feld</w:t>
      </w:r>
    </w:p>
    <w:p>
      <w:pPr>
        <w:spacing w:after="0" w:line="1" w:lineRule="exact"/>
        <w:rPr>
          <w:rFonts w:ascii="Arial" w:cs="Arial" w:eastAsia="Arial" w:hAnsi="Arial"/>
          <w:sz w:val="18"/>
          <w:szCs w:val="18"/>
          <w:color w:val="auto"/>
        </w:rPr>
      </w:pPr>
    </w:p>
    <w:p>
      <w:pPr>
        <w:ind w:left="1360" w:right="7440"/>
        <w:spacing w:after="0" w:line="323" w:lineRule="auto"/>
        <w:rPr>
          <w:rFonts w:ascii="Arial" w:cs="Arial" w:eastAsia="Arial" w:hAnsi="Arial"/>
          <w:sz w:val="18"/>
          <w:szCs w:val="18"/>
          <w:color w:val="auto"/>
        </w:rPr>
      </w:pPr>
      <w:r>
        <w:rPr>
          <w:rFonts w:ascii="Arial" w:cs="Arial" w:eastAsia="Arial" w:hAnsi="Arial"/>
          <w:sz w:val="16"/>
          <w:szCs w:val="16"/>
          <w:color w:val="auto"/>
        </w:rPr>
        <w:t>Seth Levine Ryan A. McIntyre</w:t>
      </w:r>
    </w:p>
    <w:p>
      <w:pPr>
        <w:spacing w:after="0" w:line="43" w:lineRule="exact"/>
        <w:rPr>
          <w:rFonts w:ascii="Arial" w:cs="Arial" w:eastAsia="Arial" w:hAnsi="Arial"/>
          <w:sz w:val="18"/>
          <w:szCs w:val="18"/>
          <w:color w:val="auto"/>
        </w:rPr>
      </w:pPr>
    </w:p>
    <w:p>
      <w:pPr>
        <w:ind w:left="1360" w:right="4480" w:hanging="454"/>
        <w:spacing w:after="0" w:line="258"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645 Walnut Street</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Boulder, CO 80302</w:t>
      </w:r>
    </w:p>
    <w:p>
      <w:pPr>
        <w:spacing w:after="0" w:line="345" w:lineRule="exact"/>
        <w:rPr>
          <w:rFonts w:ascii="Arial" w:cs="Arial" w:eastAsia="Arial" w:hAnsi="Arial"/>
          <w:sz w:val="18"/>
          <w:szCs w:val="18"/>
          <w:color w:val="auto"/>
        </w:rPr>
      </w:pPr>
    </w:p>
    <w:p>
      <w:pPr>
        <w:ind w:left="1360" w:hanging="45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-310515</wp:posOffset>
            </wp:positionV>
            <wp:extent cx="62750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-798830</wp:posOffset>
            </wp:positionV>
            <wp:extent cx="62750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57"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Entities:</w:t>
            </w:r>
          </w:p>
        </w:tc>
        <w:tc>
          <w:tcPr>
            <w:tcW w:w="2920" w:type="dxa"/>
            <w:vAlign w:val="bottom"/>
          </w:tcPr>
          <w:p>
            <w:pPr>
              <w:ind w:left="200"/>
              <w:spacing w:after="0"/>
              <w:rPr>
                <w:sz w:val="20"/>
                <w:szCs w:val="20"/>
                <w:color w:val="auto"/>
              </w:rPr>
            </w:pPr>
            <w:r>
              <w:rPr>
                <w:rFonts w:ascii="Arial" w:cs="Arial" w:eastAsia="Arial" w:hAnsi="Arial"/>
                <w:sz w:val="18"/>
                <w:szCs w:val="18"/>
                <w:color w:val="auto"/>
              </w:rPr>
              <w:t>Foundry Group Next 2018, L.P.</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243"/>
        </w:trPr>
        <w:tc>
          <w:tcPr>
            <w:tcW w:w="104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FG Next GP 2018, LLC</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243"/>
        </w:trPr>
        <w:tc>
          <w:tcPr>
            <w:tcW w:w="104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Foundry Venture Capital 2016, L.P.</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243"/>
        </w:trPr>
        <w:tc>
          <w:tcPr>
            <w:tcW w:w="104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Foundry Venture 2016, LLC</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Individuals:</w:t>
            </w:r>
          </w:p>
        </w:tc>
        <w:tc>
          <w:tcPr>
            <w:tcW w:w="2920" w:type="dxa"/>
            <w:vAlign w:val="bottom"/>
          </w:tcPr>
          <w:p>
            <w:pPr>
              <w:ind w:left="200"/>
              <w:spacing w:after="0"/>
              <w:rPr>
                <w:sz w:val="20"/>
                <w:szCs w:val="20"/>
                <w:color w:val="auto"/>
              </w:rPr>
            </w:pPr>
            <w:r>
              <w:rPr>
                <w:rFonts w:ascii="Arial" w:cs="Arial" w:eastAsia="Arial" w:hAnsi="Arial"/>
                <w:sz w:val="18"/>
                <w:szCs w:val="18"/>
                <w:color w:val="auto"/>
              </w:rPr>
              <w:t>Bradley A. Feld</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w w:val="86"/>
              </w:rPr>
              <w:t>United States</w:t>
            </w:r>
          </w:p>
        </w:tc>
      </w:tr>
      <w:tr>
        <w:trPr>
          <w:trHeight w:val="229"/>
        </w:trPr>
        <w:tc>
          <w:tcPr>
            <w:tcW w:w="104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Seth Levine</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w w:val="86"/>
              </w:rPr>
              <w:t>United States</w:t>
            </w:r>
          </w:p>
        </w:tc>
      </w:tr>
      <w:tr>
        <w:trPr>
          <w:trHeight w:val="230"/>
        </w:trPr>
        <w:tc>
          <w:tcPr>
            <w:tcW w:w="104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Ryan A. McIntyre</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140"/>
              <w:spacing w:after="0"/>
              <w:rPr>
                <w:sz w:val="20"/>
                <w:szCs w:val="20"/>
                <w:color w:val="auto"/>
              </w:rPr>
            </w:pPr>
            <w:r>
              <w:rPr>
                <w:rFonts w:ascii="Arial" w:cs="Arial" w:eastAsia="Arial" w:hAnsi="Arial"/>
                <w:sz w:val="18"/>
                <w:szCs w:val="18"/>
                <w:color w:val="auto"/>
                <w:w w:val="86"/>
              </w:rPr>
              <w:t>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34290</wp:posOffset>
            </wp:positionV>
            <wp:extent cx="6266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87" w:lineRule="exact"/>
        <w:rPr>
          <w:sz w:val="20"/>
          <w:szCs w:val="20"/>
          <w:color w:val="auto"/>
        </w:rPr>
      </w:pPr>
    </w:p>
    <w:p>
      <w:pPr>
        <w:ind w:left="1360" w:right="6840" w:hanging="454"/>
        <w:spacing w:after="0" w:line="342" w:lineRule="auto"/>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spacing w:after="0" w:line="29" w:lineRule="exact"/>
        <w:rPr>
          <w:rFonts w:ascii="Arial" w:cs="Arial" w:eastAsia="Arial" w:hAnsi="Arial"/>
          <w:sz w:val="16"/>
          <w:szCs w:val="16"/>
          <w:color w:val="auto"/>
        </w:rPr>
      </w:pPr>
    </w:p>
    <w:p>
      <w:pPr>
        <w:ind w:left="1360" w:right="7600" w:hanging="454"/>
        <w:spacing w:after="0" w:line="342" w:lineRule="auto"/>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CUSIP Number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-14605</wp:posOffset>
            </wp:positionV>
            <wp:extent cx="6275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-366395</wp:posOffset>
            </wp:positionV>
            <wp:extent cx="6275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ind w:left="340" w:hanging="23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beneficially owned: See Row 9 of cover page for each Reporting Person</w:t>
      </w:r>
    </w:p>
    <w:p>
      <w:pPr>
        <w:spacing w:after="0" w:line="117" w:lineRule="exact"/>
        <w:rPr>
          <w:rFonts w:ascii="Arial" w:cs="Arial" w:eastAsia="Arial" w:hAnsi="Arial"/>
          <w:sz w:val="18"/>
          <w:szCs w:val="18"/>
          <w:color w:val="auto"/>
        </w:rPr>
      </w:pPr>
    </w:p>
    <w:p>
      <w:pPr>
        <w:ind w:left="360" w:hanging="250"/>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See Row 11 of cover page for each Reporting Person</w:t>
      </w:r>
    </w:p>
    <w:p>
      <w:pPr>
        <w:spacing w:after="0" w:line="117" w:lineRule="exact"/>
        <w:rPr>
          <w:rFonts w:ascii="Arial" w:cs="Arial" w:eastAsia="Arial" w:hAnsi="Arial"/>
          <w:sz w:val="18"/>
          <w:szCs w:val="18"/>
          <w:color w:val="auto"/>
        </w:rPr>
      </w:pPr>
    </w:p>
    <w:p>
      <w:pPr>
        <w:ind w:left="360" w:hanging="250"/>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560" w:hanging="207"/>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cover page for each Reporting Person.</w:t>
      </w:r>
    </w:p>
    <w:p>
      <w:pPr>
        <w:spacing w:after="0" w:line="117" w:lineRule="exact"/>
        <w:rPr>
          <w:rFonts w:ascii="Arial" w:cs="Arial" w:eastAsia="Arial" w:hAnsi="Arial"/>
          <w:sz w:val="18"/>
          <w:szCs w:val="18"/>
          <w:color w:val="auto"/>
        </w:rPr>
      </w:pPr>
    </w:p>
    <w:p>
      <w:pPr>
        <w:ind w:left="620" w:hanging="267"/>
        <w:spacing w:after="0"/>
        <w:tabs>
          <w:tab w:leader="none" w:pos="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6 of cover page for each Reporting Person.</w:t>
      </w:r>
    </w:p>
    <w:p>
      <w:pPr>
        <w:spacing w:after="0" w:line="117" w:lineRule="exact"/>
        <w:rPr>
          <w:rFonts w:ascii="Arial" w:cs="Arial" w:eastAsia="Arial" w:hAnsi="Arial"/>
          <w:sz w:val="18"/>
          <w:szCs w:val="18"/>
          <w:color w:val="auto"/>
        </w:rPr>
      </w:pPr>
    </w:p>
    <w:p>
      <w:pPr>
        <w:ind w:left="660" w:hanging="307"/>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cover page for each Reporting Person.</w:t>
      </w:r>
    </w:p>
    <w:p>
      <w:pPr>
        <w:spacing w:after="0" w:line="117" w:lineRule="exact"/>
        <w:rPr>
          <w:rFonts w:ascii="Arial" w:cs="Arial" w:eastAsia="Arial" w:hAnsi="Arial"/>
          <w:sz w:val="18"/>
          <w:szCs w:val="18"/>
          <w:color w:val="auto"/>
        </w:rPr>
      </w:pPr>
    </w:p>
    <w:p>
      <w:pPr>
        <w:ind w:left="660" w:hanging="307"/>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8 of cover page for each Reporting Person.</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380" w:top="958" w:right="1419" w:bottom="1440" w:gutter="0" w:footer="0" w:header="0"/>
        </w:sectPr>
      </w:pPr>
    </w:p>
    <w:bookmarkStart w:id="9" w:name="page10"/>
    <w:bookmarkEnd w:id="9"/>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20" w:right="34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380" w:top="958" w:right="8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Dated: February 13, 2023</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Foundry Group Next 2018, L.P.</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Capital 2016, L.P.</w:t>
            </w:r>
          </w:p>
        </w:tc>
      </w:tr>
      <w:tr>
        <w:trPr>
          <w:trHeight w:val="445"/>
        </w:trPr>
        <w:tc>
          <w:tcPr>
            <w:tcW w:w="4960" w:type="dxa"/>
            <w:vAlign w:val="bottom"/>
            <w:gridSpan w:val="2"/>
          </w:tcPr>
          <w:p>
            <w:pPr>
              <w:spacing w:after="0"/>
              <w:rPr>
                <w:sz w:val="20"/>
                <w:szCs w:val="20"/>
                <w:color w:val="auto"/>
              </w:rPr>
            </w:pPr>
            <w:r>
              <w:rPr>
                <w:rFonts w:ascii="Arial" w:cs="Arial" w:eastAsia="Arial" w:hAnsi="Arial"/>
                <w:sz w:val="18"/>
                <w:szCs w:val="18"/>
                <w:color w:val="auto"/>
              </w:rPr>
              <w:t>By: 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Foundry Venture 2016, LLC</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auto"/>
              </w:rPr>
              <w:t>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2016, LLC</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66"/>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Feld</w:t>
            </w:r>
          </w:p>
        </w:tc>
        <w:tc>
          <w:tcPr>
            <w:tcW w:w="136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Ryan A. McIntyre</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Bradley A. Feld</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Ryan A. McIntyre</w:t>
            </w:r>
          </w:p>
        </w:tc>
      </w:tr>
      <w:tr>
        <w:trPr>
          <w:trHeight w:val="47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Seth Levine</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Seth Levine</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Class A Common Stock of Xometry, Inc. is filed on behalf of each of 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Dated: February 13, 2023</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Foundry Group Next 2018, L.P.</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Capital 2016, L.P.</w:t>
            </w:r>
          </w:p>
        </w:tc>
      </w:tr>
      <w:tr>
        <w:trPr>
          <w:trHeight w:val="445"/>
        </w:trPr>
        <w:tc>
          <w:tcPr>
            <w:tcW w:w="4960" w:type="dxa"/>
            <w:vAlign w:val="bottom"/>
            <w:gridSpan w:val="2"/>
          </w:tcPr>
          <w:p>
            <w:pPr>
              <w:spacing w:after="0"/>
              <w:rPr>
                <w:sz w:val="20"/>
                <w:szCs w:val="20"/>
                <w:color w:val="auto"/>
              </w:rPr>
            </w:pPr>
            <w:r>
              <w:rPr>
                <w:rFonts w:ascii="Arial" w:cs="Arial" w:eastAsia="Arial" w:hAnsi="Arial"/>
                <w:sz w:val="18"/>
                <w:szCs w:val="18"/>
                <w:color w:val="auto"/>
              </w:rPr>
              <w:t>By: 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Foundry Venture 2016, LLC</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auto"/>
              </w:rPr>
              <w:t>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2016, LLC</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66"/>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Feld</w:t>
            </w:r>
          </w:p>
        </w:tc>
        <w:tc>
          <w:tcPr>
            <w:tcW w:w="136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Ryan A. McIntyre</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Bradley A. Feld</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Ryan A. McIntyre</w:t>
            </w:r>
          </w:p>
        </w:tc>
      </w:tr>
      <w:tr>
        <w:trPr>
          <w:trHeight w:val="47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Seth Levine</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Seth Levine</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661"/>
        </w:trPr>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257130A3"/>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436C6125"/>
    <w:multiLevelType w:val="hybridMultilevel"/>
    <w:lvl w:ilvl="0">
      <w:lvlJc w:val="left"/>
      <w:lvlText w:val="%1."/>
      <w:numFmt w:val="decimal"/>
      <w:start w:val="1"/>
    </w:lvl>
    <w:lvl w:ilvl="1">
      <w:lvlJc w:val="left"/>
      <w:lvlText w:val="(%2)"/>
      <w:numFmt w:val="lowerLetter"/>
      <w:start w:val="1"/>
    </w:lvl>
  </w:abstractNum>
  <w:abstractNum w:abstractNumId="7">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8">
    <w:nsid w:val="333AB105"/>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9">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2443A858"/>
    <w:multiLevelType w:val="hybridMultilevel"/>
    <w:lvl w:ilvl="0">
      <w:lvlJc w:val="left"/>
      <w:lvlText w:val="%1."/>
      <w:numFmt w:val="decimal"/>
      <w:start w:val="1"/>
    </w:lvl>
    <w:lvl w:ilvl="1">
      <w:lvlJc w:val="left"/>
      <w:lvlText w:val="(%2)"/>
      <w:numFmt w:val="lowerLetter"/>
      <w:start w:val="1"/>
    </w:lvl>
  </w:abstractNum>
  <w:abstractNum w:abstractNumId="11">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2">
    <w:nsid w:val="6763845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3">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8EDBDAB"/>
    <w:multiLevelType w:val="hybridMultilevel"/>
    <w:lvl w:ilvl="0">
      <w:lvlJc w:val="left"/>
      <w:lvlText w:val="%1."/>
      <w:numFmt w:val="decimal"/>
      <w:start w:val="1"/>
    </w:lvl>
    <w:lvl w:ilvl="1">
      <w:lvlJc w:val="left"/>
      <w:lvlText w:val="(%2)"/>
      <w:numFmt w:val="lowerLetter"/>
      <w:start w:val="1"/>
    </w:lvl>
  </w:abstractNum>
  <w:abstractNum w:abstractNumId="15">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6">
    <w:nsid w:val="4353D0C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7">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189A769B"/>
    <w:multiLevelType w:val="hybridMultilevel"/>
    <w:lvl w:ilvl="0">
      <w:lvlJc w:val="left"/>
      <w:lvlText w:val="%1."/>
      <w:numFmt w:val="decimal"/>
      <w:start w:val="1"/>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0">
    <w:nsid w:val="71F3245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1">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836C40E"/>
    <w:multiLevelType w:val="hybridMultilevel"/>
    <w:lvl w:ilvl="0">
      <w:lvlJc w:val="left"/>
      <w:lvlText w:val="%1."/>
      <w:numFmt w:val="decimal"/>
      <w:start w:val="1"/>
    </w:lvl>
    <w:lvl w:ilvl="1">
      <w:lvlJc w:val="left"/>
      <w:lvlText w:val="(%2)"/>
      <w:numFmt w:val="lowerLetter"/>
      <w:start w:val="1"/>
    </w:lvl>
  </w:abstractNum>
  <w:abstractNum w:abstractNumId="23">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4">
    <w:nsid w:val="3A95F87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5">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1E7FF521"/>
    <w:multiLevelType w:val="hybridMultilevel"/>
    <w:lvl w:ilvl="0">
      <w:lvlJc w:val="left"/>
      <w:lvlText w:val="%1."/>
      <w:numFmt w:val="decimal"/>
      <w:start w:val="1"/>
    </w:lvl>
    <w:lvl w:ilvl="1">
      <w:lvlJc w:val="left"/>
      <w:lvlText w:val="(%2)"/>
      <w:numFmt w:val="lowerLetter"/>
      <w:start w:val="1"/>
    </w:lvl>
  </w:abstractNum>
  <w:abstractNum w:abstractNumId="27">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8">
    <w:nsid w:val="737B8DDC"/>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9">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4"/>
    </w:lvl>
  </w:abstractNum>
  <w:abstractNum w:abstractNumId="33">
    <w:nsid w:val="614FD4A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2023-02-13T15:10:47Z</dcterms:created>
  <dcterms:modified xsi:type="dcterms:W3CDTF">2023-02-13T15:10:47Z</dcterms:modified>
</cp:coreProperties>
</file>