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210185</wp:posOffset>
            </wp:positionV>
            <wp:extent cx="6562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250190</wp:posOffset>
            </wp:positionV>
            <wp:extent cx="6562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209550</wp:posOffset>
            </wp:positionV>
            <wp:extent cx="1383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20"/>
        <w:spacing w:after="0" w:line="237" w:lineRule="auto"/>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209550</wp:posOffset>
            </wp:positionV>
            <wp:extent cx="1383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3030" cy="8255"/>
                    </a:xfrm>
                    <a:prstGeom prst="rect">
                      <a:avLst/>
                    </a:prstGeom>
                    <a:noFill/>
                  </pic:spPr>
                </pic:pic>
              </a:graphicData>
            </a:graphic>
          </wp:anchor>
        </w:drawing>
        <w:drawing>
          <wp:anchor simplePos="0" relativeHeight="251657728" behindDoc="1" locked="0" layoutInCell="0" allowOverlap="1">
            <wp:simplePos x="0" y="0"/>
            <wp:positionH relativeFrom="column">
              <wp:posOffset>3924935</wp:posOffset>
            </wp:positionH>
            <wp:positionV relativeFrom="paragraph">
              <wp:posOffset>-22860</wp:posOffset>
            </wp:positionV>
            <wp:extent cx="193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10"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5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35" w:lineRule="exact"/>
        <w:rPr>
          <w:sz w:val="24"/>
          <w:szCs w:val="24"/>
          <w:color w:val="auto"/>
        </w:rPr>
      </w:pPr>
    </w:p>
    <w:p>
      <w:pPr>
        <w:ind w:left="860" w:hanging="403"/>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31" w:lineRule="exact"/>
        <w:rPr>
          <w:rFonts w:ascii="MS PGothic" w:cs="MS PGothic" w:eastAsia="MS PGothic" w:hAnsi="MS PGothic"/>
          <w:sz w:val="17"/>
          <w:szCs w:val="17"/>
          <w:color w:val="auto"/>
        </w:rPr>
      </w:pPr>
    </w:p>
    <w:p>
      <w:pPr>
        <w:ind w:left="860" w:hanging="403"/>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39" w:lineRule="exact"/>
        <w:rPr>
          <w:sz w:val="24"/>
          <w:szCs w:val="24"/>
          <w:color w:val="auto"/>
        </w:rPr>
      </w:pPr>
    </w:p>
    <w:p>
      <w:pPr>
        <w:ind w:left="860" w:hanging="403"/>
        <w:spacing w:after="0"/>
        <w:tabs>
          <w:tab w:leader="none" w:pos="8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35" w:lineRule="exact"/>
        <w:rPr>
          <w:sz w:val="24"/>
          <w:szCs w:val="24"/>
          <w:color w:val="auto"/>
        </w:rPr>
      </w:pPr>
    </w:p>
    <w:p>
      <w:pPr>
        <w:ind w:left="860" w:hanging="403"/>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35" w:lineRule="exact"/>
        <w:rPr>
          <w:rFonts w:ascii="MS PGothic" w:cs="MS PGothic" w:eastAsia="MS PGothic" w:hAnsi="MS PGothic"/>
          <w:sz w:val="17"/>
          <w:szCs w:val="17"/>
          <w:color w:val="auto"/>
        </w:rPr>
      </w:pPr>
    </w:p>
    <w:p>
      <w:pPr>
        <w:ind w:left="860" w:hanging="403"/>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Xometry, Inc.</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8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0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35" w:lineRule="exact"/>
        <w:rPr>
          <w:sz w:val="24"/>
          <w:szCs w:val="24"/>
          <w:color w:val="auto"/>
        </w:rPr>
      </w:pPr>
    </w:p>
    <w:p>
      <w:pPr>
        <w:ind w:left="860" w:hanging="403"/>
        <w:spacing w:after="0"/>
        <w:tabs>
          <w:tab w:leader="none" w:pos="8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35" w:lineRule="exact"/>
        <w:rPr>
          <w:sz w:val="24"/>
          <w:szCs w:val="24"/>
          <w:color w:val="auto"/>
        </w:rPr>
      </w:pPr>
    </w:p>
    <w:p>
      <w:pPr>
        <w:ind w:left="860" w:hanging="403"/>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35" w:lineRule="exact"/>
        <w:rPr>
          <w:rFonts w:ascii="MS PGothic" w:cs="MS PGothic" w:eastAsia="MS PGothic" w:hAnsi="MS PGothic"/>
          <w:sz w:val="17"/>
          <w:szCs w:val="17"/>
          <w:color w:val="auto"/>
        </w:rPr>
      </w:pPr>
    </w:p>
    <w:p>
      <w:pPr>
        <w:ind w:left="860" w:hanging="403"/>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167640</wp:posOffset>
            </wp:positionV>
            <wp:extent cx="6562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20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208280</wp:posOffset>
            </wp:positionV>
            <wp:extent cx="6562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2090" cy="825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201295</wp:posOffset>
            </wp:positionV>
            <wp:extent cx="6755130" cy="8684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868489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194310</wp:posOffset>
            </wp:positionV>
            <wp:extent cx="1431290" cy="313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1290"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April 29, 2024</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Dear Fellow Stockholders:</w:t>
      </w:r>
    </w:p>
    <w:p>
      <w:pPr>
        <w:spacing w:after="0" w:line="108" w:lineRule="exact"/>
        <w:rPr>
          <w:sz w:val="20"/>
          <w:szCs w:val="20"/>
          <w:color w:val="auto"/>
        </w:rPr>
      </w:pPr>
    </w:p>
    <w:p>
      <w:pPr>
        <w:ind w:left="460" w:right="320" w:firstLine="413"/>
        <w:spacing w:after="0" w:line="258" w:lineRule="auto"/>
        <w:rPr>
          <w:sz w:val="20"/>
          <w:szCs w:val="20"/>
          <w:color w:val="auto"/>
        </w:rPr>
      </w:pPr>
      <w:r>
        <w:rPr>
          <w:rFonts w:ascii="Times New Roman" w:cs="Times New Roman" w:eastAsia="Times New Roman" w:hAnsi="Times New Roman"/>
          <w:sz w:val="17"/>
          <w:szCs w:val="17"/>
          <w:color w:val="auto"/>
        </w:rPr>
        <w:t>In 2023, we made significant progress in fulfilling our mission to digitize one of the most important industries in the world. Xometry’s growth initiatives drove record results with revenue of $463 million including 30% marketplace revenue growth in a period of contraction in US manufacturing. We further expanded marketplace gross margin by 260 basis points to 30.8% powered by our proprietary AI algorithms and rapid expansion in our active supplier network.</w:t>
      </w:r>
    </w:p>
    <w:p>
      <w:pPr>
        <w:spacing w:after="0" w:line="173" w:lineRule="exact"/>
        <w:rPr>
          <w:sz w:val="20"/>
          <w:szCs w:val="20"/>
          <w:color w:val="auto"/>
        </w:rPr>
      </w:pPr>
    </w:p>
    <w:p>
      <w:pPr>
        <w:jc w:val="both"/>
        <w:ind w:left="460" w:right="240" w:firstLine="413"/>
        <w:spacing w:after="0" w:line="262" w:lineRule="auto"/>
        <w:rPr>
          <w:sz w:val="20"/>
          <w:szCs w:val="20"/>
          <w:color w:val="auto"/>
        </w:rPr>
      </w:pPr>
      <w:r>
        <w:rPr>
          <w:rFonts w:ascii="Times New Roman" w:cs="Times New Roman" w:eastAsia="Times New Roman" w:hAnsi="Times New Roman"/>
          <w:sz w:val="17"/>
          <w:szCs w:val="17"/>
          <w:color w:val="auto"/>
        </w:rPr>
        <w:t>Concurrently, we made significant investments in product development and technology infrastructure. We now offer tools including Teamspace and Workcenter to digitize work for both buyers and suppliers as well as provide software and information for customers to improve decision making and increase efficiency.</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 are rapidly gaining market share and remain confident in our long-term growth initiatives:</w:t>
      </w:r>
    </w:p>
    <w:p>
      <w:pPr>
        <w:spacing w:after="0" w:line="117" w:lineRule="exact"/>
        <w:rPr>
          <w:sz w:val="20"/>
          <w:szCs w:val="20"/>
          <w:color w:val="auto"/>
        </w:rPr>
      </w:pPr>
    </w:p>
    <w:p>
      <w:pPr>
        <w:ind w:left="1360" w:right="60" w:hanging="396"/>
        <w:spacing w:after="0" w:line="314" w:lineRule="auto"/>
        <w:tabs>
          <w:tab w:leader="none" w:pos="13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Rapidly expanding our network of buyers and suppliers. </w:t>
      </w:r>
      <w:r>
        <w:rPr>
          <w:rFonts w:ascii="Times New Roman" w:cs="Times New Roman" w:eastAsia="Times New Roman" w:hAnsi="Times New Roman"/>
          <w:sz w:val="16"/>
          <w:szCs w:val="16"/>
          <w:color w:val="auto"/>
        </w:rPr>
        <w:t>We rapidly expanded our buyer and supplier networks globally, further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enlarging our competitive moat. Active Buyers increased 36% to over 55,000 and Active Suppliers increased 36% year-over-year to 3,429.</w:t>
      </w:r>
    </w:p>
    <w:p>
      <w:pPr>
        <w:spacing w:after="0" w:line="37" w:lineRule="exact"/>
        <w:rPr>
          <w:rFonts w:ascii="Times New Roman" w:cs="Times New Roman" w:eastAsia="Times New Roman" w:hAnsi="Times New Roman"/>
          <w:sz w:val="16"/>
          <w:szCs w:val="16"/>
          <w:color w:val="auto"/>
        </w:rPr>
      </w:pPr>
    </w:p>
    <w:p>
      <w:pPr>
        <w:ind w:left="1360" w:right="60" w:hanging="396"/>
        <w:spacing w:after="0" w:line="259" w:lineRule="auto"/>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Driving deeper Enterprise engagement. </w:t>
      </w:r>
      <w:r>
        <w:rPr>
          <w:rFonts w:ascii="Times New Roman" w:cs="Times New Roman" w:eastAsia="Times New Roman" w:hAnsi="Times New Roman"/>
          <w:sz w:val="17"/>
          <w:szCs w:val="17"/>
          <w:color w:val="auto"/>
        </w:rPr>
        <w:t>We invested in our enterprise sales efforts in 2023 and are making progress with Fortune 500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companies as they look for a technology partner to help manage dispersed, fragmented and complex supply chains. Our investments in our sales team drove progress in our enterprise strategy as Accounts with Last Twelve Months Spend of at Least $50,000 growing 30% year-over-year.</w:t>
      </w:r>
    </w:p>
    <w:p>
      <w:pPr>
        <w:spacing w:after="0" w:line="80" w:lineRule="exact"/>
        <w:rPr>
          <w:rFonts w:ascii="Times New Roman" w:cs="Times New Roman" w:eastAsia="Times New Roman" w:hAnsi="Times New Roman"/>
          <w:sz w:val="17"/>
          <w:szCs w:val="17"/>
          <w:color w:val="auto"/>
        </w:rPr>
      </w:pPr>
    </w:p>
    <w:p>
      <w:pPr>
        <w:ind w:left="1360" w:right="260" w:hanging="396"/>
        <w:spacing w:after="0" w:line="265" w:lineRule="auto"/>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Expanding the marketplace menu. </w:t>
      </w:r>
      <w:r>
        <w:rPr>
          <w:rFonts w:ascii="Times New Roman" w:cs="Times New Roman" w:eastAsia="Times New Roman" w:hAnsi="Times New Roman"/>
          <w:sz w:val="17"/>
          <w:szCs w:val="17"/>
          <w:color w:val="auto"/>
        </w:rPr>
        <w:t>We significantly expanded our marketplace menu including new processes, materials, finishes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certifications enabling us to increasingly serve as our customers’ one-stop destination. We saw strong growth in production work, including our revamped injection molding offering.</w:t>
      </w:r>
    </w:p>
    <w:p>
      <w:pPr>
        <w:spacing w:after="0" w:line="74" w:lineRule="exact"/>
        <w:rPr>
          <w:rFonts w:ascii="Times New Roman" w:cs="Times New Roman" w:eastAsia="Times New Roman" w:hAnsi="Times New Roman"/>
          <w:sz w:val="17"/>
          <w:szCs w:val="17"/>
          <w:color w:val="auto"/>
        </w:rPr>
      </w:pPr>
    </w:p>
    <w:p>
      <w:pPr>
        <w:ind w:left="1360" w:right="100" w:hanging="396"/>
        <w:spacing w:after="0" w:line="259" w:lineRule="auto"/>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Growing Internationally. </w:t>
      </w:r>
      <w:r>
        <w:rPr>
          <w:rFonts w:ascii="Times New Roman" w:cs="Times New Roman" w:eastAsia="Times New Roman" w:hAnsi="Times New Roman"/>
          <w:sz w:val="17"/>
          <w:szCs w:val="17"/>
          <w:color w:val="auto"/>
        </w:rPr>
        <w:t>We delivered 81% international revenue growth to over $60 million in 2023, scaling rapidly from $3 million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2020 and now accounting for approximately 15% of total marketplace revenue. Through Xometry.eu, Xometry.uk and Xometry.asia, we have leveraged Xometry’s core technology to provide localized marketplaces in 14 different languages with networks of suppliers across Europe and Asia, as well as North America.</w:t>
      </w:r>
    </w:p>
    <w:p>
      <w:pPr>
        <w:spacing w:after="0" w:line="80" w:lineRule="exact"/>
        <w:rPr>
          <w:rFonts w:ascii="Times New Roman" w:cs="Times New Roman" w:eastAsia="Times New Roman" w:hAnsi="Times New Roman"/>
          <w:sz w:val="17"/>
          <w:szCs w:val="17"/>
          <w:color w:val="auto"/>
        </w:rPr>
      </w:pPr>
    </w:p>
    <w:p>
      <w:pPr>
        <w:ind w:left="1360" w:right="160" w:hanging="396"/>
        <w:spacing w:after="0" w:line="265" w:lineRule="auto"/>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Enhancing Supplier Service solutions. </w:t>
      </w:r>
      <w:r>
        <w:rPr>
          <w:rFonts w:ascii="Times New Roman" w:cs="Times New Roman" w:eastAsia="Times New Roman" w:hAnsi="Times New Roman"/>
          <w:sz w:val="17"/>
          <w:szCs w:val="17"/>
          <w:color w:val="auto"/>
        </w:rPr>
        <w:t>We are enhancing supplier services including modernizing the Thomas advertising platform.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focused on making it easier for suppliers to start and benefit from their advertising on Thomasnet. We also continue to enhance Workcenter, the digital operating system for manufacturers, by reducing the effort required to accomplish their daily tasks.</w:t>
      </w:r>
    </w:p>
    <w:p>
      <w:pPr>
        <w:spacing w:after="0" w:line="167" w:lineRule="exact"/>
        <w:rPr>
          <w:sz w:val="20"/>
          <w:szCs w:val="20"/>
          <w:color w:val="auto"/>
        </w:rPr>
      </w:pPr>
    </w:p>
    <w:p>
      <w:pPr>
        <w:ind w:left="460" w:right="140" w:firstLine="413"/>
        <w:spacing w:after="0" w:line="276" w:lineRule="auto"/>
        <w:rPr>
          <w:sz w:val="20"/>
          <w:szCs w:val="20"/>
          <w:color w:val="auto"/>
        </w:rPr>
      </w:pPr>
      <w:r>
        <w:rPr>
          <w:rFonts w:ascii="Times New Roman" w:cs="Times New Roman" w:eastAsia="Times New Roman" w:hAnsi="Times New Roman"/>
          <w:sz w:val="17"/>
          <w:szCs w:val="17"/>
          <w:color w:val="auto"/>
        </w:rPr>
        <w:t>Our AI-driven global marketplace is playing an instrumental role in helping buyers create locally resilient supply chains and manufacturers grow their businesses. The shift to digital, which has happened in so many other industries, is inevitable in custom manufacturing.</w:t>
      </w:r>
    </w:p>
    <w:p>
      <w:pPr>
        <w:spacing w:after="0" w:line="158" w:lineRule="exact"/>
        <w:rPr>
          <w:sz w:val="20"/>
          <w:szCs w:val="20"/>
          <w:color w:val="auto"/>
        </w:rPr>
      </w:pPr>
    </w:p>
    <w:p>
      <w:pPr>
        <w:ind w:left="460" w:right="100" w:firstLine="413"/>
        <w:spacing w:after="0" w:line="276" w:lineRule="auto"/>
        <w:rPr>
          <w:sz w:val="20"/>
          <w:szCs w:val="20"/>
          <w:color w:val="auto"/>
        </w:rPr>
      </w:pPr>
      <w:r>
        <w:rPr>
          <w:rFonts w:ascii="Times New Roman" w:cs="Times New Roman" w:eastAsia="Times New Roman" w:hAnsi="Times New Roman"/>
          <w:sz w:val="17"/>
          <w:szCs w:val="17"/>
          <w:color w:val="auto"/>
        </w:rPr>
        <w:t>We are proud of what we accomplished in 2023, and our team continues to work diligently to deliver comprehensive solutions that benefit buyers and suppliers.</w:t>
      </w:r>
    </w:p>
    <w:p>
      <w:pPr>
        <w:spacing w:after="0" w:line="158" w:lineRule="exact"/>
        <w:rPr>
          <w:sz w:val="20"/>
          <w:szCs w:val="20"/>
          <w:color w:val="auto"/>
        </w:rPr>
      </w:pPr>
    </w:p>
    <w:p>
      <w:pPr>
        <w:ind w:left="460" w:right="80" w:firstLine="413"/>
        <w:spacing w:after="0" w:line="258" w:lineRule="auto"/>
        <w:rPr>
          <w:sz w:val="20"/>
          <w:szCs w:val="20"/>
          <w:color w:val="auto"/>
        </w:rPr>
      </w:pPr>
      <w:r>
        <w:rPr>
          <w:rFonts w:ascii="Times New Roman" w:cs="Times New Roman" w:eastAsia="Times New Roman" w:hAnsi="Times New Roman"/>
          <w:sz w:val="17"/>
          <w:szCs w:val="17"/>
          <w:color w:val="auto"/>
        </w:rPr>
        <w:t>We are pleased to invite you to attend the 2024 Annual Meeting of Stockholders of Xometry, Inc., a Delaware corporation (“Xometry”) to be held virtually on June 18, 2024 at 11:00 a.m., Eastern Time. To provide expanded access from locations around the world and to lower costs, we are continuing with a virtual format for our 2024 Annual Meeting, which will be held solely online via live webcast. There will not be a physical location for the Annual Meeting, and you will not be able to attend the Annual Meeting in person.</w:t>
      </w:r>
    </w:p>
    <w:p>
      <w:pPr>
        <w:sectPr>
          <w:pgSz w:w="11900" w:h="16838" w:orient="portrait"/>
          <w:cols w:equalWidth="0" w:num="1">
            <w:col w:w="10800"/>
          </w:cols>
          <w:pgMar w:left="320" w:top="462"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 xml:space="preserve">You will be able to attend the Annual Meeting, ask your questions and vote your shares during the meeting by visiting </w:t>
      </w:r>
      <w:r>
        <w:rPr>
          <w:rFonts w:ascii="Times New Roman" w:cs="Times New Roman" w:eastAsia="Times New Roman" w:hAnsi="Times New Roman"/>
          <w:sz w:val="17"/>
          <w:szCs w:val="17"/>
          <w:i w:val="1"/>
          <w:iCs w:val="1"/>
          <w:color w:val="auto"/>
        </w:rPr>
        <w:t xml:space="preserve">https://meetnow.global/MYMZWX2 </w:t>
      </w:r>
      <w:r>
        <w:rPr>
          <w:rFonts w:ascii="Times New Roman" w:cs="Times New Roman" w:eastAsia="Times New Roman" w:hAnsi="Times New Roman"/>
          <w:sz w:val="17"/>
          <w:szCs w:val="17"/>
          <w:color w:val="auto"/>
        </w:rPr>
        <w:t>and entering the control number located on the Notice of Internet Availability of Proxy Materials for the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of Stockholders, your proxy card or voting instruction form. Additional details regarding access to the Annual Meeting and the business to be conducted at the Annual Meeting are described in the accompanying Notice of 2024 Annual Meeting of Stockholders and proxy statement. Please note that supported browsers include Chrome, MS Edge, Firefox and Safari.</w:t>
      </w:r>
    </w:p>
    <w:p>
      <w:pPr>
        <w:spacing w:after="0" w:line="177" w:lineRule="exact"/>
        <w:rPr>
          <w:sz w:val="20"/>
          <w:szCs w:val="20"/>
          <w:color w:val="auto"/>
        </w:rPr>
      </w:pPr>
    </w:p>
    <w:p>
      <w:pPr>
        <w:ind w:left="460" w:right="360" w:firstLine="413"/>
        <w:spacing w:after="0" w:line="258" w:lineRule="auto"/>
        <w:rPr>
          <w:sz w:val="20"/>
          <w:szCs w:val="20"/>
          <w:color w:val="auto"/>
        </w:rPr>
      </w:pPr>
      <w:r>
        <w:rPr>
          <w:rFonts w:ascii="Times New Roman" w:cs="Times New Roman" w:eastAsia="Times New Roman" w:hAnsi="Times New Roman"/>
          <w:sz w:val="17"/>
          <w:szCs w:val="17"/>
          <w:color w:val="auto"/>
        </w:rPr>
        <w:t>We have elected to provide access to our proxy materials over the Internet under the U.S. Securities and Exchange Commission’s “notice and access” rules. As a result, we are mailing to our stockholders a Notice of Internet Availability of Proxy Materials instead of paper copies of</w:t>
      </w:r>
    </w:p>
    <w:p>
      <w:pPr>
        <w:spacing w:after="0" w:line="1" w:lineRule="exact"/>
        <w:rPr>
          <w:sz w:val="20"/>
          <w:szCs w:val="20"/>
          <w:color w:val="auto"/>
        </w:rPr>
      </w:pPr>
    </w:p>
    <w:p>
      <w:pPr>
        <w:ind w:left="460" w:right="40"/>
        <w:spacing w:after="0" w:line="250" w:lineRule="auto"/>
        <w:rPr>
          <w:sz w:val="20"/>
          <w:szCs w:val="20"/>
          <w:color w:val="auto"/>
        </w:rPr>
      </w:pPr>
      <w:r>
        <w:rPr>
          <w:rFonts w:ascii="Times New Roman" w:cs="Times New Roman" w:eastAsia="Times New Roman" w:hAnsi="Times New Roman"/>
          <w:sz w:val="17"/>
          <w:szCs w:val="17"/>
          <w:color w:val="auto"/>
        </w:rPr>
        <w:t>the proxy statement and our 2023 Annual Report. The notice contains instructions on how to access those documents over the Internet. The Notice of Internet Availability of Proxy Materials also contains instructions on how stockholders can receive a paper copy of our proxy materials, including the proxy statement, our 2023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182" w:lineRule="exact"/>
        <w:rPr>
          <w:sz w:val="20"/>
          <w:szCs w:val="20"/>
          <w:color w:val="auto"/>
        </w:rPr>
      </w:pPr>
    </w:p>
    <w:p>
      <w:pPr>
        <w:ind w:left="460" w:right="120" w:firstLine="413"/>
        <w:spacing w:after="0" w:line="258" w:lineRule="auto"/>
        <w:rPr>
          <w:sz w:val="20"/>
          <w:szCs w:val="20"/>
          <w:color w:val="auto"/>
        </w:rPr>
      </w:pPr>
      <w:r>
        <w:rPr>
          <w:rFonts w:ascii="Times New Roman" w:cs="Times New Roman" w:eastAsia="Times New Roman" w:hAnsi="Times New Roman"/>
          <w:sz w:val="17"/>
          <w:szCs w:val="17"/>
          <w:color w:val="auto"/>
        </w:rPr>
        <w:t>Your vote is important. Whether or not you plan to attend the Annual Meeting, we hope you will vote as soon as possible. You may vote over the Internet, by telephone or, if you receive a paper proxy card by mail, by completing and returning the proxy card or voting instruction form mailed to you. Please carefully review the instructions on each of your voting options described in this proxy statement, as well as in the Notice of Internet Availability of Proxy Materials you received in the mail.</w:t>
      </w:r>
    </w:p>
    <w:p>
      <w:pPr>
        <w:spacing w:after="0" w:line="173" w:lineRule="exact"/>
        <w:rPr>
          <w:sz w:val="20"/>
          <w:szCs w:val="20"/>
          <w:color w:val="auto"/>
        </w:rPr>
      </w:pPr>
    </w:p>
    <w:p>
      <w:pPr>
        <w:ind w:left="460" w:right="140" w:firstLine="413"/>
        <w:spacing w:after="0" w:line="276" w:lineRule="auto"/>
        <w:rPr>
          <w:sz w:val="20"/>
          <w:szCs w:val="20"/>
          <w:color w:val="auto"/>
        </w:rPr>
      </w:pPr>
      <w:r>
        <w:rPr>
          <w:rFonts w:ascii="Times New Roman" w:cs="Times New Roman" w:eastAsia="Times New Roman" w:hAnsi="Times New Roman"/>
          <w:sz w:val="17"/>
          <w:szCs w:val="17"/>
          <w:color w:val="auto"/>
        </w:rPr>
        <w:t>On behalf of the Xometry Board of Directors and employees, we thank you for your continued support and look forward to speaking with you at the Annual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87630</wp:posOffset>
            </wp:positionV>
            <wp:extent cx="73152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5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Randy Altschuler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0780"/>
          </w:cols>
          <w:pgMar w:left="320" w:top="462" w:right="7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194310</wp:posOffset>
            </wp:positionV>
            <wp:extent cx="2091055" cy="474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1055"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XOMETRY, INC.</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6116 Executive Boulevard</w:t>
      </w:r>
    </w:p>
    <w:p>
      <w:pPr>
        <w:spacing w:after="0" w:line="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Suite 800</w:t>
      </w:r>
    </w:p>
    <w:p>
      <w:pPr>
        <w:spacing w:after="0" w:line="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North Bethesda, Maryland 20852</w:t>
      </w:r>
    </w:p>
    <w:p>
      <w:pPr>
        <w:spacing w:after="0" w:line="8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ectPr>
          <w:pgSz w:w="11900" w:h="16838" w:orient="portrait"/>
          <w:cols w:equalWidth="0" w:num="1">
            <w:col w:w="10780"/>
          </w:cols>
          <w:pgMar w:left="320" w:top="462" w:right="799" w:bottom="1440" w:gutter="0" w:footer="0" w:header="0"/>
        </w:sectPr>
      </w:pP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18, 2024</w:t>
      </w:r>
    </w:p>
    <w:p>
      <w:pPr>
        <w:spacing w:after="0" w:line="115" w:lineRule="exact"/>
        <w:rPr>
          <w:sz w:val="20"/>
          <w:szCs w:val="20"/>
          <w:color w:val="auto"/>
        </w:rPr>
      </w:pPr>
    </w:p>
    <w:p>
      <w:pPr>
        <w:sectPr>
          <w:pgSz w:w="11900" w:h="16838" w:orient="portrait"/>
          <w:cols w:equalWidth="0" w:num="2">
            <w:col w:w="1920" w:space="720"/>
            <w:col w:w="8140"/>
          </w:cols>
          <w:pgMar w:left="320" w:top="462" w:right="7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11:00 a.m., Eastern Time</w:t>
      </w:r>
    </w:p>
    <w:p>
      <w:pPr>
        <w:spacing w:after="0" w:line="116" w:lineRule="exact"/>
        <w:rPr>
          <w:sz w:val="20"/>
          <w:szCs w:val="20"/>
          <w:color w:val="auto"/>
        </w:rPr>
      </w:pPr>
    </w:p>
    <w:p>
      <w:pPr>
        <w:sectPr>
          <w:pgSz w:w="11900" w:h="16838" w:orient="portrait"/>
          <w:cols w:equalWidth="0" w:num="2">
            <w:col w:w="1920" w:space="720"/>
            <w:col w:w="8140"/>
          </w:cols>
          <w:pgMar w:left="320" w:top="462" w:right="7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b w:val="1"/>
          <w:bCs w:val="1"/>
          <w:color w:val="auto"/>
        </w:rPr>
        <w:t>Location:</w:t>
      </w:r>
    </w:p>
    <w:p>
      <w:pPr>
        <w:spacing w:after="0" w:line="20" w:lineRule="exact"/>
        <w:rPr>
          <w:sz w:val="20"/>
          <w:szCs w:val="20"/>
          <w:color w:val="auto"/>
        </w:rPr>
      </w:pPr>
      <w:r>
        <w:rPr>
          <w:sz w:val="20"/>
          <w:szCs w:val="20"/>
          <w:color w:val="auto"/>
        </w:rPr>
        <w:br w:type="column"/>
      </w: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 xml:space="preserve">The Annual Meeting can be accessed by visiting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xml:space="preserve"> and entering your control number included in the Notice of Internet Availability of Proxy Materials. You may log in beginning at 12:00 a.m. Eastern Time on June 18, 2024. Please note that the Annual Meeting website is not supported by Internet Explorer.</w:t>
      </w:r>
    </w:p>
    <w:p>
      <w:pPr>
        <w:spacing w:after="0" w:line="62" w:lineRule="exact"/>
        <w:rPr>
          <w:sz w:val="20"/>
          <w:szCs w:val="20"/>
          <w:color w:val="auto"/>
        </w:rPr>
      </w:pPr>
    </w:p>
    <w:p>
      <w:pPr>
        <w:sectPr>
          <w:pgSz w:w="11900" w:h="16838" w:orient="portrait"/>
          <w:cols w:equalWidth="0" w:num="2">
            <w:col w:w="1920" w:space="720"/>
            <w:col w:w="8140"/>
          </w:cols>
          <w:pgMar w:left="320" w:top="462" w:right="7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b w:val="1"/>
          <w:bCs w:val="1"/>
          <w:color w:val="auto"/>
        </w:rPr>
        <w:t>Record Date:</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Times New Roman" w:cs="Times New Roman" w:eastAsia="Times New Roman" w:hAnsi="Times New Roman"/>
          <w:sz w:val="17"/>
          <w:szCs w:val="17"/>
          <w:color w:val="auto"/>
        </w:rPr>
        <w:t>The Record Date for the Annual Meeting is April 24, 2024. Only stockholders of record at the close of business on the Record Date may vote at the Annual Meeting or any adjournment thereof. On the Record Date, there were 46,122,020 shares of Class A common stock and 2,676,154 shares of Class B common stock outstanding and entitled to vote (together, the “common stock”). Each holder of Class A common stock will have the right to one vote per share of Class A common stock and each holder of Class B common stock will have the right to twenty votes per share of Class B common stock. The holders of shares of common stock will vote together as a single class on all matters submitted to a vote at the Annual Meeting.</w:t>
      </w:r>
    </w:p>
    <w:p>
      <w:pPr>
        <w:spacing w:after="0" w:line="90" w:lineRule="exact"/>
        <w:rPr>
          <w:sz w:val="20"/>
          <w:szCs w:val="20"/>
          <w:color w:val="auto"/>
        </w:rPr>
      </w:pPr>
    </w:p>
    <w:p>
      <w:pPr>
        <w:sectPr>
          <w:pgSz w:w="11900" w:h="16838" w:orient="portrait"/>
          <w:cols w:equalWidth="0" w:num="2">
            <w:col w:w="1920" w:space="720"/>
            <w:col w:w="8140"/>
          </w:cols>
          <w:pgMar w:left="320" w:top="462" w:right="799" w:bottom="1440" w:gutter="0" w:footer="0" w:header="0"/>
          <w:type w:val="continuous"/>
        </w:sectPr>
      </w:pPr>
    </w:p>
    <w:p>
      <w:pPr>
        <w:ind w:left="2640" w:right="240"/>
        <w:spacing w:after="0" w:line="276" w:lineRule="auto"/>
        <w:rPr>
          <w:sz w:val="20"/>
          <w:szCs w:val="20"/>
          <w:color w:val="auto"/>
        </w:rPr>
      </w:pPr>
      <w:r>
        <w:rPr>
          <w:rFonts w:ascii="Times New Roman" w:cs="Times New Roman" w:eastAsia="Times New Roman" w:hAnsi="Times New Roman"/>
          <w:sz w:val="17"/>
          <w:szCs w:val="17"/>
          <w:color w:val="auto"/>
        </w:rPr>
        <w:t>Further information regarding voting rights and the matters to be voted upon is presented in the accompanying proxy statement.</w:t>
      </w:r>
    </w:p>
    <w:p>
      <w:pPr>
        <w:sectPr>
          <w:pgSz w:w="11900" w:h="16838" w:orient="portrait"/>
          <w:cols w:equalWidth="0" w:num="1">
            <w:col w:w="10780"/>
          </w:cols>
          <w:pgMar w:left="320" w:top="462" w:right="799" w:bottom="1440" w:gutter="0" w:footer="0" w:header="0"/>
          <w:type w:val="continuous"/>
        </w:sectPr>
      </w:pP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Items of Business: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The Annual Meeting will be held for the following purposes, which are more fully described in the proxy statement accompanying this Notice:</w:t>
      </w:r>
    </w:p>
    <w:p>
      <w:pPr>
        <w:spacing w:after="0" w:line="70" w:lineRule="exact"/>
        <w:rPr>
          <w:sz w:val="20"/>
          <w:szCs w:val="20"/>
          <w:color w:val="auto"/>
        </w:rPr>
      </w:pPr>
    </w:p>
    <w:p>
      <w:pPr>
        <w:sectPr>
          <w:pgSz w:w="11900" w:h="16838" w:orient="portrait"/>
          <w:cols w:equalWidth="0" w:num="2">
            <w:col w:w="1920" w:space="720"/>
            <w:col w:w="8140"/>
          </w:cols>
          <w:pgMar w:left="320" w:top="462" w:right="799" w:bottom="1440" w:gutter="0" w:footer="0" w:header="0"/>
          <w:type w:val="continuous"/>
        </w:sectPr>
      </w:pPr>
    </w:p>
    <w:p>
      <w:pPr>
        <w:ind w:left="3320" w:right="140" w:hanging="336"/>
        <w:spacing w:after="0" w:line="276" w:lineRule="auto"/>
        <w:rPr>
          <w:sz w:val="20"/>
          <w:szCs w:val="20"/>
          <w:color w:val="auto"/>
        </w:rPr>
      </w:pPr>
      <w:r>
        <w:rPr>
          <w:rFonts w:ascii="Times New Roman" w:cs="Times New Roman" w:eastAsia="Times New Roman" w:hAnsi="Times New Roman"/>
          <w:sz w:val="17"/>
          <w:szCs w:val="17"/>
          <w:color w:val="auto"/>
        </w:rPr>
        <w:t>(1)    To elect the Board of Directors’ two nominees for Class III directors, Ranjana Clark and Emily Rollins, each to hold office until our Annual Meeting of Stockholders in 2027.</w:t>
      </w:r>
    </w:p>
    <w:p>
      <w:pPr>
        <w:spacing w:after="0" w:line="70" w:lineRule="exact"/>
        <w:rPr>
          <w:sz w:val="20"/>
          <w:szCs w:val="20"/>
          <w:color w:val="auto"/>
        </w:rPr>
      </w:pPr>
    </w:p>
    <w:p>
      <w:pPr>
        <w:ind w:left="3320" w:right="60" w:hanging="336"/>
        <w:spacing w:after="0" w:line="276" w:lineRule="auto"/>
        <w:rPr>
          <w:sz w:val="20"/>
          <w:szCs w:val="20"/>
          <w:color w:val="auto"/>
        </w:rPr>
      </w:pPr>
      <w:r>
        <w:rPr>
          <w:rFonts w:ascii="Times New Roman" w:cs="Times New Roman" w:eastAsia="Times New Roman" w:hAnsi="Times New Roman"/>
          <w:sz w:val="17"/>
          <w:szCs w:val="17"/>
          <w:color w:val="auto"/>
        </w:rPr>
        <w:t>(2)    To approve, on an advisory basis, the compensation of our named executive officers, as disclosed in the proxy statement accompanying this Notice.</w:t>
      </w:r>
    </w:p>
    <w:p>
      <w:pPr>
        <w:spacing w:after="0" w:line="70" w:lineRule="exact"/>
        <w:rPr>
          <w:sz w:val="20"/>
          <w:szCs w:val="20"/>
          <w:color w:val="auto"/>
        </w:rPr>
      </w:pPr>
    </w:p>
    <w:p>
      <w:pPr>
        <w:ind w:left="3320" w:right="120" w:hanging="336"/>
        <w:spacing w:after="0" w:line="276" w:lineRule="auto"/>
        <w:rPr>
          <w:sz w:val="20"/>
          <w:szCs w:val="20"/>
          <w:color w:val="auto"/>
        </w:rPr>
      </w:pPr>
      <w:r>
        <w:rPr>
          <w:rFonts w:ascii="Times New Roman" w:cs="Times New Roman" w:eastAsia="Times New Roman" w:hAnsi="Times New Roman"/>
          <w:sz w:val="17"/>
          <w:szCs w:val="17"/>
          <w:color w:val="auto"/>
        </w:rPr>
        <w:t>(3)    To ratify the selection of KPMG LLP as our independent registered public accounting firm for the fiscal year ending December 31, 2024.</w:t>
      </w:r>
    </w:p>
    <w:p>
      <w:pPr>
        <w:spacing w:after="0" w:line="70" w:lineRule="exact"/>
        <w:rPr>
          <w:sz w:val="20"/>
          <w:szCs w:val="20"/>
          <w:color w:val="auto"/>
        </w:rPr>
      </w:pPr>
    </w:p>
    <w:p>
      <w:pPr>
        <w:ind w:left="3320" w:right="420" w:hanging="336"/>
        <w:spacing w:after="0" w:line="276" w:lineRule="auto"/>
        <w:rPr>
          <w:sz w:val="20"/>
          <w:szCs w:val="20"/>
          <w:color w:val="auto"/>
        </w:rPr>
      </w:pPr>
      <w:r>
        <w:rPr>
          <w:rFonts w:ascii="Times New Roman" w:cs="Times New Roman" w:eastAsia="Times New Roman" w:hAnsi="Times New Roman"/>
          <w:sz w:val="17"/>
          <w:szCs w:val="17"/>
          <w:color w:val="auto"/>
        </w:rPr>
        <w:t>(4)    To conduct any other business properly brought before the meeting or any adjournment or postponement thereof.</w:t>
      </w:r>
    </w:p>
    <w:p>
      <w:pPr>
        <w:spacing w:after="0" w:line="66" w:lineRule="exact"/>
        <w:rPr>
          <w:sz w:val="20"/>
          <w:szCs w:val="20"/>
          <w:color w:val="auto"/>
        </w:rPr>
      </w:pPr>
    </w:p>
    <w:p>
      <w:pPr>
        <w:ind w:left="2640"/>
        <w:spacing w:after="0" w:line="255"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expect to attend the virtual Annual Meeting, please vote by telephone or through the Internet, or, if you receive a paper proxy card by mail, by completing and returning the proxy card mailed to you, as promptly as possible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w:t>
      </w:r>
    </w:p>
    <w:p>
      <w:pPr>
        <w:sectPr>
          <w:pgSz w:w="11900" w:h="16838" w:orient="portrait"/>
          <w:cols w:equalWidth="0" w:num="1">
            <w:col w:w="10780"/>
          </w:cols>
          <w:pgMar w:left="320" w:top="462" w:right="7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2640"/>
        <w:spacing w:after="0" w:line="259" w:lineRule="auto"/>
        <w:rPr>
          <w:sz w:val="20"/>
          <w:szCs w:val="20"/>
          <w:color w:val="auto"/>
        </w:rPr>
      </w:pPr>
      <w:r>
        <w:rPr>
          <w:rFonts w:ascii="Times New Roman" w:cs="Times New Roman" w:eastAsia="Times New Roman" w:hAnsi="Times New Roman"/>
          <w:sz w:val="17"/>
          <w:szCs w:val="17"/>
          <w:b w:val="1"/>
          <w:bCs w:val="1"/>
          <w:color w:val="auto"/>
        </w:rPr>
        <w:t>Even if you have voted by proxy, you may still vote online during the Annual Meeting. Please note, however, that if your shares are held of record by a brokerage firm, bank or other agent and you wish to vote online at the Annual Meeting, you must obtain a proxy issued in your name from that agent to vote your shares that are held in such agent’s name and account.</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15240</wp:posOffset>
            </wp:positionV>
            <wp:extent cx="1736725" cy="329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6725" cy="3295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Kristie Scott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General Counsel and Secretary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North Bethesda, Maryland</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April 29, 2024</w:t>
      </w:r>
    </w:p>
    <w:p>
      <w:pPr>
        <w:sectPr>
          <w:pgSz w:w="11900" w:h="16838" w:orient="portrait"/>
          <w:cols w:equalWidth="0" w:num="1">
            <w:col w:w="10720"/>
          </w:cols>
          <w:pgMar w:left="320" w:top="462"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81"/>
        </w:trPr>
        <w:tc>
          <w:tcPr>
            <w:tcW w:w="968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EE"/>
              </w:rPr>
              <w:t>QUESTIONS AND ANSWERS ABOUT THESE PROXY MATERIALS AND VOTING</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w:t>
            </w:r>
          </w:p>
        </w:tc>
      </w:tr>
      <w:tr>
        <w:trPr>
          <w:trHeight w:val="183"/>
        </w:trPr>
        <w:tc>
          <w:tcPr>
            <w:tcW w:w="3140" w:type="dxa"/>
            <w:vAlign w:val="bottom"/>
            <w:tcBorders>
              <w:top w:val="single" w:sz="8" w:color="0000EE"/>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EE"/>
                <w:w w:val="98"/>
              </w:rPr>
              <w:t>PROPOSAL 1: ELECTION OF DIRECTORS</w:t>
            </w:r>
          </w:p>
        </w:tc>
        <w:tc>
          <w:tcPr>
            <w:tcW w:w="2940" w:type="dxa"/>
            <w:vAlign w:val="bottom"/>
            <w:tcBorders>
              <w:top w:val="single" w:sz="8" w:color="0000EE"/>
            </w:tcBorders>
            <w:gridSpan w:val="6"/>
          </w:tcPr>
          <w:p>
            <w:pPr>
              <w:spacing w:after="0"/>
              <w:rPr>
                <w:sz w:val="15"/>
                <w:szCs w:val="15"/>
                <w:color w:val="auto"/>
              </w:rPr>
            </w:pPr>
          </w:p>
        </w:tc>
        <w:tc>
          <w:tcPr>
            <w:tcW w:w="3600" w:type="dxa"/>
            <w:vAlign w:val="bottom"/>
            <w:gridSpan w:val="4"/>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9</w:t>
            </w:r>
          </w:p>
        </w:tc>
      </w:tr>
      <w:tr>
        <w:trPr>
          <w:trHeight w:val="183"/>
        </w:trPr>
        <w:tc>
          <w:tcPr>
            <w:tcW w:w="6200" w:type="dxa"/>
            <w:vAlign w:val="bottom"/>
            <w:tcBorders>
              <w:bottom w:val="single" w:sz="8" w:color="0000EE"/>
            </w:tcBorders>
            <w:gridSpan w:val="15"/>
          </w:tcPr>
          <w:p>
            <w:pPr>
              <w:spacing w:after="0" w:line="183" w:lineRule="exact"/>
              <w:rPr>
                <w:sz w:val="20"/>
                <w:szCs w:val="20"/>
                <w:color w:val="auto"/>
              </w:rPr>
            </w:pPr>
            <w:r>
              <w:rPr>
                <w:rFonts w:ascii="Times New Roman" w:cs="Times New Roman" w:eastAsia="Times New Roman" w:hAnsi="Times New Roman"/>
                <w:sz w:val="17"/>
                <w:szCs w:val="17"/>
                <w:color w:val="0000EE"/>
                <w:w w:val="98"/>
              </w:rPr>
              <w:t>INFORMATION ABOUT OUR DIRECTOR NOMINEES AND CURRENT DIRECTORS</w:t>
            </w:r>
          </w:p>
        </w:tc>
        <w:tc>
          <w:tcPr>
            <w:tcW w:w="3480" w:type="dxa"/>
            <w:vAlign w:val="bottom"/>
            <w:gridSpan w:val="3"/>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11</w:t>
            </w:r>
          </w:p>
        </w:tc>
      </w:tr>
      <w:tr>
        <w:trPr>
          <w:trHeight w:val="183"/>
        </w:trPr>
        <w:tc>
          <w:tcPr>
            <w:tcW w:w="5840" w:type="dxa"/>
            <w:vAlign w:val="bottom"/>
            <w:tcBorders>
              <w:bottom w:val="single" w:sz="8" w:color="0000EE"/>
            </w:tcBorders>
            <w:gridSpan w:val="13"/>
          </w:tcPr>
          <w:p>
            <w:pPr>
              <w:spacing w:after="0" w:line="183" w:lineRule="exact"/>
              <w:rPr>
                <w:sz w:val="20"/>
                <w:szCs w:val="20"/>
                <w:color w:val="auto"/>
              </w:rPr>
            </w:pPr>
            <w:r>
              <w:rPr>
                <w:rFonts w:ascii="Times New Roman" w:cs="Times New Roman" w:eastAsia="Times New Roman" w:hAnsi="Times New Roman"/>
                <w:sz w:val="17"/>
                <w:szCs w:val="17"/>
                <w:color w:val="0000EE"/>
                <w:w w:val="98"/>
              </w:rPr>
              <w:t>INFORMATION REGARDING THE BOARD AND CORPORATE GOVERNANCE</w:t>
            </w:r>
          </w:p>
        </w:tc>
        <w:tc>
          <w:tcPr>
            <w:tcW w:w="3840" w:type="dxa"/>
            <w:vAlign w:val="bottom"/>
            <w:gridSpan w:val="5"/>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14</w:t>
            </w:r>
          </w:p>
        </w:tc>
      </w:tr>
      <w:tr>
        <w:trPr>
          <w:trHeight w:val="183"/>
        </w:trPr>
        <w:tc>
          <w:tcPr>
            <w:tcW w:w="506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7"/>
                <w:szCs w:val="17"/>
                <w:color w:val="0000EE"/>
                <w:w w:val="98"/>
              </w:rPr>
              <w:t>PROPOSAL 2: ADVISORY VOTE ON EXECUTIVE COMPENSATION</w:t>
            </w:r>
          </w:p>
        </w:tc>
        <w:tc>
          <w:tcPr>
            <w:tcW w:w="4620" w:type="dxa"/>
            <w:vAlign w:val="bottom"/>
            <w:gridSpan w:val="6"/>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22</w:t>
            </w:r>
          </w:p>
        </w:tc>
      </w:tr>
      <w:tr>
        <w:trPr>
          <w:trHeight w:val="183"/>
        </w:trPr>
        <w:tc>
          <w:tcPr>
            <w:tcW w:w="17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7"/>
                <w:szCs w:val="17"/>
                <w:color w:val="0000EE"/>
                <w:w w:val="98"/>
              </w:rPr>
              <w:t>EXECUTIVE OFFICERS</w:t>
            </w:r>
          </w:p>
        </w:tc>
        <w:tc>
          <w:tcPr>
            <w:tcW w:w="7900" w:type="dxa"/>
            <w:vAlign w:val="bottom"/>
            <w:gridSpan w:val="13"/>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23</w:t>
            </w:r>
          </w:p>
        </w:tc>
      </w:tr>
      <w:tr>
        <w:trPr>
          <w:trHeight w:val="183"/>
        </w:trPr>
        <w:tc>
          <w:tcPr>
            <w:tcW w:w="230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EE"/>
                <w:w w:val="97"/>
              </w:rPr>
              <w:t>EXECUTIVE COMPENSATION</w:t>
            </w:r>
          </w:p>
        </w:tc>
        <w:tc>
          <w:tcPr>
            <w:tcW w:w="7380" w:type="dxa"/>
            <w:vAlign w:val="bottom"/>
            <w:gridSpan w:val="11"/>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24</w:t>
            </w:r>
          </w:p>
        </w:tc>
      </w:tr>
      <w:tr>
        <w:trPr>
          <w:trHeight w:val="183"/>
        </w:trPr>
        <w:tc>
          <w:tcPr>
            <w:tcW w:w="968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CEO PAY RATIO</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42</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68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PAY VERSUS PERFORMANCE</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43</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68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NON-EMPLOYEE DIRECTOR COMPENSATION</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49</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68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PROPOSAL 3: RATIFICATION OF THE SELECTION OF KPMG AS OUR INDEPENDENT REGISTERED PUBLIC ACCOUNTING</w:t>
            </w:r>
          </w:p>
        </w:tc>
        <w:tc>
          <w:tcPr>
            <w:tcW w:w="600" w:type="dxa"/>
            <w:vAlign w:val="bottom"/>
          </w:tcPr>
          <w:p>
            <w:pPr>
              <w:spacing w:after="0"/>
              <w:rPr>
                <w:sz w:val="15"/>
                <w:szCs w:val="15"/>
                <w:color w:val="auto"/>
              </w:rPr>
            </w:pPr>
          </w:p>
        </w:tc>
      </w:tr>
      <w:tr>
        <w:trPr>
          <w:trHeight w:val="183"/>
        </w:trPr>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6"/>
              </w:rPr>
              <w:t>FIRM</w:t>
            </w:r>
          </w:p>
        </w:tc>
        <w:tc>
          <w:tcPr>
            <w:tcW w:w="8760" w:type="dxa"/>
            <w:vAlign w:val="bottom"/>
            <w:tcBorders>
              <w:top w:val="single" w:sz="8" w:color="0000EE"/>
            </w:tcBorders>
            <w:gridSpan w:val="15"/>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52</w:t>
            </w:r>
          </w:p>
        </w:tc>
      </w:tr>
      <w:tr>
        <w:trPr>
          <w:trHeight w:val="183"/>
        </w:trPr>
        <w:tc>
          <w:tcPr>
            <w:tcW w:w="968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TRANSACTIONS WITH RELATED PERSONS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54</w:t>
            </w: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68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55</w:t>
            </w:r>
          </w:p>
        </w:tc>
      </w:tr>
      <w:tr>
        <w:trPr>
          <w:trHeight w:val="183"/>
        </w:trPr>
        <w:tc>
          <w:tcPr>
            <w:tcW w:w="3200" w:type="dxa"/>
            <w:vAlign w:val="bottom"/>
            <w:tcBorders>
              <w:top w:val="single" w:sz="8" w:color="0000EE"/>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EE"/>
                <w:w w:val="98"/>
              </w:rPr>
              <w:t>HOUSEHOLDING OF PROXY MATERIALS</w:t>
            </w:r>
          </w:p>
        </w:tc>
        <w:tc>
          <w:tcPr>
            <w:tcW w:w="3100" w:type="dxa"/>
            <w:vAlign w:val="bottom"/>
            <w:tcBorders>
              <w:top w:val="single" w:sz="8" w:color="0000EE"/>
            </w:tcBorders>
            <w:gridSpan w:val="7"/>
          </w:tcPr>
          <w:p>
            <w:pPr>
              <w:spacing w:after="0"/>
              <w:rPr>
                <w:sz w:val="15"/>
                <w:szCs w:val="15"/>
                <w:color w:val="auto"/>
              </w:rPr>
            </w:pPr>
          </w:p>
        </w:tc>
        <w:tc>
          <w:tcPr>
            <w:tcW w:w="3380" w:type="dxa"/>
            <w:vAlign w:val="bottom"/>
            <w:gridSpan w:val="2"/>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59</w:t>
            </w:r>
          </w:p>
        </w:tc>
      </w:tr>
      <w:tr>
        <w:trPr>
          <w:trHeight w:val="183"/>
        </w:trPr>
        <w:tc>
          <w:tcPr>
            <w:tcW w:w="138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EE"/>
                <w:w w:val="96"/>
              </w:rPr>
              <w:t>OTHER MATTERS</w:t>
            </w:r>
          </w:p>
        </w:tc>
        <w:tc>
          <w:tcPr>
            <w:tcW w:w="8300" w:type="dxa"/>
            <w:vAlign w:val="bottom"/>
            <w:gridSpan w:val="14"/>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60</w:t>
            </w:r>
          </w:p>
        </w:tc>
      </w:tr>
    </w:tbl>
    <w:p>
      <w:pPr>
        <w:spacing w:after="0" w:line="14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740"/>
          </w:cols>
          <w:pgMar w:left="320" w:top="462" w:right="8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0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XOMETRY, INC.</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6116 Executive Boulevard</w:t>
      </w:r>
    </w:p>
    <w:p>
      <w:pPr>
        <w:spacing w:after="0" w:line="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Suite 800</w:t>
      </w:r>
    </w:p>
    <w:p>
      <w:pPr>
        <w:spacing w:after="0" w:line="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North Bethesda, Maryland 20852</w:t>
      </w:r>
    </w:p>
    <w:p>
      <w:pPr>
        <w:spacing w:after="0" w:line="8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QUESTIONS AND ANSWERS ABOUT THESE PROXY MATERIALS AND VOTING</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on the internet instead of a full set of Proxy Materials?</w:t>
      </w:r>
    </w:p>
    <w:p>
      <w:pPr>
        <w:spacing w:after="0" w:line="112" w:lineRule="exact"/>
        <w:rPr>
          <w:sz w:val="20"/>
          <w:szCs w:val="20"/>
          <w:color w:val="auto"/>
        </w:rPr>
      </w:pPr>
    </w:p>
    <w:p>
      <w:pPr>
        <w:ind w:left="460" w:right="80" w:firstLine="413"/>
        <w:spacing w:after="0" w:line="255" w:lineRule="auto"/>
        <w:rPr>
          <w:sz w:val="20"/>
          <w:szCs w:val="20"/>
          <w:color w:val="auto"/>
        </w:rPr>
      </w:pPr>
      <w:r>
        <w:rPr>
          <w:rFonts w:ascii="Times New Roman" w:cs="Times New Roman" w:eastAsia="Times New Roman" w:hAnsi="Times New Roman"/>
          <w:sz w:val="17"/>
          <w:szCs w:val="17"/>
          <w:color w:val="auto"/>
        </w:rPr>
        <w:t xml:space="preserve">Pursuant to rules adopted by the Securities and Exchange Commission (the “SEC”), we have elected to provide access to our Proxy Materials (as defined below) over the Internet. Accordingly, we have sent you a Notice of Internet Availability because the Board of Directors of Xometry, Inc. (the “Board”) is soliciting your proxy to vote at the 2024 Annual Meeting of Stockholders (the “Annual Meeting”) of Xometry, Inc., including at any adjournments or postponements thereof, to be held on Tuesday, June 18, 2024 at 11:00 a.m., Eastern Time. The Annual Meeting can be accessed by visiting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Please note that supported browsers include Chrome, MS Edge, Firefox and Safari.</w:t>
      </w:r>
    </w:p>
    <w:p>
      <w:pPr>
        <w:spacing w:after="0" w:line="177" w:lineRule="exact"/>
        <w:rPr>
          <w:sz w:val="20"/>
          <w:szCs w:val="20"/>
          <w:color w:val="auto"/>
        </w:rPr>
      </w:pPr>
    </w:p>
    <w:p>
      <w:pPr>
        <w:ind w:left="460" w:right="160" w:firstLine="413"/>
        <w:spacing w:after="0" w:line="262" w:lineRule="auto"/>
        <w:rPr>
          <w:sz w:val="20"/>
          <w:szCs w:val="20"/>
          <w:color w:val="auto"/>
        </w:rPr>
      </w:pPr>
      <w:r>
        <w:rPr>
          <w:rFonts w:ascii="Times New Roman" w:cs="Times New Roman" w:eastAsia="Times New Roman" w:hAnsi="Times New Roman"/>
          <w:sz w:val="17"/>
          <w:szCs w:val="17"/>
          <w:color w:val="auto"/>
        </w:rPr>
        <w:t>The Notice of 2024 Annual Meeting of Stockholders (“Notice of Annual Meeting”), this proxy statement, the proxy card or voting instruction form, and our Annual Report on Form 10-K for the fiscal year ended December 31, 2023 (the “Annual Report” and, together with the proxy statement and proxy card or voting instruction form, the “Proxy Materials”) are available to stockholders on the Internet.</w:t>
      </w:r>
    </w:p>
    <w:p>
      <w:pPr>
        <w:spacing w:after="0" w:line="170" w:lineRule="exact"/>
        <w:rPr>
          <w:sz w:val="20"/>
          <w:szCs w:val="20"/>
          <w:color w:val="auto"/>
        </w:rPr>
      </w:pPr>
    </w:p>
    <w:p>
      <w:pPr>
        <w:ind w:left="460" w:right="140" w:firstLine="413"/>
        <w:spacing w:after="0" w:line="254" w:lineRule="auto"/>
        <w:rPr>
          <w:sz w:val="20"/>
          <w:szCs w:val="20"/>
          <w:color w:val="auto"/>
        </w:rPr>
      </w:pPr>
      <w:r>
        <w:rPr>
          <w:rFonts w:ascii="Times New Roman" w:cs="Times New Roman" w:eastAsia="Times New Roman" w:hAnsi="Times New Roman"/>
          <w:sz w:val="17"/>
          <w:szCs w:val="17"/>
          <w:color w:val="auto"/>
        </w:rPr>
        <w:t>The Notice of Internet Availability will provide instructions as to how a stockholder of record may access and review the Proxy Materials on the website referred to in the Notice of Internet Availability or, alternatively, how to request that a copy of the Proxy Materials, including a proxy card, be sent by mail or email to the stockholder of record. The Notice of Internet Availability will also provide voting instructions. Please note that, while our Proxy Materials are available at the website referenced in the Notice of Internet Availability, and our Notice of Annual Meeting, proxy statement and Annual Report are available on our website, no other information contained on either website is incorporated by reference in or considered to be a part of this document.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 intend to mail the Notice of Internet Availability on or about May 6, 2024 to all stockholders of record entitled to vote at the Annual Meeting.</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Proxy Materials will be made available to stockholders on the Internet on the same date.</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this proxy statement, we refer to Xometry, Inc. as “Xometry,” “we” or “us.”</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Will I receive any other Proxy Materials by mail?</w:t>
      </w:r>
    </w:p>
    <w:p>
      <w:pPr>
        <w:spacing w:after="0" w:line="112" w:lineRule="exact"/>
        <w:rPr>
          <w:sz w:val="20"/>
          <w:szCs w:val="20"/>
          <w:color w:val="auto"/>
        </w:rPr>
      </w:pPr>
    </w:p>
    <w:p>
      <w:pPr>
        <w:ind w:left="460" w:right="380" w:firstLine="413"/>
        <w:spacing w:after="0" w:line="276" w:lineRule="auto"/>
        <w:rPr>
          <w:sz w:val="20"/>
          <w:szCs w:val="20"/>
          <w:color w:val="auto"/>
        </w:rPr>
      </w:pPr>
      <w:r>
        <w:rPr>
          <w:rFonts w:ascii="Times New Roman" w:cs="Times New Roman" w:eastAsia="Times New Roman" w:hAnsi="Times New Roman"/>
          <w:sz w:val="17"/>
          <w:szCs w:val="17"/>
          <w:color w:val="auto"/>
        </w:rPr>
        <w:t>You will not receive any additional Proxy Materials via mail unless you request a printed copy of the Proxy Materials in accordance with the instructions set forth in the Notice of Internet Availability.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When is the record date for the Annual Meeting?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Board has fixed the record date for the Annual Meeting as of the close of business on April 24, 2024 (the “Record Date”).</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do I attend the Annual Meeting?</w:t>
      </w:r>
    </w:p>
    <w:p>
      <w:pPr>
        <w:spacing w:after="0" w:line="112" w:lineRule="exact"/>
        <w:rPr>
          <w:sz w:val="20"/>
          <w:szCs w:val="20"/>
          <w:color w:val="auto"/>
        </w:rPr>
      </w:pPr>
    </w:p>
    <w:p>
      <w:pPr>
        <w:ind w:left="460" w:firstLine="413"/>
        <w:spacing w:after="0" w:line="262" w:lineRule="auto"/>
        <w:rPr>
          <w:sz w:val="20"/>
          <w:szCs w:val="20"/>
          <w:color w:val="auto"/>
        </w:rPr>
      </w:pPr>
      <w:r>
        <w:rPr>
          <w:rFonts w:ascii="Times New Roman" w:cs="Times New Roman" w:eastAsia="Times New Roman" w:hAnsi="Times New Roman"/>
          <w:sz w:val="17"/>
          <w:szCs w:val="17"/>
          <w:color w:val="auto"/>
        </w:rPr>
        <w:t>We will be hosting the Annual Meeting via live webcast only. You are entitled to attend the Annual Meeting if you were a stockholder as of the close of business on the Record Date, or if you hold a valid proxy for the meeting. There will not be a physical location for the Annual Meeting, and you will not be able to attend the Annual Meeting in person.</w:t>
      </w:r>
    </w:p>
    <w:p>
      <w:pPr>
        <w:spacing w:after="0" w:line="1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760"/>
          </w:cols>
          <w:pgMar w:left="320" w:top="462"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60" w:firstLine="413"/>
        <w:spacing w:after="0" w:line="258" w:lineRule="auto"/>
        <w:rPr>
          <w:sz w:val="20"/>
          <w:szCs w:val="20"/>
          <w:color w:val="auto"/>
        </w:rPr>
      </w:pPr>
      <w:r>
        <w:rPr>
          <w:rFonts w:ascii="Times New Roman" w:cs="Times New Roman" w:eastAsia="Times New Roman" w:hAnsi="Times New Roman"/>
          <w:sz w:val="17"/>
          <w:szCs w:val="17"/>
          <w:color w:val="auto"/>
        </w:rPr>
        <w:t xml:space="preserve">The Annual Meeting will begin promptly at 11:00 a.m., Eastern Time, on Tuesday, June 18, 2024. To participate in the Annual Meeting, you will need to visit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xml:space="preserve"> and enter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73" w:lineRule="exact"/>
        <w:rPr>
          <w:sz w:val="20"/>
          <w:szCs w:val="20"/>
          <w:color w:val="auto"/>
        </w:rPr>
      </w:pPr>
    </w:p>
    <w:p>
      <w:pPr>
        <w:ind w:left="460" w:right="160" w:firstLine="413"/>
        <w:spacing w:after="0" w:line="309" w:lineRule="auto"/>
        <w:rPr>
          <w:sz w:val="20"/>
          <w:szCs w:val="20"/>
          <w:color w:val="auto"/>
        </w:rPr>
      </w:pPr>
      <w:r>
        <w:rPr>
          <w:rFonts w:ascii="Times New Roman" w:cs="Times New Roman" w:eastAsia="Times New Roman" w:hAnsi="Times New Roman"/>
          <w:sz w:val="16"/>
          <w:szCs w:val="16"/>
          <w:color w:val="auto"/>
        </w:rPr>
        <w:t>We recommend that you log in a few minutes before the Annual Meeting to ensure that you are logged in when the meeting starts. Please follow the registration instructions as outlined in this proxy statement. Information on how to vote online during the Annual Meeting is discussed below.</w:t>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do I do if I have technical difficulties in connection with the Annual Meeting?</w:t>
      </w:r>
    </w:p>
    <w:p>
      <w:pPr>
        <w:spacing w:after="0" w:line="112" w:lineRule="exact"/>
        <w:rPr>
          <w:sz w:val="20"/>
          <w:szCs w:val="20"/>
          <w:color w:val="auto"/>
        </w:rPr>
      </w:pPr>
    </w:p>
    <w:p>
      <w:pPr>
        <w:ind w:left="460" w:right="40" w:firstLine="413"/>
        <w:spacing w:after="0" w:line="262" w:lineRule="auto"/>
        <w:rPr>
          <w:sz w:val="20"/>
          <w:szCs w:val="20"/>
          <w:color w:val="auto"/>
        </w:rPr>
      </w:pPr>
      <w:r>
        <w:rPr>
          <w:rFonts w:ascii="Times New Roman" w:cs="Times New Roman" w:eastAsia="Times New Roman" w:hAnsi="Times New Roman"/>
          <w:sz w:val="17"/>
          <w:szCs w:val="17"/>
          <w:color w:val="auto"/>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Technical support will be available starting at 7:00 a.m., Eastern Time, on June 18, 2024.</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do I register to attend the Annual Meeting?</w:t>
      </w:r>
    </w:p>
    <w:p>
      <w:pPr>
        <w:spacing w:after="0" w:line="112" w:lineRule="exact"/>
        <w:rPr>
          <w:sz w:val="20"/>
          <w:szCs w:val="20"/>
          <w:color w:val="auto"/>
        </w:rPr>
      </w:pPr>
    </w:p>
    <w:p>
      <w:pPr>
        <w:ind w:left="460" w:right="540" w:firstLine="413"/>
        <w:spacing w:after="0" w:line="262" w:lineRule="auto"/>
        <w:rPr>
          <w:sz w:val="20"/>
          <w:szCs w:val="20"/>
          <w:color w:val="auto"/>
        </w:rPr>
      </w:pPr>
      <w:r>
        <w:rPr>
          <w:rFonts w:ascii="Times New Roman" w:cs="Times New Roman" w:eastAsia="Times New Roman" w:hAnsi="Times New Roman"/>
          <w:sz w:val="17"/>
          <w:szCs w:val="17"/>
          <w:color w:val="auto"/>
        </w:rPr>
        <w:t>If you are a registered stockholder (i.e., you hold your shares through our transfer agent, Computershare Trust Company, N.A. (“Computershare”)), you do not need to register to attend the Annual Meeting. Please follow the instructions on the notice or proxy card that you received to join the Annual Meeting.</w:t>
      </w:r>
    </w:p>
    <w:p>
      <w:pPr>
        <w:spacing w:after="0" w:line="170" w:lineRule="exact"/>
        <w:rPr>
          <w:sz w:val="20"/>
          <w:szCs w:val="20"/>
          <w:color w:val="auto"/>
        </w:rPr>
      </w:pPr>
    </w:p>
    <w:p>
      <w:pPr>
        <w:ind w:left="460" w:right="40" w:firstLine="413"/>
        <w:spacing w:after="0" w:line="276" w:lineRule="auto"/>
        <w:rPr>
          <w:sz w:val="20"/>
          <w:szCs w:val="20"/>
          <w:color w:val="auto"/>
        </w:rPr>
      </w:pPr>
      <w:r>
        <w:rPr>
          <w:rFonts w:ascii="Times New Roman" w:cs="Times New Roman" w:eastAsia="Times New Roman" w:hAnsi="Times New Roman"/>
          <w:sz w:val="17"/>
          <w:szCs w:val="17"/>
          <w:color w:val="auto"/>
        </w:rPr>
        <w:t>If you hold your shares through an intermediary, such as a bank or broker, you must register in advance to attend the Annual Meeting or to vote or ask questions during the Annual Meeting.</w:t>
      </w:r>
    </w:p>
    <w:p>
      <w:pPr>
        <w:spacing w:after="0" w:line="158" w:lineRule="exact"/>
        <w:rPr>
          <w:sz w:val="20"/>
          <w:szCs w:val="20"/>
          <w:color w:val="auto"/>
        </w:rPr>
      </w:pPr>
    </w:p>
    <w:p>
      <w:pPr>
        <w:ind w:left="460" w:right="20" w:firstLine="413"/>
        <w:spacing w:after="0" w:line="286" w:lineRule="auto"/>
        <w:rPr>
          <w:sz w:val="20"/>
          <w:szCs w:val="20"/>
          <w:color w:val="auto"/>
        </w:rPr>
      </w:pPr>
      <w:r>
        <w:rPr>
          <w:rFonts w:ascii="Times New Roman" w:cs="Times New Roman" w:eastAsia="Times New Roman" w:hAnsi="Times New Roman"/>
          <w:sz w:val="16"/>
          <w:szCs w:val="16"/>
          <w:color w:val="auto"/>
        </w:rPr>
        <w:t>To register to attend the Annual Meeting you must submit proof of your proxy power (“Legal Proxy”) reflecting your holdings in our capital stock along with your name and email address to Computershare. Requests for registration must be labeled as “Legal Proxy” and be received no later than 5:00 p.m., Eastern Time, on June 13, 2024. You will receive confirmation of your registration by email after we receive your registration materials.</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Requests for registration should be directed to Computershare as follows:</w:t>
      </w:r>
    </w:p>
    <w:p>
      <w:pPr>
        <w:spacing w:after="0" w:line="221" w:lineRule="exact"/>
        <w:rPr>
          <w:sz w:val="20"/>
          <w:szCs w:val="20"/>
          <w:color w:val="auto"/>
        </w:rPr>
      </w:pPr>
    </w:p>
    <w:tbl>
      <w:tblPr>
        <w:tblLayout w:type="fixed"/>
        <w:tblInd w:w="1400" w:type="dxa"/>
        <w:tblCellMar>
          <w:top w:w="0" w:type="dxa"/>
          <w:left w:w="0" w:type="dxa"/>
          <w:bottom w:w="0" w:type="dxa"/>
          <w:right w:w="0" w:type="dxa"/>
        </w:tblCellMar>
      </w:tblPr>
      <w:tr>
        <w:trPr>
          <w:trHeight w:val="19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email:</w:t>
            </w:r>
          </w:p>
        </w:tc>
        <w:tc>
          <w:tcPr>
            <w:tcW w:w="602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8"/>
              </w:rPr>
              <w:t>Forward the email from your broker granting you a Legal Proxy, or attach an image of</w:t>
            </w:r>
          </w:p>
        </w:tc>
      </w:tr>
      <w:tr>
        <w:trPr>
          <w:trHeight w:val="220"/>
        </w:trPr>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your Legal Proxy, to </w:t>
            </w:r>
            <w:r>
              <w:rPr>
                <w:rFonts w:ascii="Times New Roman" w:cs="Times New Roman" w:eastAsia="Times New Roman" w:hAnsi="Times New Roman"/>
                <w:sz w:val="17"/>
                <w:szCs w:val="17"/>
                <w:i w:val="1"/>
                <w:iCs w:val="1"/>
                <w:color w:val="auto"/>
              </w:rPr>
              <w:t>legalproxy@computershare.com</w:t>
            </w:r>
            <w:r>
              <w:rPr>
                <w:rFonts w:ascii="Times New Roman" w:cs="Times New Roman" w:eastAsia="Times New Roman" w:hAnsi="Times New Roman"/>
                <w:sz w:val="17"/>
                <w:szCs w:val="17"/>
                <w:color w:val="auto"/>
              </w:rPr>
              <w:t>.</w:t>
            </w:r>
          </w:p>
        </w:tc>
      </w:tr>
      <w:tr>
        <w:trPr>
          <w:trHeight w:val="267"/>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mail:</w:t>
            </w:r>
          </w:p>
        </w:tc>
        <w:tc>
          <w:tcPr>
            <w:tcW w:w="6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Computershare Trust Company, N.A.</w:t>
            </w:r>
          </w:p>
        </w:tc>
      </w:tr>
      <w:tr>
        <w:trPr>
          <w:trHeight w:val="204"/>
        </w:trPr>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Xometry Legal Proxy</w:t>
            </w:r>
          </w:p>
        </w:tc>
      </w:tr>
      <w:tr>
        <w:trPr>
          <w:trHeight w:val="203"/>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P.O. Box 43001</w:t>
            </w:r>
          </w:p>
        </w:tc>
      </w:tr>
      <w:tr>
        <w:trPr>
          <w:trHeight w:val="218"/>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Providence, RI 02940-3001</w:t>
            </w:r>
          </w:p>
        </w:tc>
      </w:tr>
    </w:tbl>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do I ask a question at the Annual Meeting?</w:t>
      </w:r>
    </w:p>
    <w:p>
      <w:pPr>
        <w:spacing w:after="0" w:line="112" w:lineRule="exact"/>
        <w:rPr>
          <w:sz w:val="20"/>
          <w:szCs w:val="20"/>
          <w:color w:val="auto"/>
        </w:rPr>
      </w:pPr>
    </w:p>
    <w:p>
      <w:pPr>
        <w:ind w:left="460" w:firstLine="413"/>
        <w:spacing w:after="0" w:line="258" w:lineRule="auto"/>
        <w:rPr>
          <w:sz w:val="20"/>
          <w:szCs w:val="20"/>
          <w:color w:val="auto"/>
        </w:rPr>
      </w:pPr>
      <w:r>
        <w:rPr>
          <w:rFonts w:ascii="Times New Roman" w:cs="Times New Roman" w:eastAsia="Times New Roman" w:hAnsi="Times New Roman"/>
          <w:sz w:val="17"/>
          <w:szCs w:val="17"/>
          <w:color w:val="auto"/>
        </w:rPr>
        <w:t xml:space="preserve">Only stockholders of record as of the Record Date may submit questions or comments that may be addressed during the Annual Meeting. If you would like to submit a question, you may do so by going to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xml:space="preserve"> and entering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73" w:lineRule="exact"/>
        <w:rPr>
          <w:sz w:val="20"/>
          <w:szCs w:val="20"/>
          <w:color w:val="auto"/>
        </w:rPr>
      </w:pPr>
    </w:p>
    <w:p>
      <w:pPr>
        <w:ind w:left="460" w:right="100" w:firstLine="413"/>
        <w:spacing w:after="0" w:line="262" w:lineRule="auto"/>
        <w:rPr>
          <w:sz w:val="20"/>
          <w:szCs w:val="20"/>
          <w:color w:val="auto"/>
        </w:rPr>
      </w:pPr>
      <w:r>
        <w:rPr>
          <w:rFonts w:ascii="Times New Roman" w:cs="Times New Roman" w:eastAsia="Times New Roman" w:hAnsi="Times New Roman"/>
          <w:sz w:val="17"/>
          <w:szCs w:val="17"/>
          <w:color w:val="auto"/>
        </w:rPr>
        <w:t>In accordance with the rules of conduct, we ask that you limit your questions to questions that are relevant to the Annual Meeting or our business and that such questions are respectful of your fellow stockholders and meeting participants. Questions and answers may be grouped by topic, and substantially similar questions may be</w:t>
      </w:r>
    </w:p>
    <w:p>
      <w:pPr>
        <w:spacing w:after="0" w:line="1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780"/>
          </w:cols>
          <w:pgMar w:left="320" w:top="462"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400"/>
        <w:spacing w:after="0" w:line="262" w:lineRule="auto"/>
        <w:rPr>
          <w:sz w:val="20"/>
          <w:szCs w:val="20"/>
          <w:color w:val="auto"/>
        </w:rPr>
      </w:pPr>
      <w:r>
        <w:rPr>
          <w:rFonts w:ascii="Times New Roman" w:cs="Times New Roman" w:eastAsia="Times New Roman" w:hAnsi="Times New Roman"/>
          <w:sz w:val="17"/>
          <w:szCs w:val="17"/>
          <w:color w:val="auto"/>
        </w:rPr>
        <w:t>grouped and answered once. In addition, questions may be ruled out of order if they are, among other things, irrelevant to our business, related to pending or threatened litigation, disorderly, repetitious of statements already made, or in furtherance of the stockholder’s own personal, political or business interests.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Will a list of record stockholders as of the record date be available?</w:t>
      </w:r>
    </w:p>
    <w:p>
      <w:pPr>
        <w:spacing w:after="0" w:line="112" w:lineRule="exact"/>
        <w:rPr>
          <w:sz w:val="20"/>
          <w:szCs w:val="20"/>
          <w:color w:val="auto"/>
        </w:rPr>
      </w:pPr>
    </w:p>
    <w:p>
      <w:pPr>
        <w:jc w:val="both"/>
        <w:ind w:left="460" w:right="240" w:firstLine="413"/>
        <w:spacing w:after="0" w:line="262" w:lineRule="auto"/>
        <w:rPr>
          <w:sz w:val="20"/>
          <w:szCs w:val="20"/>
          <w:color w:val="auto"/>
        </w:rPr>
      </w:pPr>
      <w:r>
        <w:rPr>
          <w:rFonts w:ascii="Times New Roman" w:cs="Times New Roman" w:eastAsia="Times New Roman" w:hAnsi="Times New Roman"/>
          <w:sz w:val="17"/>
          <w:szCs w:val="17"/>
          <w:color w:val="auto"/>
        </w:rPr>
        <w:t xml:space="preserve">A list of stockholders entitled to vote at the meeting will be available for examination during normal business hours by any stockholder for any purpose germane to the meeting for the ten days ending the day prior to the meeting at our offices. Please email </w:t>
      </w:r>
      <w:r>
        <w:rPr>
          <w:rFonts w:ascii="Times New Roman" w:cs="Times New Roman" w:eastAsia="Times New Roman" w:hAnsi="Times New Roman"/>
          <w:sz w:val="17"/>
          <w:szCs w:val="17"/>
          <w:i w:val="1"/>
          <w:iCs w:val="1"/>
          <w:color w:val="auto"/>
        </w:rPr>
        <w:t>legal@xometry.com</w:t>
      </w:r>
      <w:r>
        <w:rPr>
          <w:rFonts w:ascii="Times New Roman" w:cs="Times New Roman" w:eastAsia="Times New Roman" w:hAnsi="Times New Roman"/>
          <w:sz w:val="17"/>
          <w:szCs w:val="17"/>
          <w:color w:val="auto"/>
        </w:rPr>
        <w:t xml:space="preserve"> to arrange for an in-person examination. The stockholder list will also be available electronically during the meeting.</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Who can vote at the Annual Meeting?</w:t>
      </w:r>
    </w:p>
    <w:p>
      <w:pPr>
        <w:spacing w:after="0" w:line="112" w:lineRule="exact"/>
        <w:rPr>
          <w:sz w:val="20"/>
          <w:szCs w:val="20"/>
          <w:color w:val="auto"/>
        </w:rPr>
      </w:pPr>
    </w:p>
    <w:p>
      <w:pPr>
        <w:ind w:left="460" w:right="100" w:firstLine="413"/>
        <w:spacing w:after="0" w:line="309" w:lineRule="auto"/>
        <w:rPr>
          <w:sz w:val="20"/>
          <w:szCs w:val="20"/>
          <w:color w:val="auto"/>
        </w:rPr>
      </w:pPr>
      <w:r>
        <w:rPr>
          <w:rFonts w:ascii="Times New Roman" w:cs="Times New Roman" w:eastAsia="Times New Roman" w:hAnsi="Times New Roman"/>
          <w:sz w:val="16"/>
          <w:szCs w:val="16"/>
          <w:color w:val="auto"/>
        </w:rPr>
        <w:t>Only stockholders of record at the close of business on the Record Date will be entitled to vote online during the Annual Meeting. On the Record Date, there were 46,122,020 shares of Class A common stock and 2,676,154 shares of Class B common stock outstanding and entitled to vote.</w:t>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Stockholder of Record: Shares Registered in Your Name</w:t>
      </w:r>
    </w:p>
    <w:p>
      <w:pPr>
        <w:spacing w:after="0" w:line="112" w:lineRule="exact"/>
        <w:rPr>
          <w:sz w:val="20"/>
          <w:szCs w:val="20"/>
          <w:color w:val="auto"/>
        </w:rPr>
      </w:pPr>
    </w:p>
    <w:p>
      <w:pPr>
        <w:ind w:left="460" w:right="20" w:firstLine="413"/>
        <w:spacing w:after="0" w:line="258" w:lineRule="auto"/>
        <w:rPr>
          <w:sz w:val="20"/>
          <w:szCs w:val="20"/>
          <w:color w:val="auto"/>
        </w:rPr>
      </w:pPr>
      <w:r>
        <w:rPr>
          <w:rFonts w:ascii="Times New Roman" w:cs="Times New Roman" w:eastAsia="Times New Roman" w:hAnsi="Times New Roman"/>
          <w:sz w:val="17"/>
          <w:szCs w:val="17"/>
          <w:color w:val="auto"/>
        </w:rPr>
        <w:t xml:space="preserve">If, on the Record Date, your shares were registered directly in your name with Computershare, then you are a stockholder of record. As a stockholder of record, you may vote online during the meeting by going to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xml:space="preserve"> and entering the control number included on your Notice of Internet Availability, on your proxy card or on the instructions that accompanied your proxy materials, as applicable. Whether or not you plan to attend the Annual Meeting, we urge you to vote by proxy to ensure your vote is counted.</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Beneficial Owner: Shares Registered in the Name of a Broker, Bank or Similar Organization</w:t>
      </w:r>
    </w:p>
    <w:p>
      <w:pPr>
        <w:spacing w:after="0" w:line="112" w:lineRule="exact"/>
        <w:rPr>
          <w:sz w:val="20"/>
          <w:szCs w:val="20"/>
          <w:color w:val="auto"/>
        </w:rPr>
      </w:pPr>
    </w:p>
    <w:p>
      <w:pPr>
        <w:ind w:left="460" w:firstLine="413"/>
        <w:spacing w:after="0" w:line="250" w:lineRule="auto"/>
        <w:rPr>
          <w:sz w:val="20"/>
          <w:szCs w:val="20"/>
          <w:color w:val="auto"/>
        </w:rPr>
      </w:pPr>
      <w:r>
        <w:rPr>
          <w:rFonts w:ascii="Times New Roman" w:cs="Times New Roman" w:eastAsia="Times New Roman" w:hAnsi="Times New Roman"/>
          <w:sz w:val="17"/>
          <w:szCs w:val="17"/>
          <w:color w:val="auto"/>
        </w:rPr>
        <w:t>If, on the Record Date, your shares were held, not in your name, but rather in an account at a brokerage firm, bank, dealer or other similar organization, then you are the beneficial owner of shares held in “street name” and the Notice of Internet Availability should be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you contact your broker, bank or other stockholder of record to do so. You may not vote your shares online during the meeting unless you request and obtain a valid proxy from your broker or other agent, as required.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There are three matters scheduled for a vote:</w:t>
      </w:r>
    </w:p>
    <w:p>
      <w:pPr>
        <w:spacing w:after="0" w:line="121" w:lineRule="exact"/>
        <w:rPr>
          <w:sz w:val="20"/>
          <w:szCs w:val="20"/>
          <w:color w:val="auto"/>
        </w:rPr>
      </w:pPr>
    </w:p>
    <w:p>
      <w:pPr>
        <w:ind w:left="1360" w:right="100" w:hanging="396"/>
        <w:spacing w:after="0" w:line="276" w:lineRule="auto"/>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1: Election of the Board of Directors’ two nominees for Class III directors, Ranjana Clark and Emily Rollins, each to hold office until our Annual Meeting of Stockholders in 2027;</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780"/>
          </w:cols>
          <w:pgMar w:left="320" w:top="462" w:right="7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1360" w:right="300" w:hanging="396"/>
        <w:spacing w:after="0" w:line="276" w:lineRule="auto"/>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2: Advisory approval of the compensation of our named executive officers, as disclosed in this proxy statement in accordance with SEC rules;</w:t>
      </w:r>
    </w:p>
    <w:p>
      <w:pPr>
        <w:spacing w:after="0" w:line="69" w:lineRule="exact"/>
        <w:rPr>
          <w:rFonts w:ascii="Times New Roman" w:cs="Times New Roman" w:eastAsia="Times New Roman" w:hAnsi="Times New Roman"/>
          <w:sz w:val="17"/>
          <w:szCs w:val="17"/>
          <w:color w:val="auto"/>
        </w:rPr>
      </w:pPr>
    </w:p>
    <w:p>
      <w:pPr>
        <w:ind w:left="1360" w:right="340" w:hanging="396"/>
        <w:spacing w:after="0" w:line="276" w:lineRule="auto"/>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3: Ratification of the selection of KPMG LLP as our independent registered public accounting firm for the fiscal year ending December 31, 2024.</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if another matter is properly brought before the meeting?</w:t>
      </w:r>
    </w:p>
    <w:p>
      <w:pPr>
        <w:spacing w:after="0" w:line="112" w:lineRule="exact"/>
        <w:rPr>
          <w:sz w:val="20"/>
          <w:szCs w:val="20"/>
          <w:color w:val="auto"/>
        </w:rPr>
      </w:pPr>
    </w:p>
    <w:p>
      <w:pPr>
        <w:ind w:left="460" w:right="20" w:firstLine="413"/>
        <w:spacing w:after="0" w:line="262"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112" w:lineRule="exact"/>
        <w:rPr>
          <w:sz w:val="20"/>
          <w:szCs w:val="20"/>
          <w:color w:val="auto"/>
        </w:rPr>
      </w:pPr>
    </w:p>
    <w:p>
      <w:pPr>
        <w:ind w:left="460" w:right="100" w:firstLine="413"/>
        <w:spacing w:after="0" w:line="276" w:lineRule="auto"/>
        <w:rPr>
          <w:sz w:val="20"/>
          <w:szCs w:val="20"/>
          <w:color w:val="auto"/>
        </w:rPr>
      </w:pPr>
      <w:r>
        <w:rPr>
          <w:rFonts w:ascii="Times New Roman" w:cs="Times New Roman" w:eastAsia="Times New Roman" w:hAnsi="Times New Roman"/>
          <w:sz w:val="17"/>
          <w:szCs w:val="17"/>
          <w:color w:val="auto"/>
        </w:rPr>
        <w:t>For Proposal 1, you may either vote “For” all the nominees to the Board or you may “Withhold” your vote for any nominee to the Board that you specify. For each of the other matters to be voted on, you may vote “For” or “Against” or abstain from voting.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procedures for voting are fairly simple:</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you are a stockholder of record and your shares are registered directly in your name, you may vote (i) online during the Annual Meeting or</w:t>
      </w:r>
    </w:p>
    <w:p>
      <w:pPr>
        <w:spacing w:after="0" w:line="23" w:lineRule="exact"/>
        <w:rPr>
          <w:sz w:val="20"/>
          <w:szCs w:val="20"/>
          <w:color w:val="auto"/>
        </w:rPr>
      </w:pPr>
    </w:p>
    <w:p>
      <w:pPr>
        <w:ind w:left="460" w:hanging="3"/>
        <w:spacing w:after="0" w:line="253" w:lineRule="auto"/>
        <w:tabs>
          <w:tab w:leader="none" w:pos="7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87" w:lineRule="exact"/>
        <w:rPr>
          <w:rFonts w:ascii="Times New Roman" w:cs="Times New Roman" w:eastAsia="Times New Roman" w:hAnsi="Times New Roman"/>
          <w:sz w:val="17"/>
          <w:szCs w:val="17"/>
          <w:color w:val="auto"/>
        </w:rPr>
      </w:pPr>
    </w:p>
    <w:p>
      <w:pPr>
        <w:ind w:left="1360" w:right="20" w:hanging="396"/>
        <w:spacing w:after="0" w:line="258" w:lineRule="auto"/>
        <w:tabs>
          <w:tab w:leader="none" w:pos="13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Online during the Annual Meeting</w:t>
      </w:r>
      <w:r>
        <w:rPr>
          <w:rFonts w:ascii="Times New Roman" w:cs="Times New Roman" w:eastAsia="Times New Roman" w:hAnsi="Times New Roman"/>
          <w:sz w:val="17"/>
          <w:szCs w:val="17"/>
          <w:color w:val="auto"/>
        </w:rPr>
        <w:t xml:space="preserve">. You will be able to attend the Annual Meeting online and vote during the meeting by visiting </w:t>
      </w:r>
      <w:r>
        <w:rPr>
          <w:rFonts w:ascii="Times New Roman" w:cs="Times New Roman" w:eastAsia="Times New Roman" w:hAnsi="Times New Roman"/>
          <w:sz w:val="17"/>
          <w:szCs w:val="17"/>
          <w:i w:val="1"/>
          <w:iCs w:val="1"/>
          <w:color w:val="auto"/>
        </w:rPr>
        <w:t xml:space="preserve">https://meetnow.global/MYMZWX2 </w:t>
      </w:r>
      <w:r>
        <w:rPr>
          <w:rFonts w:ascii="Times New Roman" w:cs="Times New Roman" w:eastAsia="Times New Roman" w:hAnsi="Times New Roman"/>
          <w:sz w:val="17"/>
          <w:szCs w:val="17"/>
          <w:color w:val="auto"/>
        </w:rPr>
        <w:t>and entering the control number included on your Notice of Internet Availability, on your proxy card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instructions that accompanied your proxy materials, as applicable. The meeting site will open one hour before the start of the Annual Meeting</w:t>
      </w:r>
    </w:p>
    <w:p>
      <w:pPr>
        <w:spacing w:after="0" w:line="79" w:lineRule="exact"/>
        <w:rPr>
          <w:rFonts w:ascii="Times New Roman" w:cs="Times New Roman" w:eastAsia="Times New Roman" w:hAnsi="Times New Roman"/>
          <w:sz w:val="17"/>
          <w:szCs w:val="17"/>
          <w:color w:val="auto"/>
        </w:rPr>
      </w:pPr>
    </w:p>
    <w:p>
      <w:pPr>
        <w:ind w:left="1360" w:right="200" w:hanging="396"/>
        <w:spacing w:after="0" w:line="281" w:lineRule="auto"/>
        <w:tabs>
          <w:tab w:leader="none" w:pos="13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Internet in advance of the Annual Meeting</w:t>
      </w:r>
      <w:r>
        <w:rPr>
          <w:rFonts w:ascii="Times New Roman" w:cs="Times New Roman" w:eastAsia="Times New Roman" w:hAnsi="Times New Roman"/>
          <w:sz w:val="17"/>
          <w:szCs w:val="17"/>
          <w:color w:val="auto"/>
        </w:rPr>
        <w:t xml:space="preserve">. Go to </w:t>
      </w:r>
      <w:r>
        <w:rPr>
          <w:rFonts w:ascii="Times New Roman" w:cs="Times New Roman" w:eastAsia="Times New Roman" w:hAnsi="Times New Roman"/>
          <w:sz w:val="17"/>
          <w:szCs w:val="17"/>
          <w:i w:val="1"/>
          <w:iCs w:val="1"/>
          <w:color w:val="auto"/>
        </w:rPr>
        <w:t>www.envisionreports.com/XMTR</w:t>
      </w:r>
      <w:r>
        <w:rPr>
          <w:rFonts w:ascii="Times New Roman" w:cs="Times New Roman" w:eastAsia="Times New Roman" w:hAnsi="Times New Roman"/>
          <w:sz w:val="17"/>
          <w:szCs w:val="17"/>
          <w:color w:val="auto"/>
        </w:rPr>
        <w:t xml:space="preserve"> to complete an electronic proxy card. You will be asked to provide the company number and control number from the enclosed proxy card.</w:t>
      </w:r>
    </w:p>
    <w:p>
      <w:pPr>
        <w:spacing w:after="0" w:line="65" w:lineRule="exact"/>
        <w:rPr>
          <w:rFonts w:ascii="Times New Roman" w:cs="Times New Roman" w:eastAsia="Times New Roman" w:hAnsi="Times New Roman"/>
          <w:sz w:val="17"/>
          <w:szCs w:val="17"/>
          <w:color w:val="auto"/>
        </w:rPr>
      </w:pPr>
    </w:p>
    <w:p>
      <w:pPr>
        <w:ind w:left="1360" w:right="60" w:hanging="396"/>
        <w:spacing w:after="0" w:line="262" w:lineRule="auto"/>
        <w:tabs>
          <w:tab w:leader="none" w:pos="13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Telephone in advance of the Annual Meeting</w:t>
      </w:r>
      <w:r>
        <w:rPr>
          <w:rFonts w:ascii="Times New Roman" w:cs="Times New Roman" w:eastAsia="Times New Roman" w:hAnsi="Times New Roman"/>
          <w:sz w:val="17"/>
          <w:szCs w:val="17"/>
          <w:color w:val="auto"/>
        </w:rPr>
        <w:t>. Call 1-800-652-VOTE (8683) toll-free from the U.S., U.S. territories and Canada, and follow the instructions on the Notice of Internet Availability. You will be asked to provide your control number from the Notice of Internet Availability.</w:t>
      </w:r>
    </w:p>
    <w:p>
      <w:pPr>
        <w:spacing w:after="0" w:line="81" w:lineRule="exact"/>
        <w:rPr>
          <w:rFonts w:ascii="Times New Roman" w:cs="Times New Roman" w:eastAsia="Times New Roman" w:hAnsi="Times New Roman"/>
          <w:sz w:val="17"/>
          <w:szCs w:val="17"/>
          <w:color w:val="auto"/>
        </w:rPr>
      </w:pPr>
    </w:p>
    <w:p>
      <w:pPr>
        <w:jc w:val="both"/>
        <w:ind w:left="1360" w:right="100" w:hanging="396"/>
        <w:spacing w:after="0" w:line="262" w:lineRule="auto"/>
        <w:tabs>
          <w:tab w:leader="none" w:pos="13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Proxy Card in advance of the Annual Meeting</w:t>
      </w:r>
      <w:r>
        <w:rPr>
          <w:rFonts w:ascii="Times New Roman" w:cs="Times New Roman" w:eastAsia="Times New Roman" w:hAnsi="Times New Roman"/>
          <w:sz w:val="17"/>
          <w:szCs w:val="17"/>
          <w:color w:val="auto"/>
        </w:rPr>
        <w:t>. Complete, sign and mail the proxy card that may be delivered and return it promptly in the envelope provided. Proxy cards submitted by mail must be received by 5:00 p.m., Eastern Time, on June 17, 2024 in order to be voted at the Annual Meeting.</w:t>
      </w:r>
    </w:p>
    <w:p>
      <w:pPr>
        <w:spacing w:after="0" w:line="170" w:lineRule="exact"/>
        <w:rPr>
          <w:sz w:val="20"/>
          <w:szCs w:val="20"/>
          <w:color w:val="auto"/>
        </w:rPr>
      </w:pPr>
    </w:p>
    <w:p>
      <w:pPr>
        <w:ind w:left="460" w:right="180" w:firstLine="413"/>
        <w:spacing w:after="0" w:line="276" w:lineRule="auto"/>
        <w:rPr>
          <w:sz w:val="20"/>
          <w:szCs w:val="20"/>
          <w:color w:val="auto"/>
        </w:rPr>
      </w:pPr>
      <w:r>
        <w:rPr>
          <w:rFonts w:ascii="Times New Roman" w:cs="Times New Roman" w:eastAsia="Times New Roman" w:hAnsi="Times New Roman"/>
          <w:sz w:val="17"/>
          <w:szCs w:val="17"/>
          <w:color w:val="auto"/>
        </w:rPr>
        <w:t>Internet and telephone voting facilities for stockholders of record will be available for 24 hours a day and will close when our polls close during the Annual Meeting.</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or Bank</w:t>
      </w:r>
    </w:p>
    <w:p>
      <w:pPr>
        <w:spacing w:after="0" w:line="112" w:lineRule="exact"/>
        <w:rPr>
          <w:sz w:val="20"/>
          <w:szCs w:val="20"/>
          <w:color w:val="auto"/>
        </w:rPr>
      </w:pPr>
    </w:p>
    <w:p>
      <w:pPr>
        <w:jc w:val="both"/>
        <w:ind w:left="460" w:right="80" w:firstLine="413"/>
        <w:spacing w:after="0" w:line="258" w:lineRule="auto"/>
        <w:rPr>
          <w:sz w:val="20"/>
          <w:szCs w:val="20"/>
          <w:color w:val="auto"/>
        </w:rPr>
      </w:pPr>
      <w:r>
        <w:rPr>
          <w:rFonts w:ascii="Times New Roman" w:cs="Times New Roman" w:eastAsia="Times New Roman" w:hAnsi="Times New Roman"/>
          <w:sz w:val="17"/>
          <w:szCs w:val="17"/>
          <w:color w:val="auto"/>
        </w:rPr>
        <w:t>If your shares of common stock are held in street name (i.e., held for your account by a broker, bank or other nominee), you should have received a notice containing voting instructions from that organization rather than from us. You should follow the instructions in the notice to ensure your vote is counted. Alternatively, many brokers and banks provide the means to grant proxies or otherwise instruct them to vote your shares by telephone and via the internet, including by providing you with a control number via email or on notice or your voting</w:t>
      </w:r>
    </w:p>
    <w:p>
      <w:pPr>
        <w:spacing w:after="0" w:line="10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780"/>
          </w:cols>
          <w:pgMar w:left="320" w:top="462" w:right="7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7"/>
          <w:szCs w:val="17"/>
          <w:color w:val="auto"/>
        </w:rPr>
        <w:t>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spacing w:after="0" w:line="211" w:lineRule="exact"/>
        <w:rPr>
          <w:sz w:val="20"/>
          <w:szCs w:val="20"/>
          <w:color w:val="auto"/>
        </w:rPr>
      </w:pPr>
    </w:p>
    <w:p>
      <w:pPr>
        <w:ind w:left="760" w:right="460"/>
        <w:spacing w:after="0" w:line="265" w:lineRule="auto"/>
        <w:rPr>
          <w:sz w:val="20"/>
          <w:szCs w:val="20"/>
          <w:color w:val="auto"/>
        </w:rPr>
      </w:pPr>
      <w:r>
        <w:rPr>
          <w:rFonts w:ascii="Times New Roman" w:cs="Times New Roman" w:eastAsia="Times New Roman" w:hAnsi="Times New Roman"/>
          <w:sz w:val="17"/>
          <w:szCs w:val="17"/>
          <w:b w:val="1"/>
          <w:bCs w:val="1"/>
          <w:color w:val="auto"/>
        </w:rPr>
        <w:t>Internet voting during the Annual Meeting and/or Internet proxy voting in advance of the Annual Meeting allows you to vote your shares online, with procedures designed to ensure the authenticity and correctness of your vote instructions. Please be aware that you must bear any costs associated with your Internet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-405765</wp:posOffset>
            </wp:positionV>
            <wp:extent cx="6497320" cy="401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320" cy="401955"/>
                    </a:xfrm>
                    <a:prstGeom prst="rect">
                      <a:avLst/>
                    </a:prstGeom>
                    <a:noFill/>
                  </pic:spPr>
                </pic:pic>
              </a:graphicData>
            </a:graphic>
          </wp:anchor>
        </w:drawing>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12" w:lineRule="exact"/>
        <w:rPr>
          <w:sz w:val="20"/>
          <w:szCs w:val="20"/>
          <w:color w:val="auto"/>
        </w:rPr>
      </w:pPr>
    </w:p>
    <w:p>
      <w:pPr>
        <w:ind w:left="460" w:right="40" w:firstLine="413"/>
        <w:spacing w:after="0" w:line="258" w:lineRule="auto"/>
        <w:rPr>
          <w:sz w:val="20"/>
          <w:szCs w:val="20"/>
          <w:color w:val="auto"/>
        </w:rPr>
      </w:pPr>
      <w:r>
        <w:rPr>
          <w:rFonts w:ascii="Times New Roman" w:cs="Times New Roman" w:eastAsia="Times New Roman" w:hAnsi="Times New Roman"/>
          <w:sz w:val="17"/>
          <w:szCs w:val="17"/>
          <w:color w:val="auto"/>
        </w:rPr>
        <w:t>Each holder of shares of our Class A common stock will have one vote per share of Class A common stock held as of the Record Date, and each holder of shares of our Class B common stock will have twenty votes per share of Class B common stock held as of the Record Date. The holders of the shares of our Class A common stock and Class B common stock will vote as a single class on all matters described in this proxy statement for which your vote is being solicited.</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are the Board’s recommendations on how to vote my shares?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Board recommends a vote:</w:t>
      </w:r>
    </w:p>
    <w:p>
      <w:pPr>
        <w:spacing w:after="0" w:line="117" w:lineRule="exact"/>
        <w:rPr>
          <w:sz w:val="20"/>
          <w:szCs w:val="20"/>
          <w:color w:val="auto"/>
        </w:rPr>
      </w:pPr>
    </w:p>
    <w:p>
      <w:pPr>
        <w:ind w:left="1360" w:hanging="396"/>
        <w:spacing w:after="0"/>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Proposal 1: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the Board’s two nominees for Class III directors named in this proxy statement;</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Proposal 2: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advisory vote on the compensation of our named executive officers;</w:t>
      </w:r>
    </w:p>
    <w:p>
      <w:pPr>
        <w:spacing w:after="0" w:line="121" w:lineRule="exact"/>
        <w:rPr>
          <w:rFonts w:ascii="Times New Roman" w:cs="Times New Roman" w:eastAsia="Times New Roman" w:hAnsi="Times New Roman"/>
          <w:sz w:val="17"/>
          <w:szCs w:val="17"/>
          <w:color w:val="auto"/>
        </w:rPr>
      </w:pPr>
    </w:p>
    <w:p>
      <w:pPr>
        <w:ind w:left="1360" w:right="160" w:hanging="396"/>
        <w:spacing w:after="0" w:line="281" w:lineRule="auto"/>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Proposal 3: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selection of KPMG LLP as our independent registered public accounting firm for the year ending December 31, 2024.</w:t>
      </w:r>
    </w:p>
    <w:p>
      <w:pPr>
        <w:spacing w:after="0" w:line="251" w:lineRule="exact"/>
        <w:rPr>
          <w:sz w:val="20"/>
          <w:szCs w:val="20"/>
          <w:color w:val="auto"/>
        </w:rPr>
      </w:pPr>
    </w:p>
    <w:p>
      <w:pPr>
        <w:ind w:left="460" w:right="120"/>
        <w:spacing w:after="0" w:line="281" w:lineRule="auto"/>
        <w:rPr>
          <w:sz w:val="20"/>
          <w:szCs w:val="20"/>
          <w:color w:val="auto"/>
        </w:rPr>
      </w:pPr>
      <w:r>
        <w:rPr>
          <w:rFonts w:ascii="Times New Roman" w:cs="Times New Roman" w:eastAsia="Times New Roman" w:hAnsi="Times New Roman"/>
          <w:sz w:val="17"/>
          <w:szCs w:val="17"/>
          <w:b w:val="1"/>
          <w:bCs w:val="1"/>
          <w:color w:val="auto"/>
        </w:rPr>
        <w:t>If I am a stockholder of record and I do not vote, or if I return a proxy card or otherwise vote without giving specific voting instructions, what happens?</w:t>
      </w:r>
    </w:p>
    <w:p>
      <w:pPr>
        <w:spacing w:after="0" w:line="53" w:lineRule="exact"/>
        <w:rPr>
          <w:sz w:val="20"/>
          <w:szCs w:val="20"/>
          <w:color w:val="auto"/>
        </w:rPr>
      </w:pPr>
    </w:p>
    <w:p>
      <w:pPr>
        <w:ind w:left="460" w:right="140" w:firstLine="413"/>
        <w:spacing w:after="0" w:line="276" w:lineRule="auto"/>
        <w:rPr>
          <w:sz w:val="20"/>
          <w:szCs w:val="20"/>
          <w:color w:val="auto"/>
        </w:rPr>
      </w:pPr>
      <w:r>
        <w:rPr>
          <w:rFonts w:ascii="Times New Roman" w:cs="Times New Roman" w:eastAsia="Times New Roman" w:hAnsi="Times New Roman"/>
          <w:sz w:val="17"/>
          <w:szCs w:val="17"/>
          <w:color w:val="auto"/>
        </w:rPr>
        <w:t>If you are a stockholder of record and do not vote by completing your proxy card, by telephone, through the Internet or online during the Annual Meeting, your shares will not be voted.</w:t>
      </w:r>
    </w:p>
    <w:p>
      <w:pPr>
        <w:spacing w:after="0" w:line="154" w:lineRule="exact"/>
        <w:rPr>
          <w:sz w:val="20"/>
          <w:szCs w:val="20"/>
          <w:color w:val="auto"/>
        </w:rPr>
      </w:pPr>
    </w:p>
    <w:p>
      <w:pPr>
        <w:ind w:left="460" w:right="100" w:firstLine="413"/>
        <w:spacing w:after="0" w:line="257"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voting selections, your shares will be voted, as applicable,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each of the two nominees named in this proxy statement for director,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advisory approval of the compensation of our named executive officers,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selection of KPMG LLP as our independent registered public accounting firm for the fiscal year ending December 31, 2024. If any other matter is properly presented at the meeting, your proxyholder (one of the individuals named on your proxy card) will vote your shares using such proxyholder’s best judgment.</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If I am a beneficial owner of shares held in street name and I do not provide my broker or bank with voting instructions, what happens?</w:t>
      </w:r>
    </w:p>
    <w:p>
      <w:pPr>
        <w:spacing w:after="0" w:line="112" w:lineRule="exact"/>
        <w:rPr>
          <w:sz w:val="20"/>
          <w:szCs w:val="20"/>
          <w:color w:val="auto"/>
        </w:rPr>
      </w:pPr>
    </w:p>
    <w:p>
      <w:pPr>
        <w:ind w:left="460" w:right="80" w:firstLine="413"/>
        <w:spacing w:after="0" w:line="258"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w:t>
      </w:r>
    </w:p>
    <w:p>
      <w:pPr>
        <w:spacing w:after="0" w:line="10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780"/>
          </w:cols>
          <w:pgMar w:left="320" w:top="462" w:right="7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140"/>
        <w:spacing w:after="0" w:line="254" w:lineRule="auto"/>
        <w:rPr>
          <w:sz w:val="20"/>
          <w:szCs w:val="20"/>
          <w:color w:val="auto"/>
        </w:rPr>
      </w:pPr>
      <w:r>
        <w:rPr>
          <w:rFonts w:ascii="Times New Roman" w:cs="Times New Roman" w:eastAsia="Times New Roman" w:hAnsi="Times New Roman"/>
          <w:sz w:val="17"/>
          <w:szCs w:val="17"/>
          <w:color w:val="auto"/>
        </w:rPr>
        <w:t>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In this regard, Proposals 1 and 2 are considered to be “non-routine” under applicable rules, meaning your broker or nominee may not vote your shares on Proposals 1 or 2 without your instructions. Such an event would result in a “broker non-vote” and these shares will not be counted as having been voted for such proposals. However, Proposal 3 is considered to be a “routine” matter, meaning that if you do not return voting instructions to your broker or nominee by its deadline, your broker or nominee may vote your shares in its discretion on Proposal 3.</w:t>
      </w:r>
    </w:p>
    <w:p>
      <w:pPr>
        <w:spacing w:after="0" w:line="274" w:lineRule="exact"/>
        <w:rPr>
          <w:sz w:val="20"/>
          <w:szCs w:val="20"/>
          <w:color w:val="auto"/>
        </w:rPr>
      </w:pPr>
    </w:p>
    <w:p>
      <w:pPr>
        <w:ind w:left="460" w:right="300"/>
        <w:spacing w:after="0" w:line="314" w:lineRule="auto"/>
        <w:rPr>
          <w:sz w:val="20"/>
          <w:szCs w:val="20"/>
          <w:color w:val="auto"/>
        </w:rPr>
      </w:pPr>
      <w:r>
        <w:rPr>
          <w:rFonts w:ascii="Times New Roman" w:cs="Times New Roman" w:eastAsia="Times New Roman" w:hAnsi="Times New Roman"/>
          <w:sz w:val="16"/>
          <w:szCs w:val="16"/>
          <w:b w:val="1"/>
          <w:bCs w:val="1"/>
          <w:i w:val="1"/>
          <w:iCs w:val="1"/>
          <w:color w:val="auto"/>
        </w:rPr>
        <w:t>If you are a beneficial owner of shares held in street name, to ensure your shares are voted in the way you would prefer, you must provide voting instructions to your broker, bank or other agent by the deadline provided in the materials you receive from your broker, bank or other nominee.</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of Internet Availability?</w:t>
      </w:r>
    </w:p>
    <w:p>
      <w:pPr>
        <w:spacing w:after="0" w:line="112" w:lineRule="exact"/>
        <w:rPr>
          <w:sz w:val="20"/>
          <w:szCs w:val="20"/>
          <w:color w:val="auto"/>
        </w:rPr>
      </w:pPr>
    </w:p>
    <w:p>
      <w:pPr>
        <w:ind w:left="460" w:right="80" w:firstLine="413"/>
        <w:spacing w:after="0" w:line="276" w:lineRule="auto"/>
        <w:rPr>
          <w:sz w:val="20"/>
          <w:szCs w:val="20"/>
          <w:color w:val="auto"/>
        </w:rPr>
      </w:pPr>
      <w:r>
        <w:rPr>
          <w:rFonts w:ascii="Times New Roman" w:cs="Times New Roman" w:eastAsia="Times New Roman" w:hAnsi="Times New Roman"/>
          <w:sz w:val="17"/>
          <w:szCs w:val="17"/>
          <w:color w:val="auto"/>
        </w:rPr>
        <w:t>If you receive more than one Notice of Internet Availability, your shares may be registered in more than one name or in different accounts. Please follow the voting instructions on each notice to ensure that all of your shares are voted.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Can I change my vote after submitting my proxy?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112" w:lineRule="exact"/>
        <w:rPr>
          <w:sz w:val="20"/>
          <w:szCs w:val="20"/>
          <w:color w:val="auto"/>
        </w:rPr>
      </w:pPr>
    </w:p>
    <w:p>
      <w:pPr>
        <w:ind w:left="460" w:right="240" w:firstLine="413"/>
        <w:spacing w:after="0" w:line="276" w:lineRule="auto"/>
        <w:rPr>
          <w:sz w:val="20"/>
          <w:szCs w:val="20"/>
          <w:color w:val="auto"/>
        </w:rPr>
      </w:pPr>
      <w:r>
        <w:rPr>
          <w:rFonts w:ascii="Times New Roman" w:cs="Times New Roman" w:eastAsia="Times New Roman" w:hAnsi="Times New Roman"/>
          <w:sz w:val="17"/>
          <w:szCs w:val="17"/>
          <w:color w:val="auto"/>
        </w:rPr>
        <w:t>Yes. If you are the stockholder of record for your shares, you may revoke your proxy at any time before the final vote at the Annual Meeting in one of the following ways:</w:t>
      </w:r>
    </w:p>
    <w:p>
      <w:pPr>
        <w:spacing w:after="0" w:line="70" w:lineRule="exact"/>
        <w:rPr>
          <w:sz w:val="20"/>
          <w:szCs w:val="20"/>
          <w:color w:val="auto"/>
        </w:rPr>
      </w:pPr>
    </w:p>
    <w:p>
      <w:pPr>
        <w:ind w:left="1360" w:hanging="396"/>
        <w:spacing w:after="0"/>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submitting another properly completed proxy with a later date;</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transmitting a subsequent vote over the Internet or by telephone prior to the start of the Annual Meeting;</w:t>
      </w:r>
    </w:p>
    <w:p>
      <w:pPr>
        <w:spacing w:after="0" w:line="121" w:lineRule="exact"/>
        <w:rPr>
          <w:rFonts w:ascii="Times New Roman" w:cs="Times New Roman" w:eastAsia="Times New Roman" w:hAnsi="Times New Roman"/>
          <w:sz w:val="17"/>
          <w:szCs w:val="17"/>
          <w:color w:val="auto"/>
        </w:rPr>
      </w:pPr>
    </w:p>
    <w:p>
      <w:pPr>
        <w:ind w:left="1360" w:right="300" w:hanging="396"/>
        <w:spacing w:after="0" w:line="262" w:lineRule="auto"/>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sending a timely written notice to our Secretary in writing at Xometry, Inc., 6116 Executive Boulevard, Suite 800, North Bethesda, Maryland 20852 received by the close of business on the business day one week preceding the date of the Annual Meeting that you are revoking your proxy; or</w:t>
      </w:r>
    </w:p>
    <w:p>
      <w:pPr>
        <w:spacing w:after="0" w:line="81" w:lineRule="exact"/>
        <w:rPr>
          <w:rFonts w:ascii="Times New Roman" w:cs="Times New Roman" w:eastAsia="Times New Roman" w:hAnsi="Times New Roman"/>
          <w:sz w:val="17"/>
          <w:szCs w:val="17"/>
          <w:color w:val="auto"/>
        </w:rPr>
      </w:pPr>
    </w:p>
    <w:p>
      <w:pPr>
        <w:ind w:left="1360" w:right="80" w:hanging="396"/>
        <w:spacing w:after="0" w:line="262" w:lineRule="auto"/>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attending the Annual Meeting via the live webcast and voting your shares online by clicking on the “Cast Your Vote” link in the meeting center at </w:t>
      </w:r>
      <w:r>
        <w:rPr>
          <w:rFonts w:ascii="Times New Roman" w:cs="Times New Roman" w:eastAsia="Times New Roman" w:hAnsi="Times New Roman"/>
          <w:sz w:val="17"/>
          <w:szCs w:val="17"/>
          <w:i w:val="1"/>
          <w:iCs w:val="1"/>
          <w:color w:val="auto"/>
        </w:rPr>
        <w:t>https://meetnow.global/MYMZWX2</w:t>
      </w:r>
      <w:r>
        <w:rPr>
          <w:rFonts w:ascii="Times New Roman" w:cs="Times New Roman" w:eastAsia="Times New Roman" w:hAnsi="Times New Roman"/>
          <w:sz w:val="17"/>
          <w:szCs w:val="17"/>
          <w:color w:val="auto"/>
        </w:rPr>
        <w:t>. Simply attending the Annual Meeting via the live webcast will not, by itself, revoke your proxy.</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Your last vote, whether prior to or at the Annual Meeting, is the vote that we will count.</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a Broker, Bank or Similar Organization</w:t>
      </w:r>
    </w:p>
    <w:p>
      <w:pPr>
        <w:spacing w:after="0" w:line="112" w:lineRule="exact"/>
        <w:rPr>
          <w:sz w:val="20"/>
          <w:szCs w:val="20"/>
          <w:color w:val="auto"/>
        </w:rPr>
      </w:pPr>
    </w:p>
    <w:p>
      <w:pPr>
        <w:ind w:left="460" w:right="140" w:firstLine="413"/>
        <w:spacing w:after="0" w:line="309" w:lineRule="auto"/>
        <w:rPr>
          <w:sz w:val="20"/>
          <w:szCs w:val="20"/>
          <w:color w:val="auto"/>
        </w:rPr>
      </w:pPr>
      <w:r>
        <w:rPr>
          <w:rFonts w:ascii="Times New Roman" w:cs="Times New Roman" w:eastAsia="Times New Roman" w:hAnsi="Times New Roman"/>
          <w:sz w:val="16"/>
          <w:szCs w:val="16"/>
          <w:color w:val="auto"/>
        </w:rPr>
        <w:t>If your shares are held in street name, you must contact your broker or nominee for instructions as to how to change your vote. Your personal attendance at the Annual Meeting does not revoke your proxy. Your last vote, whether prior to or at the Annual Meeting, is the vote that we will count.</w:t>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is a quorum reached?</w:t>
      </w:r>
    </w:p>
    <w:p>
      <w:pPr>
        <w:spacing w:after="0" w:line="112" w:lineRule="exact"/>
        <w:rPr>
          <w:sz w:val="20"/>
          <w:szCs w:val="20"/>
          <w:color w:val="auto"/>
        </w:rPr>
      </w:pPr>
    </w:p>
    <w:p>
      <w:pPr>
        <w:jc w:val="both"/>
        <w:ind w:left="460" w:firstLine="413"/>
        <w:spacing w:after="0" w:line="286" w:lineRule="auto"/>
        <w:rPr>
          <w:sz w:val="20"/>
          <w:szCs w:val="20"/>
          <w:color w:val="auto"/>
        </w:rPr>
      </w:pPr>
      <w:r>
        <w:rPr>
          <w:rFonts w:ascii="Times New Roman" w:cs="Times New Roman" w:eastAsia="Times New Roman" w:hAnsi="Times New Roman"/>
          <w:sz w:val="16"/>
          <w:szCs w:val="16"/>
          <w:color w:val="auto"/>
        </w:rPr>
        <w:t>A quorum of stockholders is necessary to hold a valid meeting. The presence, in person, by remote communication, if applicable, or by proxy duly authorized, of the holders of a majority of the voting power of the outstanding shares entitled to vote at the Annual Meeting shall constitute a quorum for the transaction of business. The inspector(s) of election appointed for the Annual Meeting will determine whether or not a quorum is present.</w:t>
      </w:r>
    </w:p>
    <w:p>
      <w:pPr>
        <w:spacing w:after="0" w:line="153" w:lineRule="exact"/>
        <w:rPr>
          <w:sz w:val="20"/>
          <w:szCs w:val="20"/>
          <w:color w:val="auto"/>
        </w:rPr>
      </w:pPr>
    </w:p>
    <w:p>
      <w:pPr>
        <w:jc w:val="both"/>
        <w:ind w:left="460" w:right="40" w:firstLine="413"/>
        <w:spacing w:after="0" w:line="262" w:lineRule="auto"/>
        <w:rPr>
          <w:sz w:val="20"/>
          <w:szCs w:val="20"/>
          <w:color w:val="auto"/>
        </w:rPr>
      </w:pPr>
      <w:r>
        <w:rPr>
          <w:rFonts w:ascii="Times New Roman" w:cs="Times New Roman" w:eastAsia="Times New Roman" w:hAnsi="Times New Roman"/>
          <w:sz w:val="17"/>
          <w:szCs w:val="17"/>
          <w:color w:val="auto"/>
        </w:rPr>
        <w:t>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w:t>
      </w:r>
    </w:p>
    <w:p>
      <w:pPr>
        <w:spacing w:after="0" w:line="1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80"/>
          </w:cols>
          <w:pgMar w:left="320" w:top="462" w:right="7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are votes counted?</w:t>
      </w:r>
    </w:p>
    <w:p>
      <w:pPr>
        <w:spacing w:after="0" w:line="112" w:lineRule="exact"/>
        <w:rPr>
          <w:sz w:val="20"/>
          <w:szCs w:val="20"/>
          <w:color w:val="auto"/>
        </w:rPr>
      </w:pPr>
    </w:p>
    <w:p>
      <w:pPr>
        <w:ind w:left="460" w:right="40" w:firstLine="413"/>
        <w:spacing w:after="0" w:line="274" w:lineRule="auto"/>
        <w:rPr>
          <w:sz w:val="20"/>
          <w:szCs w:val="20"/>
          <w:color w:val="auto"/>
        </w:rPr>
      </w:pPr>
      <w:r>
        <w:rPr>
          <w:rFonts w:ascii="Times New Roman" w:cs="Times New Roman" w:eastAsia="Times New Roman" w:hAnsi="Times New Roman"/>
          <w:sz w:val="16"/>
          <w:szCs w:val="16"/>
          <w:color w:val="auto"/>
        </w:rPr>
        <w:t>Votes will be counted by the inspector of election appointed for the Annual Meeting, who will separately count: (1) with respect to Proposal 1, votes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WITHHOLD</w:t>
      </w:r>
      <w:r>
        <w:rPr>
          <w:rFonts w:ascii="Times New Roman" w:cs="Times New Roman" w:eastAsia="Times New Roman" w:hAnsi="Times New Roman"/>
          <w:sz w:val="16"/>
          <w:szCs w:val="16"/>
          <w:color w:val="auto"/>
        </w:rPr>
        <w:t>” and broker non-votes, (2) with respect to Proposal 2, votes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AGAINST</w:t>
      </w:r>
      <w:r>
        <w:rPr>
          <w:rFonts w:ascii="Times New Roman" w:cs="Times New Roman" w:eastAsia="Times New Roman" w:hAnsi="Times New Roman"/>
          <w:sz w:val="16"/>
          <w:szCs w:val="16"/>
          <w:color w:val="auto"/>
        </w:rPr>
        <w:t>,” abstentions and broker non-votes, and</w:t>
      </w:r>
    </w:p>
    <w:p>
      <w:pPr>
        <w:spacing w:after="0" w:line="1" w:lineRule="exact"/>
        <w:rPr>
          <w:sz w:val="20"/>
          <w:szCs w:val="20"/>
          <w:color w:val="auto"/>
        </w:rPr>
      </w:pPr>
    </w:p>
    <w:p>
      <w:pPr>
        <w:ind w:left="460" w:right="40" w:hanging="3"/>
        <w:spacing w:after="0" w:line="257" w:lineRule="auto"/>
        <w:tabs>
          <w:tab w:leader="none" w:pos="69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Proposal 3, votes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and abstentions. Abstentions will not be counted towards the vote total and have no effect on Proposals 2 and 3. Broker non-votes have no effect and will not be counted towards the vote total for Proposals 1 and 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are “broker non-votes”?</w:t>
      </w:r>
    </w:p>
    <w:p>
      <w:pPr>
        <w:spacing w:after="0" w:line="112" w:lineRule="exact"/>
        <w:rPr>
          <w:sz w:val="20"/>
          <w:szCs w:val="20"/>
          <w:color w:val="auto"/>
        </w:rPr>
      </w:pPr>
    </w:p>
    <w:p>
      <w:pPr>
        <w:jc w:val="both"/>
        <w:ind w:left="460" w:right="40" w:firstLine="413"/>
        <w:spacing w:after="0" w:line="262" w:lineRule="auto"/>
        <w:rPr>
          <w:sz w:val="20"/>
          <w:szCs w:val="20"/>
          <w:color w:val="auto"/>
        </w:rPr>
      </w:pPr>
      <w:r>
        <w:rPr>
          <w:rFonts w:ascii="Times New Roman" w:cs="Times New Roman" w:eastAsia="Times New Roman" w:hAnsi="Times New Roman"/>
          <w:sz w:val="17"/>
          <w:szCs w:val="17"/>
          <w:color w:val="auto"/>
        </w:rPr>
        <w:t>As discussed above, broker non-votes occur when your broker submits a proxy for the meeting with respect to “routine” matters but does not vote on “non-routine” matters because you did not provide voting instructions on those matters. Proposals 1 and 2 are considered to be “non-routine,” and we therefore expect broker non-votes to exist only in connection with these proposals.</w:t>
      </w:r>
    </w:p>
    <w:p>
      <w:pPr>
        <w:spacing w:after="0" w:line="170" w:lineRule="exact"/>
        <w:rPr>
          <w:sz w:val="20"/>
          <w:szCs w:val="20"/>
          <w:color w:val="auto"/>
        </w:rPr>
      </w:pPr>
    </w:p>
    <w:p>
      <w:pPr>
        <w:ind w:left="460" w:right="40" w:firstLine="413"/>
        <w:spacing w:after="0" w:line="262" w:lineRule="auto"/>
        <w:rPr>
          <w:sz w:val="20"/>
          <w:szCs w:val="20"/>
          <w:color w:val="auto"/>
        </w:rPr>
      </w:pPr>
      <w:r>
        <w:rPr>
          <w:rFonts w:ascii="Times New Roman" w:cs="Times New Roman" w:eastAsia="Times New Roman" w:hAnsi="Times New Roman"/>
          <w:sz w:val="17"/>
          <w:szCs w:val="17"/>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item and how are votes counted?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minimum vote needed to approve each proposal and the effect of abstentions and broker non-votes:</w:t>
      </w:r>
    </w:p>
    <w:p>
      <w:pPr>
        <w:sectPr>
          <w:pgSz w:w="11900" w:h="16838" w:orient="portrait"/>
          <w:cols w:equalWidth="0" w:num="1">
            <w:col w:w="10800"/>
          </w:cols>
          <w:pgMar w:left="320" w:top="462" w:right="77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u w:val="single" w:color="auto"/>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17145</wp:posOffset>
            </wp:positionV>
            <wp:extent cx="1898015" cy="313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8015" cy="313690"/>
                    </a:xfrm>
                    <a:prstGeom prst="rect">
                      <a:avLst/>
                    </a:prstGeom>
                    <a:noFill/>
                  </pic:spPr>
                </pic:pic>
              </a:graphicData>
            </a:graphic>
          </wp:anchor>
        </w:drawing>
      </w:r>
    </w:p>
    <w:p>
      <w:pPr>
        <w:spacing w:after="0" w:line="155" w:lineRule="exact"/>
        <w:rPr>
          <w:sz w:val="20"/>
          <w:szCs w:val="20"/>
          <w:color w:val="auto"/>
        </w:rPr>
      </w:pPr>
    </w:p>
    <w:p>
      <w:pPr>
        <w:ind w:left="620" w:hanging="16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Directors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3" w:lineRule="exact"/>
        <w:rPr>
          <w:rFonts w:ascii="Times New Roman" w:cs="Times New Roman" w:eastAsia="Times New Roman" w:hAnsi="Times New Roman"/>
          <w:sz w:val="17"/>
          <w:szCs w:val="17"/>
          <w:color w:val="auto"/>
        </w:rPr>
      </w:pPr>
    </w:p>
    <w:p>
      <w:pPr>
        <w:ind w:left="460" w:hanging="3"/>
        <w:spacing w:after="0" w:line="309" w:lineRule="auto"/>
        <w:tabs>
          <w:tab w:leader="none" w:pos="62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Advisory Vote to Approve Compensation of Our Named Executive Officers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0" w:lineRule="exact"/>
        <w:rPr>
          <w:rFonts w:ascii="Times New Roman" w:cs="Times New Roman" w:eastAsia="Times New Roman" w:hAnsi="Times New Roman"/>
          <w:sz w:val="16"/>
          <w:szCs w:val="16"/>
          <w:color w:val="auto"/>
        </w:rPr>
      </w:pPr>
    </w:p>
    <w:p>
      <w:pPr>
        <w:ind w:left="460" w:right="60" w:hanging="3"/>
        <w:spacing w:after="0" w:line="262" w:lineRule="auto"/>
        <w:tabs>
          <w:tab w:leader="none" w:pos="6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Selection of KPMG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-628650</wp:posOffset>
            </wp:positionV>
            <wp:extent cx="1898015" cy="828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8015" cy="828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Effect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Effect of</w:t>
            </w:r>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40" w:type="dxa"/>
            <w:vAlign w:val="bottom"/>
            <w:vMerge w:val="restart"/>
          </w:tcPr>
          <w:p>
            <w:pPr>
              <w:ind w:left="1220"/>
              <w:spacing w:after="0"/>
              <w:rPr>
                <w:sz w:val="20"/>
                <w:szCs w:val="20"/>
                <w:color w:val="auto"/>
              </w:rPr>
            </w:pPr>
            <w:r>
              <w:rPr>
                <w:rFonts w:ascii="Times New Roman" w:cs="Times New Roman" w:eastAsia="Times New Roman" w:hAnsi="Times New Roman"/>
                <w:sz w:val="13"/>
                <w:szCs w:val="13"/>
                <w:b w:val="1"/>
                <w:bCs w:val="1"/>
                <w:color w:val="auto"/>
              </w:rPr>
              <w:t>Vote Required for Approval</w:t>
            </w:r>
          </w:p>
        </w:tc>
        <w:tc>
          <w:tcPr>
            <w:tcW w:w="20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Broker Non-</w:t>
            </w:r>
          </w:p>
        </w:tc>
        <w:tc>
          <w:tcPr>
            <w:tcW w:w="0" w:type="dxa"/>
            <w:vAlign w:val="bottom"/>
          </w:tcPr>
          <w:p>
            <w:pPr>
              <w:spacing w:after="0"/>
              <w:rPr>
                <w:sz w:val="1"/>
                <w:szCs w:val="1"/>
                <w:color w:val="auto"/>
              </w:rPr>
            </w:pPr>
          </w:p>
        </w:tc>
      </w:tr>
      <w:tr>
        <w:trPr>
          <w:trHeight w:val="176"/>
        </w:trPr>
        <w:tc>
          <w:tcPr>
            <w:tcW w:w="200" w:type="dxa"/>
            <w:vAlign w:val="bottom"/>
            <w:tcBorders>
              <w:bottom w:val="single" w:sz="8" w:color="DBF3FF"/>
            </w:tcBorders>
          </w:tcPr>
          <w:p>
            <w:pPr>
              <w:spacing w:after="0"/>
              <w:rPr>
                <w:sz w:val="15"/>
                <w:szCs w:val="15"/>
                <w:color w:val="auto"/>
              </w:rPr>
            </w:pPr>
          </w:p>
        </w:tc>
        <w:tc>
          <w:tcPr>
            <w:tcW w:w="4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DBF3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Abstentions</w:t>
            </w:r>
          </w:p>
        </w:tc>
        <w:tc>
          <w:tcPr>
            <w:tcW w:w="120" w:type="dxa"/>
            <w:vAlign w:val="bottom"/>
            <w:tcBorders>
              <w:bottom w:val="single" w:sz="8" w:color="DBF3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Votes</w:t>
            </w:r>
          </w:p>
        </w:tc>
        <w:tc>
          <w:tcPr>
            <w:tcW w:w="0" w:type="dxa"/>
            <w:vAlign w:val="bottom"/>
          </w:tcPr>
          <w:p>
            <w:pPr>
              <w:spacing w:after="0"/>
              <w:rPr>
                <w:sz w:val="1"/>
                <w:szCs w:val="1"/>
                <w:color w:val="auto"/>
              </w:rPr>
            </w:pPr>
          </w:p>
        </w:tc>
      </w:tr>
      <w:tr>
        <w:trPr>
          <w:trHeight w:val="229"/>
        </w:trPr>
        <w:tc>
          <w:tcPr>
            <w:tcW w:w="444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The two nominees receiving the most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will be</w:t>
            </w:r>
          </w:p>
        </w:tc>
        <w:tc>
          <w:tcPr>
            <w:tcW w:w="1560" w:type="dxa"/>
            <w:vAlign w:val="bottom"/>
            <w:gridSpan w:val="2"/>
            <w:vMerge w:val="restart"/>
            <w:shd w:val="clear" w:color="auto" w:fill="DBF3FF"/>
          </w:tcPr>
          <w:p>
            <w:pPr>
              <w:jc w:val="center"/>
              <w:ind w:right="120"/>
              <w:spacing w:after="0"/>
              <w:rPr>
                <w:sz w:val="20"/>
                <w:szCs w:val="20"/>
                <w:color w:val="auto"/>
              </w:rPr>
            </w:pPr>
            <w:r>
              <w:rPr>
                <w:rFonts w:ascii="Times New Roman" w:cs="Times New Roman" w:eastAsia="Times New Roman" w:hAnsi="Times New Roman"/>
                <w:sz w:val="17"/>
                <w:szCs w:val="17"/>
                <w:color w:val="auto"/>
              </w:rPr>
              <w:t>Not applicable</w:t>
            </w:r>
          </w:p>
        </w:tc>
        <w:tc>
          <w:tcPr>
            <w:tcW w:w="1360" w:type="dxa"/>
            <w:vAlign w:val="bottom"/>
            <w:vMerge w:val="restart"/>
            <w:shd w:val="clear" w:color="auto" w:fill="DBF3FF"/>
          </w:tcPr>
          <w:p>
            <w:pPr>
              <w:jc w:val="center"/>
              <w:spacing w:after="0"/>
              <w:rPr>
                <w:sz w:val="20"/>
                <w:szCs w:val="20"/>
                <w:color w:val="auto"/>
              </w:rPr>
            </w:pPr>
            <w:r>
              <w:rPr>
                <w:rFonts w:ascii="Times New Roman" w:cs="Times New Roman" w:eastAsia="Times New Roman" w:hAnsi="Times New Roman"/>
                <w:sz w:val="17"/>
                <w:szCs w:val="17"/>
                <w:color w:val="auto"/>
              </w:rPr>
              <w:t>No effect</w:t>
            </w:r>
          </w:p>
        </w:tc>
        <w:tc>
          <w:tcPr>
            <w:tcW w:w="0" w:type="dxa"/>
            <w:vAlign w:val="bottom"/>
          </w:tcPr>
          <w:p>
            <w:pPr>
              <w:spacing w:after="0"/>
              <w:rPr>
                <w:sz w:val="1"/>
                <w:szCs w:val="1"/>
                <w:color w:val="auto"/>
              </w:rPr>
            </w:pPr>
          </w:p>
        </w:tc>
      </w:tr>
      <w:tr>
        <w:trPr>
          <w:trHeight w:val="117"/>
        </w:trPr>
        <w:tc>
          <w:tcPr>
            <w:tcW w:w="4440" w:type="dxa"/>
            <w:vAlign w:val="bottom"/>
            <w:gridSpan w:val="3"/>
            <w:vMerge w:val="restart"/>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elected.</w:t>
            </w:r>
          </w:p>
        </w:tc>
        <w:tc>
          <w:tcPr>
            <w:tcW w:w="1560" w:type="dxa"/>
            <w:vAlign w:val="bottom"/>
            <w:gridSpan w:val="2"/>
            <w:vMerge w:val="continue"/>
            <w:shd w:val="clear" w:color="auto" w:fill="DBF3FF"/>
          </w:tcPr>
          <w:p>
            <w:pPr>
              <w:spacing w:after="0"/>
              <w:rPr>
                <w:sz w:val="10"/>
                <w:szCs w:val="10"/>
                <w:color w:val="auto"/>
              </w:rPr>
            </w:pPr>
          </w:p>
        </w:tc>
        <w:tc>
          <w:tcPr>
            <w:tcW w:w="1360" w:type="dxa"/>
            <w:vAlign w:val="bottom"/>
            <w:vMerge w:val="continue"/>
            <w:shd w:val="clear" w:color="auto" w:fill="DBF3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440" w:type="dxa"/>
            <w:vAlign w:val="bottom"/>
            <w:tcBorders>
              <w:bottom w:val="single" w:sz="8" w:color="DBF3FF"/>
            </w:tcBorders>
            <w:gridSpan w:val="3"/>
            <w:vMerge w:val="continue"/>
            <w:shd w:val="clear" w:color="auto" w:fill="DBF3FF"/>
          </w:tcPr>
          <w:p>
            <w:pPr>
              <w:spacing w:after="0"/>
              <w:rPr>
                <w:sz w:val="9"/>
                <w:szCs w:val="9"/>
                <w:color w:val="auto"/>
              </w:rPr>
            </w:pPr>
          </w:p>
        </w:tc>
        <w:tc>
          <w:tcPr>
            <w:tcW w:w="1440" w:type="dxa"/>
            <w:vAlign w:val="bottom"/>
            <w:tcBorders>
              <w:bottom w:val="single" w:sz="8" w:color="DBF3FF"/>
            </w:tcBorders>
            <w:shd w:val="clear" w:color="auto" w:fill="DBF3FF"/>
          </w:tcPr>
          <w:p>
            <w:pPr>
              <w:spacing w:after="0"/>
              <w:rPr>
                <w:sz w:val="9"/>
                <w:szCs w:val="9"/>
                <w:color w:val="auto"/>
              </w:rPr>
            </w:pPr>
          </w:p>
        </w:tc>
        <w:tc>
          <w:tcPr>
            <w:tcW w:w="120" w:type="dxa"/>
            <w:vAlign w:val="bottom"/>
            <w:tcBorders>
              <w:bottom w:val="single" w:sz="8" w:color="DBF3FF"/>
            </w:tcBorders>
            <w:shd w:val="clear" w:color="auto" w:fill="DBF3FF"/>
          </w:tcPr>
          <w:p>
            <w:pPr>
              <w:spacing w:after="0"/>
              <w:rPr>
                <w:sz w:val="9"/>
                <w:szCs w:val="9"/>
                <w:color w:val="auto"/>
              </w:rPr>
            </w:pPr>
          </w:p>
        </w:tc>
        <w:tc>
          <w:tcPr>
            <w:tcW w:w="1360" w:type="dxa"/>
            <w:vAlign w:val="bottom"/>
            <w:tcBorders>
              <w:bottom w:val="single" w:sz="8" w:color="DBF3FF"/>
            </w:tcBorders>
            <w:shd w:val="clear" w:color="auto" w:fill="DBF3FF"/>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This proposal, commonly referred to as the “say-on-pay”</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vote, must receive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holders of a</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majority of the voting power of the shares present in</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person, by remote communication, if applicable, 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No effect</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effect</w:t>
            </w:r>
          </w:p>
        </w:tc>
        <w:tc>
          <w:tcPr>
            <w:tcW w:w="0" w:type="dxa"/>
            <w:vAlign w:val="bottom"/>
          </w:tcPr>
          <w:p>
            <w:pPr>
              <w:spacing w:after="0"/>
              <w:rPr>
                <w:sz w:val="1"/>
                <w:szCs w:val="1"/>
                <w:color w:val="auto"/>
              </w:rPr>
            </w:pPr>
          </w:p>
        </w:tc>
      </w:tr>
      <w:tr>
        <w:trPr>
          <w:trHeight w:val="203"/>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represented by proxy duly authorized at the meeting and</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voting affirmatively or negatively (excluding abstentions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and broker non-votes) on such matter.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44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This proposal must receive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holders</w:t>
            </w:r>
          </w:p>
        </w:tc>
        <w:tc>
          <w:tcPr>
            <w:tcW w:w="1440" w:type="dxa"/>
            <w:vAlign w:val="bottom"/>
            <w:shd w:val="clear" w:color="auto" w:fill="DBF3FF"/>
          </w:tcPr>
          <w:p>
            <w:pPr>
              <w:spacing w:after="0"/>
              <w:rPr>
                <w:sz w:val="21"/>
                <w:szCs w:val="21"/>
                <w:color w:val="auto"/>
              </w:rPr>
            </w:pPr>
          </w:p>
        </w:tc>
        <w:tc>
          <w:tcPr>
            <w:tcW w:w="120" w:type="dxa"/>
            <w:vAlign w:val="bottom"/>
            <w:shd w:val="clear" w:color="auto" w:fill="DBF3FF"/>
          </w:tcPr>
          <w:p>
            <w:pPr>
              <w:spacing w:after="0"/>
              <w:rPr>
                <w:sz w:val="21"/>
                <w:szCs w:val="21"/>
                <w:color w:val="auto"/>
              </w:rPr>
            </w:pPr>
          </w:p>
        </w:tc>
        <w:tc>
          <w:tcPr>
            <w:tcW w:w="1360" w:type="dxa"/>
            <w:vAlign w:val="bottom"/>
            <w:shd w:val="clear" w:color="auto" w:fill="DBF3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of a majority of the voting power of the shares present in</w:t>
            </w:r>
          </w:p>
        </w:tc>
        <w:tc>
          <w:tcPr>
            <w:tcW w:w="1440" w:type="dxa"/>
            <w:vAlign w:val="bottom"/>
            <w:shd w:val="clear" w:color="auto" w:fill="DBF3FF"/>
          </w:tcPr>
          <w:p>
            <w:pPr>
              <w:spacing w:after="0"/>
              <w:rPr>
                <w:sz w:val="17"/>
                <w:szCs w:val="17"/>
                <w:color w:val="auto"/>
              </w:rPr>
            </w:pPr>
          </w:p>
        </w:tc>
        <w:tc>
          <w:tcPr>
            <w:tcW w:w="120" w:type="dxa"/>
            <w:vAlign w:val="bottom"/>
            <w:shd w:val="clear" w:color="auto" w:fill="DBF3FF"/>
          </w:tcPr>
          <w:p>
            <w:pPr>
              <w:spacing w:after="0"/>
              <w:rPr>
                <w:sz w:val="17"/>
                <w:szCs w:val="17"/>
                <w:color w:val="auto"/>
              </w:rPr>
            </w:pPr>
          </w:p>
        </w:tc>
        <w:tc>
          <w:tcPr>
            <w:tcW w:w="136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person, by remote communication, if applicable, or</w:t>
            </w:r>
          </w:p>
        </w:tc>
        <w:tc>
          <w:tcPr>
            <w:tcW w:w="1560" w:type="dxa"/>
            <w:vAlign w:val="bottom"/>
            <w:gridSpan w:val="2"/>
            <w:vMerge w:val="restart"/>
            <w:shd w:val="clear" w:color="auto" w:fill="DBF3FF"/>
          </w:tcPr>
          <w:p>
            <w:pPr>
              <w:jc w:val="center"/>
              <w:ind w:right="120"/>
              <w:spacing w:after="0"/>
              <w:rPr>
                <w:sz w:val="20"/>
                <w:szCs w:val="20"/>
                <w:color w:val="auto"/>
              </w:rPr>
            </w:pPr>
            <w:r>
              <w:rPr>
                <w:rFonts w:ascii="Times New Roman" w:cs="Times New Roman" w:eastAsia="Times New Roman" w:hAnsi="Times New Roman"/>
                <w:sz w:val="17"/>
                <w:szCs w:val="17"/>
                <w:color w:val="auto"/>
              </w:rPr>
              <w:t>No effect</w:t>
            </w:r>
          </w:p>
        </w:tc>
        <w:tc>
          <w:tcPr>
            <w:tcW w:w="1360" w:type="dxa"/>
            <w:vAlign w:val="bottom"/>
            <w:vMerge w:val="restart"/>
            <w:shd w:val="clear" w:color="auto" w:fill="DBF3FF"/>
          </w:tcPr>
          <w:p>
            <w:pPr>
              <w:jc w:val="center"/>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r>
        <w:trPr>
          <w:trHeight w:val="117"/>
        </w:trPr>
        <w:tc>
          <w:tcPr>
            <w:tcW w:w="4440" w:type="dxa"/>
            <w:vAlign w:val="bottom"/>
            <w:gridSpan w:val="3"/>
            <w:vMerge w:val="restart"/>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represented by proxy duly authorized at the meeting and</w:t>
            </w:r>
          </w:p>
        </w:tc>
        <w:tc>
          <w:tcPr>
            <w:tcW w:w="1560" w:type="dxa"/>
            <w:vAlign w:val="bottom"/>
            <w:gridSpan w:val="2"/>
            <w:vMerge w:val="continue"/>
            <w:shd w:val="clear" w:color="auto" w:fill="DBF3FF"/>
          </w:tcPr>
          <w:p>
            <w:pPr>
              <w:spacing w:after="0"/>
              <w:rPr>
                <w:sz w:val="10"/>
                <w:szCs w:val="10"/>
                <w:color w:val="auto"/>
              </w:rPr>
            </w:pPr>
          </w:p>
        </w:tc>
        <w:tc>
          <w:tcPr>
            <w:tcW w:w="1360" w:type="dxa"/>
            <w:vAlign w:val="bottom"/>
            <w:vMerge w:val="continue"/>
            <w:shd w:val="clear" w:color="auto" w:fill="DBF3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40" w:type="dxa"/>
            <w:vAlign w:val="bottom"/>
            <w:gridSpan w:val="3"/>
            <w:vMerge w:val="continue"/>
            <w:shd w:val="clear" w:color="auto" w:fill="DBF3FF"/>
          </w:tcPr>
          <w:p>
            <w:pPr>
              <w:spacing w:after="0"/>
              <w:rPr>
                <w:sz w:val="7"/>
                <w:szCs w:val="7"/>
                <w:color w:val="auto"/>
              </w:rPr>
            </w:pPr>
          </w:p>
        </w:tc>
        <w:tc>
          <w:tcPr>
            <w:tcW w:w="1440" w:type="dxa"/>
            <w:vAlign w:val="bottom"/>
            <w:shd w:val="clear" w:color="auto" w:fill="DBF3FF"/>
          </w:tcPr>
          <w:p>
            <w:pPr>
              <w:spacing w:after="0"/>
              <w:rPr>
                <w:sz w:val="7"/>
                <w:szCs w:val="7"/>
                <w:color w:val="auto"/>
              </w:rPr>
            </w:pPr>
          </w:p>
        </w:tc>
        <w:tc>
          <w:tcPr>
            <w:tcW w:w="120" w:type="dxa"/>
            <w:vAlign w:val="bottom"/>
            <w:shd w:val="clear" w:color="auto" w:fill="DBF3FF"/>
          </w:tcPr>
          <w:p>
            <w:pPr>
              <w:spacing w:after="0"/>
              <w:rPr>
                <w:sz w:val="7"/>
                <w:szCs w:val="7"/>
                <w:color w:val="auto"/>
              </w:rPr>
            </w:pPr>
          </w:p>
        </w:tc>
        <w:tc>
          <w:tcPr>
            <w:tcW w:w="1360" w:type="dxa"/>
            <w:vAlign w:val="bottom"/>
            <w:shd w:val="clear" w:color="auto" w:fill="DBF3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voting affirmatively or negatively (excluding abstentions</w:t>
            </w:r>
          </w:p>
        </w:tc>
        <w:tc>
          <w:tcPr>
            <w:tcW w:w="1440" w:type="dxa"/>
            <w:vAlign w:val="bottom"/>
            <w:shd w:val="clear" w:color="auto" w:fill="DBF3FF"/>
          </w:tcPr>
          <w:p>
            <w:pPr>
              <w:spacing w:after="0"/>
              <w:rPr>
                <w:sz w:val="17"/>
                <w:szCs w:val="17"/>
                <w:color w:val="auto"/>
              </w:rPr>
            </w:pPr>
          </w:p>
        </w:tc>
        <w:tc>
          <w:tcPr>
            <w:tcW w:w="120" w:type="dxa"/>
            <w:vAlign w:val="bottom"/>
            <w:shd w:val="clear" w:color="auto" w:fill="DBF3FF"/>
          </w:tcPr>
          <w:p>
            <w:pPr>
              <w:spacing w:after="0"/>
              <w:rPr>
                <w:sz w:val="17"/>
                <w:szCs w:val="17"/>
                <w:color w:val="auto"/>
              </w:rPr>
            </w:pPr>
          </w:p>
        </w:tc>
        <w:tc>
          <w:tcPr>
            <w:tcW w:w="136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4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and broker non-votes) on such matter.</w:t>
            </w:r>
          </w:p>
        </w:tc>
        <w:tc>
          <w:tcPr>
            <w:tcW w:w="1440" w:type="dxa"/>
            <w:vAlign w:val="bottom"/>
            <w:shd w:val="clear" w:color="auto" w:fill="DBF3FF"/>
          </w:tcPr>
          <w:p>
            <w:pPr>
              <w:spacing w:after="0"/>
              <w:rPr>
                <w:sz w:val="18"/>
                <w:szCs w:val="18"/>
                <w:color w:val="auto"/>
              </w:rPr>
            </w:pPr>
          </w:p>
        </w:tc>
        <w:tc>
          <w:tcPr>
            <w:tcW w:w="120" w:type="dxa"/>
            <w:vAlign w:val="bottom"/>
            <w:shd w:val="clear" w:color="auto" w:fill="DBF3FF"/>
          </w:tcPr>
          <w:p>
            <w:pPr>
              <w:spacing w:after="0"/>
              <w:rPr>
                <w:sz w:val="18"/>
                <w:szCs w:val="18"/>
                <w:color w:val="auto"/>
              </w:rPr>
            </w:pPr>
          </w:p>
        </w:tc>
        <w:tc>
          <w:tcPr>
            <w:tcW w:w="1360" w:type="dxa"/>
            <w:vAlign w:val="bottom"/>
            <w:shd w:val="clear" w:color="auto" w:fill="DBF3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0" w:type="dxa"/>
            <w:vAlign w:val="bottom"/>
            <w:shd w:val="clear" w:color="auto" w:fill="DBF3FF"/>
          </w:tcPr>
          <w:p>
            <w:pPr>
              <w:spacing w:after="0"/>
              <w:rPr>
                <w:sz w:val="2"/>
                <w:szCs w:val="2"/>
                <w:color w:val="auto"/>
              </w:rPr>
            </w:pPr>
          </w:p>
        </w:tc>
        <w:tc>
          <w:tcPr>
            <w:tcW w:w="4040" w:type="dxa"/>
            <w:vAlign w:val="bottom"/>
            <w:shd w:val="clear" w:color="auto" w:fill="DBF3FF"/>
          </w:tcPr>
          <w:p>
            <w:pPr>
              <w:spacing w:after="0"/>
              <w:rPr>
                <w:sz w:val="2"/>
                <w:szCs w:val="2"/>
                <w:color w:val="auto"/>
              </w:rPr>
            </w:pPr>
          </w:p>
        </w:tc>
        <w:tc>
          <w:tcPr>
            <w:tcW w:w="200" w:type="dxa"/>
            <w:vAlign w:val="bottom"/>
            <w:shd w:val="clear" w:color="auto" w:fill="DBF3FF"/>
          </w:tcPr>
          <w:p>
            <w:pPr>
              <w:spacing w:after="0"/>
              <w:rPr>
                <w:sz w:val="2"/>
                <w:szCs w:val="2"/>
                <w:color w:val="auto"/>
              </w:rPr>
            </w:pPr>
          </w:p>
        </w:tc>
        <w:tc>
          <w:tcPr>
            <w:tcW w:w="1440" w:type="dxa"/>
            <w:vAlign w:val="bottom"/>
            <w:shd w:val="clear" w:color="auto" w:fill="DBF3FF"/>
          </w:tcPr>
          <w:p>
            <w:pPr>
              <w:spacing w:after="0"/>
              <w:rPr>
                <w:sz w:val="2"/>
                <w:szCs w:val="2"/>
                <w:color w:val="auto"/>
              </w:rPr>
            </w:pPr>
          </w:p>
        </w:tc>
        <w:tc>
          <w:tcPr>
            <w:tcW w:w="120" w:type="dxa"/>
            <w:vAlign w:val="bottom"/>
            <w:shd w:val="clear" w:color="auto" w:fill="DBF3FF"/>
          </w:tcPr>
          <w:p>
            <w:pPr>
              <w:spacing w:after="0"/>
              <w:rPr>
                <w:sz w:val="2"/>
                <w:szCs w:val="2"/>
                <w:color w:val="auto"/>
              </w:rPr>
            </w:pPr>
          </w:p>
        </w:tc>
        <w:tc>
          <w:tcPr>
            <w:tcW w:w="1360" w:type="dxa"/>
            <w:vAlign w:val="bottom"/>
            <w:shd w:val="clear" w:color="auto" w:fill="DBF3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20" w:space="20"/>
            <w:col w:w="7360"/>
          </w:cols>
          <w:pgMar w:left="320" w:top="462" w:right="779" w:bottom="1440" w:gutter="0" w:footer="0" w:header="0"/>
          <w:type w:val="continuous"/>
        </w:sectPr>
      </w:pP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can I find out the results of the voting at the Annual Meeting?</w:t>
      </w:r>
    </w:p>
    <w:p>
      <w:pPr>
        <w:spacing w:after="0" w:line="112" w:lineRule="exact"/>
        <w:rPr>
          <w:sz w:val="20"/>
          <w:szCs w:val="20"/>
          <w:color w:val="auto"/>
        </w:rPr>
      </w:pPr>
    </w:p>
    <w:p>
      <w:pPr>
        <w:ind w:left="460" w:right="80" w:firstLine="413"/>
        <w:spacing w:after="0" w:line="262" w:lineRule="auto"/>
        <w:rPr>
          <w:sz w:val="20"/>
          <w:szCs w:val="20"/>
          <w:color w:val="auto"/>
        </w:rPr>
      </w:pPr>
      <w:r>
        <w:rPr>
          <w:rFonts w:ascii="Times New Roman" w:cs="Times New Roman" w:eastAsia="Times New Roman" w:hAnsi="Times New Roman"/>
          <w:sz w:val="17"/>
          <w:szCs w:val="17"/>
          <w:color w:val="auto"/>
        </w:rPr>
        <w:t>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w:t>
      </w:r>
    </w:p>
    <w:p>
      <w:pPr>
        <w:spacing w:after="0" w:line="1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800"/>
          </w:cols>
          <w:pgMar w:left="320" w:top="462" w:right="7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180"/>
        <w:spacing w:after="0" w:line="276" w:lineRule="auto"/>
        <w:rPr>
          <w:sz w:val="20"/>
          <w:szCs w:val="20"/>
          <w:color w:val="auto"/>
        </w:rPr>
      </w:pPr>
      <w:r>
        <w:rPr>
          <w:rFonts w:ascii="Times New Roman" w:cs="Times New Roman" w:eastAsia="Times New Roman" w:hAnsi="Times New Roman"/>
          <w:sz w:val="17"/>
          <w:szCs w:val="17"/>
          <w:color w:val="auto"/>
        </w:rPr>
        <w:t>on Form 8-K and, within four business days after the final voting results are known to us, file an amended Current Report on Form 8-K to disclose the final voting results.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Who pays the cost for soliciting proxies?</w:t>
      </w:r>
    </w:p>
    <w:p>
      <w:pPr>
        <w:spacing w:after="0" w:line="112" w:lineRule="exact"/>
        <w:rPr>
          <w:sz w:val="20"/>
          <w:szCs w:val="20"/>
          <w:color w:val="auto"/>
        </w:rPr>
      </w:pPr>
    </w:p>
    <w:p>
      <w:pPr>
        <w:ind w:left="460" w:right="60" w:firstLine="413"/>
        <w:spacing w:after="0" w:line="258" w:lineRule="auto"/>
        <w:rPr>
          <w:sz w:val="20"/>
          <w:szCs w:val="20"/>
          <w:color w:val="auto"/>
        </w:rPr>
      </w:pPr>
      <w:r>
        <w:rPr>
          <w:rFonts w:ascii="Times New Roman" w:cs="Times New Roman" w:eastAsia="Times New Roman" w:hAnsi="Times New Roman"/>
          <w:sz w:val="17"/>
          <w:szCs w:val="17"/>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When are stockholder proposals due for the 2025 Annual Meeting of Stockholders?</w:t>
      </w:r>
    </w:p>
    <w:p>
      <w:pPr>
        <w:spacing w:after="0" w:line="112"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If you wish to submit proposals for inclusion in our proxy statement for the 2025 Annual Meeting of Stockholders (the “2025 Annual Meeting”), we must receive them on or before December 30, 2024. Nothing in this paragraph shall require us to include in our proxy statement or proxy card for the 2025 Annual Meeting any stockholder proposal that does not meet the requirements of the SEC in effect at the time. Any such proposal will be subject to Rule 14a-8 of the Securities Exchange Act of 1934, as amended (the “Exchange Act”). In addition, stockholders who intend to solicit proxies in support of director nominees other than our nominees must also comply with the additional requirements of Rule 14a-19(b) of the Exchange Act.</w:t>
      </w:r>
    </w:p>
    <w:p>
      <w:pPr>
        <w:spacing w:after="0" w:line="177" w:lineRule="exact"/>
        <w:rPr>
          <w:sz w:val="20"/>
          <w:szCs w:val="20"/>
          <w:color w:val="auto"/>
        </w:rPr>
      </w:pPr>
    </w:p>
    <w:p>
      <w:pPr>
        <w:ind w:left="460" w:right="20" w:firstLine="413"/>
        <w:spacing w:after="0" w:line="252" w:lineRule="auto"/>
        <w:rPr>
          <w:sz w:val="20"/>
          <w:szCs w:val="20"/>
          <w:color w:val="auto"/>
        </w:rPr>
      </w:pPr>
      <w:r>
        <w:rPr>
          <w:rFonts w:ascii="Times New Roman" w:cs="Times New Roman" w:eastAsia="Times New Roman" w:hAnsi="Times New Roman"/>
          <w:sz w:val="17"/>
          <w:szCs w:val="17"/>
          <w:color w:val="auto"/>
        </w:rPr>
        <w:t xml:space="preserve">If you wish to nominate a director or submit a proposal for presentation at the 2025 Annual Meeting, without including such proposal in next year’s proxy statement, you must be a stockholder of record and provide timely notice in writing to our Secretary at Xometry, Inc., 6116 Executive Boulevard, Suite 800, North Bethesda, Maryland 20852. To be timely, we must receive the notice not less than 90 days nor more than 120 days prior to the first anniversary of the Annual Meeting, that is, between February 18, 2025 and March 20, 2025;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that the date of the 2025 Annual Meeting is more than 30 days before or more than 30 days after such anniversary date, we must receive your notice (a) no earlier than the close of business on the 120th day prior to the 2025 Annual Meeting and (b) no later than the close of business on the later of the 90th day prior to the 2025 Annual Meeting or the close of business on the 10th day following the day on which we first make a public announcement of the date of the 2025 Annual Meeting. Your written notice must contain specific information required in Section 5 of our amended and restated bylaws (the “Bylaws”). For additional information about our director nomination requirements, please see our Bylaws.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Who should I call if I have any additional questions?</w:t>
      </w:r>
    </w:p>
    <w:p>
      <w:pPr>
        <w:spacing w:after="0" w:line="112" w:lineRule="exact"/>
        <w:rPr>
          <w:sz w:val="20"/>
          <w:szCs w:val="20"/>
          <w:color w:val="auto"/>
        </w:rPr>
      </w:pPr>
    </w:p>
    <w:p>
      <w:pPr>
        <w:ind w:left="460" w:right="160" w:firstLine="413"/>
        <w:spacing w:after="0" w:line="262" w:lineRule="auto"/>
        <w:rPr>
          <w:sz w:val="20"/>
          <w:szCs w:val="20"/>
          <w:color w:val="auto"/>
        </w:rPr>
      </w:pPr>
      <w:r>
        <w:rPr>
          <w:rFonts w:ascii="Times New Roman" w:cs="Times New Roman" w:eastAsia="Times New Roman" w:hAnsi="Times New Roman"/>
          <w:sz w:val="17"/>
          <w:szCs w:val="17"/>
          <w:color w:val="auto"/>
        </w:rPr>
        <w:t xml:space="preserve">If you are the stockholder of record for your shares, please call Shawn Milne, our Vice President of Investor Relations, at 240.335.8132 or email </w:t>
      </w:r>
      <w:r>
        <w:rPr>
          <w:rFonts w:ascii="Times New Roman" w:cs="Times New Roman" w:eastAsia="Times New Roman" w:hAnsi="Times New Roman"/>
          <w:sz w:val="17"/>
          <w:szCs w:val="17"/>
          <w:i w:val="1"/>
          <w:iCs w:val="1"/>
          <w:color w:val="auto"/>
        </w:rPr>
        <w:t>shawn.milne@xometry.com</w:t>
      </w:r>
      <w:r>
        <w:rPr>
          <w:rFonts w:ascii="Times New Roman" w:cs="Times New Roman" w:eastAsia="Times New Roman" w:hAnsi="Times New Roman"/>
          <w:sz w:val="17"/>
          <w:szCs w:val="17"/>
          <w:color w:val="auto"/>
        </w:rPr>
        <w:t>. If your shares are held in street name, please contact the telephone number provided on your voting instruction form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contact your broker or nominee holder directly.</w:t>
      </w:r>
    </w:p>
    <w:p>
      <w:pPr>
        <w:spacing w:after="0" w:line="1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780"/>
          </w:cols>
          <w:pgMar w:left="320" w:top="462" w:right="7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2" w:lineRule="exact"/>
        <w:rPr>
          <w:sz w:val="20"/>
          <w:szCs w:val="20"/>
          <w:color w:val="auto"/>
        </w:rPr>
      </w:pPr>
    </w:p>
    <w:p>
      <w:pPr>
        <w:jc w:val="both"/>
        <w:ind w:left="460" w:right="80" w:firstLine="413"/>
        <w:spacing w:after="0" w:line="262" w:lineRule="auto"/>
        <w:rPr>
          <w:sz w:val="20"/>
          <w:szCs w:val="20"/>
          <w:color w:val="auto"/>
        </w:rPr>
      </w:pPr>
      <w:r>
        <w:rPr>
          <w:rFonts w:ascii="Times New Roman" w:cs="Times New Roman" w:eastAsia="Times New Roman" w:hAnsi="Times New Roman"/>
          <w:sz w:val="17"/>
          <w:szCs w:val="17"/>
          <w:color w:val="auto"/>
        </w:rPr>
        <w:t>Our Board is currently composed of seven directors and is divided into three classes. Each class consists, as nearly as possible, of one-third of the total number of directors and has a three-year term. At each annual meeting of stockholders, the successors to directors whose terms then expire will be elected to serve from the time of election until the third annual meeting following the election.</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Our directors are divided into three classes as follows:</w:t>
      </w:r>
    </w:p>
    <w:p>
      <w:pPr>
        <w:spacing w:after="0" w:line="121" w:lineRule="exact"/>
        <w:rPr>
          <w:sz w:val="20"/>
          <w:szCs w:val="20"/>
          <w:color w:val="auto"/>
        </w:rPr>
      </w:pPr>
    </w:p>
    <w:p>
      <w:pPr>
        <w:ind w:left="1360" w:hanging="396"/>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III directors: Ranjana Clark, Emily Rollins and Laurence Zuriff, whose terms will expire at the upcoming Annual Meeting; and</w:t>
      </w:r>
    </w:p>
    <w:p>
      <w:pPr>
        <w:spacing w:after="0" w:line="121" w:lineRule="exact"/>
        <w:rPr>
          <w:rFonts w:ascii="Times New Roman" w:cs="Times New Roman" w:eastAsia="Times New Roman" w:hAnsi="Times New Roman"/>
          <w:sz w:val="17"/>
          <w:szCs w:val="17"/>
          <w:color w:val="auto"/>
        </w:rPr>
      </w:pPr>
    </w:p>
    <w:p>
      <w:pPr>
        <w:ind w:left="1360" w:right="340" w:hanging="396"/>
        <w:spacing w:after="0" w:line="276"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 directors: Randolph Altschuler and Deborah Bial, whose terms will expire at the Annual Meeting of Stockholders to be held in 2025; and</w:t>
      </w:r>
    </w:p>
    <w:p>
      <w:pPr>
        <w:spacing w:after="0" w:line="69"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II directors: Fabio Rosati and Katharine Weymouth, whose terms will expire at Annual Meeting of Stockholders to be held in 2026.</w:t>
      </w:r>
    </w:p>
    <w:p>
      <w:pPr>
        <w:spacing w:after="0" w:line="210" w:lineRule="exact"/>
        <w:rPr>
          <w:sz w:val="20"/>
          <w:szCs w:val="20"/>
          <w:color w:val="auto"/>
        </w:rPr>
      </w:pPr>
    </w:p>
    <w:p>
      <w:pPr>
        <w:ind w:left="460" w:right="20" w:firstLine="413"/>
        <w:spacing w:after="0" w:line="255" w:lineRule="auto"/>
        <w:rPr>
          <w:sz w:val="20"/>
          <w:szCs w:val="20"/>
          <w:color w:val="auto"/>
        </w:rPr>
      </w:pPr>
      <w:r>
        <w:rPr>
          <w:rFonts w:ascii="Times New Roman" w:cs="Times New Roman" w:eastAsia="Times New Roman" w:hAnsi="Times New Roman"/>
          <w:sz w:val="17"/>
          <w:szCs w:val="17"/>
          <w:color w:val="auto"/>
        </w:rPr>
        <w:t>On April 8, 2024, Mr. Zuriff notified the Board that he will not stand for reelection as a director of Xometry upon expiration of his current term at the Annual Meeting due to health reasons, and not as a result of any disagreement between Mr. Zuriff and Xometry, its management, our Board (or any committee thereof), or with respect to any matter relating to our operations, policies or practices. Upon the recommendation of the Nominating and Corporate Governance Committee, our Board has nominated Mses. Clark and Rollins for election as directors at the Annual Meeting. Effective upon the expiration of Mr. Zuriff’s term at the Annual Meeting, the Board has reduced the size of the Board from seven to six directors.</w:t>
      </w:r>
    </w:p>
    <w:p>
      <w:pPr>
        <w:spacing w:after="0" w:line="177" w:lineRule="exact"/>
        <w:rPr>
          <w:sz w:val="20"/>
          <w:szCs w:val="20"/>
          <w:color w:val="auto"/>
        </w:rPr>
      </w:pPr>
    </w:p>
    <w:p>
      <w:pPr>
        <w:ind w:left="460" w:right="120" w:firstLine="413"/>
        <w:spacing w:after="0" w:line="255" w:lineRule="auto"/>
        <w:rPr>
          <w:sz w:val="20"/>
          <w:szCs w:val="20"/>
          <w:color w:val="auto"/>
        </w:rPr>
      </w:pPr>
      <w:r>
        <w:rPr>
          <w:rFonts w:ascii="Times New Roman" w:cs="Times New Roman" w:eastAsia="Times New Roman" w:hAnsi="Times New Roman"/>
          <w:sz w:val="17"/>
          <w:szCs w:val="17"/>
          <w:color w:val="auto"/>
        </w:rPr>
        <w:t>Any additional directorships resulting from an increase in the number of directors will be distributed among the three classes so that, as nearly as possible, each class will consist of one-third of the directors.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The division of our board of directors into three classes with staggered three-year terms may delay or prevent a change of our management or a change in control of our company.</w:t>
      </w:r>
    </w:p>
    <w:p>
      <w:pPr>
        <w:spacing w:after="0" w:line="177" w:lineRule="exact"/>
        <w:rPr>
          <w:sz w:val="20"/>
          <w:szCs w:val="20"/>
          <w:color w:val="auto"/>
        </w:rPr>
      </w:pPr>
    </w:p>
    <w:p>
      <w:pPr>
        <w:ind w:left="460" w:firstLine="413"/>
        <w:spacing w:after="0" w:line="253" w:lineRule="auto"/>
        <w:rPr>
          <w:sz w:val="20"/>
          <w:szCs w:val="20"/>
          <w:color w:val="auto"/>
        </w:rPr>
      </w:pPr>
      <w:r>
        <w:rPr>
          <w:rFonts w:ascii="Times New Roman" w:cs="Times New Roman" w:eastAsia="Times New Roman" w:hAnsi="Times New Roman"/>
          <w:sz w:val="17"/>
          <w:szCs w:val="17"/>
          <w:color w:val="auto"/>
        </w:rPr>
        <w:t>Each of Mses. Clark and Rollins is currently a member of our Board. Ms. Clark was appointed by the Board in July 2021 effective immediately upon the consummation of our initial public offering (“IPO”) of Class A common stock. Ms. Rollins was previously elected to the Board by the stockholders in March 2021 prior to our IPO to fill a vacancy on the Board. Each of Mses. Clark and Rollins have been nominated for reelection to serve as a Class III director, based in part on the recommendation of the Nominating and Corporate Governance Committee, and had agreed to be named in this proxy statement and stand for reelection at the Annual Meeting. Our management has no reason to believe that any nominee will be unable to serve. If elected at the Annual Meeting, each of these nominees would serve until the Annual Meeting of Stockholders to be held in 2027 and until the director’s successor has been duly elected, or if sooner, until the director’s death, resignation or removal.</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12" w:lineRule="exact"/>
        <w:rPr>
          <w:sz w:val="20"/>
          <w:szCs w:val="20"/>
          <w:color w:val="auto"/>
        </w:rPr>
      </w:pPr>
    </w:p>
    <w:p>
      <w:pPr>
        <w:ind w:left="460" w:right="80" w:firstLine="413"/>
        <w:spacing w:after="0" w:line="253" w:lineRule="auto"/>
        <w:rPr>
          <w:sz w:val="20"/>
          <w:szCs w:val="20"/>
          <w:color w:val="auto"/>
        </w:rPr>
      </w:pPr>
      <w:r>
        <w:rPr>
          <w:rFonts w:ascii="Times New Roman" w:cs="Times New Roman" w:eastAsia="Times New Roman" w:hAnsi="Times New Roman"/>
          <w:sz w:val="17"/>
          <w:szCs w:val="17"/>
          <w:color w:val="auto"/>
        </w:rPr>
        <w:t>Directors are elected by a plurality of the votes of the holders of shares present or represented by proxy and entitled to vote on the election of directors. Accordingly, the two nominees receiving the highest number of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will be elected. You may not vote your shares cumulatively for the election of directors. Shares represented by executed proxies will be voted, if authority to do so is not withheld, for the election of the two nominees named above. If any nominee becomes unavailable for election as a result of an unexpected</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occurrence, your shares will be voted for the election of a substitute nominee proposed by our Board. The Board</w:t>
      </w:r>
    </w:p>
    <w:p>
      <w:pPr>
        <w:spacing w:after="0" w:line="1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780"/>
          </w:cols>
          <w:pgMar w:left="320" w:top="462" w:right="7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100"/>
        <w:spacing w:after="0" w:line="276" w:lineRule="auto"/>
        <w:rPr>
          <w:sz w:val="20"/>
          <w:szCs w:val="20"/>
          <w:color w:val="auto"/>
        </w:rPr>
      </w:pPr>
      <w:r>
        <w:rPr>
          <w:rFonts w:ascii="Times New Roman" w:cs="Times New Roman" w:eastAsia="Times New Roman" w:hAnsi="Times New Roman"/>
          <w:sz w:val="17"/>
          <w:szCs w:val="17"/>
          <w:color w:val="auto"/>
        </w:rPr>
        <w:t>has no reason to believe that any of the nominees would prove unable to serve if elected. There are no arrangements or understandings between us and any nominee for directorship, pursuant to which such person was selected as a nominee.</w:t>
      </w:r>
    </w:p>
    <w:p>
      <w:pPr>
        <w:spacing w:after="0" w:line="158"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However, each of the members of the Nominating and Corporate Governance Committee may have a variety of reasons why a particular person would be an appropriate nominee for the Board, and these views may differ from the views of other members.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Our Recommendation</w:t>
      </w:r>
    </w:p>
    <w:p>
      <w:pPr>
        <w:spacing w:after="0" w:line="210" w:lineRule="exact"/>
        <w:rPr>
          <w:sz w:val="20"/>
          <w:szCs w:val="20"/>
          <w:color w:val="auto"/>
        </w:rPr>
      </w:pPr>
    </w:p>
    <w:p>
      <w:pPr>
        <w:jc w:val="center"/>
        <w:ind w:left="860" w:right="380"/>
        <w:spacing w:after="0" w:line="452" w:lineRule="auto"/>
        <w:rPr>
          <w:sz w:val="20"/>
          <w:szCs w:val="20"/>
          <w:color w:val="auto"/>
        </w:rPr>
      </w:pPr>
      <w:r>
        <w:rPr>
          <w:rFonts w:ascii="Times New Roman" w:cs="Times New Roman" w:eastAsia="Times New Roman" w:hAnsi="Times New Roman"/>
          <w:sz w:val="17"/>
          <w:szCs w:val="17"/>
          <w:b w:val="1"/>
          <w:bCs w:val="1"/>
          <w:color w:val="auto"/>
        </w:rPr>
        <w:t xml:space="preserve">THE BOARD UNANIMOUSLY RECOMMENDS A VOTE “FOR” EACH CLASS III DIRECTOR NOMINEE NAMED ABOVE. </w:t>
      </w:r>
      <w:r>
        <w:rPr>
          <w:rFonts w:ascii="Times New Roman" w:cs="Times New Roman" w:eastAsia="Times New Roman" w:hAnsi="Times New Roman"/>
          <w:sz w:val="17"/>
          <w:szCs w:val="17"/>
          <w:color w:val="auto"/>
        </w:rPr>
        <w:t>10</w:t>
      </w:r>
    </w:p>
    <w:p>
      <w:pPr>
        <w:sectPr>
          <w:pgSz w:w="11900" w:h="16838" w:orient="portrait"/>
          <w:cols w:equalWidth="0" w:num="1">
            <w:col w:w="10720"/>
          </w:cols>
          <w:pgMar w:left="320" w:top="462" w:right="8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INFORMATION ABOUT OUR DIRECTOR NOMINEES AND CURRENT DIRECTORS</w:t>
      </w:r>
    </w:p>
    <w:p>
      <w:pPr>
        <w:spacing w:after="0" w:line="214" w:lineRule="exact"/>
        <w:rPr>
          <w:sz w:val="20"/>
          <w:szCs w:val="20"/>
          <w:color w:val="auto"/>
        </w:rPr>
      </w:pPr>
    </w:p>
    <w:p>
      <w:pPr>
        <w:ind w:left="460" w:right="180" w:firstLine="413"/>
        <w:spacing w:after="0" w:line="276" w:lineRule="auto"/>
        <w:rPr>
          <w:sz w:val="20"/>
          <w:szCs w:val="20"/>
          <w:color w:val="auto"/>
        </w:rPr>
      </w:pPr>
      <w:r>
        <w:rPr>
          <w:rFonts w:ascii="Times New Roman" w:cs="Times New Roman" w:eastAsia="Times New Roman" w:hAnsi="Times New Roman"/>
          <w:sz w:val="17"/>
          <w:szCs w:val="17"/>
          <w:color w:val="auto"/>
        </w:rPr>
        <w:t>The following table sets forth, for the Class III nominees and our other directors who will continue in office after the Annual Meeting, their ages and position or office held with us as of the date of this proxy statement.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2"/>
                <w:szCs w:val="12"/>
                <w:color w:val="auto"/>
              </w:rPr>
            </w:pPr>
          </w:p>
        </w:tc>
        <w:tc>
          <w:tcPr>
            <w:tcW w:w="6560" w:type="dxa"/>
            <w:vAlign w:val="bottom"/>
            <w:vMerge w:val="restart"/>
          </w:tcPr>
          <w:p>
            <w:pPr>
              <w:ind w:left="304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200" w:type="dxa"/>
            <w:vAlign w:val="bottom"/>
            <w:vMerge w:val="restart"/>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Director</w:t>
            </w:r>
          </w:p>
        </w:tc>
        <w:tc>
          <w:tcPr>
            <w:tcW w:w="0" w:type="dxa"/>
            <w:vAlign w:val="bottom"/>
          </w:tcPr>
          <w:p>
            <w:pPr>
              <w:spacing w:after="0"/>
              <w:rPr>
                <w:sz w:val="1"/>
                <w:szCs w:val="1"/>
                <w:color w:val="auto"/>
              </w:rPr>
            </w:pPr>
          </w:p>
        </w:tc>
      </w:tr>
      <w:tr>
        <w:trPr>
          <w:trHeight w:val="156"/>
        </w:trPr>
        <w:tc>
          <w:tcPr>
            <w:tcW w:w="264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DBF3FF"/>
            </w:tcBorders>
          </w:tcPr>
          <w:p>
            <w:pPr>
              <w:spacing w:after="0"/>
              <w:rPr>
                <w:sz w:val="13"/>
                <w:szCs w:val="13"/>
                <w:color w:val="auto"/>
              </w:rPr>
            </w:pPr>
          </w:p>
        </w:tc>
        <w:tc>
          <w:tcPr>
            <w:tcW w:w="65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DBF3FF"/>
            </w:tcBorders>
            <w:vMerge w:val="continue"/>
          </w:tcPr>
          <w:p>
            <w:pPr>
              <w:spacing w:after="0"/>
              <w:rPr>
                <w:sz w:val="13"/>
                <w:szCs w:val="13"/>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Since</w:t>
            </w:r>
          </w:p>
        </w:tc>
        <w:tc>
          <w:tcPr>
            <w:tcW w:w="0" w:type="dxa"/>
            <w:vAlign w:val="bottom"/>
          </w:tcPr>
          <w:p>
            <w:pPr>
              <w:spacing w:after="0"/>
              <w:rPr>
                <w:sz w:val="1"/>
                <w:szCs w:val="1"/>
                <w:color w:val="auto"/>
              </w:rPr>
            </w:pPr>
          </w:p>
        </w:tc>
      </w:tr>
      <w:tr>
        <w:trPr>
          <w:trHeight w:val="190"/>
        </w:trPr>
        <w:tc>
          <w:tcPr>
            <w:tcW w:w="9640" w:type="dxa"/>
            <w:vAlign w:val="bottom"/>
            <w:gridSpan w:val="5"/>
            <w:shd w:val="clear" w:color="auto" w:fill="DBF3FF"/>
          </w:tcPr>
          <w:p>
            <w:pPr>
              <w:spacing w:after="0" w:line="190" w:lineRule="exact"/>
              <w:rPr>
                <w:sz w:val="20"/>
                <w:szCs w:val="20"/>
                <w:color w:val="auto"/>
              </w:rPr>
            </w:pPr>
            <w:r>
              <w:rPr>
                <w:rFonts w:ascii="Times New Roman" w:cs="Times New Roman" w:eastAsia="Times New Roman" w:hAnsi="Times New Roman"/>
                <w:sz w:val="17"/>
                <w:szCs w:val="17"/>
                <w:b w:val="1"/>
                <w:bCs w:val="1"/>
                <w:i w:val="1"/>
                <w:iCs w:val="1"/>
                <w:color w:val="auto"/>
              </w:rPr>
              <w:t>Class III director nominees for election at the 2024 Annual Meeting of Stockholders</w:t>
            </w:r>
          </w:p>
        </w:tc>
        <w:tc>
          <w:tcPr>
            <w:tcW w:w="200" w:type="dxa"/>
            <w:vAlign w:val="bottom"/>
            <w:shd w:val="clear" w:color="auto" w:fill="DBF3FF"/>
          </w:tcPr>
          <w:p>
            <w:pPr>
              <w:spacing w:after="0"/>
              <w:rPr>
                <w:sz w:val="16"/>
                <w:szCs w:val="16"/>
                <w:color w:val="auto"/>
              </w:rPr>
            </w:pPr>
          </w:p>
        </w:tc>
        <w:tc>
          <w:tcPr>
            <w:tcW w:w="50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Ranjana Clark</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63</w:t>
            </w:r>
          </w:p>
        </w:tc>
        <w:tc>
          <w:tcPr>
            <w:tcW w:w="69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2"/>
              </w:rPr>
              <w:t>  2021</w:t>
            </w: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Emily Rollins</w:t>
            </w:r>
          </w:p>
        </w:tc>
        <w:tc>
          <w:tcPr>
            <w:tcW w:w="24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54</w:t>
            </w:r>
          </w:p>
        </w:tc>
        <w:tc>
          <w:tcPr>
            <w:tcW w:w="696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shd w:val="clear" w:color="auto" w:fill="DBF3FF"/>
          </w:tcPr>
          <w:p>
            <w:pPr>
              <w:jc w:val="right"/>
              <w:ind w:right="20"/>
              <w:spacing w:after="0"/>
              <w:rPr>
                <w:sz w:val="20"/>
                <w:szCs w:val="20"/>
                <w:color w:val="auto"/>
              </w:rPr>
            </w:pPr>
            <w:r>
              <w:rPr>
                <w:rFonts w:ascii="Times New Roman" w:cs="Times New Roman" w:eastAsia="Times New Roman" w:hAnsi="Times New Roman"/>
                <w:sz w:val="17"/>
                <w:szCs w:val="17"/>
                <w:color w:val="auto"/>
                <w:w w:val="92"/>
              </w:rPr>
              <w:t>  2021</w:t>
            </w:r>
          </w:p>
        </w:tc>
        <w:tc>
          <w:tcPr>
            <w:tcW w:w="0" w:type="dxa"/>
            <w:vAlign w:val="bottom"/>
          </w:tcPr>
          <w:p>
            <w:pPr>
              <w:spacing w:after="0"/>
              <w:rPr>
                <w:sz w:val="1"/>
                <w:szCs w:val="1"/>
                <w:color w:val="auto"/>
              </w:rPr>
            </w:pPr>
          </w:p>
        </w:tc>
      </w:tr>
      <w:tr>
        <w:trPr>
          <w:trHeight w:val="203"/>
        </w:trPr>
        <w:tc>
          <w:tcPr>
            <w:tcW w:w="98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 directors continuing in office until the 2026 Annual Meeting of Stockholders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Fabio Rosati</w:t>
            </w:r>
          </w:p>
        </w:tc>
        <w:tc>
          <w:tcPr>
            <w:tcW w:w="24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59</w:t>
            </w:r>
          </w:p>
        </w:tc>
        <w:tc>
          <w:tcPr>
            <w:tcW w:w="696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Director and Chair of the Board</w:t>
            </w:r>
          </w:p>
        </w:tc>
        <w:tc>
          <w:tcPr>
            <w:tcW w:w="500" w:type="dxa"/>
            <w:vAlign w:val="bottom"/>
            <w:shd w:val="clear" w:color="auto" w:fill="DBF3FF"/>
          </w:tcPr>
          <w:p>
            <w:pPr>
              <w:jc w:val="right"/>
              <w:ind w:right="20"/>
              <w:spacing w:after="0"/>
              <w:rPr>
                <w:sz w:val="20"/>
                <w:szCs w:val="20"/>
                <w:color w:val="auto"/>
              </w:rPr>
            </w:pPr>
            <w:r>
              <w:rPr>
                <w:rFonts w:ascii="Times New Roman" w:cs="Times New Roman" w:eastAsia="Times New Roman" w:hAnsi="Times New Roman"/>
                <w:sz w:val="17"/>
                <w:szCs w:val="17"/>
                <w:color w:val="auto"/>
                <w:w w:val="92"/>
              </w:rPr>
              <w:t>  2017</w:t>
            </w: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Katharine Weymouth</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57</w:t>
            </w:r>
          </w:p>
        </w:tc>
        <w:tc>
          <w:tcPr>
            <w:tcW w:w="69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2"/>
              </w:rPr>
              <w:t>  2020</w:t>
            </w:r>
          </w:p>
        </w:tc>
        <w:tc>
          <w:tcPr>
            <w:tcW w:w="0" w:type="dxa"/>
            <w:vAlign w:val="bottom"/>
          </w:tcPr>
          <w:p>
            <w:pPr>
              <w:spacing w:after="0"/>
              <w:rPr>
                <w:sz w:val="1"/>
                <w:szCs w:val="1"/>
                <w:color w:val="auto"/>
              </w:rPr>
            </w:pPr>
          </w:p>
        </w:tc>
      </w:tr>
      <w:tr>
        <w:trPr>
          <w:trHeight w:val="203"/>
        </w:trPr>
        <w:tc>
          <w:tcPr>
            <w:tcW w:w="9840" w:type="dxa"/>
            <w:vAlign w:val="bottom"/>
            <w:gridSpan w:val="6"/>
            <w:shd w:val="clear" w:color="auto" w:fill="DBF3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 directors continuing in office until the 2025 Annual Meeting of Stockholders</w:t>
            </w:r>
          </w:p>
        </w:tc>
        <w:tc>
          <w:tcPr>
            <w:tcW w:w="50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Randolph Altschuler</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53</w:t>
            </w:r>
          </w:p>
        </w:tc>
        <w:tc>
          <w:tcPr>
            <w:tcW w:w="69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Co-Founder, Chief Executive Officer and Director</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2"/>
              </w:rPr>
              <w:t>  2013</w:t>
            </w:r>
          </w:p>
        </w:tc>
        <w:tc>
          <w:tcPr>
            <w:tcW w:w="0" w:type="dxa"/>
            <w:vAlign w:val="bottom"/>
          </w:tcPr>
          <w:p>
            <w:pPr>
              <w:spacing w:after="0"/>
              <w:rPr>
                <w:sz w:val="1"/>
                <w:szCs w:val="1"/>
                <w:color w:val="auto"/>
              </w:rPr>
            </w:pPr>
          </w:p>
        </w:tc>
      </w:tr>
      <w:tr>
        <w:trPr>
          <w:trHeight w:val="203"/>
        </w:trPr>
        <w:tc>
          <w:tcPr>
            <w:tcW w:w="26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Deborah Bial</w:t>
            </w:r>
          </w:p>
        </w:tc>
        <w:tc>
          <w:tcPr>
            <w:tcW w:w="24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58</w:t>
            </w:r>
          </w:p>
        </w:tc>
        <w:tc>
          <w:tcPr>
            <w:tcW w:w="6960" w:type="dxa"/>
            <w:vAlign w:val="bottom"/>
            <w:gridSpan w:val="3"/>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shd w:val="clear" w:color="auto" w:fill="DBF3FF"/>
          </w:tcPr>
          <w:p>
            <w:pPr>
              <w:jc w:val="right"/>
              <w:ind w:right="20"/>
              <w:spacing w:after="0"/>
              <w:rPr>
                <w:sz w:val="20"/>
                <w:szCs w:val="20"/>
                <w:color w:val="auto"/>
              </w:rPr>
            </w:pPr>
            <w:r>
              <w:rPr>
                <w:rFonts w:ascii="Times New Roman" w:cs="Times New Roman" w:eastAsia="Times New Roman" w:hAnsi="Times New Roman"/>
                <w:sz w:val="17"/>
                <w:szCs w:val="17"/>
                <w:color w:val="auto"/>
                <w:w w:val="92"/>
              </w:rPr>
              <w:t>  2020</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460" w:right="300" w:firstLine="413"/>
        <w:spacing w:after="0" w:line="262" w:lineRule="auto"/>
        <w:rPr>
          <w:sz w:val="20"/>
          <w:szCs w:val="20"/>
          <w:color w:val="auto"/>
        </w:rPr>
      </w:pPr>
      <w:r>
        <w:rPr>
          <w:rFonts w:ascii="Times New Roman" w:cs="Times New Roman" w:eastAsia="Times New Roman" w:hAnsi="Times New Roman"/>
          <w:sz w:val="17"/>
          <w:szCs w:val="17"/>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the Board to recommend them for board service.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Nominees for Election at the 2024 Annual Meeting of Stockholders</w:t>
      </w:r>
    </w:p>
    <w:p>
      <w:pPr>
        <w:spacing w:after="0" w:line="108" w:lineRule="exact"/>
        <w:rPr>
          <w:sz w:val="20"/>
          <w:szCs w:val="20"/>
          <w:color w:val="auto"/>
        </w:rPr>
      </w:pPr>
    </w:p>
    <w:p>
      <w:pPr>
        <w:ind w:left="460" w:right="20" w:firstLine="413"/>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Ranjana Clark </w:t>
      </w:r>
      <w:r>
        <w:rPr>
          <w:rFonts w:ascii="Times New Roman" w:cs="Times New Roman" w:eastAsia="Times New Roman" w:hAnsi="Times New Roman"/>
          <w:sz w:val="17"/>
          <w:szCs w:val="17"/>
          <w:color w:val="auto"/>
        </w:rPr>
        <w:t>has served as a member of our Board since July 2021. From July 2013 to March 2023, Ms. Clark held a number of positions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Mitsubishi UFJ Financial Group (“MUFG”), most recently as its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and InvestCloud, Inc., positions she has held since July 2014 and May 2022, respectively. Ms. Clark is also a member of the President’s Leadership Council, Asia Foundation and a fellow at Stanford University’s Distinguished Careers Institute. Ms. Clark received a B.A. from the University of Delhi, an M.B.A. with an emphasis in Marketing from the Indian Institute of Management, Ahmedabad and an M.B.A with an emphasis in Finance from Duke University’s Fuqua School of Business. We believe Ms. Clark is qualified to serve on our Board due to her extensive executive experience and deep knowledge of the financial services industry.</w:t>
      </w:r>
    </w:p>
    <w:p>
      <w:pPr>
        <w:spacing w:after="0" w:line="179" w:lineRule="exact"/>
        <w:rPr>
          <w:sz w:val="20"/>
          <w:szCs w:val="20"/>
          <w:color w:val="auto"/>
        </w:rPr>
      </w:pPr>
    </w:p>
    <w:p>
      <w:pPr>
        <w:ind w:left="460" w:right="40" w:firstLine="413"/>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Emily Rollins </w:t>
      </w:r>
      <w:r>
        <w:rPr>
          <w:rFonts w:ascii="Times New Roman" w:cs="Times New Roman" w:eastAsia="Times New Roman" w:hAnsi="Times New Roman"/>
          <w:sz w:val="17"/>
          <w:szCs w:val="17"/>
          <w:color w:val="auto"/>
        </w:rPr>
        <w:t>has served as a member of our Board since March 2021. From September 1992 to September 2020, Ms. Rollins served in various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at Deloitte &amp; Touche LLP including most recently as an Audit &amp; Assurance Partner. She currently serves on the board of directors and as chair of the audit committee of Dolby Laboratories, Inc., a position she has held since February 2021. Ms. Rollins also currently serves on the boards of directors of several private companies, as well as the Greater Austin Black Chamber of Commerce and the Austin Healthcare Council. Ms. Rollins previously served on the board of directors of McAfee Corp. from October 2021 until its acquisition in March 2022 and Science 37 Holdings, Inc. until its acquisition in March 2024. Ms. Rollins is a managing member of 3E &amp; J LLC. Ms. Rollins holds a B.A. degree in Accounting and International Relations from Claremont McKenna College. We believe that Ms. Rollins is qualified to serve on our Board due to her board and management experience with complex audit and reporting processes for technology and media companies.</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800"/>
          </w:cols>
          <w:pgMar w:left="320" w:top="462" w:right="7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Directors Continuing in Office until the 2026 Annual Meeting of Stockholders</w:t>
      </w:r>
    </w:p>
    <w:p>
      <w:pPr>
        <w:spacing w:after="0" w:line="108" w:lineRule="exact"/>
        <w:rPr>
          <w:sz w:val="20"/>
          <w:szCs w:val="20"/>
          <w:color w:val="auto"/>
        </w:rPr>
      </w:pPr>
    </w:p>
    <w:p>
      <w:pPr>
        <w:ind w:left="460" w:right="20" w:firstLine="41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Fabio Rosati </w:t>
      </w:r>
      <w:r>
        <w:rPr>
          <w:rFonts w:ascii="Times New Roman" w:cs="Times New Roman" w:eastAsia="Times New Roman" w:hAnsi="Times New Roman"/>
          <w:sz w:val="17"/>
          <w:szCs w:val="17"/>
          <w:color w:val="auto"/>
        </w:rPr>
        <w:t>has served as a member of our Board since December 2017 and as chair of our Board since December 2023. Mr. Rosati served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from 2017 through November 2023 at Snagajob, a marketplace platform for connecting businesses with hourly workers. At Snagajob Mr. Rosati was Chair of the Board from November 2022 through November 2023, Executive Chairman from June 2019 through October 2022, and Chairman and acting CEO from July 2018 to May 2019. From May 2015 to July 2017 he served on the board of directors of Upwork, a position he held after serving as CEO from January 2014 to April 2015. Mr. Rosati is a board member of Smith.ai. Mr. Rosati received a B.S. in Finance and Accounting from Georgetown University. We believe that Mr. Rosati is qualified to serve on the Board because of his experience in the technology space.</w:t>
      </w:r>
    </w:p>
    <w:p>
      <w:pPr>
        <w:spacing w:after="0" w:line="173" w:lineRule="exact"/>
        <w:rPr>
          <w:sz w:val="20"/>
          <w:szCs w:val="20"/>
          <w:color w:val="auto"/>
        </w:rPr>
      </w:pPr>
    </w:p>
    <w:p>
      <w:pPr>
        <w:ind w:left="460" w:firstLine="413"/>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Katharine Weymouth </w:t>
      </w:r>
      <w:r>
        <w:rPr>
          <w:rFonts w:ascii="Times New Roman" w:cs="Times New Roman" w:eastAsia="Times New Roman" w:hAnsi="Times New Roman"/>
          <w:sz w:val="17"/>
          <w:szCs w:val="17"/>
          <w:color w:val="auto"/>
        </w:rPr>
        <w:t>has served as a member of our Board since October 2020. Since September 2021, Ms. Weymouth has served as the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Officer at Shine Together (formerly known as FamilyCare), a start-up in the mental health space. Ms. Weymouth previously served as a senior advisor to ChefMarket (formerly DineXpert), a platform helping independent restaurants and food businesses source high quality products, and previously served as its Chief Operating Officer and President from June 2017 until May 2021. Ms. Weymouth was the Publisher and Chief Executive Officer of the Washington Post from February 2008 to September 2014. Since January 2015, Ms. Weymouth has served as a Trustee of the Philip L Graham Fund and the Greater Washington Community Foundation. Ms. Weymouth is a board member of Republic Services, Inc, Cable One, Inc., Sequoia Mutual Fund, Inc., and The Graham Holdings Company. Ms. Weymouth received a B.A. in English Literature from Harvard University and a J.D. from Stanford Law School. We believe that Ms. Weymouth is qualified to serve on the Board because of her extensive executive and public company board experience.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Directors Continuing in Office until the 2025 Annual Meeting of Stockholders</w:t>
      </w:r>
    </w:p>
    <w:p>
      <w:pPr>
        <w:spacing w:after="0" w:line="108" w:lineRule="exact"/>
        <w:rPr>
          <w:sz w:val="20"/>
          <w:szCs w:val="20"/>
          <w:color w:val="auto"/>
        </w:rPr>
      </w:pPr>
    </w:p>
    <w:p>
      <w:pPr>
        <w:ind w:left="460" w:firstLine="413"/>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Randolph Altschuler </w:t>
      </w:r>
      <w:r>
        <w:rPr>
          <w:rFonts w:ascii="Times New Roman" w:cs="Times New Roman" w:eastAsia="Times New Roman" w:hAnsi="Times New Roman"/>
          <w:sz w:val="17"/>
          <w:szCs w:val="17"/>
          <w:color w:val="auto"/>
        </w:rPr>
        <w:t>is our co-founder and has served as our Chief Executive Officer and as a member of our Board since May 2013. Prior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co-founding Xometry, Mr. Altschuler served as the co-founder and Executive Chairman of CloudBlue Technologies, Inc., a provider of recycling services for electronic equipment, from January 2008 to September 2013. Prior to CloudBlue, Mr. Altschuler was the co-founder and Co-Chief Executive Officer of OfficeTiger, Inc., a global business process outsourcing company, from 2000 to 2007. Mr. Altschuler received a B.A. from Princeton University and an M.B.A. from Harvard Business School. Mr. Altschuler was awarded a Fulbright Scholarship and studied at the University of Vienna in Austria. We believe that Mr. Altschuler is qualified to serve on the Board because of his experience building and leading our business since inception.</w:t>
      </w:r>
    </w:p>
    <w:p>
      <w:pPr>
        <w:spacing w:after="0" w:line="173" w:lineRule="exact"/>
        <w:rPr>
          <w:sz w:val="20"/>
          <w:szCs w:val="20"/>
          <w:color w:val="auto"/>
        </w:rPr>
      </w:pPr>
    </w:p>
    <w:p>
      <w:pPr>
        <w:ind w:left="460" w:right="140" w:firstLine="413"/>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Deborah Bial </w:t>
      </w:r>
      <w:r>
        <w:rPr>
          <w:rFonts w:ascii="Times New Roman" w:cs="Times New Roman" w:eastAsia="Times New Roman" w:hAnsi="Times New Roman"/>
          <w:sz w:val="17"/>
          <w:szCs w:val="17"/>
          <w:color w:val="auto"/>
        </w:rPr>
        <w:t>has served as a member of our board of directors since October 2020. Ms. Bial is the founder and president of the Posse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Foundation, a diversity, leadership development and college success organization, a position she has held since 1989. In 2007, Ms. Bial received a prestigious MacArthur “Genius” Fellowship from the John D. and Catherine T. MacArthur Foundation. Ms. Bial received a B.A. from Brandeis University and an Ed.M and Ed.D. from Harvard University, and she is a member of Brandeis’ Board of Trustees. We believe that Ms. Bial is qualified to serve on the Board because of her extensive experience and leadership abilities.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Board Diversity</w:t>
      </w:r>
    </w:p>
    <w:p>
      <w:pPr>
        <w:spacing w:after="0" w:line="112" w:lineRule="exact"/>
        <w:rPr>
          <w:sz w:val="20"/>
          <w:szCs w:val="20"/>
          <w:color w:val="auto"/>
        </w:rPr>
      </w:pPr>
    </w:p>
    <w:p>
      <w:pPr>
        <w:ind w:left="460" w:right="160" w:firstLine="413"/>
        <w:spacing w:after="0" w:line="258" w:lineRule="auto"/>
        <w:rPr>
          <w:sz w:val="20"/>
          <w:szCs w:val="20"/>
          <w:color w:val="auto"/>
        </w:rPr>
      </w:pPr>
      <w:r>
        <w:rPr>
          <w:rFonts w:ascii="Times New Roman" w:cs="Times New Roman" w:eastAsia="Times New Roman" w:hAnsi="Times New Roman"/>
          <w:sz w:val="17"/>
          <w:szCs w:val="17"/>
          <w:color w:val="auto"/>
        </w:rPr>
        <w:t>Our Board believes that a diverse board is better able to effectively oversee our management and strategy, and position our company to deliver long-term value for our stockholders. Our Nominating and Corporate Governance Committee considers diversity, including diversity of gender, ethnic background and country of origin, as adding to the overall mix of perspectives of the Board as a whole. With the assistance of the Nominating and Corporate Governance Committee, the Board regularly reviews trends in board composition, including on director diversity.</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780"/>
          </w:cols>
          <w:pgMar w:left="320" w:top="462"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firstLine="413"/>
        <w:spacing w:after="0" w:line="276" w:lineRule="auto"/>
        <w:rPr>
          <w:sz w:val="20"/>
          <w:szCs w:val="20"/>
          <w:color w:val="auto"/>
        </w:rPr>
      </w:pPr>
      <w:r>
        <w:rPr>
          <w:rFonts w:ascii="Times New Roman" w:cs="Times New Roman" w:eastAsia="Times New Roman" w:hAnsi="Times New Roman"/>
          <w:sz w:val="17"/>
          <w:szCs w:val="17"/>
          <w:color w:val="auto"/>
        </w:rPr>
        <w:t>The table below provides additional diversity information regarding our board of directors as of April 28, 2024. Each of the categories listed in the below table has the meaning as it is used in Nasdaq Listing Rule 5605(f).</w:t>
      </w:r>
    </w:p>
    <w:p>
      <w:pPr>
        <w:spacing w:after="0" w:line="19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Board Diversity Matrix (as of April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-118745</wp:posOffset>
            </wp:positionV>
            <wp:extent cx="6497320" cy="1777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320" cy="177736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Board Size:</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578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Number of Directors</w:t>
            </w:r>
          </w:p>
        </w:tc>
        <w:tc>
          <w:tcPr>
            <w:tcW w:w="7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r>
      <w:tr>
        <w:trPr>
          <w:trHeight w:val="175"/>
        </w:trPr>
        <w:tc>
          <w:tcPr>
            <w:tcW w:w="578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7"/>
                <w:szCs w:val="17"/>
                <w:b w:val="1"/>
                <w:bCs w:val="1"/>
                <w:color w:val="auto"/>
              </w:rPr>
              <w:t xml:space="preserve">Did Not     </w:t>
            </w:r>
          </w:p>
        </w:tc>
        <w:tc>
          <w:tcPr>
            <w:tcW w:w="20" w:type="dxa"/>
            <w:vAlign w:val="bottom"/>
          </w:tcPr>
          <w:p>
            <w:pPr>
              <w:spacing w:after="0"/>
              <w:rPr>
                <w:sz w:val="15"/>
                <w:szCs w:val="15"/>
                <w:color w:val="auto"/>
              </w:rPr>
            </w:pPr>
          </w:p>
        </w:tc>
      </w:tr>
      <w:tr>
        <w:trPr>
          <w:trHeight w:val="203"/>
        </w:trPr>
        <w:tc>
          <w:tcPr>
            <w:tcW w:w="578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Disclose     </w:t>
            </w:r>
          </w:p>
        </w:tc>
        <w:tc>
          <w:tcPr>
            <w:tcW w:w="20" w:type="dxa"/>
            <w:vAlign w:val="bottom"/>
          </w:tcPr>
          <w:p>
            <w:pPr>
              <w:spacing w:after="0"/>
              <w:rPr>
                <w:sz w:val="17"/>
                <w:szCs w:val="17"/>
                <w:color w:val="auto"/>
              </w:rPr>
            </w:pPr>
          </w:p>
        </w:tc>
      </w:tr>
      <w:tr>
        <w:trPr>
          <w:trHeight w:val="223"/>
        </w:trPr>
        <w:tc>
          <w:tcPr>
            <w:tcW w:w="57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2"/>
          </w:tcPr>
          <w:p>
            <w:pPr>
              <w:jc w:val="center"/>
              <w:ind w:left="171"/>
              <w:spacing w:after="0"/>
              <w:rPr>
                <w:sz w:val="20"/>
                <w:szCs w:val="20"/>
                <w:color w:val="auto"/>
              </w:rPr>
            </w:pPr>
            <w:r>
              <w:rPr>
                <w:rFonts w:ascii="Times New Roman" w:cs="Times New Roman" w:eastAsia="Times New Roman" w:hAnsi="Times New Roman"/>
                <w:sz w:val="17"/>
                <w:szCs w:val="17"/>
                <w:b w:val="1"/>
                <w:bCs w:val="1"/>
                <w:color w:val="auto"/>
                <w:w w:val="98"/>
              </w:rPr>
              <w:t>Female 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Male    </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Non-Binary    </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Gender     </w:t>
            </w:r>
          </w:p>
        </w:tc>
        <w:tc>
          <w:tcPr>
            <w:tcW w:w="20" w:type="dxa"/>
            <w:vAlign w:val="bottom"/>
            <w:tcBorders>
              <w:bottom w:val="single" w:sz="8" w:color="auto"/>
            </w:tcBorders>
          </w:tcPr>
          <w:p>
            <w:pPr>
              <w:spacing w:after="0"/>
              <w:rPr>
                <w:sz w:val="19"/>
                <w:szCs w:val="19"/>
                <w:color w:val="auto"/>
              </w:rPr>
            </w:pPr>
          </w:p>
        </w:tc>
      </w:tr>
      <w:tr>
        <w:trPr>
          <w:trHeight w:val="196"/>
        </w:trPr>
        <w:tc>
          <w:tcPr>
            <w:tcW w:w="578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Times New Roman" w:cs="Times New Roman" w:eastAsia="Times New Roman" w:hAnsi="Times New Roman"/>
                <w:sz w:val="17"/>
                <w:szCs w:val="17"/>
                <w:b w:val="1"/>
                <w:bCs w:val="1"/>
                <w:color w:val="auto"/>
              </w:rPr>
              <w:t>Gender:</w:t>
            </w:r>
          </w:p>
        </w:tc>
        <w:tc>
          <w:tcPr>
            <w:tcW w:w="780" w:type="dxa"/>
            <w:vAlign w:val="bottom"/>
            <w:tcBorders>
              <w:bottom w:val="single" w:sz="8" w:color="auto"/>
            </w:tcBorders>
            <w:shd w:val="clear" w:color="auto" w:fill="E5E5E5"/>
          </w:tcPr>
          <w:p>
            <w:pPr>
              <w:spacing w:after="0"/>
              <w:rPr>
                <w:sz w:val="17"/>
                <w:szCs w:val="17"/>
                <w:color w:val="auto"/>
              </w:rPr>
            </w:pPr>
          </w:p>
        </w:tc>
        <w:tc>
          <w:tcPr>
            <w:tcW w:w="26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spacing w:after="0"/>
              <w:rPr>
                <w:sz w:val="17"/>
                <w:szCs w:val="17"/>
                <w:color w:val="auto"/>
              </w:rPr>
            </w:pPr>
          </w:p>
        </w:tc>
        <w:tc>
          <w:tcPr>
            <w:tcW w:w="22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740" w:type="dxa"/>
            <w:vAlign w:val="bottom"/>
            <w:tcBorders>
              <w:bottom w:val="single" w:sz="8" w:color="auto"/>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26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680" w:type="dxa"/>
            <w:vAlign w:val="bottom"/>
            <w:tcBorders>
              <w:bottom w:val="single" w:sz="8" w:color="auto"/>
            </w:tcBorders>
            <w:shd w:val="clear" w:color="auto" w:fill="E5E5E5"/>
          </w:tcPr>
          <w:p>
            <w:pPr>
              <w:spacing w:after="0"/>
              <w:rPr>
                <w:sz w:val="17"/>
                <w:szCs w:val="17"/>
                <w:color w:val="auto"/>
              </w:rPr>
            </w:pPr>
          </w:p>
        </w:tc>
        <w:tc>
          <w:tcPr>
            <w:tcW w:w="300" w:type="dxa"/>
            <w:vAlign w:val="bottom"/>
            <w:tcBorders>
              <w:bottom w:val="single" w:sz="8" w:color="auto"/>
            </w:tcBorders>
            <w:shd w:val="clear" w:color="auto" w:fill="E5E5E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5"/>
        </w:trPr>
        <w:tc>
          <w:tcPr>
            <w:tcW w:w="57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Directors</w:t>
            </w:r>
          </w:p>
        </w:tc>
        <w:tc>
          <w:tcPr>
            <w:tcW w:w="78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3"/>
                <w:szCs w:val="13"/>
                <w:color w:val="auto"/>
                <w:w w:val="71"/>
              </w:rPr>
              <w:t>4 </w:t>
            </w: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4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color w:val="auto"/>
                <w:w w:val="72"/>
              </w:rPr>
              <w:t>3 </w:t>
            </w:r>
          </w:p>
        </w:tc>
        <w:tc>
          <w:tcPr>
            <w:tcW w:w="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1"/>
                <w:szCs w:val="11"/>
                <w:color w:val="auto"/>
                <w:w w:val="72"/>
              </w:rPr>
              <w:t>0 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w w:val="70"/>
              </w:rPr>
              <w:t>0 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2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auto"/>
              <w:right w:val="single" w:sz="8" w:color="E5E5E5"/>
            </w:tcBorders>
            <w:shd w:val="clear" w:color="auto" w:fill="E5E5E5"/>
          </w:tcPr>
          <w:p>
            <w:pPr>
              <w:ind w:left="140"/>
              <w:spacing w:after="0"/>
              <w:rPr>
                <w:sz w:val="20"/>
                <w:szCs w:val="20"/>
                <w:color w:val="auto"/>
              </w:rPr>
            </w:pPr>
            <w:r>
              <w:rPr>
                <w:rFonts w:ascii="Times New Roman" w:cs="Times New Roman" w:eastAsia="Times New Roman" w:hAnsi="Times New Roman"/>
                <w:sz w:val="17"/>
                <w:szCs w:val="17"/>
                <w:b w:val="1"/>
                <w:bCs w:val="1"/>
                <w:color w:val="auto"/>
              </w:rPr>
              <w:t>Number of Directors who identify in any of the categories below:</w:t>
            </w:r>
          </w:p>
        </w:tc>
        <w:tc>
          <w:tcPr>
            <w:tcW w:w="780" w:type="dxa"/>
            <w:vAlign w:val="bottom"/>
            <w:tcBorders>
              <w:bottom w:val="single" w:sz="8" w:color="auto"/>
            </w:tcBorders>
            <w:shd w:val="clear" w:color="auto" w:fill="E5E5E5"/>
          </w:tcPr>
          <w:p>
            <w:pPr>
              <w:spacing w:after="0"/>
              <w:rPr>
                <w:sz w:val="16"/>
                <w:szCs w:val="16"/>
                <w:color w:val="auto"/>
              </w:rPr>
            </w:pPr>
          </w:p>
        </w:tc>
        <w:tc>
          <w:tcPr>
            <w:tcW w:w="260" w:type="dxa"/>
            <w:vAlign w:val="bottom"/>
            <w:tcBorders>
              <w:bottom w:val="single" w:sz="8" w:color="auto"/>
              <w:right w:val="single" w:sz="8" w:color="E5E5E5"/>
            </w:tcBorders>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480" w:type="dxa"/>
            <w:vAlign w:val="bottom"/>
            <w:tcBorders>
              <w:bottom w:val="single" w:sz="8" w:color="auto"/>
            </w:tcBorders>
            <w:shd w:val="clear" w:color="auto" w:fill="E5E5E5"/>
          </w:tcPr>
          <w:p>
            <w:pPr>
              <w:spacing w:after="0"/>
              <w:rPr>
                <w:sz w:val="16"/>
                <w:szCs w:val="16"/>
                <w:color w:val="auto"/>
              </w:rPr>
            </w:pPr>
          </w:p>
        </w:tc>
        <w:tc>
          <w:tcPr>
            <w:tcW w:w="220" w:type="dxa"/>
            <w:vAlign w:val="bottom"/>
            <w:tcBorders>
              <w:bottom w:val="single" w:sz="8" w:color="auto"/>
              <w:right w:val="single" w:sz="8" w:color="E5E5E5"/>
            </w:tcBorders>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260" w:type="dxa"/>
            <w:vAlign w:val="bottom"/>
            <w:tcBorders>
              <w:bottom w:val="single" w:sz="8" w:color="auto"/>
              <w:right w:val="single" w:sz="8" w:color="E5E5E5"/>
            </w:tcBorders>
            <w:shd w:val="clear" w:color="auto" w:fill="E5E5E5"/>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680" w:type="dxa"/>
            <w:vAlign w:val="bottom"/>
            <w:tcBorders>
              <w:bottom w:val="single" w:sz="8" w:color="auto"/>
            </w:tcBorders>
            <w:shd w:val="clear" w:color="auto" w:fill="E5E5E5"/>
          </w:tcPr>
          <w:p>
            <w:pPr>
              <w:spacing w:after="0"/>
              <w:rPr>
                <w:sz w:val="16"/>
                <w:szCs w:val="16"/>
                <w:color w:val="auto"/>
              </w:rPr>
            </w:pPr>
          </w:p>
        </w:tc>
        <w:tc>
          <w:tcPr>
            <w:tcW w:w="300" w:type="dxa"/>
            <w:vAlign w:val="bottom"/>
            <w:tcBorders>
              <w:bottom w:val="single" w:sz="8" w:color="auto"/>
            </w:tcBorders>
            <w:shd w:val="clear" w:color="auto" w:fill="E5E5E5"/>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Asian</w:t>
            </w:r>
          </w:p>
        </w:tc>
        <w:tc>
          <w:tcPr>
            <w:tcW w:w="78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3"/>
                <w:szCs w:val="13"/>
                <w:color w:val="auto"/>
                <w:w w:val="71"/>
              </w:rPr>
              <w:t>2 </w:t>
            </w: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4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color w:val="auto"/>
                <w:w w:val="72"/>
              </w:rPr>
              <w:t>0 </w:t>
            </w:r>
          </w:p>
        </w:tc>
        <w:tc>
          <w:tcPr>
            <w:tcW w:w="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1"/>
                <w:szCs w:val="11"/>
                <w:color w:val="auto"/>
                <w:w w:val="72"/>
              </w:rPr>
              <w:t>0 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w w:val="70"/>
              </w:rPr>
              <w:t>0 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2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White</w:t>
            </w:r>
          </w:p>
        </w:tc>
        <w:tc>
          <w:tcPr>
            <w:tcW w:w="78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3"/>
                <w:szCs w:val="13"/>
                <w:color w:val="auto"/>
                <w:w w:val="71"/>
              </w:rPr>
              <w:t>2 </w:t>
            </w: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4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1"/>
                <w:szCs w:val="11"/>
                <w:color w:val="auto"/>
                <w:w w:val="72"/>
              </w:rPr>
              <w:t>3 </w:t>
            </w:r>
          </w:p>
        </w:tc>
        <w:tc>
          <w:tcPr>
            <w:tcW w:w="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1"/>
                <w:szCs w:val="11"/>
                <w:color w:val="auto"/>
                <w:w w:val="72"/>
              </w:rPr>
              <w:t>0 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w w:val="70"/>
              </w:rPr>
              <w:t>0 </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2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LGBTQ+</w:t>
            </w: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7"/>
                <w:szCs w:val="17"/>
                <w:color w:val="auto"/>
              </w:rPr>
              <w:t>0</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186" w:lineRule="exact"/>
        <w:rPr>
          <w:sz w:val="20"/>
          <w:szCs w:val="20"/>
          <w:color w:val="auto"/>
        </w:rPr>
      </w:pPr>
    </w:p>
    <w:p>
      <w:pPr>
        <w:ind w:left="460" w:right="580" w:firstLine="413"/>
        <w:spacing w:after="0" w:line="276" w:lineRule="auto"/>
        <w:rPr>
          <w:sz w:val="20"/>
          <w:szCs w:val="20"/>
          <w:color w:val="auto"/>
        </w:rPr>
      </w:pPr>
      <w:r>
        <w:rPr>
          <w:rFonts w:ascii="Times New Roman" w:cs="Times New Roman" w:eastAsia="Times New Roman" w:hAnsi="Times New Roman"/>
          <w:sz w:val="17"/>
          <w:szCs w:val="17"/>
          <w:color w:val="auto"/>
        </w:rPr>
        <w:t>Our Board Diversity Matrix as of April 28, 2023 can be found in our proxy statement for the 2023 Annual Meeting, filed with the SEC on April 28, 2023.</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780"/>
          </w:cols>
          <w:pgMar w:left="320" w:top="462" w:right="7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INFORMATION REGARDING THE BOARD AND CORPORATE GOVERNANCE</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Board Independence</w:t>
      </w:r>
    </w:p>
    <w:p>
      <w:pPr>
        <w:spacing w:after="0" w:line="112" w:lineRule="exact"/>
        <w:rPr>
          <w:sz w:val="20"/>
          <w:szCs w:val="20"/>
          <w:color w:val="auto"/>
        </w:rPr>
      </w:pPr>
    </w:p>
    <w:p>
      <w:pPr>
        <w:ind w:left="460" w:right="40" w:firstLine="413"/>
        <w:spacing w:after="0" w:line="258" w:lineRule="auto"/>
        <w:rPr>
          <w:sz w:val="20"/>
          <w:szCs w:val="20"/>
          <w:color w:val="auto"/>
        </w:rPr>
      </w:pPr>
      <w:r>
        <w:rPr>
          <w:rFonts w:ascii="Times New Roman" w:cs="Times New Roman" w:eastAsia="Times New Roman" w:hAnsi="Times New Roman"/>
          <w:sz w:val="17"/>
          <w:szCs w:val="17"/>
          <w:color w:val="auto"/>
        </w:rPr>
        <w:t>As required under The Nasdaq Stock Market (“Nasdaq”) listing standards, a majority of the members of a listed company’s Board must qualify as “independent,” as affirmatively determined by the Board. The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73" w:lineRule="exact"/>
        <w:rPr>
          <w:sz w:val="20"/>
          <w:szCs w:val="20"/>
          <w:color w:val="auto"/>
        </w:rPr>
      </w:pPr>
    </w:p>
    <w:p>
      <w:pPr>
        <w:ind w:left="460" w:firstLine="413"/>
        <w:spacing w:after="0" w:line="253" w:lineRule="auto"/>
        <w:rPr>
          <w:sz w:val="20"/>
          <w:szCs w:val="20"/>
          <w:color w:val="auto"/>
        </w:rPr>
      </w:pPr>
      <w:r>
        <w:rPr>
          <w:rFonts w:ascii="Times New Roman" w:cs="Times New Roman" w:eastAsia="Times New Roman" w:hAnsi="Times New Roman"/>
          <w:sz w:val="17"/>
          <w:szCs w:val="17"/>
          <w:color w:val="auto"/>
        </w:rPr>
        <w:t>Based on information provided by each director concerning such director’s background, employment, affiliations, all relevant identified transactions or relationships between each director or any of such director’s family members, and Xometry, our senior management and our independent auditors, the Board has affirmatively determined that Mses. Bial, Clark, Rollins and Weymouth and Mr. Rosati are “independent” in accordance with the Nasdaq listing standards applicable to boards of directors in general, and George Hornig, who left our board in December 2023 was “independent” during the period he served on the Board during 2023.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178" w:lineRule="exact"/>
        <w:rPr>
          <w:sz w:val="20"/>
          <w:szCs w:val="20"/>
          <w:color w:val="auto"/>
        </w:rPr>
      </w:pPr>
    </w:p>
    <w:p>
      <w:pPr>
        <w:ind w:left="460" w:right="40" w:firstLine="413"/>
        <w:spacing w:after="0" w:line="254" w:lineRule="auto"/>
        <w:rPr>
          <w:sz w:val="20"/>
          <w:szCs w:val="20"/>
          <w:color w:val="auto"/>
        </w:rPr>
      </w:pPr>
      <w:r>
        <w:rPr>
          <w:rFonts w:ascii="Times New Roman" w:cs="Times New Roman" w:eastAsia="Times New Roman" w:hAnsi="Times New Roman"/>
          <w:sz w:val="17"/>
          <w:szCs w:val="17"/>
          <w:color w:val="auto"/>
        </w:rPr>
        <w:t>In making this determination, the Board found that none of these current or former directors has or had any relationships that would interfere with the exercise of independent judgment in carrying out the responsibilities of a director, taking into account the current and prior relationships that each non-employee director has with us and all other facts and circumstances our Board deemed relevant in determining their independence, including the beneficial ownership of our shares by each non-employee director and the transactions described in the section titled “Transactions with Related Persons.” Messrs. Altschuler and Zuriff, by virtue of their respective positions as Chief Executive Officer and Managing Director of our Donor Advised Fund and shared status as our co-founders, are not “independent” under the Nasdaq listing standards.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12" w:lineRule="exact"/>
        <w:rPr>
          <w:sz w:val="20"/>
          <w:szCs w:val="20"/>
          <w:color w:val="auto"/>
        </w:rPr>
      </w:pPr>
    </w:p>
    <w:p>
      <w:pPr>
        <w:ind w:left="460" w:firstLine="413"/>
        <w:spacing w:after="0" w:line="252" w:lineRule="auto"/>
        <w:rPr>
          <w:sz w:val="20"/>
          <w:szCs w:val="20"/>
          <w:color w:val="auto"/>
        </w:rPr>
      </w:pPr>
      <w:r>
        <w:rPr>
          <w:rFonts w:ascii="Times New Roman" w:cs="Times New Roman" w:eastAsia="Times New Roman" w:hAnsi="Times New Roman"/>
          <w:sz w:val="17"/>
          <w:szCs w:val="17"/>
          <w:color w:val="auto"/>
        </w:rPr>
        <w:t>The Board has an independent chair, Mr. Rosati (and Mr. Hornig before he left the Board in December 2023), who has authority, among other things, to call and preside over Board meetings, including meetings of the independent directors, to set meeting agendas and to determine materials to be distributed to the Board. Accordingly, the Board chair has substantial ability to shape the work of the Board. We believe that separation of the positions of Board chair and Chief Executive Officer reinforces the independence of the Board in its oversight of our business and affairs. In addition, we believe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Xometry and our stockholders. As a result, we believe that having an independent Board chair can enhance the effectiveness of the Board as a whole.</w:t>
      </w:r>
    </w:p>
    <w:p>
      <w:pPr>
        <w:spacing w:after="0" w:line="182" w:lineRule="exact"/>
        <w:rPr>
          <w:sz w:val="20"/>
          <w:szCs w:val="20"/>
          <w:color w:val="auto"/>
        </w:rPr>
      </w:pPr>
    </w:p>
    <w:p>
      <w:pPr>
        <w:ind w:left="460" w:right="40" w:firstLine="413"/>
        <w:spacing w:after="0" w:line="254" w:lineRule="auto"/>
        <w:rPr>
          <w:sz w:val="20"/>
          <w:szCs w:val="20"/>
          <w:color w:val="auto"/>
        </w:rPr>
      </w:pPr>
      <w:r>
        <w:rPr>
          <w:rFonts w:ascii="Times New Roman" w:cs="Times New Roman" w:eastAsia="Times New Roman" w:hAnsi="Times New Roman"/>
          <w:sz w:val="17"/>
          <w:szCs w:val="17"/>
          <w:color w:val="auto"/>
        </w:rPr>
        <w:t>Our Corporate Governance Guidelines specify that the Board will select our Chief Executive Officer and chairperson of the Board in the manner that it determines to be in the best interests of our stockholders and in accordance with any stockholder agreements. The Board does not believe there should be a fixed rule regarding the positions of Chief Executive Officer and chairperson being held by different individuals, or whether the chairperson should be a Xometry employee or should be elected from among the non-employee directors. The needs of Xometry and the individuals available to assume these roles may require different outcomes at different times, and the Board believes that retaining flexibility in these decisions is in the best interests of Xometry.</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112" w:lineRule="exact"/>
        <w:rPr>
          <w:sz w:val="20"/>
          <w:szCs w:val="20"/>
          <w:color w:val="auto"/>
        </w:rPr>
      </w:pPr>
    </w:p>
    <w:p>
      <w:pPr>
        <w:ind w:left="460" w:right="260" w:firstLine="413"/>
        <w:spacing w:after="0" w:line="276" w:lineRule="auto"/>
        <w:rPr>
          <w:sz w:val="20"/>
          <w:szCs w:val="20"/>
          <w:color w:val="auto"/>
        </w:rPr>
      </w:pPr>
      <w:r>
        <w:rPr>
          <w:rFonts w:ascii="Times New Roman" w:cs="Times New Roman" w:eastAsia="Times New Roman" w:hAnsi="Times New Roman"/>
          <w:sz w:val="17"/>
          <w:szCs w:val="17"/>
          <w:color w:val="auto"/>
        </w:rPr>
        <w:t>One of the Board’s key functions is informed oversight of our risk management process. The Board does not have a standing risk management committee, but rather administers this oversight function directly through the</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760"/>
          </w:cols>
          <w:pgMar w:left="320" w:top="462" w:right="8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jc w:val="both"/>
        <w:ind w:left="460" w:right="160"/>
        <w:spacing w:after="0" w:line="262" w:lineRule="auto"/>
        <w:rPr>
          <w:sz w:val="20"/>
          <w:szCs w:val="20"/>
          <w:color w:val="auto"/>
        </w:rPr>
      </w:pPr>
      <w:r>
        <w:rPr>
          <w:rFonts w:ascii="Times New Roman" w:cs="Times New Roman" w:eastAsia="Times New Roman" w:hAnsi="Times New Roman"/>
          <w:sz w:val="17"/>
          <w:szCs w:val="17"/>
          <w:color w:val="auto"/>
        </w:rPr>
        <w:t>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our company.</w:t>
      </w:r>
    </w:p>
    <w:p>
      <w:pPr>
        <w:spacing w:after="0" w:line="170" w:lineRule="exact"/>
        <w:rPr>
          <w:sz w:val="20"/>
          <w:szCs w:val="20"/>
          <w:color w:val="auto"/>
        </w:rPr>
      </w:pPr>
    </w:p>
    <w:p>
      <w:pPr>
        <w:ind w:left="460" w:firstLine="413"/>
        <w:spacing w:after="0" w:line="251" w:lineRule="auto"/>
        <w:rPr>
          <w:sz w:val="20"/>
          <w:szCs w:val="20"/>
          <w:color w:val="auto"/>
        </w:rPr>
      </w:pPr>
      <w:r>
        <w:rPr>
          <w:rFonts w:ascii="Times New Roman" w:cs="Times New Roman" w:eastAsia="Times New Roman" w:hAnsi="Times New Roman"/>
          <w:sz w:val="17"/>
          <w:szCs w:val="17"/>
          <w:color w:val="auto"/>
        </w:rPr>
        <w:t>Our Audit Committee has the responsibility to consider and discuss with management and the auditors, as appropriate, our guidelines and policies with respect to financial risk management and financial risk assessment, including our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we have taken to monitor and control such exposures as well as overseeing the 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 Our Environmental and Social Governance Committee provides oversight for our strategies, policies and practices related to environmental, governance and human capital matters.</w:t>
      </w:r>
    </w:p>
    <w:p>
      <w:pPr>
        <w:spacing w:after="0" w:line="181" w:lineRule="exact"/>
        <w:rPr>
          <w:sz w:val="20"/>
          <w:szCs w:val="20"/>
          <w:color w:val="auto"/>
        </w:rPr>
      </w:pPr>
    </w:p>
    <w:p>
      <w:pPr>
        <w:ind w:left="460" w:right="280" w:firstLine="413"/>
        <w:spacing w:after="0" w:line="275" w:lineRule="auto"/>
        <w:rPr>
          <w:sz w:val="20"/>
          <w:szCs w:val="20"/>
          <w:color w:val="auto"/>
        </w:rPr>
      </w:pPr>
      <w:r>
        <w:rPr>
          <w:rFonts w:ascii="Times New Roman" w:cs="Times New Roman" w:eastAsia="Times New Roman" w:hAnsi="Times New Roman"/>
          <w:sz w:val="16"/>
          <w:szCs w:val="16"/>
          <w:color w:val="auto"/>
        </w:rPr>
        <w:t>It is the responsibility of the committee chairs to report findings regarding material risk exposures to the Board as quickly as possible. In connection with its reviews of our operations and corporate functions, our Board addresses the primary risks associated with those operations and corporate functions. In addition, our Board reviews the risks associated with our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Board Meetings and Attendance</w:t>
      </w:r>
    </w:p>
    <w:p>
      <w:pPr>
        <w:spacing w:after="0" w:line="112" w:lineRule="exact"/>
        <w:rPr>
          <w:sz w:val="20"/>
          <w:szCs w:val="20"/>
          <w:color w:val="auto"/>
        </w:rPr>
      </w:pPr>
    </w:p>
    <w:p>
      <w:pPr>
        <w:ind w:left="460" w:right="60" w:firstLine="413"/>
        <w:spacing w:after="0" w:line="275" w:lineRule="auto"/>
        <w:rPr>
          <w:sz w:val="20"/>
          <w:szCs w:val="20"/>
          <w:color w:val="auto"/>
        </w:rPr>
      </w:pPr>
      <w:r>
        <w:rPr>
          <w:rFonts w:ascii="Times New Roman" w:cs="Times New Roman" w:eastAsia="Times New Roman" w:hAnsi="Times New Roman"/>
          <w:sz w:val="16"/>
          <w:szCs w:val="16"/>
          <w:color w:val="auto"/>
        </w:rPr>
        <w:t>The Board oversees our business and monitors the performance of our management. Our executive officers and management oversee our day-to-day operations. Our Board held nine meetings during 2023. Each director attended at least 75% of the total of the meetings of the Board and committees of the Board on which such director served during 2023 (in each case, which were held during the period for which he or she was a director and/or a member of the applicable committee). It is our policy to encourage our directors to attend the Annual Meeting. All members of the Board but two attended the 2023 Annual Meeting of Stockholders, and we anticipate that all members of the Board will attend the upcoming Annual Meeting.</w:t>
      </w:r>
    </w:p>
    <w:p>
      <w:pPr>
        <w:spacing w:after="0" w:line="162" w:lineRule="exact"/>
        <w:rPr>
          <w:sz w:val="20"/>
          <w:szCs w:val="20"/>
          <w:color w:val="auto"/>
        </w:rPr>
      </w:pPr>
    </w:p>
    <w:p>
      <w:pPr>
        <w:jc w:val="both"/>
        <w:ind w:left="460" w:right="100" w:firstLine="413"/>
        <w:spacing w:after="0" w:line="262" w:lineRule="auto"/>
        <w:rPr>
          <w:sz w:val="20"/>
          <w:szCs w:val="20"/>
          <w:color w:val="auto"/>
        </w:rPr>
      </w:pPr>
      <w:r>
        <w:rPr>
          <w:rFonts w:ascii="Times New Roman" w:cs="Times New Roman" w:eastAsia="Times New Roman" w:hAnsi="Times New Roman"/>
          <w:sz w:val="17"/>
          <w:szCs w:val="17"/>
          <w:color w:val="auto"/>
        </w:rPr>
        <w:t>The independent directors of the Board meet quarterly in executive sessions without management or any non-independent directors. The purpose of these executive sessions is to promote open and candid discussion among the non-employee directors. In 2023, our independent directors met seven times in regularly scheduled executive sessions at which only independent directors were present.</w:t>
      </w:r>
    </w:p>
    <w:p>
      <w:pPr>
        <w:spacing w:after="0" w:line="10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760"/>
          </w:cols>
          <w:pgMar w:left="320" w:top="462" w:right="8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12" w:lineRule="exact"/>
        <w:rPr>
          <w:sz w:val="20"/>
          <w:szCs w:val="20"/>
          <w:color w:val="auto"/>
        </w:rPr>
      </w:pPr>
    </w:p>
    <w:p>
      <w:pPr>
        <w:ind w:left="460" w:right="140" w:firstLine="413"/>
        <w:spacing w:after="0" w:line="262" w:lineRule="auto"/>
        <w:rPr>
          <w:sz w:val="20"/>
          <w:szCs w:val="20"/>
          <w:color w:val="auto"/>
        </w:rPr>
      </w:pPr>
      <w:r>
        <w:rPr>
          <w:rFonts w:ascii="Times New Roman" w:cs="Times New Roman" w:eastAsia="Times New Roman" w:hAnsi="Times New Roman"/>
          <w:sz w:val="17"/>
          <w:szCs w:val="17"/>
          <w:color w:val="auto"/>
        </w:rPr>
        <w:t>Our Board has established an Audit Committee, a Compensation Committee, a Nominating and Corporate Governance Committee, and an Environmental and Social Governance Committee. The following table provides committee membership as of the date of this proxy statement for each of the standing committees of the Board: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20" w:type="dxa"/>
            <w:vAlign w:val="bottom"/>
            <w:gridSpan w:val="2"/>
            <w:vMerge w:val="restart"/>
          </w:tcPr>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Environmental</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gridSpan w:val="2"/>
            <w:vMerge w:val="restart"/>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Audit</w:t>
            </w:r>
          </w:p>
        </w:tc>
        <w:tc>
          <w:tcPr>
            <w:tcW w:w="2020" w:type="dxa"/>
            <w:vAlign w:val="bottom"/>
            <w:gridSpan w:val="2"/>
            <w:vMerge w:val="restart"/>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120" w:type="dxa"/>
            <w:vAlign w:val="bottom"/>
            <w:gridSpan w:val="2"/>
          </w:tcPr>
          <w:p>
            <w:pPr>
              <w:jc w:val="center"/>
              <w:ind w:right="1160"/>
              <w:spacing w:after="0" w:line="139"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Social</w:t>
            </w:r>
          </w:p>
        </w:tc>
        <w:tc>
          <w:tcPr>
            <w:tcW w:w="0" w:type="dxa"/>
            <w:vAlign w:val="bottom"/>
          </w:tcPr>
          <w:p>
            <w:pPr>
              <w:spacing w:after="0"/>
              <w:rPr>
                <w:sz w:val="1"/>
                <w:szCs w:val="1"/>
                <w:color w:val="auto"/>
              </w:rPr>
            </w:pPr>
          </w:p>
        </w:tc>
      </w:tr>
      <w:tr>
        <w:trPr>
          <w:trHeight w:val="139"/>
        </w:trPr>
        <w:tc>
          <w:tcPr>
            <w:tcW w:w="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120" w:type="dxa"/>
            <w:vAlign w:val="bottom"/>
            <w:gridSpan w:val="2"/>
          </w:tcPr>
          <w:p>
            <w:pPr>
              <w:jc w:val="center"/>
              <w:ind w:right="1180"/>
              <w:spacing w:after="0" w:line="139" w:lineRule="exact"/>
              <w:rPr>
                <w:sz w:val="20"/>
                <w:szCs w:val="20"/>
                <w:color w:val="auto"/>
              </w:rPr>
            </w:pPr>
            <w:r>
              <w:rPr>
                <w:rFonts w:ascii="Times New Roman" w:cs="Times New Roman" w:eastAsia="Times New Roman" w:hAnsi="Times New Roman"/>
                <w:sz w:val="13"/>
                <w:szCs w:val="13"/>
                <w:b w:val="1"/>
                <w:bCs w:val="1"/>
                <w:color w:val="auto"/>
              </w:rPr>
              <w:t>Governance</w:t>
            </w: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Governance</w:t>
            </w:r>
          </w:p>
        </w:tc>
        <w:tc>
          <w:tcPr>
            <w:tcW w:w="0" w:type="dxa"/>
            <w:vAlign w:val="bottom"/>
          </w:tcPr>
          <w:p>
            <w:pPr>
              <w:spacing w:after="0"/>
              <w:rPr>
                <w:sz w:val="1"/>
                <w:szCs w:val="1"/>
                <w:color w:val="auto"/>
              </w:rPr>
            </w:pPr>
          </w:p>
        </w:tc>
      </w:tr>
      <w:tr>
        <w:trPr>
          <w:trHeight w:val="164"/>
        </w:trPr>
        <w:tc>
          <w:tcPr>
            <w:tcW w:w="3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20" w:type="dxa"/>
            <w:vAlign w:val="bottom"/>
            <w:gridSpan w:val="2"/>
          </w:tcPr>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2020" w:type="dxa"/>
            <w:vAlign w:val="bottom"/>
            <w:gridSpan w:val="2"/>
          </w:tcPr>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2120" w:type="dxa"/>
            <w:vAlign w:val="bottom"/>
            <w:gridSpan w:val="2"/>
          </w:tcPr>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0" w:type="dxa"/>
            <w:vAlign w:val="bottom"/>
          </w:tcPr>
          <w:p>
            <w:pPr>
              <w:spacing w:after="0"/>
              <w:rPr>
                <w:sz w:val="1"/>
                <w:szCs w:val="1"/>
                <w:color w:val="auto"/>
              </w:rPr>
            </w:pPr>
          </w:p>
        </w:tc>
      </w:tr>
      <w:tr>
        <w:trPr>
          <w:trHeight w:val="195"/>
        </w:trPr>
        <w:tc>
          <w:tcPr>
            <w:tcW w:w="3500" w:type="dxa"/>
            <w:vAlign w:val="bottom"/>
            <w:tcBorders>
              <w:top w:val="single" w:sz="8" w:color="DBF3FF"/>
            </w:tcBorders>
            <w:gridSpan w:val="3"/>
            <w:shd w:val="clear" w:color="auto" w:fill="DBF3FF"/>
          </w:tcPr>
          <w:p>
            <w:pPr>
              <w:spacing w:after="0"/>
              <w:rPr>
                <w:sz w:val="20"/>
                <w:szCs w:val="20"/>
                <w:color w:val="auto"/>
              </w:rPr>
            </w:pPr>
            <w:r>
              <w:rPr>
                <w:rFonts w:ascii="Times New Roman" w:cs="Times New Roman" w:eastAsia="Times New Roman" w:hAnsi="Times New Roman"/>
                <w:sz w:val="17"/>
                <w:szCs w:val="17"/>
                <w:color w:val="auto"/>
              </w:rPr>
              <w:t>Deborah Bial</w:t>
            </w:r>
          </w:p>
        </w:tc>
        <w:tc>
          <w:tcPr>
            <w:tcW w:w="660" w:type="dxa"/>
            <w:vAlign w:val="bottom"/>
            <w:tcBorders>
              <w:top w:val="single" w:sz="8" w:color="auto"/>
            </w:tcBorders>
            <w:shd w:val="clear" w:color="auto" w:fill="DBF3FF"/>
          </w:tcPr>
          <w:p>
            <w:pPr>
              <w:spacing w:after="0"/>
              <w:rPr>
                <w:sz w:val="16"/>
                <w:szCs w:val="16"/>
                <w:color w:val="auto"/>
              </w:rPr>
            </w:pPr>
          </w:p>
        </w:tc>
        <w:tc>
          <w:tcPr>
            <w:tcW w:w="1160" w:type="dxa"/>
            <w:vAlign w:val="bottom"/>
            <w:tcBorders>
              <w:top w:val="single" w:sz="8" w:color="DBF3FF"/>
            </w:tcBorders>
            <w:shd w:val="clear" w:color="auto" w:fill="DBF3FF"/>
          </w:tcPr>
          <w:p>
            <w:pPr>
              <w:spacing w:after="0"/>
              <w:rPr>
                <w:sz w:val="16"/>
                <w:szCs w:val="16"/>
                <w:color w:val="auto"/>
              </w:rPr>
            </w:pPr>
          </w:p>
        </w:tc>
        <w:tc>
          <w:tcPr>
            <w:tcW w:w="840" w:type="dxa"/>
            <w:vAlign w:val="bottom"/>
            <w:tcBorders>
              <w:top w:val="single" w:sz="8" w:color="auto"/>
            </w:tcBorders>
            <w:shd w:val="clear" w:color="auto" w:fill="DBF3FF"/>
          </w:tcPr>
          <w:p>
            <w:pPr>
              <w:ind w:left="300"/>
              <w:spacing w:after="0"/>
              <w:rPr>
                <w:sz w:val="20"/>
                <w:szCs w:val="20"/>
                <w:color w:val="auto"/>
              </w:rPr>
            </w:pPr>
            <w:r>
              <w:rPr>
                <w:rFonts w:ascii="Times New Roman" w:cs="Times New Roman" w:eastAsia="Times New Roman" w:hAnsi="Times New Roman"/>
                <w:sz w:val="17"/>
                <w:szCs w:val="17"/>
                <w:color w:val="auto"/>
              </w:rPr>
              <w:t>X  </w:t>
            </w:r>
          </w:p>
        </w:tc>
        <w:tc>
          <w:tcPr>
            <w:tcW w:w="1180" w:type="dxa"/>
            <w:vAlign w:val="bottom"/>
            <w:tcBorders>
              <w:top w:val="single" w:sz="8" w:color="DBF3FF"/>
            </w:tcBorders>
            <w:shd w:val="clear" w:color="auto" w:fill="DBF3FF"/>
          </w:tcPr>
          <w:p>
            <w:pPr>
              <w:spacing w:after="0"/>
              <w:rPr>
                <w:sz w:val="16"/>
                <w:szCs w:val="16"/>
                <w:color w:val="auto"/>
              </w:rPr>
            </w:pPr>
          </w:p>
        </w:tc>
        <w:tc>
          <w:tcPr>
            <w:tcW w:w="940" w:type="dxa"/>
            <w:vAlign w:val="bottom"/>
            <w:tcBorders>
              <w:top w:val="single" w:sz="8" w:color="auto"/>
            </w:tcBorders>
            <w:shd w:val="clear" w:color="auto" w:fill="DBF3FF"/>
          </w:tcPr>
          <w:p>
            <w:pPr>
              <w:ind w:left="360"/>
              <w:spacing w:after="0"/>
              <w:rPr>
                <w:sz w:val="20"/>
                <w:szCs w:val="20"/>
                <w:color w:val="auto"/>
              </w:rPr>
            </w:pPr>
            <w:r>
              <w:rPr>
                <w:rFonts w:ascii="Times New Roman" w:cs="Times New Roman" w:eastAsia="Times New Roman" w:hAnsi="Times New Roman"/>
                <w:sz w:val="17"/>
                <w:szCs w:val="17"/>
                <w:color w:val="auto"/>
              </w:rPr>
              <w:t>X  </w:t>
            </w:r>
          </w:p>
        </w:tc>
        <w:tc>
          <w:tcPr>
            <w:tcW w:w="1180" w:type="dxa"/>
            <w:vAlign w:val="bottom"/>
            <w:tcBorders>
              <w:top w:val="single" w:sz="8" w:color="DBF3FF"/>
            </w:tcBorders>
            <w:shd w:val="clear" w:color="auto" w:fill="DBF3FF"/>
          </w:tcPr>
          <w:p>
            <w:pPr>
              <w:spacing w:after="0"/>
              <w:rPr>
                <w:sz w:val="16"/>
                <w:szCs w:val="16"/>
                <w:color w:val="auto"/>
              </w:rPr>
            </w:pPr>
          </w:p>
        </w:tc>
        <w:tc>
          <w:tcPr>
            <w:tcW w:w="880" w:type="dxa"/>
            <w:vAlign w:val="bottom"/>
            <w:tcBorders>
              <w:top w:val="single" w:sz="8" w:color="auto"/>
            </w:tcBorders>
            <w:shd w:val="clear" w:color="auto" w:fill="DBF3FF"/>
          </w:tcPr>
          <w:p>
            <w:pPr>
              <w:jc w:val="center"/>
              <w:spacing w:after="0"/>
              <w:rPr>
                <w:sz w:val="20"/>
                <w:szCs w:val="20"/>
                <w:color w:val="auto"/>
              </w:rPr>
            </w:pPr>
            <w:r>
              <w:rPr>
                <w:rFonts w:ascii="Times New Roman" w:cs="Times New Roman" w:eastAsia="Times New Roman" w:hAnsi="Times New Roman"/>
                <w:sz w:val="17"/>
                <w:szCs w:val="17"/>
                <w:color w:val="auto"/>
                <w:w w:val="96"/>
              </w:rPr>
              <w:t>X*</w:t>
            </w:r>
          </w:p>
        </w:tc>
        <w:tc>
          <w:tcPr>
            <w:tcW w:w="0" w:type="dxa"/>
            <w:vAlign w:val="bottom"/>
          </w:tcPr>
          <w:p>
            <w:pPr>
              <w:spacing w:after="0"/>
              <w:rPr>
                <w:sz w:val="1"/>
                <w:szCs w:val="1"/>
                <w:color w:val="auto"/>
              </w:rPr>
            </w:pPr>
          </w:p>
        </w:tc>
      </w:tr>
      <w:tr>
        <w:trPr>
          <w:trHeight w:val="203"/>
        </w:trPr>
        <w:tc>
          <w:tcPr>
            <w:tcW w:w="3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Ranjana Clark</w:t>
            </w:r>
          </w:p>
        </w:tc>
        <w:tc>
          <w:tcPr>
            <w:tcW w:w="18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w w:val="97"/>
              </w:rPr>
              <w:t>X</w:t>
            </w:r>
          </w:p>
        </w:tc>
        <w:tc>
          <w:tcPr>
            <w:tcW w:w="202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auto"/>
              </w:rPr>
              <w:t xml:space="preserve">X   </w:t>
            </w:r>
          </w:p>
        </w:tc>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X  </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3"/>
            <w:shd w:val="clear" w:color="auto" w:fill="DBF3FF"/>
          </w:tcPr>
          <w:p>
            <w:pPr>
              <w:spacing w:after="0"/>
              <w:rPr>
                <w:sz w:val="20"/>
                <w:szCs w:val="20"/>
                <w:color w:val="auto"/>
              </w:rPr>
            </w:pPr>
            <w:r>
              <w:rPr>
                <w:rFonts w:ascii="Times New Roman" w:cs="Times New Roman" w:eastAsia="Times New Roman" w:hAnsi="Times New Roman"/>
                <w:sz w:val="17"/>
                <w:szCs w:val="17"/>
                <w:color w:val="auto"/>
              </w:rPr>
              <w:t>Emily Rollins</w:t>
            </w:r>
          </w:p>
        </w:tc>
        <w:tc>
          <w:tcPr>
            <w:tcW w:w="1820" w:type="dxa"/>
            <w:vAlign w:val="bottom"/>
            <w:gridSpan w:val="2"/>
            <w:shd w:val="clear" w:color="auto" w:fill="DBF3FF"/>
          </w:tcPr>
          <w:p>
            <w:pPr>
              <w:jc w:val="center"/>
              <w:ind w:right="1160"/>
              <w:spacing w:after="0"/>
              <w:rPr>
                <w:sz w:val="20"/>
                <w:szCs w:val="20"/>
                <w:color w:val="auto"/>
              </w:rPr>
            </w:pPr>
            <w:r>
              <w:rPr>
                <w:rFonts w:ascii="Times New Roman" w:cs="Times New Roman" w:eastAsia="Times New Roman" w:hAnsi="Times New Roman"/>
                <w:sz w:val="17"/>
                <w:szCs w:val="17"/>
                <w:color w:val="auto"/>
                <w:w w:val="83"/>
              </w:rPr>
              <w:t>   X†*</w:t>
            </w:r>
          </w:p>
        </w:tc>
        <w:tc>
          <w:tcPr>
            <w:tcW w:w="840" w:type="dxa"/>
            <w:vAlign w:val="bottom"/>
            <w:shd w:val="clear" w:color="auto" w:fill="DBF3FF"/>
          </w:tcPr>
          <w:p>
            <w:pPr>
              <w:spacing w:after="0"/>
              <w:rPr>
                <w:sz w:val="17"/>
                <w:szCs w:val="17"/>
                <w:color w:val="auto"/>
              </w:rPr>
            </w:pPr>
          </w:p>
        </w:tc>
        <w:tc>
          <w:tcPr>
            <w:tcW w:w="1180" w:type="dxa"/>
            <w:vAlign w:val="bottom"/>
            <w:shd w:val="clear" w:color="auto" w:fill="DBF3FF"/>
          </w:tcPr>
          <w:p>
            <w:pPr>
              <w:spacing w:after="0"/>
              <w:rPr>
                <w:sz w:val="17"/>
                <w:szCs w:val="17"/>
                <w:color w:val="auto"/>
              </w:rPr>
            </w:pPr>
          </w:p>
        </w:tc>
        <w:tc>
          <w:tcPr>
            <w:tcW w:w="940" w:type="dxa"/>
            <w:vAlign w:val="bottom"/>
            <w:shd w:val="clear" w:color="auto" w:fill="DBF3FF"/>
          </w:tcPr>
          <w:p>
            <w:pPr>
              <w:spacing w:after="0"/>
              <w:rPr>
                <w:sz w:val="17"/>
                <w:szCs w:val="17"/>
                <w:color w:val="auto"/>
              </w:rPr>
            </w:pPr>
          </w:p>
        </w:tc>
        <w:tc>
          <w:tcPr>
            <w:tcW w:w="1180" w:type="dxa"/>
            <w:vAlign w:val="bottom"/>
            <w:shd w:val="clear" w:color="auto" w:fill="DBF3FF"/>
          </w:tcPr>
          <w:p>
            <w:pPr>
              <w:spacing w:after="0"/>
              <w:rPr>
                <w:sz w:val="17"/>
                <w:szCs w:val="17"/>
                <w:color w:val="auto"/>
              </w:rPr>
            </w:pPr>
          </w:p>
        </w:tc>
        <w:tc>
          <w:tcPr>
            <w:tcW w:w="880" w:type="dxa"/>
            <w:vAlign w:val="bottom"/>
            <w:shd w:val="clear" w:color="auto" w:fill="DBF3FF"/>
          </w:tcPr>
          <w:p>
            <w:pPr>
              <w:ind w:left="320"/>
              <w:spacing w:after="0"/>
              <w:rPr>
                <w:sz w:val="20"/>
                <w:szCs w:val="20"/>
                <w:color w:val="auto"/>
              </w:rPr>
            </w:pPr>
            <w:r>
              <w:rPr>
                <w:rFonts w:ascii="Times New Roman" w:cs="Times New Roman" w:eastAsia="Times New Roman" w:hAnsi="Times New Roman"/>
                <w:sz w:val="17"/>
                <w:szCs w:val="17"/>
                <w:color w:val="auto"/>
              </w:rPr>
              <w:t>X  </w:t>
            </w:r>
          </w:p>
        </w:tc>
        <w:tc>
          <w:tcPr>
            <w:tcW w:w="0" w:type="dxa"/>
            <w:vAlign w:val="bottom"/>
          </w:tcPr>
          <w:p>
            <w:pPr>
              <w:spacing w:after="0"/>
              <w:rPr>
                <w:sz w:val="1"/>
                <w:szCs w:val="1"/>
                <w:color w:val="auto"/>
              </w:rPr>
            </w:pPr>
          </w:p>
        </w:tc>
      </w:tr>
      <w:tr>
        <w:trPr>
          <w:trHeight w:val="203"/>
        </w:trPr>
        <w:tc>
          <w:tcPr>
            <w:tcW w:w="3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Fabio Rosati</w:t>
            </w: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w w:val="96"/>
              </w:rPr>
              <w:t>X*</w:t>
            </w:r>
          </w:p>
        </w:tc>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X  </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3"/>
            <w:shd w:val="clear" w:color="auto" w:fill="DBF3FF"/>
          </w:tcPr>
          <w:p>
            <w:pPr>
              <w:spacing w:after="0"/>
              <w:rPr>
                <w:sz w:val="20"/>
                <w:szCs w:val="20"/>
                <w:color w:val="auto"/>
              </w:rPr>
            </w:pPr>
            <w:r>
              <w:rPr>
                <w:rFonts w:ascii="Times New Roman" w:cs="Times New Roman" w:eastAsia="Times New Roman" w:hAnsi="Times New Roman"/>
                <w:sz w:val="17"/>
                <w:szCs w:val="17"/>
                <w:color w:val="auto"/>
              </w:rPr>
              <w:t>Katharine Weymouth</w:t>
            </w:r>
          </w:p>
        </w:tc>
        <w:tc>
          <w:tcPr>
            <w:tcW w:w="1820" w:type="dxa"/>
            <w:vAlign w:val="bottom"/>
            <w:gridSpan w:val="2"/>
            <w:shd w:val="clear" w:color="auto" w:fill="DBF3FF"/>
          </w:tcPr>
          <w:p>
            <w:pPr>
              <w:jc w:val="center"/>
              <w:ind w:right="1180"/>
              <w:spacing w:after="0"/>
              <w:rPr>
                <w:sz w:val="20"/>
                <w:szCs w:val="20"/>
                <w:color w:val="auto"/>
              </w:rPr>
            </w:pPr>
            <w:r>
              <w:rPr>
                <w:rFonts w:ascii="Times New Roman" w:cs="Times New Roman" w:eastAsia="Times New Roman" w:hAnsi="Times New Roman"/>
                <w:sz w:val="17"/>
                <w:szCs w:val="17"/>
                <w:color w:val="auto"/>
                <w:w w:val="97"/>
              </w:rPr>
              <w:t>X</w:t>
            </w:r>
          </w:p>
        </w:tc>
        <w:tc>
          <w:tcPr>
            <w:tcW w:w="840" w:type="dxa"/>
            <w:vAlign w:val="bottom"/>
            <w:shd w:val="clear" w:color="auto" w:fill="DBF3FF"/>
          </w:tcPr>
          <w:p>
            <w:pPr>
              <w:spacing w:after="0"/>
              <w:rPr>
                <w:sz w:val="17"/>
                <w:szCs w:val="17"/>
                <w:color w:val="auto"/>
              </w:rPr>
            </w:pPr>
          </w:p>
        </w:tc>
        <w:tc>
          <w:tcPr>
            <w:tcW w:w="1180" w:type="dxa"/>
            <w:vAlign w:val="bottom"/>
            <w:shd w:val="clear" w:color="auto" w:fill="DBF3FF"/>
          </w:tcPr>
          <w:p>
            <w:pPr>
              <w:spacing w:after="0"/>
              <w:rPr>
                <w:sz w:val="17"/>
                <w:szCs w:val="17"/>
                <w:color w:val="auto"/>
              </w:rPr>
            </w:pPr>
          </w:p>
        </w:tc>
        <w:tc>
          <w:tcPr>
            <w:tcW w:w="2120" w:type="dxa"/>
            <w:vAlign w:val="bottom"/>
            <w:gridSpan w:val="2"/>
            <w:shd w:val="clear" w:color="auto" w:fill="DBF3FF"/>
          </w:tcPr>
          <w:p>
            <w:pPr>
              <w:ind w:left="360"/>
              <w:spacing w:after="0"/>
              <w:rPr>
                <w:sz w:val="20"/>
                <w:szCs w:val="20"/>
                <w:color w:val="auto"/>
              </w:rPr>
            </w:pPr>
            <w:r>
              <w:rPr>
                <w:rFonts w:ascii="Times New Roman" w:cs="Times New Roman" w:eastAsia="Times New Roman" w:hAnsi="Times New Roman"/>
                <w:sz w:val="17"/>
                <w:szCs w:val="17"/>
                <w:color w:val="auto"/>
              </w:rPr>
              <w:t>X*</w:t>
            </w:r>
          </w:p>
        </w:tc>
        <w:tc>
          <w:tcPr>
            <w:tcW w:w="8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Laurence Zuriff</w:t>
            </w: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X  </w:t>
            </w:r>
          </w:p>
        </w:tc>
        <w:tc>
          <w:tcPr>
            <w:tcW w:w="0" w:type="dxa"/>
            <w:vAlign w:val="bottom"/>
          </w:tcPr>
          <w:p>
            <w:pPr>
              <w:spacing w:after="0"/>
              <w:rPr>
                <w:sz w:val="1"/>
                <w:szCs w:val="1"/>
                <w:color w:val="auto"/>
              </w:rPr>
            </w:pPr>
          </w:p>
        </w:tc>
      </w:tr>
      <w:tr>
        <w:trPr>
          <w:trHeight w:val="203"/>
        </w:trPr>
        <w:tc>
          <w:tcPr>
            <w:tcW w:w="3500" w:type="dxa"/>
            <w:vAlign w:val="bottom"/>
            <w:gridSpan w:val="3"/>
            <w:shd w:val="clear" w:color="auto" w:fill="DBF3FF"/>
          </w:tcPr>
          <w:p>
            <w:pPr>
              <w:spacing w:after="0"/>
              <w:rPr>
                <w:sz w:val="20"/>
                <w:szCs w:val="20"/>
                <w:color w:val="auto"/>
              </w:rPr>
            </w:pPr>
            <w:r>
              <w:rPr>
                <w:rFonts w:ascii="Times New Roman" w:cs="Times New Roman" w:eastAsia="Times New Roman" w:hAnsi="Times New Roman"/>
                <w:sz w:val="17"/>
                <w:szCs w:val="17"/>
                <w:b w:val="1"/>
                <w:bCs w:val="1"/>
                <w:color w:val="auto"/>
              </w:rPr>
              <w:t>Total meetings in 2023</w:t>
            </w:r>
          </w:p>
        </w:tc>
        <w:tc>
          <w:tcPr>
            <w:tcW w:w="66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160" w:type="dxa"/>
            <w:vAlign w:val="bottom"/>
            <w:shd w:val="clear" w:color="auto" w:fill="DBF3FF"/>
          </w:tcPr>
          <w:p>
            <w:pPr>
              <w:spacing w:after="0"/>
              <w:rPr>
                <w:sz w:val="17"/>
                <w:szCs w:val="17"/>
                <w:color w:val="auto"/>
              </w:rPr>
            </w:pPr>
          </w:p>
        </w:tc>
        <w:tc>
          <w:tcPr>
            <w:tcW w:w="2020" w:type="dxa"/>
            <w:vAlign w:val="bottom"/>
            <w:gridSpan w:val="2"/>
            <w:shd w:val="clear" w:color="auto" w:fill="DBF3FF"/>
          </w:tcPr>
          <w:p>
            <w:pPr>
              <w:jc w:val="center"/>
              <w:ind w:right="1160"/>
              <w:spacing w:after="0"/>
              <w:rPr>
                <w:sz w:val="20"/>
                <w:szCs w:val="20"/>
                <w:color w:val="auto"/>
              </w:rPr>
            </w:pPr>
            <w:r>
              <w:rPr>
                <w:rFonts w:ascii="Times New Roman" w:cs="Times New Roman" w:eastAsia="Times New Roman" w:hAnsi="Times New Roman"/>
                <w:sz w:val="17"/>
                <w:szCs w:val="17"/>
                <w:color w:val="auto"/>
              </w:rPr>
              <w:t xml:space="preserve">8   </w:t>
            </w:r>
          </w:p>
        </w:tc>
        <w:tc>
          <w:tcPr>
            <w:tcW w:w="2120" w:type="dxa"/>
            <w:vAlign w:val="bottom"/>
            <w:gridSpan w:val="2"/>
            <w:shd w:val="clear" w:color="auto" w:fill="DBF3FF"/>
          </w:tcPr>
          <w:p>
            <w:pPr>
              <w:ind w:left="360"/>
              <w:spacing w:after="0"/>
              <w:rPr>
                <w:sz w:val="20"/>
                <w:szCs w:val="20"/>
                <w:color w:val="auto"/>
              </w:rPr>
            </w:pPr>
            <w:r>
              <w:rPr>
                <w:rFonts w:ascii="Times New Roman" w:cs="Times New Roman" w:eastAsia="Times New Roman" w:hAnsi="Times New Roman"/>
                <w:sz w:val="17"/>
                <w:szCs w:val="17"/>
                <w:color w:val="auto"/>
              </w:rPr>
              <w:t>2  </w:t>
            </w:r>
          </w:p>
        </w:tc>
        <w:tc>
          <w:tcPr>
            <w:tcW w:w="88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7"/>
                <w:szCs w:val="17"/>
                <w:color w:val="auto"/>
                <w:w w:val="78"/>
              </w:rPr>
              <w:t>6  </w:t>
            </w:r>
          </w:p>
        </w:tc>
        <w:tc>
          <w:tcPr>
            <w:tcW w:w="0" w:type="dxa"/>
            <w:vAlign w:val="bottom"/>
          </w:tcPr>
          <w:p>
            <w:pPr>
              <w:spacing w:after="0"/>
              <w:rPr>
                <w:sz w:val="1"/>
                <w:szCs w:val="1"/>
                <w:color w:val="auto"/>
              </w:rPr>
            </w:pPr>
          </w:p>
        </w:tc>
      </w:tr>
      <w:tr>
        <w:trPr>
          <w:trHeight w:val="139"/>
        </w:trPr>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Financial Expert</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Committee Chair</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60" w:firstLine="413"/>
        <w:spacing w:after="0" w:line="255" w:lineRule="auto"/>
        <w:rPr>
          <w:sz w:val="20"/>
          <w:szCs w:val="20"/>
          <w:color w:val="auto"/>
        </w:rPr>
      </w:pPr>
      <w:r>
        <w:rPr>
          <w:rFonts w:ascii="Times New Roman" w:cs="Times New Roman" w:eastAsia="Times New Roman" w:hAnsi="Times New Roman"/>
          <w:sz w:val="17"/>
          <w:szCs w:val="17"/>
          <w:color w:val="auto"/>
        </w:rPr>
        <w:t xml:space="preserve">Below is a description of each committee of the Board. Each of the committees has authority to engage legal counsel or other experts or consultants, as it deems appropriate to carry out its responsibilities. Each of the committees operates pursuant to a written charter and each committee reviews and assesses the adequacy of its charter and submits its charter to the Board for approval. The charters are all available in the “Investors– Corporate Governance” section of our website, </w:t>
      </w:r>
      <w:r>
        <w:rPr>
          <w:rFonts w:ascii="Times New Roman" w:cs="Times New Roman" w:eastAsia="Times New Roman" w:hAnsi="Times New Roman"/>
          <w:sz w:val="17"/>
          <w:szCs w:val="17"/>
          <w:i w:val="1"/>
          <w:iCs w:val="1"/>
          <w:color w:val="auto"/>
        </w:rPr>
        <w:t>www.xometry.com</w:t>
      </w:r>
      <w:r>
        <w:rPr>
          <w:rFonts w:ascii="Times New Roman" w:cs="Times New Roman" w:eastAsia="Times New Roman" w:hAnsi="Times New Roman"/>
          <w:sz w:val="17"/>
          <w:szCs w:val="17"/>
          <w:color w:val="auto"/>
        </w:rPr>
        <w:t>. The inclusion of our website address here and elsewhere in this proxy statement does not include or incorporate by reference the information on our website into this proxy statement.</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12" w:lineRule="exact"/>
        <w:rPr>
          <w:sz w:val="20"/>
          <w:szCs w:val="20"/>
          <w:color w:val="auto"/>
        </w:rPr>
      </w:pPr>
    </w:p>
    <w:p>
      <w:pPr>
        <w:ind w:left="460" w:right="100" w:firstLine="413"/>
        <w:spacing w:after="0" w:line="254" w:lineRule="auto"/>
        <w:rPr>
          <w:sz w:val="20"/>
          <w:szCs w:val="20"/>
          <w:color w:val="auto"/>
        </w:rPr>
      </w:pPr>
      <w:r>
        <w:rPr>
          <w:rFonts w:ascii="Times New Roman" w:cs="Times New Roman" w:eastAsia="Times New Roman" w:hAnsi="Times New Roman"/>
          <w:sz w:val="17"/>
          <w:szCs w:val="17"/>
          <w:color w:val="auto"/>
        </w:rPr>
        <w:t>Our Audit Committee consists of Ranjana Clark, Emily Rollins and Katharine Weymouth, with Ms. Rollins serving as Chair of the committee. In addition, George Hornig served on the Audit Committee until his departure from the Board in December 2023, at which time Ms. Clark was appointed to the Audit Committee. The Board has determined that Ms. Rollins is an “audit committee financial expert” within the meaning of the SEC regulations and applicable listing standards of Nasdaq. Each member of our Audit Committee can read and understand fundamental financial statements in accordance with applicable requirements. In arriving at these determinations, our Board has examined each Audit Committee member’s scope of experience and the nature of their employment in the corporate finance sector.</w:t>
      </w:r>
    </w:p>
    <w:p>
      <w:pPr>
        <w:spacing w:after="0" w:line="177" w:lineRule="exact"/>
        <w:rPr>
          <w:sz w:val="20"/>
          <w:szCs w:val="20"/>
          <w:color w:val="auto"/>
        </w:rPr>
      </w:pPr>
    </w:p>
    <w:p>
      <w:pPr>
        <w:ind w:left="460" w:right="320" w:firstLine="413"/>
        <w:spacing w:after="0" w:line="262" w:lineRule="auto"/>
        <w:rPr>
          <w:sz w:val="20"/>
          <w:szCs w:val="20"/>
          <w:color w:val="auto"/>
        </w:rPr>
      </w:pPr>
      <w:r>
        <w:rPr>
          <w:rFonts w:ascii="Times New Roman" w:cs="Times New Roman" w:eastAsia="Times New Roman" w:hAnsi="Times New Roman"/>
          <w:sz w:val="17"/>
          <w:szCs w:val="17"/>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2" w:lineRule="exact"/>
        <w:rPr>
          <w:sz w:val="20"/>
          <w:szCs w:val="20"/>
          <w:color w:val="auto"/>
        </w:rPr>
      </w:pPr>
    </w:p>
    <w:p>
      <w:pPr>
        <w:ind w:left="1360" w:hanging="396"/>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integrity of our financial statements and our accounting and financial reporting processes and financial statement audits;</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registered public accounting firm’s (independent auditor’s) qualifications and independence;</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performance of our independent auditor and internal audit function;</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systems of disclosure controls and procedures;</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internal controls over financial reporting; and</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compliance with ethical standards adopted by us.</w:t>
      </w:r>
    </w:p>
    <w:p>
      <w:pPr>
        <w:spacing w:after="0" w:line="14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800"/>
          </w:cols>
          <w:pgMar w:left="320" w:top="462" w:right="7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Report of the Audit Committee</w:t>
      </w:r>
    </w:p>
    <w:p>
      <w:pPr>
        <w:spacing w:after="0" w:line="112" w:lineRule="exact"/>
        <w:rPr>
          <w:sz w:val="20"/>
          <w:szCs w:val="20"/>
          <w:color w:val="auto"/>
        </w:rPr>
      </w:pPr>
    </w:p>
    <w:p>
      <w:pPr>
        <w:ind w:left="460" w:right="520" w:firstLine="413"/>
        <w:spacing w:after="0" w:line="258" w:lineRule="auto"/>
        <w:rPr>
          <w:sz w:val="20"/>
          <w:szCs w:val="20"/>
          <w:color w:val="auto"/>
        </w:rPr>
      </w:pPr>
      <w:r>
        <w:rPr>
          <w:rFonts w:ascii="Times New Roman" w:cs="Times New Roman" w:eastAsia="Times New Roman" w:hAnsi="Times New Roman"/>
          <w:sz w:val="17"/>
          <w:szCs w:val="17"/>
          <w:color w:val="auto"/>
        </w:rPr>
        <w:t>The primary purpose of the Audit Committee is to oversee Xometry’s financial reporting processes on behalf of the Board. The Audit Committee’s functions are more fully described in its charter, which is available in the Corporate Governance section of Xometry’s website. Management has the primary responsibility for Xometry’s financial statements and reporting processes, including Xometry’s systems of internal controls.</w:t>
      </w:r>
    </w:p>
    <w:p>
      <w:pPr>
        <w:spacing w:after="0" w:line="173" w:lineRule="exact"/>
        <w:rPr>
          <w:sz w:val="20"/>
          <w:szCs w:val="20"/>
          <w:color w:val="auto"/>
        </w:rPr>
      </w:pPr>
    </w:p>
    <w:p>
      <w:pPr>
        <w:ind w:left="460" w:firstLine="413"/>
        <w:spacing w:after="0" w:line="271" w:lineRule="auto"/>
        <w:rPr>
          <w:sz w:val="20"/>
          <w:szCs w:val="20"/>
          <w:color w:val="auto"/>
        </w:rPr>
      </w:pPr>
      <w:r>
        <w:rPr>
          <w:rFonts w:ascii="Times New Roman" w:cs="Times New Roman" w:eastAsia="Times New Roman" w:hAnsi="Times New Roman"/>
          <w:sz w:val="16"/>
          <w:szCs w:val="16"/>
          <w:color w:val="auto"/>
        </w:rPr>
        <w:t>The Audit Committee has reviewed and discussed the audited financial statements as of and for the fiscal year ended December 31, 2023 with management of Xometry.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Xometry’s Annual Report on Form 10-K for the fiscal year ended December 31, 2023.</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Xometry,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Emily Rollins (chair)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Ranjana Clark</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Katharine Weymouth</w:t>
      </w:r>
    </w:p>
    <w:p>
      <w:pPr>
        <w:spacing w:after="0" w:line="89" w:lineRule="exact"/>
        <w:rPr>
          <w:sz w:val="20"/>
          <w:szCs w:val="20"/>
          <w:color w:val="auto"/>
        </w:rPr>
      </w:pPr>
    </w:p>
    <w:p>
      <w:pPr>
        <w:jc w:val="both"/>
        <w:ind w:left="460" w:right="400"/>
        <w:spacing w:after="0" w:line="265" w:lineRule="auto"/>
        <w:rPr>
          <w:sz w:val="20"/>
          <w:szCs w:val="20"/>
          <w:color w:val="auto"/>
        </w:rPr>
      </w:pPr>
      <w:r>
        <w:rPr>
          <w:rFonts w:ascii="Times New Roman" w:cs="Times New Roman" w:eastAsia="Times New Roman" w:hAnsi="Times New Roman"/>
          <w:sz w:val="17"/>
          <w:szCs w:val="17"/>
          <w:i w:val="1"/>
          <w:iCs w:val="1"/>
          <w:color w:val="auto"/>
        </w:rPr>
        <w:t>The material in this report is not “soliciting material,” is not deemed filed with the SEC and is not to be incorporated by reference in any filing of Xometry under the Securities Act of 1933, as amended, or the Exchange Act, whether made before or after the date hereof and irrespective of any general incorporation language in any such filing.</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12" w:lineRule="exact"/>
        <w:rPr>
          <w:sz w:val="20"/>
          <w:szCs w:val="20"/>
          <w:color w:val="auto"/>
        </w:rPr>
      </w:pPr>
    </w:p>
    <w:p>
      <w:pPr>
        <w:ind w:left="460" w:right="60" w:firstLine="413"/>
        <w:spacing w:after="0" w:line="258" w:lineRule="auto"/>
        <w:rPr>
          <w:sz w:val="20"/>
          <w:szCs w:val="20"/>
          <w:color w:val="auto"/>
        </w:rPr>
      </w:pPr>
      <w:r>
        <w:rPr>
          <w:rFonts w:ascii="Times New Roman" w:cs="Times New Roman" w:eastAsia="Times New Roman" w:hAnsi="Times New Roman"/>
          <w:sz w:val="17"/>
          <w:szCs w:val="17"/>
          <w:color w:val="auto"/>
        </w:rPr>
        <w:t>Our Compensation Committee consists of Deborah Bial, Ranjana Clark and Fabio Rosati, with Mr. Rosati serving as Chair of the committee. In addition, George Hornig served on the Compensation Committee until his departure from the Board in December 2023. Our Board has determined that each member of the Compensation Committee is independent under the Nasdaq listing standards and a “non-employee director” as defined in Rule 16b-3 promulgated under the Exchange Act.</w:t>
      </w:r>
    </w:p>
    <w:p>
      <w:pPr>
        <w:spacing w:after="0" w:line="173" w:lineRule="exact"/>
        <w:rPr>
          <w:sz w:val="20"/>
          <w:szCs w:val="20"/>
          <w:color w:val="auto"/>
        </w:rPr>
      </w:pPr>
    </w:p>
    <w:p>
      <w:pPr>
        <w:ind w:left="460" w:right="140" w:firstLine="413"/>
        <w:spacing w:after="0" w:line="262"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2" w:lineRule="exact"/>
        <w:rPr>
          <w:sz w:val="20"/>
          <w:szCs w:val="20"/>
          <w:color w:val="auto"/>
        </w:rPr>
      </w:pPr>
    </w:p>
    <w:p>
      <w:pPr>
        <w:ind w:left="1360" w:right="80" w:hanging="396"/>
        <w:spacing w:after="0" w:line="276"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helping the Board oversee our compensation policies, plans and programs with a goal to attract, incentivize, retain and reward top quality executive management and employees;</w:t>
      </w:r>
    </w:p>
    <w:p>
      <w:pPr>
        <w:spacing w:after="0" w:line="69"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determining the compensation to be paid to our executive officers and directors;</w:t>
      </w:r>
    </w:p>
    <w:p>
      <w:pPr>
        <w:spacing w:after="0" w:line="121" w:lineRule="exact"/>
        <w:rPr>
          <w:rFonts w:ascii="Times New Roman" w:cs="Times New Roman" w:eastAsia="Times New Roman" w:hAnsi="Times New Roman"/>
          <w:sz w:val="17"/>
          <w:szCs w:val="17"/>
          <w:color w:val="auto"/>
        </w:rPr>
      </w:pPr>
    </w:p>
    <w:p>
      <w:pPr>
        <w:ind w:left="1360" w:right="100" w:hanging="396"/>
        <w:spacing w:after="0" w:line="276"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our compensation disclosures in the “Compensation Discussion and Analysis” section of our annual reports, registration statements, proxy statements or information statements filed with the SEC; and</w:t>
      </w:r>
    </w:p>
    <w:p>
      <w:pPr>
        <w:spacing w:after="0" w:line="69"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and reviewing the Compensation Committee’s report on executive compensation included in our annual proxy statement.</w:t>
      </w:r>
    </w:p>
    <w:p>
      <w:pPr>
        <w:spacing w:after="0" w:line="14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720"/>
          </w:cols>
          <w:pgMar w:left="320" w:top="462" w:right="8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Compensation Committee Processes and Procedures</w:t>
      </w:r>
    </w:p>
    <w:p>
      <w:pPr>
        <w:spacing w:after="0" w:line="112" w:lineRule="exact"/>
        <w:rPr>
          <w:sz w:val="20"/>
          <w:szCs w:val="20"/>
          <w:color w:val="auto"/>
        </w:rPr>
      </w:pPr>
    </w:p>
    <w:p>
      <w:pPr>
        <w:ind w:left="460" w:right="40" w:firstLine="413"/>
        <w:spacing w:after="0" w:line="250" w:lineRule="auto"/>
        <w:rPr>
          <w:sz w:val="20"/>
          <w:szCs w:val="20"/>
          <w:color w:val="auto"/>
        </w:rPr>
      </w:pPr>
      <w:r>
        <w:rPr>
          <w:rFonts w:ascii="Times New Roman" w:cs="Times New Roman" w:eastAsia="Times New Roman" w:hAnsi="Times New Roman"/>
          <w:sz w:val="17"/>
          <w:szCs w:val="17"/>
          <w:color w:val="auto"/>
        </w:rPr>
        <w:t>Typically, the Compensation Committee meets quarterly and with greater frequency if necessary. The agenda for each meeting is usually developed by the Chair of the Compensation Committee, in consultation with our Chief Executive Officer and our Chief People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Xometry.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Compensation Committee Interlocks and Insider Participation</w:t>
      </w:r>
    </w:p>
    <w:p>
      <w:pPr>
        <w:spacing w:after="0" w:line="112" w:lineRule="exact"/>
        <w:rPr>
          <w:sz w:val="20"/>
          <w:szCs w:val="20"/>
          <w:color w:val="auto"/>
        </w:rPr>
      </w:pPr>
    </w:p>
    <w:p>
      <w:pPr>
        <w:ind w:left="460" w:right="20" w:firstLine="413"/>
        <w:spacing w:after="0" w:line="262" w:lineRule="auto"/>
        <w:rPr>
          <w:sz w:val="20"/>
          <w:szCs w:val="20"/>
          <w:color w:val="auto"/>
        </w:rPr>
      </w:pPr>
      <w:r>
        <w:rPr>
          <w:rFonts w:ascii="Times New Roman" w:cs="Times New Roman" w:eastAsia="Times New Roman" w:hAnsi="Times New Roman"/>
          <w:sz w:val="17"/>
          <w:szCs w:val="17"/>
          <w:color w:val="auto"/>
        </w:rPr>
        <w:t>No member of our Compensation Committee is currently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Report of the Compensation Committee of the Board of Directors</w:t>
      </w:r>
    </w:p>
    <w:p>
      <w:pPr>
        <w:spacing w:after="0" w:line="112" w:lineRule="exact"/>
        <w:rPr>
          <w:sz w:val="20"/>
          <w:szCs w:val="20"/>
          <w:color w:val="auto"/>
        </w:rPr>
      </w:pPr>
    </w:p>
    <w:p>
      <w:pPr>
        <w:ind w:left="460" w:firstLine="413"/>
        <w:spacing w:after="0" w:line="258" w:lineRule="auto"/>
        <w:rPr>
          <w:sz w:val="20"/>
          <w:szCs w:val="20"/>
          <w:color w:val="auto"/>
        </w:rPr>
      </w:pPr>
      <w:r>
        <w:rPr>
          <w:rFonts w:ascii="Times New Roman" w:cs="Times New Roman" w:eastAsia="Times New Roman" w:hAnsi="Times New Roman"/>
          <w:sz w:val="17"/>
          <w:szCs w:val="17"/>
          <w:color w:val="auto"/>
        </w:rPr>
        <w:t>The Compensation Committee has reviewed and discussed the section of this proxy statement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Xometry’s Annual Report on Form 10-K for the fiscal year ended December 31, 2023.</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Xometry,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Fabio Rosati (chair)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Deborah Bial</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Ranjana Clark</w:t>
      </w:r>
    </w:p>
    <w:p>
      <w:pPr>
        <w:spacing w:after="0" w:line="291" w:lineRule="exact"/>
        <w:rPr>
          <w:sz w:val="20"/>
          <w:szCs w:val="20"/>
          <w:color w:val="auto"/>
        </w:rPr>
      </w:pPr>
    </w:p>
    <w:p>
      <w:pPr>
        <w:jc w:val="both"/>
        <w:ind w:left="460" w:right="180"/>
        <w:spacing w:after="0" w:line="289" w:lineRule="auto"/>
        <w:rPr>
          <w:sz w:val="20"/>
          <w:szCs w:val="20"/>
          <w:color w:val="auto"/>
        </w:rPr>
      </w:pPr>
      <w:r>
        <w:rPr>
          <w:rFonts w:ascii="Times New Roman" w:cs="Times New Roman" w:eastAsia="Times New Roman" w:hAnsi="Times New Roman"/>
          <w:sz w:val="16"/>
          <w:szCs w:val="16"/>
          <w:i w:val="1"/>
          <w:iCs w:val="1"/>
          <w:color w:val="auto"/>
        </w:rPr>
        <w:t>The material in this report is not “soliciting material,” is furnished to, but not deemed “filed” with, the SEC and is not deemed to be incorporated by reference in any filing of Xometry under the Securities Act or the Exchange Act, other than Xometry’s Annual Report on Form 10-K, where it shall be deemed to be “furnished,” whether made before or after the date hereof and irrespective of any general incorporation language in any such filing.</w:t>
      </w:r>
    </w:p>
    <w:p>
      <w:pPr>
        <w:spacing w:after="0" w:line="8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740"/>
          </w:cols>
          <w:pgMar w:left="320" w:top="462" w:right="8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12" w:lineRule="exact"/>
        <w:rPr>
          <w:sz w:val="20"/>
          <w:szCs w:val="20"/>
          <w:color w:val="auto"/>
        </w:rPr>
      </w:pPr>
    </w:p>
    <w:p>
      <w:pPr>
        <w:ind w:left="460" w:right="220" w:firstLine="413"/>
        <w:spacing w:after="0" w:line="276"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Deborah Bial, Ranjana Clark, Fabio Rosati and Katharine Weymouth, with Ms. Weymouth serving as Chair of the committee.</w:t>
      </w:r>
    </w:p>
    <w:p>
      <w:pPr>
        <w:spacing w:after="0" w:line="158" w:lineRule="exact"/>
        <w:rPr>
          <w:sz w:val="20"/>
          <w:szCs w:val="20"/>
          <w:color w:val="auto"/>
        </w:rPr>
      </w:pPr>
    </w:p>
    <w:p>
      <w:pPr>
        <w:ind w:left="460" w:right="140" w:firstLine="413"/>
        <w:spacing w:after="0" w:line="262" w:lineRule="auto"/>
        <w:rPr>
          <w:sz w:val="20"/>
          <w:szCs w:val="20"/>
          <w:color w:val="auto"/>
        </w:rPr>
      </w:pPr>
      <w:r>
        <w:rPr>
          <w:rFonts w:ascii="Times New Roman" w:cs="Times New Roman" w:eastAsia="Times New Roman" w:hAnsi="Times New Roman"/>
          <w:sz w:val="17"/>
          <w:szCs w:val="17"/>
          <w:color w:val="auto"/>
        </w:rPr>
        <w:t>The primary purpose of the Nominating and Corporate Governance Committee is to discharge the responsibilities of our board of directors with respect to our corporate governance functions and to identify, communicate with, evaluate and recommend candidates for our Board. Specific responsibilities of our Nominating and Corporate Governance Committee include:</w:t>
      </w:r>
    </w:p>
    <w:p>
      <w:pPr>
        <w:spacing w:after="0" w:line="82" w:lineRule="exact"/>
        <w:rPr>
          <w:sz w:val="20"/>
          <w:szCs w:val="20"/>
          <w:color w:val="auto"/>
        </w:rPr>
      </w:pPr>
    </w:p>
    <w:p>
      <w:pPr>
        <w:ind w:left="1360" w:right="620" w:hanging="396"/>
        <w:spacing w:after="0" w:line="276" w:lineRule="auto"/>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helping the Board oversee our corporate governance functions and develop, update as necessary and recommend to the Board the governance principles applicable to Xometry;</w:t>
      </w:r>
    </w:p>
    <w:p>
      <w:pPr>
        <w:spacing w:after="0" w:line="69" w:lineRule="exact"/>
        <w:rPr>
          <w:rFonts w:ascii="Times New Roman" w:cs="Times New Roman" w:eastAsia="Times New Roman" w:hAnsi="Times New Roman"/>
          <w:sz w:val="17"/>
          <w:szCs w:val="17"/>
          <w:color w:val="auto"/>
        </w:rPr>
      </w:pPr>
    </w:p>
    <w:p>
      <w:pPr>
        <w:ind w:left="1360" w:right="400" w:hanging="396"/>
        <w:spacing w:after="0" w:line="276" w:lineRule="auto"/>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recommending and communicating with candidates qualified to become Board members or nominees for directors of the Board consistent with criteria approved by the Board; and</w:t>
      </w:r>
    </w:p>
    <w:p>
      <w:pPr>
        <w:spacing w:after="0" w:line="69"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other recommendations to the Board relating to the directors.</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Director Nomination Process</w:t>
      </w:r>
    </w:p>
    <w:p>
      <w:pPr>
        <w:spacing w:after="0" w:line="112" w:lineRule="exact"/>
        <w:rPr>
          <w:sz w:val="20"/>
          <w:szCs w:val="20"/>
          <w:color w:val="auto"/>
        </w:rPr>
      </w:pPr>
    </w:p>
    <w:p>
      <w:pPr>
        <w:ind w:left="460" w:firstLine="413"/>
        <w:spacing w:after="0" w:line="273" w:lineRule="auto"/>
        <w:rPr>
          <w:sz w:val="20"/>
          <w:szCs w:val="20"/>
          <w:color w:val="auto"/>
        </w:rPr>
      </w:pPr>
      <w:r>
        <w:rPr>
          <w:rFonts w:ascii="Times New Roman" w:cs="Times New Roman" w:eastAsia="Times New Roman" w:hAnsi="Times New Roman"/>
          <w:sz w:val="16"/>
          <w:szCs w:val="16"/>
          <w:color w:val="auto"/>
        </w:rPr>
        <w:t>Our Board determines the appropriate characteristics, skills and experience for the Board as a whole and for its individual members. The Board considers recommendations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an understanding of our industry and being older than 21.</w:t>
      </w:r>
    </w:p>
    <w:p>
      <w:pPr>
        <w:spacing w:after="0" w:line="163" w:lineRule="exact"/>
        <w:rPr>
          <w:sz w:val="20"/>
          <w:szCs w:val="20"/>
          <w:color w:val="auto"/>
        </w:rPr>
      </w:pPr>
    </w:p>
    <w:p>
      <w:pPr>
        <w:ind w:left="460" w:right="20" w:firstLine="413"/>
        <w:spacing w:after="0" w:line="255" w:lineRule="auto"/>
        <w:rPr>
          <w:sz w:val="20"/>
          <w:szCs w:val="20"/>
          <w:color w:val="auto"/>
        </w:rPr>
      </w:pPr>
      <w:r>
        <w:rPr>
          <w:rFonts w:ascii="Times New Roman" w:cs="Times New Roman" w:eastAsia="Times New Roman" w:hAnsi="Times New Roman"/>
          <w:sz w:val="17"/>
          <w:szCs w:val="17"/>
          <w:color w:val="auto"/>
        </w:rPr>
        <w:t>In considering candidates recommended by the Nominating and Corporate Governance Committee, the Board intends to consider other factors, such as: (i) possessing relevant expertise upon which to be able to offer advice and guidance to management; (ii) having sufficient time to devote to our affairs; (iii) demonstrating excellence in the candidate’s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our stockholders.</w:t>
      </w:r>
    </w:p>
    <w:p>
      <w:pPr>
        <w:spacing w:after="0" w:line="177" w:lineRule="exact"/>
        <w:rPr>
          <w:sz w:val="20"/>
          <w:szCs w:val="20"/>
          <w:color w:val="auto"/>
        </w:rPr>
      </w:pPr>
    </w:p>
    <w:p>
      <w:pPr>
        <w:ind w:left="460" w:right="80" w:firstLine="413"/>
        <w:spacing w:after="0" w:line="253" w:lineRule="auto"/>
        <w:rPr>
          <w:sz w:val="20"/>
          <w:szCs w:val="20"/>
          <w:color w:val="auto"/>
        </w:rPr>
      </w:pPr>
      <w:r>
        <w:rPr>
          <w:rFonts w:ascii="Times New Roman" w:cs="Times New Roman" w:eastAsia="Times New Roman" w:hAnsi="Times New Roman"/>
          <w:sz w:val="17"/>
          <w:szCs w:val="17"/>
          <w:color w:val="auto"/>
        </w:rPr>
        <w:t>The Board and the Nominating and Corporate Governance Committee review candidates for director nomination in the context of the current composition of the Board, our operating requirements and the long-term interests of Xometry’s stakeholders. In conducting this assessment, the Board and the Nominating and Corporate Governance Committee consider diversity, age, skills and other factors that it deems appropriate to maintain a balance of knowledge, experience and capability on the Board. For incumbent directors, the Board reviews those directors’ overall service to Xometry during their respective terms, including the number of meetings attended, level of participation, quality of performance and any other relationships and transactions that might impair the directors’ independence. In the case of new director candidates, the Board also determines whether the nominee is independent for Nasdaq purposes.</w:t>
      </w:r>
    </w:p>
    <w:p>
      <w:pPr>
        <w:spacing w:after="0" w:line="178" w:lineRule="exact"/>
        <w:rPr>
          <w:sz w:val="20"/>
          <w:szCs w:val="20"/>
          <w:color w:val="auto"/>
        </w:rPr>
      </w:pPr>
    </w:p>
    <w:p>
      <w:pPr>
        <w:ind w:left="460" w:right="140" w:firstLine="413"/>
        <w:spacing w:after="0" w:line="258" w:lineRule="auto"/>
        <w:rPr>
          <w:sz w:val="20"/>
          <w:szCs w:val="20"/>
          <w:color w:val="auto"/>
        </w:rPr>
      </w:pPr>
      <w:r>
        <w:rPr>
          <w:rFonts w:ascii="Times New Roman" w:cs="Times New Roman" w:eastAsia="Times New Roman" w:hAnsi="Times New Roman"/>
          <w:sz w:val="17"/>
          <w:szCs w:val="17"/>
          <w:color w:val="auto"/>
        </w:rPr>
        <w:t>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w:t>
      </w:r>
    </w:p>
    <w:p>
      <w:pPr>
        <w:spacing w:after="0" w:line="10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720"/>
          </w:cols>
          <w:pgMar w:left="320" w:top="462" w:right="8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40"/>
        <w:spacing w:after="0" w:line="253" w:lineRule="auto"/>
        <w:rPr>
          <w:sz w:val="20"/>
          <w:szCs w:val="20"/>
          <w:color w:val="auto"/>
        </w:rPr>
      </w:pPr>
      <w:r>
        <w:rPr>
          <w:rFonts w:ascii="Times New Roman" w:cs="Times New Roman" w:eastAsia="Times New Roman" w:hAnsi="Times New Roman"/>
          <w:sz w:val="17"/>
          <w:szCs w:val="17"/>
          <w:color w:val="auto"/>
        </w:rPr>
        <w:t>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We have no formal policy regarding board diversity. Our Nominating and Corporate Governance Committee’s priority in selecting board members is identification of persons who will further the interests of Xometry through his or her established record of professional accomplishment, the ability to contribute positively to the collaborative culture among board members, professional and personal experiences and expertise relevant to our growth strategy.</w:t>
      </w:r>
    </w:p>
    <w:p>
      <w:pPr>
        <w:spacing w:after="0" w:line="178" w:lineRule="exact"/>
        <w:rPr>
          <w:sz w:val="20"/>
          <w:szCs w:val="20"/>
          <w:color w:val="auto"/>
        </w:rPr>
      </w:pPr>
    </w:p>
    <w:p>
      <w:pPr>
        <w:ind w:left="460" w:firstLine="413"/>
        <w:spacing w:after="0" w:line="252" w:lineRule="auto"/>
        <w:rPr>
          <w:sz w:val="20"/>
          <w:szCs w:val="20"/>
          <w:color w:val="auto"/>
        </w:rPr>
      </w:pPr>
      <w:r>
        <w:rPr>
          <w:rFonts w:ascii="Times New Roman" w:cs="Times New Roman" w:eastAsia="Times New Roman" w:hAnsi="Times New Roman"/>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notice in writing to our Secretary at Xometry, Inc., 6116 Executive Boulevard, Suite 800, North Bethesda, Maryland 20852, Attention: Secretary, subject to the notice requirements set forth above under “Questions and Answers about These Proxy Materials and Voting—When are stockholder proposals due for the 2025 Annual Meeting of Stockholders?”. Submissions must include the specific information required in Section 5 of our Bylaws. For additional information about our director nomination requirements, please see our Bylaws.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Environmental and Social Governance Committee</w:t>
      </w:r>
    </w:p>
    <w:p>
      <w:pPr>
        <w:spacing w:after="0" w:line="112"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Our Environmental and Social Governance Committee consists of Deborah Bial, Emily Rollins and Laurence Zuriff, with Ms. Bial serving as Chair of the committee. Additionally, George Hornig served on the Environmental and Social Governance Committee until his departure from the Board in December 2023. In April 2024, Mr. Zuriff notified the Board that he will not stand for reelection as a director of Xometry upon expiration of his current term at the Annual Meeting and will resign from the Board and any and all other positions he holds as an officer or director (but not as an employee) with Xometry effective at the Annual Meeting.</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primary purpose of the Environmental and Social Governance Committee is to oversee our environmental, social and governance matters.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Specific responsibilities of our Environmental and Social Governance Committee include:</w:t>
      </w:r>
    </w:p>
    <w:p>
      <w:pPr>
        <w:spacing w:after="0" w:line="105" w:lineRule="exact"/>
        <w:rPr>
          <w:sz w:val="20"/>
          <w:szCs w:val="20"/>
          <w:color w:val="auto"/>
        </w:rPr>
      </w:pPr>
    </w:p>
    <w:p>
      <w:pPr>
        <w:ind w:left="1360" w:hanging="396"/>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oversight of our strategy and reporting regarding environmental, governance, and corporate citizenship matters;</w:t>
      </w:r>
    </w:p>
    <w:p>
      <w:pPr>
        <w:spacing w:after="0" w:line="121" w:lineRule="exact"/>
        <w:rPr>
          <w:rFonts w:ascii="Times New Roman" w:cs="Times New Roman" w:eastAsia="Times New Roman" w:hAnsi="Times New Roman"/>
          <w:sz w:val="17"/>
          <w:szCs w:val="17"/>
          <w:color w:val="auto"/>
        </w:rPr>
      </w:pPr>
    </w:p>
    <w:p>
      <w:pPr>
        <w:ind w:left="1360" w:right="200" w:hanging="396"/>
        <w:spacing w:after="0" w:line="276" w:lineRule="auto"/>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oversight of our policies and practices related to human capital management, which may include culture, diversity, equity and inclusion, pay equity, and talent management; and</w:t>
      </w:r>
    </w:p>
    <w:p>
      <w:pPr>
        <w:spacing w:after="0" w:line="69" w:lineRule="exact"/>
        <w:rPr>
          <w:rFonts w:ascii="Times New Roman" w:cs="Times New Roman" w:eastAsia="Times New Roman" w:hAnsi="Times New Roman"/>
          <w:sz w:val="17"/>
          <w:szCs w:val="17"/>
          <w:color w:val="auto"/>
        </w:rPr>
      </w:pPr>
    </w:p>
    <w:p>
      <w:pPr>
        <w:ind w:left="1360" w:right="440" w:hanging="396"/>
        <w:spacing w:after="0" w:line="276" w:lineRule="auto"/>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an informed status on public policy including but not limited to supply chain ethics, product development and safety, and environmental impacts.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12" w:lineRule="exact"/>
        <w:rPr>
          <w:sz w:val="20"/>
          <w:szCs w:val="20"/>
          <w:color w:val="auto"/>
        </w:rPr>
      </w:pPr>
    </w:p>
    <w:p>
      <w:pPr>
        <w:ind w:left="460" w:right="180" w:firstLine="413"/>
        <w:spacing w:after="0" w:line="258"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t>
      </w:r>
      <w:r>
        <w:rPr>
          <w:rFonts w:ascii="Times New Roman" w:cs="Times New Roman" w:eastAsia="Times New Roman" w:hAnsi="Times New Roman"/>
          <w:sz w:val="17"/>
          <w:szCs w:val="17"/>
          <w:i w:val="1"/>
          <w:iCs w:val="1"/>
          <w:color w:val="auto"/>
        </w:rPr>
        <w:t>www.xometry.com</w:t>
      </w:r>
      <w:r>
        <w:rPr>
          <w:rFonts w:ascii="Times New Roman" w:cs="Times New Roman" w:eastAsia="Times New Roman" w:hAnsi="Times New Roman"/>
          <w:sz w:val="17"/>
          <w:szCs w:val="17"/>
          <w:color w:val="auto"/>
        </w:rPr>
        <w:t>. We intend to disclose on our website any future amendments of our Code of Business Conduct and Ethics or waivers</w:t>
      </w:r>
    </w:p>
    <w:p>
      <w:pPr>
        <w:spacing w:after="0" w:line="10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780"/>
          </w:cols>
          <w:pgMar w:left="320" w:top="462" w:right="7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7"/>
          <w:szCs w:val="17"/>
          <w:color w:val="auto"/>
        </w:rPr>
        <w:t>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proxy statement, and you should not consider information on our website to be part of this proxy statement.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12" w:lineRule="exact"/>
        <w:rPr>
          <w:sz w:val="20"/>
          <w:szCs w:val="20"/>
          <w:color w:val="auto"/>
        </w:rPr>
      </w:pPr>
    </w:p>
    <w:p>
      <w:pPr>
        <w:ind w:left="460" w:right="40" w:firstLine="413"/>
        <w:spacing w:after="0" w:line="273" w:lineRule="auto"/>
        <w:rPr>
          <w:sz w:val="20"/>
          <w:szCs w:val="20"/>
          <w:color w:val="auto"/>
        </w:rPr>
      </w:pPr>
      <w:r>
        <w:rPr>
          <w:rFonts w:ascii="Times New Roman" w:cs="Times New Roman" w:eastAsia="Times New Roman" w:hAnsi="Times New Roman"/>
          <w:sz w:val="16"/>
          <w:szCs w:val="16"/>
          <w:color w:val="auto"/>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available in the “Investors–Corporate Governance” section of our website at </w:t>
      </w:r>
      <w:r>
        <w:rPr>
          <w:rFonts w:ascii="Times New Roman" w:cs="Times New Roman" w:eastAsia="Times New Roman" w:hAnsi="Times New Roman"/>
          <w:sz w:val="16"/>
          <w:szCs w:val="16"/>
          <w:i w:val="1"/>
          <w:iCs w:val="1"/>
          <w:color w:val="auto"/>
        </w:rPr>
        <w:t>www.xometry.com</w:t>
      </w:r>
      <w:r>
        <w:rPr>
          <w:rFonts w:ascii="Times New Roman" w:cs="Times New Roman" w:eastAsia="Times New Roman" w:hAnsi="Times New Roman"/>
          <w:sz w:val="16"/>
          <w:szCs w:val="16"/>
          <w:color w:val="auto"/>
        </w:rPr>
        <w:t>.</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12" w:lineRule="exact"/>
        <w:rPr>
          <w:sz w:val="20"/>
          <w:szCs w:val="20"/>
          <w:color w:val="auto"/>
        </w:rPr>
      </w:pPr>
    </w:p>
    <w:p>
      <w:pPr>
        <w:ind w:left="460" w:right="180" w:firstLine="413"/>
        <w:spacing w:after="0" w:line="255" w:lineRule="auto"/>
        <w:rPr>
          <w:sz w:val="20"/>
          <w:szCs w:val="20"/>
          <w:color w:val="auto"/>
        </w:rPr>
      </w:pPr>
      <w:r>
        <w:rPr>
          <w:rFonts w:ascii="Times New Roman" w:cs="Times New Roman" w:eastAsia="Times New Roman" w:hAnsi="Times New Roman"/>
          <w:sz w:val="17"/>
          <w:szCs w:val="17"/>
          <w:color w:val="auto"/>
        </w:rPr>
        <w:t>Stockholders wishing to communicate with the Board or an individual director may send a written communication to the Board or such director c/o Xometry, Inc., 6116 Executive Boulevard, Suite 800, North Bethesda, Maryland 20852, Attn: Secretary.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Hedging Policy</w:t>
      </w:r>
    </w:p>
    <w:p>
      <w:pPr>
        <w:spacing w:after="0" w:line="112" w:lineRule="exact"/>
        <w:rPr>
          <w:sz w:val="20"/>
          <w:szCs w:val="20"/>
          <w:color w:val="auto"/>
        </w:rPr>
      </w:pPr>
    </w:p>
    <w:p>
      <w:pPr>
        <w:ind w:left="460" w:right="180" w:firstLine="413"/>
        <w:spacing w:after="0" w:line="254" w:lineRule="auto"/>
        <w:rPr>
          <w:sz w:val="20"/>
          <w:szCs w:val="20"/>
          <w:color w:val="auto"/>
        </w:rPr>
      </w:pPr>
      <w:r>
        <w:rPr>
          <w:rFonts w:ascii="Times New Roman" w:cs="Times New Roman" w:eastAsia="Times New Roman" w:hAnsi="Times New Roman"/>
          <w:sz w:val="17"/>
          <w:szCs w:val="17"/>
          <w:color w:val="auto"/>
        </w:rPr>
        <w:t>Our Board has adopted an insider trading policy that, among other things, prohibits our employees, directors, other applicable members of management and designated consultants from engaging in “hedging” or other monetization transactions with respect to our common stock, including through the use of financial instruments such as prepaid variable forwards, equity swaps, collars and exchange funds.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w:t>
      </w:r>
    </w:p>
    <w:p>
      <w:pPr>
        <w:spacing w:after="0" w:line="1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740"/>
          </w:cols>
          <w:pgMar w:left="320" w:top="462" w:right="8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PROPOSAL 2: ADVISORY VOTE ON EXECUTIVE COMPENSATION</w:t>
      </w:r>
    </w:p>
    <w:p>
      <w:pPr>
        <w:spacing w:after="0" w:line="214" w:lineRule="exact"/>
        <w:rPr>
          <w:sz w:val="20"/>
          <w:szCs w:val="20"/>
          <w:color w:val="auto"/>
        </w:rPr>
      </w:pPr>
    </w:p>
    <w:p>
      <w:pPr>
        <w:ind w:left="460" w:right="40" w:firstLine="413"/>
        <w:spacing w:after="0" w:line="258" w:lineRule="auto"/>
        <w:rPr>
          <w:sz w:val="20"/>
          <w:szCs w:val="20"/>
          <w:color w:val="auto"/>
        </w:rPr>
      </w:pPr>
      <w:r>
        <w:rPr>
          <w:rFonts w:ascii="Times New Roman" w:cs="Times New Roman" w:eastAsia="Times New Roman" w:hAnsi="Times New Roman"/>
          <w:sz w:val="17"/>
          <w:szCs w:val="17"/>
          <w:color w:val="auto"/>
        </w:rPr>
        <w:t>Under the Dodd-Frank Wall Street Reform and Consumer Protection Act (the “Dodd-Frank Act”) and Section 14A of the Exchange Act, our stockholders are entitled to vote to approve, on an advisory basis, the compensation of our named executive officers as disclosed in this proxy statement under “Executive Compensation—Compensation Discussion and Analysis,” the tables included under the heading “Executive Compensation” and the accompanying narrative discussion.</w:t>
      </w:r>
    </w:p>
    <w:p>
      <w:pPr>
        <w:spacing w:after="0" w:line="173" w:lineRule="exact"/>
        <w:rPr>
          <w:sz w:val="20"/>
          <w:szCs w:val="20"/>
          <w:color w:val="auto"/>
        </w:rPr>
      </w:pPr>
    </w:p>
    <w:p>
      <w:pPr>
        <w:ind w:left="460" w:right="100" w:firstLine="413"/>
        <w:spacing w:after="0" w:line="254" w:lineRule="auto"/>
        <w:rPr>
          <w:sz w:val="20"/>
          <w:szCs w:val="20"/>
          <w:color w:val="auto"/>
        </w:rPr>
      </w:pPr>
      <w:r>
        <w:rPr>
          <w:rFonts w:ascii="Times New Roman" w:cs="Times New Roman" w:eastAsia="Times New Roman" w:hAnsi="Times New Roman"/>
          <w:sz w:val="17"/>
          <w:szCs w:val="17"/>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disclosures that accompany the compensation tables contained in the “Executive Compensation” section in this proxy statement. As discussed in those disclosures, we believe that our compensation policies and decisions are strongly aligned with our stockholders’ interests and consistent with current market practices. Compensation of our named executive officers is designed to enable us to attract and retain talented and experienced executives to lead us successfully in a competitive environment.</w:t>
      </w:r>
    </w:p>
    <w:p>
      <w:pPr>
        <w:spacing w:after="0" w:line="177" w:lineRule="exact"/>
        <w:rPr>
          <w:sz w:val="20"/>
          <w:szCs w:val="20"/>
          <w:color w:val="auto"/>
        </w:rPr>
      </w:pPr>
    </w:p>
    <w:p>
      <w:pPr>
        <w:ind w:left="460" w:right="180" w:firstLine="413"/>
        <w:spacing w:after="0" w:line="276" w:lineRule="auto"/>
        <w:rPr>
          <w:sz w:val="20"/>
          <w:szCs w:val="20"/>
          <w:color w:val="auto"/>
        </w:rPr>
      </w:pPr>
      <w:r>
        <w:rPr>
          <w:rFonts w:ascii="Times New Roman" w:cs="Times New Roman" w:eastAsia="Times New Roman" w:hAnsi="Times New Roman"/>
          <w:sz w:val="17"/>
          <w:szCs w:val="17"/>
          <w:color w:val="auto"/>
        </w:rPr>
        <w:t>Accordingly, the Board is asking the stockholders to indicate their support for the compensation of our named executive officers as described in this proxy statement by casting a non-binding advisory vote “FOR” the following resolution:</w:t>
      </w:r>
    </w:p>
    <w:p>
      <w:pPr>
        <w:spacing w:after="0" w:line="154" w:lineRule="exact"/>
        <w:rPr>
          <w:sz w:val="20"/>
          <w:szCs w:val="20"/>
          <w:color w:val="auto"/>
        </w:rPr>
      </w:pPr>
    </w:p>
    <w:p>
      <w:pPr>
        <w:ind w:left="460" w:right="560"/>
        <w:spacing w:after="0" w:line="281" w:lineRule="auto"/>
        <w:rPr>
          <w:sz w:val="20"/>
          <w:szCs w:val="20"/>
          <w:color w:val="auto"/>
        </w:rPr>
      </w:pPr>
      <w:r>
        <w:rPr>
          <w:rFonts w:ascii="Times New Roman" w:cs="Times New Roman" w:eastAsia="Times New Roman" w:hAnsi="Times New Roman"/>
          <w:sz w:val="17"/>
          <w:szCs w:val="17"/>
          <w:i w:val="1"/>
          <w:iCs w:val="1"/>
          <w:color w:val="auto"/>
        </w:rPr>
        <w:t>“RESOLVED, that the compensation paid to the named executive officers of Xometry, Inc., as disclosed pursuant to Item 402 of Regulation S-K, including the Compensation Discussion and Analysis, compensation tables and narrative discussion, is hereby APPROVED.”</w:t>
      </w:r>
    </w:p>
    <w:p>
      <w:pPr>
        <w:spacing w:after="0" w:line="154" w:lineRule="exact"/>
        <w:rPr>
          <w:sz w:val="20"/>
          <w:szCs w:val="20"/>
          <w:color w:val="auto"/>
        </w:rPr>
      </w:pPr>
    </w:p>
    <w:p>
      <w:pPr>
        <w:ind w:left="460" w:right="240" w:firstLine="413"/>
        <w:spacing w:after="0" w:line="286" w:lineRule="auto"/>
        <w:rPr>
          <w:sz w:val="20"/>
          <w:szCs w:val="20"/>
          <w:color w:val="auto"/>
        </w:rPr>
      </w:pPr>
      <w:r>
        <w:rPr>
          <w:rFonts w:ascii="Times New Roman" w:cs="Times New Roman" w:eastAsia="Times New Roman" w:hAnsi="Times New Roman"/>
          <w:sz w:val="16"/>
          <w:szCs w:val="16"/>
          <w:color w:val="auto"/>
        </w:rPr>
        <w:t>Because the vote is advisory, it is not binding on the Board or the Compensation Committee.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12" w:lineRule="exact"/>
        <w:rPr>
          <w:sz w:val="20"/>
          <w:szCs w:val="20"/>
          <w:color w:val="auto"/>
        </w:rPr>
      </w:pPr>
    </w:p>
    <w:p>
      <w:pPr>
        <w:ind w:left="460" w:right="80" w:firstLine="413"/>
        <w:spacing w:after="0" w:line="262" w:lineRule="auto"/>
        <w:rPr>
          <w:sz w:val="20"/>
          <w:szCs w:val="20"/>
          <w:color w:val="auto"/>
        </w:rPr>
      </w:pPr>
      <w:r>
        <w:rPr>
          <w:rFonts w:ascii="Times New Roman" w:cs="Times New Roman" w:eastAsia="Times New Roman" w:hAnsi="Times New Roman"/>
          <w:sz w:val="17"/>
          <w:szCs w:val="17"/>
          <w:color w:val="auto"/>
        </w:rPr>
        <w:t>Advisory approval of this proposal requires the vote of the holders of a majority of the voting power of the shares present in person, by remote communication, if applicable, or represented by proxy duly authorized at the meeting and voting affirmatively or negatively (excluding abstentions and broker non-votes) on such matter at the Annual Meeting.</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Our Recommendation</w:t>
      </w:r>
    </w:p>
    <w:p>
      <w:pPr>
        <w:spacing w:after="0" w:line="210" w:lineRule="exact"/>
        <w:rPr>
          <w:sz w:val="20"/>
          <w:szCs w:val="20"/>
          <w:color w:val="auto"/>
        </w:rPr>
      </w:pPr>
    </w:p>
    <w:p>
      <w:pPr>
        <w:jc w:val="center"/>
        <w:ind w:left="820"/>
        <w:spacing w:after="0" w:line="281"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APPROVAL OF THE NON-BINDING RESOLUTION ON NAMED EXECUTIVE OFFICER COMPENSATION.</w:t>
      </w:r>
    </w:p>
    <w:p>
      <w:pPr>
        <w:spacing w:after="0" w:line="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760"/>
          </w:cols>
          <w:pgMar w:left="320" w:top="462" w:right="8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sets forth, for our executive officers, their ages and positions held with us as of the date of this proxy statement:</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3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Age</w:t>
            </w:r>
          </w:p>
        </w:tc>
        <w:tc>
          <w:tcPr>
            <w:tcW w:w="160" w:type="dxa"/>
            <w:vAlign w:val="bottom"/>
          </w:tcPr>
          <w:p>
            <w:pPr>
              <w:spacing w:after="0"/>
              <w:rPr>
                <w:sz w:val="14"/>
                <w:szCs w:val="14"/>
                <w:color w:val="auto"/>
              </w:rPr>
            </w:pPr>
          </w:p>
        </w:tc>
        <w:tc>
          <w:tcPr>
            <w:tcW w:w="6400" w:type="dxa"/>
            <w:vAlign w:val="bottom"/>
          </w:tcPr>
          <w:p>
            <w:pPr>
              <w:ind w:left="2880"/>
              <w:spacing w:after="0"/>
              <w:rPr>
                <w:sz w:val="20"/>
                <w:szCs w:val="20"/>
                <w:color w:val="auto"/>
              </w:rPr>
            </w:pPr>
            <w:r>
              <w:rPr>
                <w:rFonts w:ascii="Times New Roman" w:cs="Times New Roman" w:eastAsia="Times New Roman" w:hAnsi="Times New Roman"/>
                <w:sz w:val="13"/>
                <w:szCs w:val="13"/>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Randolph Altschuler</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Executive Officer, Co-Founder and Director</w:t>
            </w:r>
          </w:p>
        </w:tc>
        <w:tc>
          <w:tcPr>
            <w:tcW w:w="0" w:type="dxa"/>
            <w:vAlign w:val="bottom"/>
          </w:tcPr>
          <w:p>
            <w:pPr>
              <w:spacing w:after="0"/>
              <w:rPr>
                <w:sz w:val="1"/>
                <w:szCs w:val="1"/>
                <w:color w:val="auto"/>
              </w:rPr>
            </w:pPr>
          </w:p>
        </w:tc>
      </w:tr>
      <w:tr>
        <w:trPr>
          <w:trHeight w:val="227"/>
        </w:trPr>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Leibel</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Technology Officer</w:t>
            </w:r>
          </w:p>
        </w:tc>
        <w:tc>
          <w:tcPr>
            <w:tcW w:w="0" w:type="dxa"/>
            <w:vAlign w:val="bottom"/>
          </w:tcPr>
          <w:p>
            <w:pPr>
              <w:spacing w:after="0"/>
              <w:rPr>
                <w:sz w:val="1"/>
                <w:szCs w:val="1"/>
                <w:color w:val="auto"/>
              </w:rPr>
            </w:pPr>
          </w:p>
        </w:tc>
      </w:tr>
      <w:tr>
        <w:trPr>
          <w:trHeight w:val="227"/>
        </w:trPr>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Kathy Mayerhofer</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61</w:t>
            </w: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Chief Sales Officer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Miln</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60" w:right="280" w:firstLine="413"/>
        <w:spacing w:after="0" w:line="276" w:lineRule="auto"/>
        <w:rPr>
          <w:sz w:val="20"/>
          <w:szCs w:val="20"/>
          <w:color w:val="auto"/>
        </w:rPr>
      </w:pPr>
      <w:r>
        <w:rPr>
          <w:rFonts w:ascii="Times New Roman" w:cs="Times New Roman" w:eastAsia="Times New Roman" w:hAnsi="Times New Roman"/>
          <w:sz w:val="17"/>
          <w:szCs w:val="17"/>
          <w:color w:val="auto"/>
        </w:rPr>
        <w:t>Biographical information for Mr. Altschuler is included above with the director biographies under the caption “Information about Our Director Nominees and Current Directors.”</w:t>
      </w:r>
    </w:p>
    <w:p>
      <w:pPr>
        <w:spacing w:after="0" w:line="154" w:lineRule="exact"/>
        <w:rPr>
          <w:sz w:val="20"/>
          <w:szCs w:val="20"/>
          <w:color w:val="auto"/>
        </w:rPr>
      </w:pPr>
    </w:p>
    <w:p>
      <w:pPr>
        <w:ind w:left="460" w:right="200" w:firstLine="413"/>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Peter Goguen </w:t>
      </w:r>
      <w:r>
        <w:rPr>
          <w:rFonts w:ascii="Times New Roman" w:cs="Times New Roman" w:eastAsia="Times New Roman" w:hAnsi="Times New Roman"/>
          <w:sz w:val="17"/>
          <w:szCs w:val="17"/>
          <w:color w:val="auto"/>
        </w:rPr>
        <w:t>has served as our Chief Operating Officer since March 2018. Prior to joining Xometry, Mr. Goguen served as the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69" w:lineRule="exact"/>
        <w:rPr>
          <w:sz w:val="20"/>
          <w:szCs w:val="20"/>
          <w:color w:val="auto"/>
        </w:rPr>
      </w:pPr>
    </w:p>
    <w:p>
      <w:pPr>
        <w:ind w:left="460" w:right="100" w:firstLine="413"/>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Matthew Leibel </w:t>
      </w:r>
      <w:r>
        <w:rPr>
          <w:rFonts w:ascii="Times New Roman" w:cs="Times New Roman" w:eastAsia="Times New Roman" w:hAnsi="Times New Roman"/>
          <w:sz w:val="17"/>
          <w:szCs w:val="17"/>
          <w:color w:val="auto"/>
        </w:rPr>
        <w:t>has served as our Chief Technology Officer since September 2022. Mr. Leibel initially joined Xometry in June 2019, serving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Senior Vice President of Technology until his promotion to Chief Technology Officer. Prior to Xometry, Mr. Leibel served as Senior Director of Engineering at Vistaprint from December 2014 to June 2019, and earlier held roles in product, design and software development for various technology companies, including Resonate Networks, Plateau Systems, TechTrader and Electronic Data Systems among others. Mr. Leibel received a B.A. in History from George Mason University and an M.S. in Information Technology from Virginia Polytechnic Institute and State University.</w:t>
      </w:r>
    </w:p>
    <w:p>
      <w:pPr>
        <w:spacing w:after="0" w:line="169" w:lineRule="exact"/>
        <w:rPr>
          <w:sz w:val="20"/>
          <w:szCs w:val="20"/>
          <w:color w:val="auto"/>
        </w:rPr>
      </w:pPr>
    </w:p>
    <w:p>
      <w:pPr>
        <w:ind w:left="460" w:right="220" w:firstLine="413"/>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Kathy Mayerhofer </w:t>
      </w:r>
      <w:r>
        <w:rPr>
          <w:rFonts w:ascii="Times New Roman" w:cs="Times New Roman" w:eastAsia="Times New Roman" w:hAnsi="Times New Roman"/>
          <w:sz w:val="17"/>
          <w:szCs w:val="17"/>
          <w:color w:val="auto"/>
        </w:rPr>
        <w:t>has served as our Chief Sales Officer since February 2020, and previously served as our Senior Vice President of Sales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69" w:lineRule="exact"/>
        <w:rPr>
          <w:sz w:val="20"/>
          <w:szCs w:val="20"/>
          <w:color w:val="auto"/>
        </w:rPr>
      </w:pPr>
    </w:p>
    <w:p>
      <w:pPr>
        <w:ind w:left="460" w:right="60" w:firstLine="413"/>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Miln </w:t>
      </w:r>
      <w:r>
        <w:rPr>
          <w:rFonts w:ascii="Times New Roman" w:cs="Times New Roman" w:eastAsia="Times New Roman" w:hAnsi="Times New Roman"/>
          <w:sz w:val="17"/>
          <w:szCs w:val="17"/>
          <w:color w:val="auto"/>
        </w:rPr>
        <w:t>has served as our Chief Financial Officer since March 2024. Prior to joining Xometry, Mr. Miln served in various roles at Yelp Inc.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(“Yelp”) from February 2019 to February 2024, including most recently as its Senior Vice President, Finance and Investor Relations from January 2021 to February 2024. Mr. Miln also served as Yelp’s Vice President, Financial Planning and Analysis, from February 2019 to January 2021, and as Yelp’s Interim Chief Financial Officer from September 2019 to February 2020. Prior to joining Yelp, Mr. Miln served as Senior Director, Investor Relations at eBay Inc. from August 2017 to January 2019. From May 2011 to July 2017, Mr. Miln held various positions at Yahoo Inc., including Senior Finance Director, Global Product Group (May 2011 to May 2012); Senior Finance Director, Global Revenue Planning, Reporting &amp; Analysis (June 2012 to June 2014); and Senior Director, Investor Relations (July 2014 to July 2017, serving as department head from October 2016 to July 2017). Mr. Miln also served in various roles in Yahoo Inc.’s European business from 2007 until April 2011. Mr. Miln is a Chartered Management Accountant (ACMA, CGMA), holds the Investor Relations Charter and earned a B.A. in Classics from Cambridge University, England.</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800"/>
          </w:cols>
          <w:pgMar w:left="320" w:top="462" w:right="7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12" w:lineRule="exact"/>
        <w:rPr>
          <w:sz w:val="20"/>
          <w:szCs w:val="20"/>
          <w:color w:val="auto"/>
        </w:rPr>
      </w:pPr>
    </w:p>
    <w:p>
      <w:pPr>
        <w:ind w:left="460" w:right="120" w:firstLine="413"/>
        <w:spacing w:after="0" w:line="258" w:lineRule="auto"/>
        <w:rPr>
          <w:sz w:val="20"/>
          <w:szCs w:val="20"/>
          <w:color w:val="auto"/>
        </w:rPr>
      </w:pPr>
      <w:r>
        <w:rPr>
          <w:rFonts w:ascii="Times New Roman" w:cs="Times New Roman" w:eastAsia="Times New Roman" w:hAnsi="Times New Roman"/>
          <w:sz w:val="17"/>
          <w:szCs w:val="17"/>
          <w:color w:val="auto"/>
        </w:rPr>
        <w:t>This Compensation Discussion and Analysis section discusses our executive compensation policies and how and why the Compensation Committee arrived at specific compensation decisions for the year ended December 31, 2023 for the individuals who served as our principal executive officer and principal financial officer and our three other most highly-compensated executive officers as of December 31, 2023, collectively referred to as our “named executive officers”:</w:t>
      </w:r>
    </w:p>
    <w:p>
      <w:pPr>
        <w:spacing w:after="0" w:line="84" w:lineRule="exact"/>
        <w:rPr>
          <w:sz w:val="20"/>
          <w:szCs w:val="20"/>
          <w:color w:val="auto"/>
        </w:rPr>
      </w:pPr>
    </w:p>
    <w:p>
      <w:pPr>
        <w:ind w:left="1360" w:hanging="396"/>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Randolph Altschuler, our Chief Executive Officer, Co-Founder and Director;</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Rallo, our former Chief Financial Officer;</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Peter Goguen, our Chief Operating Officer;</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Matthew Leibel, our Chief Technology Officer; and</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Kathy Mayerhofer, our Chief Sales Officer.</w:t>
      </w:r>
    </w:p>
    <w:p>
      <w:pPr>
        <w:spacing w:after="0" w:line="210" w:lineRule="exact"/>
        <w:rPr>
          <w:sz w:val="20"/>
          <w:szCs w:val="20"/>
          <w:color w:val="auto"/>
        </w:rPr>
      </w:pPr>
    </w:p>
    <w:p>
      <w:pPr>
        <w:ind w:left="460" w:right="140" w:firstLine="413"/>
        <w:spacing w:after="0" w:line="254" w:lineRule="auto"/>
        <w:rPr>
          <w:sz w:val="20"/>
          <w:szCs w:val="20"/>
          <w:color w:val="auto"/>
        </w:rPr>
      </w:pPr>
      <w:r>
        <w:rPr>
          <w:rFonts w:ascii="Times New Roman" w:cs="Times New Roman" w:eastAsia="Times New Roman" w:hAnsi="Times New Roman"/>
          <w:sz w:val="17"/>
          <w:szCs w:val="17"/>
          <w:color w:val="auto"/>
        </w:rPr>
        <w:t>Mr. Rallo retired as our Chief Financial Officer, effective as of March 1, 2024. The Board appointed James Miln to serve as our Chief Financial Officer, principal financial officer and principal accounting officer, effective as of March 1, 2024. Mr. Rallo will continue serving as an employee for a period of up to 60 days following the effective date of his cessation of service as Chief Financial Officer to assist in the transition to Mr. Miln. Such cessation of service is considered a severance-eligible termination under Mr. Rallo’s employment agreement, and following the conclusion of the transition period, Mr. Rallo will receive severance benefits in accordance with his employment agreement; please see “Potential Payments Upon Termination or Change in Control” below for more information.</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Business Highlights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w:t>
      </w:r>
    </w:p>
    <w:p>
      <w:pPr>
        <w:spacing w:after="0" w:line="112" w:lineRule="exact"/>
        <w:rPr>
          <w:sz w:val="20"/>
          <w:szCs w:val="20"/>
          <w:color w:val="auto"/>
        </w:rPr>
      </w:pPr>
    </w:p>
    <w:p>
      <w:pPr>
        <w:ind w:left="460" w:right="180" w:firstLine="413"/>
        <w:spacing w:after="0" w:line="262" w:lineRule="auto"/>
        <w:rPr>
          <w:sz w:val="20"/>
          <w:szCs w:val="20"/>
          <w:color w:val="auto"/>
        </w:rPr>
      </w:pPr>
      <w:r>
        <w:rPr>
          <w:rFonts w:ascii="Times New Roman" w:cs="Times New Roman" w:eastAsia="Times New Roman" w:hAnsi="Times New Roman"/>
          <w:sz w:val="17"/>
          <w:szCs w:val="17"/>
          <w:color w:val="auto"/>
        </w:rPr>
        <w:t>We are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w:t>
      </w:r>
    </w:p>
    <w:p>
      <w:pPr>
        <w:spacing w:after="0" w:line="170" w:lineRule="exact"/>
        <w:rPr>
          <w:sz w:val="20"/>
          <w:szCs w:val="20"/>
          <w:color w:val="auto"/>
        </w:rPr>
      </w:pPr>
    </w:p>
    <w:p>
      <w:pPr>
        <w:ind w:left="460" w:firstLine="413"/>
        <w:spacing w:after="0" w:line="258" w:lineRule="auto"/>
        <w:rPr>
          <w:sz w:val="20"/>
          <w:szCs w:val="20"/>
          <w:color w:val="auto"/>
        </w:rPr>
      </w:pPr>
      <w:r>
        <w:rPr>
          <w:rFonts w:ascii="Times New Roman" w:cs="Times New Roman" w:eastAsia="Times New Roman" w:hAnsi="Times New Roman"/>
          <w:sz w:val="17"/>
          <w:szCs w:val="17"/>
          <w:color w:val="auto"/>
        </w:rPr>
        <w:t>Our AI-enabled technology platform is powered by proprietary machine learning algorithms and a dataset, resulting in a sophisticated marketplace for manufacturing. As a result, buyers can procure the products they want on demand and suppliers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2023 Financial Highlights</w:t>
      </w:r>
    </w:p>
    <w:p>
      <w:pPr>
        <w:spacing w:after="0" w:line="125" w:lineRule="exact"/>
        <w:rPr>
          <w:sz w:val="20"/>
          <w:szCs w:val="20"/>
          <w:color w:val="auto"/>
        </w:rPr>
      </w:pPr>
    </w:p>
    <w:p>
      <w:pPr>
        <w:ind w:left="1360" w:hanging="396"/>
        <w:spacing w:after="0"/>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was $463.4 million, an increase of 22% year-over-year.</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Marketplace revenue was $394.8 million, an increase of 30% year-over-year.</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Supplier services revenue was $68.7 million.</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gross profit was $178.3 million, an increase of 22% year-over-year.</w:t>
      </w:r>
    </w:p>
    <w:p>
      <w:pPr>
        <w:spacing w:after="0" w:line="121" w:lineRule="exact"/>
        <w:rPr>
          <w:rFonts w:ascii="Times New Roman" w:cs="Times New Roman" w:eastAsia="Times New Roman" w:hAnsi="Times New Roman"/>
          <w:sz w:val="17"/>
          <w:szCs w:val="17"/>
          <w:color w:val="auto"/>
        </w:rPr>
      </w:pPr>
    </w:p>
    <w:p>
      <w:pPr>
        <w:ind w:left="1360" w:right="160" w:hanging="396"/>
        <w:spacing w:after="0" w:line="276" w:lineRule="auto"/>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Marketplace gross profit margin improved to 30.8% for the year ended December 31, 2023 from 28.2% for the year ended December 31, 2022.</w:t>
      </w:r>
    </w:p>
    <w:p>
      <w:pPr>
        <w:spacing w:after="0" w:line="69" w:lineRule="exact"/>
        <w:rPr>
          <w:rFonts w:ascii="Times New Roman" w:cs="Times New Roman" w:eastAsia="Times New Roman" w:hAnsi="Times New Roman"/>
          <w:sz w:val="17"/>
          <w:szCs w:val="17"/>
          <w:color w:val="auto"/>
        </w:rPr>
      </w:pPr>
    </w:p>
    <w:p>
      <w:pPr>
        <w:ind w:left="1360" w:right="220" w:hanging="396"/>
        <w:spacing w:after="0" w:line="276" w:lineRule="auto"/>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attributable to common stockholders was $67.5 million, a decrease of $11.6 million year-over-year, and Adjusted EBITDA was negative $27.5 million, reflecting an improvement of $17.3 million year-over-year.</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780"/>
          </w:cols>
          <w:pgMar w:left="320" w:top="462" w:right="7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380" w:firstLine="413"/>
        <w:spacing w:after="0" w:line="255"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U.S. generally accepted accounting principles (“GAAP”), we provide investors with certain non-GAAP financial measures, including Adjusted EBITDA. For a full reconciliation of Adjusted EBITDA to net loss, the most directly comparable financial measure stated in accordance with GAAP, please see the section titled “Management’s Discussion and Analysis of Financial Condition and Results of Operations—Key Operational and Business Metrics” in our Annual Report on Form 10-K filed with the SEC on February 29, 2024.</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Program Objectives, Philosophy and Elements of Compensation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main objectives of our executive compensation program are to:</w:t>
      </w:r>
    </w:p>
    <w:p>
      <w:pPr>
        <w:spacing w:after="0" w:line="121" w:lineRule="exact"/>
        <w:rPr>
          <w:sz w:val="20"/>
          <w:szCs w:val="20"/>
          <w:color w:val="auto"/>
        </w:rPr>
      </w:pPr>
    </w:p>
    <w:p>
      <w:pPr>
        <w:ind w:left="1360" w:right="580" w:hanging="396"/>
        <w:spacing w:after="0" w:line="276" w:lineRule="auto"/>
        <w:tabs>
          <w:tab w:leader="none" w:pos="1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attract and retain highly qualified executives who are committed to our mission, performance and culture by paying them competitively;</w:t>
      </w:r>
    </w:p>
    <w:p>
      <w:pPr>
        <w:spacing w:after="0" w:line="69" w:lineRule="exact"/>
        <w:rPr>
          <w:rFonts w:ascii="Times New Roman" w:cs="Times New Roman" w:eastAsia="Times New Roman" w:hAnsi="Times New Roman"/>
          <w:sz w:val="17"/>
          <w:szCs w:val="17"/>
          <w:color w:val="auto"/>
        </w:rPr>
      </w:pPr>
    </w:p>
    <w:p>
      <w:pPr>
        <w:ind w:left="1360" w:right="360" w:hanging="396"/>
        <w:spacing w:after="0" w:line="276" w:lineRule="auto"/>
        <w:tabs>
          <w:tab w:leader="none" w:pos="1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 fair, reasonable and balanced compensation program that rewards executives’ performance and contributions to our short- and long-term business results, while closely aligning the interests of the executives with those of our stockholders; and</w:t>
      </w:r>
    </w:p>
    <w:p>
      <w:pPr>
        <w:spacing w:after="0" w:line="69"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emphasize pay for performance, with a program that aligns compensation with financial and operational achievements.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 believe that our executive compensation program accomplishes the following:</w:t>
      </w:r>
    </w:p>
    <w:p>
      <w:pPr>
        <w:spacing w:after="0" w:line="121" w:lineRule="exact"/>
        <w:rPr>
          <w:sz w:val="20"/>
          <w:szCs w:val="20"/>
          <w:color w:val="auto"/>
        </w:rPr>
      </w:pPr>
    </w:p>
    <w:p>
      <w:pPr>
        <w:ind w:left="1360" w:right="240" w:hanging="396"/>
        <w:spacing w:after="0" w:line="276" w:lineRule="auto"/>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base salaries consistent with each executive’s responsibilities so that they are not motivated to take excessive risks to achieve a reasonable level of financial security;</w:t>
      </w:r>
    </w:p>
    <w:p>
      <w:pPr>
        <w:spacing w:after="0" w:line="69" w:lineRule="exact"/>
        <w:rPr>
          <w:rFonts w:ascii="Times New Roman" w:cs="Times New Roman" w:eastAsia="Times New Roman" w:hAnsi="Times New Roman"/>
          <w:sz w:val="17"/>
          <w:szCs w:val="17"/>
          <w:color w:val="auto"/>
        </w:rPr>
      </w:pPr>
    </w:p>
    <w:p>
      <w:pPr>
        <w:ind w:left="1360" w:right="320" w:hanging="396"/>
        <w:spacing w:after="0" w:line="276" w:lineRule="auto"/>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ensures a significant portion of each executive’s compensation is tied to our future share performance, thus aligning their interests with those of our stockholders;</w:t>
      </w:r>
    </w:p>
    <w:p>
      <w:pPr>
        <w:spacing w:after="0" w:line="69" w:lineRule="exact"/>
        <w:rPr>
          <w:rFonts w:ascii="Times New Roman" w:cs="Times New Roman" w:eastAsia="Times New Roman" w:hAnsi="Times New Roman"/>
          <w:sz w:val="17"/>
          <w:szCs w:val="17"/>
          <w:color w:val="auto"/>
        </w:rPr>
      </w:pPr>
    </w:p>
    <w:p>
      <w:pPr>
        <w:ind w:left="1360" w:hanging="396"/>
        <w:spacing w:after="0" w:line="276" w:lineRule="auto"/>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utilizes equity compensation and vesting periods for equity awards that encourage executives to remain employed and focused on sustained share price appreciation; and</w:t>
      </w:r>
    </w:p>
    <w:p>
      <w:pPr>
        <w:spacing w:after="0" w:line="69" w:lineRule="exact"/>
        <w:rPr>
          <w:rFonts w:ascii="Times New Roman" w:cs="Times New Roman" w:eastAsia="Times New Roman" w:hAnsi="Times New Roman"/>
          <w:sz w:val="17"/>
          <w:szCs w:val="17"/>
          <w:color w:val="auto"/>
        </w:rPr>
      </w:pPr>
    </w:p>
    <w:p>
      <w:pPr>
        <w:ind w:left="1360" w:right="40" w:hanging="396"/>
        <w:spacing w:after="0" w:line="262" w:lineRule="auto"/>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utilizes a mix between cash and equity compensation designed to encourage strategies and actions that are in the long-term best interests of Xometry and our stockholders. To achieve our compensation objectives, we have historically provided our executive officers, including our named executive officers, with a compensation package consisting of the following elements: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Element of Compensation</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Objectives</w:t>
            </w:r>
          </w:p>
        </w:tc>
        <w:tc>
          <w:tcPr>
            <w:tcW w:w="200" w:type="dxa"/>
            <w:vAlign w:val="bottom"/>
          </w:tcPr>
          <w:p>
            <w:pPr>
              <w:spacing w:after="0"/>
              <w:rPr>
                <w:sz w:val="15"/>
                <w:szCs w:val="15"/>
                <w:color w:val="auto"/>
              </w:rPr>
            </w:pPr>
          </w:p>
        </w:tc>
        <w:tc>
          <w:tcPr>
            <w:tcW w:w="5080" w:type="dxa"/>
            <w:vAlign w:val="bottom"/>
          </w:tcPr>
          <w:p>
            <w:pPr>
              <w:ind w:left="2160"/>
              <w:spacing w:after="0"/>
              <w:rPr>
                <w:sz w:val="20"/>
                <w:szCs w:val="20"/>
                <w:color w:val="auto"/>
              </w:rPr>
            </w:pPr>
            <w:r>
              <w:rPr>
                <w:rFonts w:ascii="Times New Roman" w:cs="Times New Roman" w:eastAsia="Times New Roman" w:hAnsi="Times New Roman"/>
                <w:sz w:val="13"/>
                <w:szCs w:val="13"/>
                <w:b w:val="1"/>
                <w:bCs w:val="1"/>
                <w:color w:val="auto"/>
              </w:rPr>
              <w:t>Key Features</w:t>
            </w:r>
          </w:p>
        </w:tc>
      </w:tr>
      <w:tr>
        <w:trPr>
          <w:trHeight w:val="205"/>
        </w:trPr>
        <w:tc>
          <w:tcPr>
            <w:tcW w:w="2700" w:type="dxa"/>
            <w:vAlign w:val="bottom"/>
            <w:tcBorders>
              <w:top w:val="single" w:sz="8" w:color="DBF3FF"/>
            </w:tcBorders>
            <w:gridSpan w:val="2"/>
            <w:shd w:val="clear" w:color="auto" w:fill="DBF3FF"/>
          </w:tcPr>
          <w:p>
            <w:pPr>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200" w:type="dxa"/>
            <w:vAlign w:val="bottom"/>
            <w:tcBorders>
              <w:top w:val="single" w:sz="8" w:color="DBF3FF"/>
            </w:tcBorders>
            <w:shd w:val="clear" w:color="auto" w:fill="DBF3FF"/>
          </w:tcPr>
          <w:p>
            <w:pPr>
              <w:spacing w:after="0"/>
              <w:rPr>
                <w:sz w:val="17"/>
                <w:szCs w:val="17"/>
                <w:color w:val="auto"/>
              </w:rPr>
            </w:pPr>
          </w:p>
        </w:tc>
        <w:tc>
          <w:tcPr>
            <w:tcW w:w="2160" w:type="dxa"/>
            <w:vAlign w:val="bottom"/>
            <w:tcBorders>
              <w:top w:val="single" w:sz="8" w:color="auto"/>
            </w:tcBorders>
            <w:shd w:val="clear" w:color="auto" w:fill="DBF3FF"/>
          </w:tcPr>
          <w:p>
            <w:pPr>
              <w:spacing w:after="0"/>
              <w:rPr>
                <w:sz w:val="20"/>
                <w:szCs w:val="20"/>
                <w:color w:val="auto"/>
              </w:rPr>
            </w:pPr>
            <w:r>
              <w:rPr>
                <w:rFonts w:ascii="Times New Roman" w:cs="Times New Roman" w:eastAsia="Times New Roman" w:hAnsi="Times New Roman"/>
                <w:sz w:val="17"/>
                <w:szCs w:val="17"/>
                <w:color w:val="auto"/>
              </w:rPr>
              <w:t>Provides financial stability and</w:t>
            </w:r>
          </w:p>
        </w:tc>
        <w:tc>
          <w:tcPr>
            <w:tcW w:w="200" w:type="dxa"/>
            <w:vAlign w:val="bottom"/>
            <w:tcBorders>
              <w:top w:val="single" w:sz="8" w:color="DBF3FF"/>
            </w:tcBorders>
            <w:shd w:val="clear" w:color="auto" w:fill="DBF3FF"/>
          </w:tcPr>
          <w:p>
            <w:pPr>
              <w:spacing w:after="0"/>
              <w:rPr>
                <w:sz w:val="17"/>
                <w:szCs w:val="17"/>
                <w:color w:val="auto"/>
              </w:rPr>
            </w:pPr>
          </w:p>
        </w:tc>
        <w:tc>
          <w:tcPr>
            <w:tcW w:w="5080" w:type="dxa"/>
            <w:vAlign w:val="bottom"/>
            <w:tcBorders>
              <w:top w:val="single" w:sz="8" w:color="auto"/>
            </w:tcBorders>
            <w:shd w:val="clear" w:color="auto" w:fill="DBF3FF"/>
          </w:tcPr>
          <w:p>
            <w:pPr>
              <w:spacing w:after="0"/>
              <w:rPr>
                <w:sz w:val="20"/>
                <w:szCs w:val="20"/>
                <w:color w:val="auto"/>
              </w:rPr>
            </w:pPr>
            <w:r>
              <w:rPr>
                <w:rFonts w:ascii="Times New Roman" w:cs="Times New Roman" w:eastAsia="Times New Roman" w:hAnsi="Times New Roman"/>
                <w:sz w:val="17"/>
                <w:szCs w:val="17"/>
                <w:color w:val="auto"/>
                <w:w w:val="99"/>
              </w:rPr>
              <w:t>The base salary of each executive, including each named executive officer,</w:t>
            </w:r>
          </w:p>
        </w:tc>
      </w:tr>
      <w:tr>
        <w:trPr>
          <w:trHeight w:val="207"/>
        </w:trPr>
        <w:tc>
          <w:tcPr>
            <w:tcW w:w="270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i w:val="1"/>
                <w:iCs w:val="1"/>
                <w:color w:val="auto"/>
              </w:rPr>
              <w:t>(fixed compensation)</w:t>
            </w: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security through a fixed salary</w:t>
            </w: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generally is determined and recommended for approval by the Board by</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for performing job</w:t>
            </w: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our Compensation Committee in connection with the commencement of</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responsibilities.</w:t>
            </w: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such person’s employment and may be adjusted from time to time</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thereafter as the Board determines appropriate. Base salaries generally are</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w w:val="99"/>
              </w:rPr>
              <w:t>reviewed annually at the beginning of the fiscal year, and any increases are</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based on a number of factors (including the value of current equity</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awards; scope and complexity of role; and experience, qualifications and</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skills) and by reference to market data provided by Meridian</w:t>
            </w:r>
          </w:p>
        </w:tc>
      </w:tr>
      <w:tr>
        <w:trPr>
          <w:trHeight w:val="203"/>
        </w:trPr>
        <w:tc>
          <w:tcPr>
            <w:tcW w:w="1500" w:type="dxa"/>
            <w:vAlign w:val="bottom"/>
            <w:shd w:val="clear" w:color="auto" w:fill="DBF3FF"/>
          </w:tcPr>
          <w:p>
            <w:pPr>
              <w:spacing w:after="0"/>
              <w:rPr>
                <w:sz w:val="17"/>
                <w:szCs w:val="17"/>
                <w:color w:val="auto"/>
              </w:rPr>
            </w:pPr>
          </w:p>
        </w:tc>
        <w:tc>
          <w:tcPr>
            <w:tcW w:w="12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16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508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color w:val="auto"/>
              </w:rPr>
              <w:t>Compensation Partners (“Meridian”), the Compensation Committee’s</w:t>
            </w:r>
          </w:p>
        </w:tc>
      </w:tr>
      <w:tr>
        <w:trPr>
          <w:trHeight w:val="250"/>
        </w:trPr>
        <w:tc>
          <w:tcPr>
            <w:tcW w:w="1500" w:type="dxa"/>
            <w:vAlign w:val="bottom"/>
            <w:tcBorders>
              <w:bottom w:val="single" w:sz="8" w:color="DBF3FF"/>
            </w:tcBorders>
            <w:shd w:val="clear" w:color="auto" w:fill="DBF3FF"/>
          </w:tcPr>
          <w:p>
            <w:pPr>
              <w:spacing w:after="0"/>
              <w:rPr>
                <w:sz w:val="21"/>
                <w:szCs w:val="21"/>
                <w:color w:val="auto"/>
              </w:rPr>
            </w:pPr>
          </w:p>
        </w:tc>
        <w:tc>
          <w:tcPr>
            <w:tcW w:w="1200" w:type="dxa"/>
            <w:vAlign w:val="bottom"/>
            <w:tcBorders>
              <w:bottom w:val="single" w:sz="8" w:color="DBF3FF"/>
            </w:tcBorders>
            <w:shd w:val="clear" w:color="auto" w:fill="DBF3FF"/>
          </w:tcPr>
          <w:p>
            <w:pPr>
              <w:spacing w:after="0"/>
              <w:rPr>
                <w:sz w:val="21"/>
                <w:szCs w:val="21"/>
                <w:color w:val="auto"/>
              </w:rPr>
            </w:pPr>
          </w:p>
        </w:tc>
        <w:tc>
          <w:tcPr>
            <w:tcW w:w="200" w:type="dxa"/>
            <w:vAlign w:val="bottom"/>
            <w:tcBorders>
              <w:bottom w:val="single" w:sz="8" w:color="DBF3FF"/>
            </w:tcBorders>
            <w:shd w:val="clear" w:color="auto" w:fill="DBF3FF"/>
          </w:tcPr>
          <w:p>
            <w:pPr>
              <w:spacing w:after="0"/>
              <w:rPr>
                <w:sz w:val="21"/>
                <w:szCs w:val="21"/>
                <w:color w:val="auto"/>
              </w:rPr>
            </w:pPr>
          </w:p>
        </w:tc>
        <w:tc>
          <w:tcPr>
            <w:tcW w:w="2160" w:type="dxa"/>
            <w:vAlign w:val="bottom"/>
            <w:tcBorders>
              <w:bottom w:val="single" w:sz="8" w:color="DBF3FF"/>
            </w:tcBorders>
            <w:shd w:val="clear" w:color="auto" w:fill="DBF3FF"/>
          </w:tcPr>
          <w:p>
            <w:pPr>
              <w:spacing w:after="0"/>
              <w:rPr>
                <w:sz w:val="21"/>
                <w:szCs w:val="21"/>
                <w:color w:val="auto"/>
              </w:rPr>
            </w:pPr>
          </w:p>
        </w:tc>
        <w:tc>
          <w:tcPr>
            <w:tcW w:w="200" w:type="dxa"/>
            <w:vAlign w:val="bottom"/>
            <w:tcBorders>
              <w:bottom w:val="single" w:sz="8" w:color="DBF3FF"/>
            </w:tcBorders>
            <w:shd w:val="clear" w:color="auto" w:fill="DBF3FF"/>
          </w:tcPr>
          <w:p>
            <w:pPr>
              <w:spacing w:after="0"/>
              <w:rPr>
                <w:sz w:val="21"/>
                <w:szCs w:val="21"/>
                <w:color w:val="auto"/>
              </w:rPr>
            </w:pPr>
          </w:p>
        </w:tc>
        <w:tc>
          <w:tcPr>
            <w:tcW w:w="5080" w:type="dxa"/>
            <w:vAlign w:val="bottom"/>
            <w:tcBorders>
              <w:bottom w:val="single" w:sz="8" w:color="DBF3FF"/>
            </w:tcBorders>
            <w:shd w:val="clear" w:color="auto" w:fill="DBF3FF"/>
          </w:tcPr>
          <w:p>
            <w:pPr>
              <w:spacing w:after="0"/>
              <w:rPr>
                <w:sz w:val="20"/>
                <w:szCs w:val="20"/>
                <w:color w:val="auto"/>
              </w:rPr>
            </w:pPr>
            <w:r>
              <w:rPr>
                <w:rFonts w:ascii="Times New Roman" w:cs="Times New Roman" w:eastAsia="Times New Roman" w:hAnsi="Times New Roman"/>
                <w:sz w:val="17"/>
                <w:szCs w:val="17"/>
                <w:color w:val="auto"/>
              </w:rPr>
              <w:t>independent compensation consultant.</w:t>
            </w:r>
          </w:p>
        </w:tc>
      </w:tr>
      <w:tr>
        <w:trPr>
          <w:trHeight w:val="341"/>
        </w:trPr>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25</w:t>
            </w:r>
          </w:p>
        </w:tc>
        <w:tc>
          <w:tcPr>
            <w:tcW w:w="5080" w:type="dxa"/>
            <w:vAlign w:val="bottom"/>
          </w:tcPr>
          <w:p>
            <w:pPr>
              <w:spacing w:after="0"/>
              <w:rPr>
                <w:sz w:val="24"/>
                <w:szCs w:val="24"/>
                <w:color w:val="auto"/>
              </w:rPr>
            </w:pPr>
          </w:p>
        </w:tc>
      </w:tr>
    </w:tbl>
    <w:p>
      <w:pPr>
        <w:sectPr>
          <w:pgSz w:w="11900" w:h="16838" w:orient="portrait"/>
          <w:cols w:equalWidth="0" w:num="1">
            <w:col w:w="10800"/>
          </w:cols>
          <w:pgMar w:left="320" w:top="462" w:right="7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ectPr>
          <w:pgSz w:w="11900" w:h="16838" w:orient="portrait"/>
          <w:cols w:equalWidth="0" w:num="1">
            <w:col w:w="10800"/>
          </w:cols>
          <w:pgMar w:left="320" w:top="462" w:right="779" w:bottom="1440" w:gutter="0" w:footer="0" w:header="0"/>
        </w:sectPr>
      </w:pPr>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Element of Compensation</w:t>
            </w:r>
          </w:p>
        </w:tc>
        <w:tc>
          <w:tcPr>
            <w:tcW w:w="1400" w:type="dxa"/>
            <w:vAlign w:val="bottom"/>
          </w:tcPr>
          <w:p>
            <w:pPr>
              <w:spacing w:after="0"/>
              <w:rPr>
                <w:sz w:val="15"/>
                <w:szCs w:val="15"/>
                <w:color w:val="auto"/>
              </w:rPr>
            </w:pPr>
          </w:p>
        </w:tc>
        <w:tc>
          <w:tcPr>
            <w:tcW w:w="2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Objectives</w:t>
            </w:r>
          </w:p>
        </w:tc>
      </w:tr>
      <w:tr>
        <w:trPr>
          <w:trHeight w:val="205"/>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Annual Cash Bonus Award</w:t>
            </w: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Motivates and rewards</w:t>
            </w:r>
          </w:p>
        </w:tc>
      </w:t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(variable, at-risk compensation)</w:t>
            </w: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employees for achieving</w:t>
            </w:r>
          </w:p>
        </w:tc>
      </w:tr>
      <w:tr>
        <w:trPr>
          <w:trHeight w:val="203"/>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rigorous annual corporate</w:t>
            </w:r>
          </w:p>
        </w:tc>
      </w:tr>
      <w:tr>
        <w:trPr>
          <w:trHeight w:val="203"/>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w w:val="99"/>
              </w:rPr>
              <w:t>performance goals that relate to</w:t>
            </w:r>
          </w:p>
        </w:tc>
      </w:tr>
      <w:tr>
        <w:trPr>
          <w:trHeight w:val="218"/>
        </w:trPr>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our key business objectives.</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216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4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The Compensation Committee generally provides our eligible executives, including our named executive officers, an opportunity to earn annual cash bonus awards contingent upon the attainment of certain individual and company performance targets as established by the Compensation Committee or the Board. Each executive’s bonus award payout is determined by multiplying the executive’s target bonus opportunity (expressed as a percentage of the executive’s annual base salary) by the percentage of achievement as determined by the Compensation Committee.</w:t>
      </w:r>
    </w:p>
    <w:p>
      <w:pPr>
        <w:spacing w:after="0" w:line="90"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17"/>
          <w:szCs w:val="17"/>
          <w:color w:val="auto"/>
        </w:rPr>
        <w:t>Target bonus opportunities are generally reviewed annually at the beginning of the fiscal year and determined based upon a review of competitive market data drawn from the peer group and broad compensation surveys.</w:t>
      </w:r>
    </w:p>
    <w:p>
      <w:pPr>
        <w:spacing w:after="0" w:line="6" w:lineRule="exact"/>
        <w:rPr>
          <w:sz w:val="20"/>
          <w:szCs w:val="20"/>
          <w:color w:val="auto"/>
        </w:rPr>
      </w:pPr>
    </w:p>
    <w:p>
      <w:pPr>
        <w:sectPr>
          <w:pgSz w:w="11900" w:h="16838" w:orient="portrait"/>
          <w:cols w:equalWidth="0" w:num="2">
            <w:col w:w="5520" w:space="200"/>
            <w:col w:w="5080"/>
          </w:cols>
          <w:pgMar w:left="320" w:top="462" w:right="779" w:bottom="1440" w:gutter="0" w:footer="0" w:header="0"/>
          <w:type w:val="continuous"/>
        </w:sectPr>
      </w:pPr>
    </w:p>
    <w:tbl>
      <w:tblPr>
        <w:tblLayout w:type="fixed"/>
        <w:tblInd w:w="460" w:type="dxa"/>
        <w:tblCellMar>
          <w:top w:w="0" w:type="dxa"/>
          <w:left w:w="0" w:type="dxa"/>
          <w:bottom w:w="0" w:type="dxa"/>
          <w:right w:w="0" w:type="dxa"/>
        </w:tblCellMar>
      </w:tblPr>
      <w:tr>
        <w:trPr>
          <w:trHeight w:val="226"/>
        </w:trPr>
        <w:tc>
          <w:tcPr>
            <w:tcW w:w="270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b w:val="1"/>
                <w:bCs w:val="1"/>
                <w:color w:val="auto"/>
              </w:rPr>
              <w:t>Equity-Based Incentive</w:t>
            </w: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Motivates and rewards</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Annual equity incentive opportunities generally are reviewed and</w:t>
            </w:r>
          </w:p>
        </w:tc>
      </w:tr>
      <w:tr>
        <w:trPr>
          <w:trHeight w:val="203"/>
        </w:trPr>
        <w:tc>
          <w:tcPr>
            <w:tcW w:w="270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employees for long-term</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determined at the beginning of each fiscal year or as appropriate during</w:t>
            </w:r>
          </w:p>
        </w:tc>
      </w:tr>
      <w:tr>
        <w:trPr>
          <w:trHeight w:val="207"/>
        </w:trPr>
        <w:tc>
          <w:tcPr>
            <w:tcW w:w="2700" w:type="dxa"/>
            <w:vAlign w:val="bottom"/>
            <w:shd w:val="clear" w:color="auto" w:fill="DBF3FF"/>
          </w:tcPr>
          <w:p>
            <w:pPr>
              <w:spacing w:after="0"/>
              <w:rPr>
                <w:sz w:val="20"/>
                <w:szCs w:val="20"/>
                <w:color w:val="auto"/>
              </w:rPr>
            </w:pPr>
            <w:r>
              <w:rPr>
                <w:rFonts w:ascii="Times New Roman" w:cs="Times New Roman" w:eastAsia="Times New Roman" w:hAnsi="Times New Roman"/>
                <w:sz w:val="17"/>
                <w:szCs w:val="17"/>
                <w:i w:val="1"/>
                <w:iCs w:val="1"/>
                <w:color w:val="auto"/>
              </w:rPr>
              <w:t>(at-risk compensation)</w:t>
            </w: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company performance; aligns</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w w:val="99"/>
              </w:rPr>
              <w:t>the year for new hires, promotions, or other special circumstances, such as</w:t>
            </w:r>
          </w:p>
        </w:tc>
      </w:tr>
      <w:tr>
        <w:trPr>
          <w:trHeight w:val="203"/>
        </w:trPr>
        <w:tc>
          <w:tcPr>
            <w:tcW w:w="2700" w:type="dxa"/>
            <w:vAlign w:val="bottom"/>
            <w:shd w:val="clear" w:color="auto" w:fill="DBF3FF"/>
          </w:tcPr>
          <w:p>
            <w:pPr>
              <w:spacing w:after="0"/>
              <w:rPr>
                <w:sz w:val="17"/>
                <w:szCs w:val="17"/>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executives’ interests with</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retention. Individual grants are determined based on a number of factors,</w:t>
            </w:r>
          </w:p>
        </w:tc>
      </w:tr>
      <w:tr>
        <w:trPr>
          <w:trHeight w:val="203"/>
        </w:trPr>
        <w:tc>
          <w:tcPr>
            <w:tcW w:w="2700" w:type="dxa"/>
            <w:vAlign w:val="bottom"/>
            <w:shd w:val="clear" w:color="auto" w:fill="DBF3FF"/>
          </w:tcPr>
          <w:p>
            <w:pPr>
              <w:spacing w:after="0"/>
              <w:rPr>
                <w:sz w:val="17"/>
                <w:szCs w:val="17"/>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stockholder interests and</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including current corporate and individual performance, outstanding</w:t>
            </w:r>
          </w:p>
        </w:tc>
      </w:tr>
      <w:tr>
        <w:trPr>
          <w:trHeight w:val="203"/>
        </w:trPr>
        <w:tc>
          <w:tcPr>
            <w:tcW w:w="2700" w:type="dxa"/>
            <w:vAlign w:val="bottom"/>
            <w:shd w:val="clear" w:color="auto" w:fill="DBF3FF"/>
          </w:tcPr>
          <w:p>
            <w:pPr>
              <w:spacing w:after="0"/>
              <w:rPr>
                <w:sz w:val="17"/>
                <w:szCs w:val="17"/>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changes in stockholder value.</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equity holdings and their retention value, historical value of our stock,</w:t>
            </w:r>
          </w:p>
        </w:tc>
      </w:tr>
      <w:tr>
        <w:trPr>
          <w:trHeight w:val="203"/>
        </w:trPr>
        <w:tc>
          <w:tcPr>
            <w:tcW w:w="2700" w:type="dxa"/>
            <w:vAlign w:val="bottom"/>
            <w:shd w:val="clear" w:color="auto" w:fill="DBF3FF"/>
          </w:tcPr>
          <w:p>
            <w:pPr>
              <w:spacing w:after="0"/>
              <w:rPr>
                <w:sz w:val="17"/>
                <w:szCs w:val="17"/>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Attracts highly qualified</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w w:val="99"/>
              </w:rPr>
              <w:t>internal equity amongst executives and market data provided by Meridian.</w:t>
            </w:r>
          </w:p>
        </w:tc>
      </w:tr>
      <w:tr>
        <w:trPr>
          <w:trHeight w:val="203"/>
        </w:trPr>
        <w:tc>
          <w:tcPr>
            <w:tcW w:w="2700" w:type="dxa"/>
            <w:vAlign w:val="bottom"/>
            <w:shd w:val="clear" w:color="auto" w:fill="DBF3FF"/>
          </w:tcPr>
          <w:p>
            <w:pPr>
              <w:spacing w:after="0"/>
              <w:rPr>
                <w:sz w:val="17"/>
                <w:szCs w:val="17"/>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executives and encourages their</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For 2023, the annual equity awards granted to our named executive</w:t>
            </w:r>
          </w:p>
        </w:tc>
      </w:tr>
      <w:tr>
        <w:trPr>
          <w:trHeight w:val="203"/>
        </w:trPr>
        <w:tc>
          <w:tcPr>
            <w:tcW w:w="2700" w:type="dxa"/>
            <w:vAlign w:val="bottom"/>
            <w:shd w:val="clear" w:color="auto" w:fill="DBF3FF"/>
          </w:tcPr>
          <w:p>
            <w:pPr>
              <w:spacing w:after="0"/>
              <w:rPr>
                <w:sz w:val="17"/>
                <w:szCs w:val="17"/>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continued employment over the</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officers were comprised 50% of stock options and 50% of restricted stock</w:t>
            </w:r>
          </w:p>
        </w:tc>
      </w:tr>
      <w:tr>
        <w:trPr>
          <w:trHeight w:val="218"/>
        </w:trPr>
        <w:tc>
          <w:tcPr>
            <w:tcW w:w="2700" w:type="dxa"/>
            <w:vAlign w:val="bottom"/>
            <w:shd w:val="clear" w:color="auto" w:fill="DBF3FF"/>
          </w:tcPr>
          <w:p>
            <w:pPr>
              <w:spacing w:after="0"/>
              <w:rPr>
                <w:sz w:val="18"/>
                <w:szCs w:val="18"/>
                <w:color w:val="auto"/>
              </w:rPr>
            </w:pPr>
          </w:p>
        </w:tc>
        <w:tc>
          <w:tcPr>
            <w:tcW w:w="246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7"/>
                <w:szCs w:val="17"/>
                <w:color w:val="auto"/>
              </w:rPr>
              <w:t>long-term.</w:t>
            </w:r>
          </w:p>
        </w:tc>
        <w:tc>
          <w:tcPr>
            <w:tcW w:w="5180" w:type="dxa"/>
            <w:vAlign w:val="bottom"/>
            <w:shd w:val="clear" w:color="auto" w:fill="DBF3FF"/>
          </w:tcPr>
          <w:p>
            <w:pPr>
              <w:ind w:left="100"/>
              <w:spacing w:after="0"/>
              <w:rPr>
                <w:sz w:val="20"/>
                <w:szCs w:val="20"/>
                <w:color w:val="auto"/>
              </w:rPr>
            </w:pPr>
            <w:r>
              <w:rPr>
                <w:rFonts w:ascii="Times New Roman" w:cs="Times New Roman" w:eastAsia="Times New Roman" w:hAnsi="Times New Roman"/>
                <w:sz w:val="17"/>
                <w:szCs w:val="17"/>
                <w:color w:val="auto"/>
              </w:rPr>
              <w:t>units.</w:t>
            </w:r>
          </w:p>
        </w:tc>
      </w:tr>
      <w:tr>
        <w:trPr>
          <w:trHeight w:val="51"/>
        </w:trPr>
        <w:tc>
          <w:tcPr>
            <w:tcW w:w="2700" w:type="dxa"/>
            <w:vAlign w:val="bottom"/>
            <w:shd w:val="clear" w:color="auto" w:fill="DBF3FF"/>
          </w:tcPr>
          <w:p>
            <w:pPr>
              <w:spacing w:after="0"/>
              <w:rPr>
                <w:sz w:val="4"/>
                <w:szCs w:val="4"/>
                <w:color w:val="auto"/>
              </w:rPr>
            </w:pPr>
          </w:p>
        </w:tc>
        <w:tc>
          <w:tcPr>
            <w:tcW w:w="2460" w:type="dxa"/>
            <w:vAlign w:val="bottom"/>
            <w:shd w:val="clear" w:color="auto" w:fill="DBF3FF"/>
          </w:tcPr>
          <w:p>
            <w:pPr>
              <w:spacing w:after="0"/>
              <w:rPr>
                <w:sz w:val="4"/>
                <w:szCs w:val="4"/>
                <w:color w:val="auto"/>
              </w:rPr>
            </w:pPr>
          </w:p>
        </w:tc>
        <w:tc>
          <w:tcPr>
            <w:tcW w:w="5180" w:type="dxa"/>
            <w:vAlign w:val="bottom"/>
            <w:shd w:val="clear" w:color="auto" w:fill="DBF3FF"/>
          </w:tcPr>
          <w:p>
            <w:pPr>
              <w:spacing w:after="0"/>
              <w:rPr>
                <w:sz w:val="4"/>
                <w:szCs w:val="4"/>
                <w:color w:val="auto"/>
              </w:rPr>
            </w:pPr>
          </w:p>
        </w:tc>
      </w:tr>
    </w:tbl>
    <w:p>
      <w:pPr>
        <w:spacing w:after="0" w:line="186" w:lineRule="exact"/>
        <w:rPr>
          <w:sz w:val="20"/>
          <w:szCs w:val="20"/>
          <w:color w:val="auto"/>
        </w:rPr>
      </w:pPr>
    </w:p>
    <w:p>
      <w:pPr>
        <w:ind w:left="460" w:right="80" w:firstLine="413"/>
        <w:spacing w:after="0" w:line="255" w:lineRule="auto"/>
        <w:rPr>
          <w:sz w:val="20"/>
          <w:szCs w:val="20"/>
          <w:color w:val="auto"/>
        </w:rPr>
      </w:pPr>
      <w:r>
        <w:rPr>
          <w:rFonts w:ascii="Times New Roman" w:cs="Times New Roman" w:eastAsia="Times New Roman" w:hAnsi="Times New Roman"/>
          <w:sz w:val="17"/>
          <w:szCs w:val="17"/>
          <w:color w:val="auto"/>
        </w:rPr>
        <w:t>In evaluating our executive compensation policies and programs, as well as the short- and long-term value of our executive compensation plans, the Compensation Committee considers both the performance and skills of each of our executives,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w:t>
      </w:r>
    </w:p>
    <w:p>
      <w:pPr>
        <w:spacing w:after="0" w:line="177" w:lineRule="exact"/>
        <w:rPr>
          <w:sz w:val="20"/>
          <w:szCs w:val="20"/>
          <w:color w:val="auto"/>
        </w:rPr>
      </w:pPr>
    </w:p>
    <w:p>
      <w:pPr>
        <w:ind w:left="460" w:right="240" w:firstLine="413"/>
        <w:spacing w:after="0" w:line="273" w:lineRule="auto"/>
        <w:rPr>
          <w:sz w:val="20"/>
          <w:szCs w:val="20"/>
          <w:color w:val="auto"/>
        </w:rPr>
      </w:pPr>
      <w:r>
        <w:rPr>
          <w:rFonts w:ascii="Times New Roman" w:cs="Times New Roman" w:eastAsia="Times New Roman" w:hAnsi="Times New Roman"/>
          <w:sz w:val="16"/>
          <w:szCs w:val="16"/>
          <w:color w:val="auto"/>
        </w:rPr>
        <w:t>We do not have any formal policies for allocating compensation among salary, annual performance-based cash bonus awards and equity grants, short- and long-term compensation, or among cash and non-cash compensation. Instead, the Compensation Committee uses market benchmarks as a starting point to establish a total compensation program for each executive that consists of a mix of short-term incentive and long-term incentive compensation and cash and non-cash compensation that it believes appropriate to achieve the objectives of our executive compensation program. Further, a significant portion of each executive’s total target compensation consists of performance-based bonus opportunities and long-term equity awards in order to align our executive officers’ incentives with the interests of our stockholders and the achievement of our corporate goals.</w:t>
      </w:r>
    </w:p>
    <w:p>
      <w:pPr>
        <w:spacing w:after="0" w:line="163" w:lineRule="exact"/>
        <w:rPr>
          <w:sz w:val="20"/>
          <w:szCs w:val="20"/>
          <w:color w:val="auto"/>
        </w:rPr>
      </w:pPr>
    </w:p>
    <w:p>
      <w:pPr>
        <w:ind w:left="460" w:right="280" w:firstLine="413"/>
        <w:spacing w:after="0" w:line="262" w:lineRule="auto"/>
        <w:rPr>
          <w:sz w:val="20"/>
          <w:szCs w:val="20"/>
          <w:color w:val="auto"/>
        </w:rPr>
      </w:pPr>
      <w:r>
        <w:rPr>
          <w:rFonts w:ascii="Times New Roman" w:cs="Times New Roman" w:eastAsia="Times New Roman" w:hAnsi="Times New Roman"/>
          <w:sz w:val="17"/>
          <w:szCs w:val="17"/>
          <w:color w:val="auto"/>
        </w:rPr>
        <w:t>In making executive compensation decisions, the Compensation Committee generally considers each executive officer’s total target direct compensation, which consists of base salary, target bonus opportunity (which, together with base salary, we refer to as target cash compensation) and long-term equity awards (valued based on an approximation of grant date fair value).</w:t>
      </w:r>
    </w:p>
    <w:p>
      <w:pPr>
        <w:spacing w:after="0" w:line="1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800"/>
          </w:cols>
          <w:pgMar w:left="320" w:top="462" w:right="7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How We Determine Executive Compensation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Role of Our Compensation Committee, Management and the Board</w:t>
      </w:r>
    </w:p>
    <w:p>
      <w:pPr>
        <w:spacing w:after="0" w:line="112" w:lineRule="exact"/>
        <w:rPr>
          <w:sz w:val="20"/>
          <w:szCs w:val="20"/>
          <w:color w:val="auto"/>
        </w:rPr>
      </w:pPr>
    </w:p>
    <w:p>
      <w:pPr>
        <w:ind w:left="460" w:right="20" w:firstLine="413"/>
        <w:spacing w:after="0" w:line="262" w:lineRule="auto"/>
        <w:rPr>
          <w:sz w:val="20"/>
          <w:szCs w:val="20"/>
          <w:color w:val="auto"/>
        </w:rPr>
      </w:pPr>
      <w:r>
        <w:rPr>
          <w:rFonts w:ascii="Times New Roman" w:cs="Times New Roman" w:eastAsia="Times New Roman" w:hAnsi="Times New Roman"/>
          <w:sz w:val="17"/>
          <w:szCs w:val="17"/>
          <w:color w:val="auto"/>
        </w:rPr>
        <w:t>Our Compensation Committee is appointed by the Board to assist with the Board’s oversight responsibilities with respect to our compensation and benefit plans, policies and programs, administration of our equity plans and the Board’s responsibilities related to the compensation of our executive officers, directors and senior management, as appropriate.</w:t>
      </w:r>
    </w:p>
    <w:p>
      <w:pPr>
        <w:spacing w:after="0" w:line="170" w:lineRule="exact"/>
        <w:rPr>
          <w:sz w:val="20"/>
          <w:szCs w:val="20"/>
          <w:color w:val="auto"/>
        </w:rPr>
      </w:pPr>
    </w:p>
    <w:p>
      <w:pPr>
        <w:ind w:left="460" w:firstLine="413"/>
        <w:spacing w:after="0" w:line="270" w:lineRule="auto"/>
        <w:rPr>
          <w:sz w:val="20"/>
          <w:szCs w:val="20"/>
          <w:color w:val="auto"/>
        </w:rPr>
      </w:pPr>
      <w:r>
        <w:rPr>
          <w:rFonts w:ascii="Times New Roman" w:cs="Times New Roman" w:eastAsia="Times New Roman" w:hAnsi="Times New Roman"/>
          <w:sz w:val="16"/>
          <w:szCs w:val="16"/>
          <w:color w:val="auto"/>
        </w:rPr>
        <w:t>The Compensation Committee is primarily responsible for establishing and reviewing our general compensation strategy. The Compensation Committee generally meets quarterly, and with greater frequency if necessary, to, among other responsibilities, manage and evaluate our executive compensation program, and generally determines, subject to final Board approval, the principal components of compensation (base salary, annual performance-based cash bonus awards and equity awards) for our executive officers on an annual basis. However, decisions may occur at other times for new hires, promotions or other special circumstances as the Compensation Committee determines appropriate. The Compensation Committee does not delegate authority to approve executive officer compensation. The Compensation Committee generally reviews and determines equity-based incentive awards annually at the beginning of the fiscal year or as appropriate during the year for new hires, promotions, or other special circumstances, such as retention. The Compensation Committee will continue to evaluate its equity grant policies as we continue to evolve and grow as a public company.</w:t>
      </w:r>
    </w:p>
    <w:p>
      <w:pPr>
        <w:spacing w:after="0" w:line="168" w:lineRule="exact"/>
        <w:rPr>
          <w:sz w:val="20"/>
          <w:szCs w:val="20"/>
          <w:color w:val="auto"/>
        </w:rPr>
      </w:pPr>
    </w:p>
    <w:p>
      <w:pPr>
        <w:ind w:left="460" w:right="60" w:firstLine="413"/>
        <w:spacing w:after="0" w:line="270" w:lineRule="auto"/>
        <w:rPr>
          <w:sz w:val="20"/>
          <w:szCs w:val="20"/>
          <w:color w:val="auto"/>
        </w:rPr>
      </w:pPr>
      <w:r>
        <w:rPr>
          <w:rFonts w:ascii="Times New Roman" w:cs="Times New Roman" w:eastAsia="Times New Roman" w:hAnsi="Times New Roman"/>
          <w:sz w:val="16"/>
          <w:szCs w:val="16"/>
          <w:color w:val="auto"/>
        </w:rPr>
        <w:t>The Compensation Committee works with and receives information and analyses from our Chief Executive Officer and our human resources department, and considers such information and analyses in determining the structure and amount of compensation to be paid to our executive officers, including our named executive officers. Our Chief Executive Officer evaluates and discusses with the Compensation Committee executive officer performance assessments and management’s recommendations and proposals regarding executive officer compensation programs and decisions affecting base salaries, equity compensation and other compensation-related matters outside of the presence of any other named executive officer. Our Chief People Officer discusses with the Compensation Committee role levels and compensation benchmarking. However, the Board retains the final authority to make all compensation decisions. While our Chief Executive Officer discusses his recommendations with the Compensation Committee for executive officers other than himself, he does not participate in the deliberations concerning, or the determination of, his own compensation.</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Role of Compensation Consultant</w:t>
      </w:r>
    </w:p>
    <w:p>
      <w:pPr>
        <w:spacing w:after="0" w:line="112" w:lineRule="exact"/>
        <w:rPr>
          <w:sz w:val="20"/>
          <w:szCs w:val="20"/>
          <w:color w:val="auto"/>
        </w:rPr>
      </w:pPr>
    </w:p>
    <w:p>
      <w:pPr>
        <w:ind w:left="460" w:right="60" w:firstLine="413"/>
        <w:spacing w:after="0" w:line="253" w:lineRule="auto"/>
        <w:rPr>
          <w:sz w:val="20"/>
          <w:szCs w:val="20"/>
          <w:color w:val="auto"/>
        </w:rPr>
      </w:pPr>
      <w:r>
        <w:rPr>
          <w:rFonts w:ascii="Times New Roman" w:cs="Times New Roman" w:eastAsia="Times New Roman" w:hAnsi="Times New Roman"/>
          <w:sz w:val="17"/>
          <w:szCs w:val="17"/>
          <w:color w:val="auto"/>
        </w:rPr>
        <w:t>The Compensation Committee has retained Meridian as its independent compensation consultant since 2021 due to its extensive analytical and compensation expertise relating to technology companies. Meridian reports directly to the Compensation Committee and does not provide any services to our company other than data and advice related to executive and director compensation matters. The Compensation Committee has analyzed whether the work of Meridian as the compensation consultant raised any conflict of interest, after taking into consideration the six factors prescribed by the SEC and Nasdaq. Based on its analysis, the Compensation Committee determined that the work of Meridian and the individual compensation advisors have conformed to the independence factors and guidance provided by the Dodd-Frank Wall Street Reform and Consumer Protection Act of 2010, the SEC and the Nasdaq listing standards.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its capacity as the Compensation Committee’s independent compensation consultant, in 2023, Meridian assisted with, among other things:</w:t>
      </w:r>
    </w:p>
    <w:p>
      <w:pPr>
        <w:spacing w:after="0" w:line="121" w:lineRule="exact"/>
        <w:rPr>
          <w:sz w:val="20"/>
          <w:szCs w:val="20"/>
          <w:color w:val="auto"/>
        </w:rPr>
      </w:pPr>
    </w:p>
    <w:p>
      <w:pPr>
        <w:ind w:left="1360" w:hanging="396"/>
        <w:spacing w:after="0"/>
        <w:tabs>
          <w:tab w:leader="none" w:pos="1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an executive market pay analysis;</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the group of peer companies to use as a reference in making executive compensation decisions;</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current executive pay practices and considering alternative compensation programs; and</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director compensation policies and practices.</w:t>
      </w:r>
    </w:p>
    <w:p>
      <w:pPr>
        <w:spacing w:after="0" w:line="14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780"/>
          </w:cols>
          <w:pgMar w:left="320" w:top="462" w:right="7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firstLine="413"/>
        <w:spacing w:after="0" w:line="258" w:lineRule="auto"/>
        <w:rPr>
          <w:sz w:val="20"/>
          <w:szCs w:val="20"/>
          <w:color w:val="auto"/>
        </w:rPr>
      </w:pPr>
      <w:r>
        <w:rPr>
          <w:rFonts w:ascii="Times New Roman" w:cs="Times New Roman" w:eastAsia="Times New Roman" w:hAnsi="Times New Roman"/>
          <w:sz w:val="17"/>
          <w:szCs w:val="17"/>
          <w:color w:val="auto"/>
        </w:rPr>
        <w:t>The Compensation Committee has the sole authority to engage and terminate Meridian’s services, as well as to approve its compensation. Meridian makes recommendations to the Compensation Committee, but has no authority to make compensation decisions on behalf of the Compensation Committee or Xometry. Meridian reports to the Compensation Committee and has direct access to the chairperson and the other members of the Compensation Committee.</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Use of Competitive Market Compensation Data</w:t>
      </w:r>
    </w:p>
    <w:p>
      <w:pPr>
        <w:spacing w:after="0" w:line="112" w:lineRule="exact"/>
        <w:rPr>
          <w:sz w:val="20"/>
          <w:szCs w:val="20"/>
          <w:color w:val="auto"/>
        </w:rPr>
      </w:pPr>
    </w:p>
    <w:p>
      <w:pPr>
        <w:ind w:left="460" w:right="20" w:firstLine="413"/>
        <w:spacing w:after="0" w:line="232" w:lineRule="auto"/>
        <w:rPr>
          <w:sz w:val="20"/>
          <w:szCs w:val="20"/>
          <w:color w:val="auto"/>
        </w:rPr>
      </w:pPr>
      <w:r>
        <w:rPr>
          <w:rFonts w:ascii="Times New Roman" w:cs="Times New Roman" w:eastAsia="Times New Roman" w:hAnsi="Times New Roman"/>
          <w:sz w:val="17"/>
          <w:szCs w:val="17"/>
          <w:color w:val="auto"/>
        </w:rPr>
        <w:t>The Compensation Committee believes that it is important when making compensation decisions to be informed as to the current practices of comparable public companies with which we may compete for top talent. To this end, the Compensation Committee works annually with Meridian to review and amend the list of our peer group companies to be used in connection with assessing compensation practices and pay levels. The Compensation Committee believes that the peer and market data provided by Meridian, along with other factors, is an important reference point when setting compensation for our named executive officers because competition for executive management is intense in our industry and the retention of our talented leadership team is critical to our success. The Compensation Committee generally targets setting our executive officers’ annual base salaries near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of our peer group, annual performance-based cash bonuses near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and equity compensation slightly above the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but compensation relative to our peer group companies can and does vary by executive officer as a result of individual performance, tenure, scope of responsibility and other factors deemed relevant by the Compensation Committee. The Compensation Committee reviews these criteria collectively but does not assign a weight to any particular criterion when setting compensation levels. As a result, the Compensation Committee seeks to align total compensation with executive and corporate performance, such that executive compensation may exceed the median level of our peer group when our company exceeds its performance goals and demonstrates strong stockholder value over time.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2023 Peer Group</w:t>
      </w:r>
    </w:p>
    <w:p>
      <w:pPr>
        <w:spacing w:after="0" w:line="112" w:lineRule="exact"/>
        <w:rPr>
          <w:sz w:val="20"/>
          <w:szCs w:val="20"/>
          <w:color w:val="auto"/>
        </w:rPr>
      </w:pPr>
    </w:p>
    <w:p>
      <w:pPr>
        <w:ind w:left="460" w:right="80" w:firstLine="413"/>
        <w:spacing w:after="0" w:line="276" w:lineRule="auto"/>
        <w:rPr>
          <w:sz w:val="20"/>
          <w:szCs w:val="20"/>
          <w:color w:val="auto"/>
        </w:rPr>
      </w:pPr>
      <w:r>
        <w:rPr>
          <w:rFonts w:ascii="Times New Roman" w:cs="Times New Roman" w:eastAsia="Times New Roman" w:hAnsi="Times New Roman"/>
          <w:sz w:val="17"/>
          <w:szCs w:val="17"/>
          <w:color w:val="auto"/>
        </w:rPr>
        <w:t>In November 2022, Meridian proposed, and the Compensation Committee approved, a group of publicly traded companies to serve as a reference point when making 2023 compensation decisions. In selecting the peer group, the following criteria were considered:</w:t>
      </w:r>
    </w:p>
    <w:p>
      <w:pPr>
        <w:spacing w:after="0" w:line="66" w:lineRule="exact"/>
        <w:rPr>
          <w:sz w:val="20"/>
          <w:szCs w:val="20"/>
          <w:color w:val="auto"/>
        </w:rPr>
      </w:pPr>
    </w:p>
    <w:p>
      <w:pPr>
        <w:ind w:left="1360" w:hanging="396"/>
        <w:spacing w:after="0"/>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Sector</w:t>
      </w:r>
      <w:r>
        <w:rPr>
          <w:rFonts w:ascii="Times New Roman" w:cs="Times New Roman" w:eastAsia="Times New Roman" w:hAnsi="Times New Roman"/>
          <w:sz w:val="17"/>
          <w:szCs w:val="17"/>
          <w:color w:val="auto"/>
        </w:rPr>
        <w:t>: We generally focused on e-commerce, cloud software and additive manufacturing companies;</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We generally focused on companies with a revenue size within a range of approximately 0.33x to 3x of our revenue;</w:t>
      </w:r>
    </w:p>
    <w:p>
      <w:pPr>
        <w:spacing w:after="0" w:line="121" w:lineRule="exact"/>
        <w:rPr>
          <w:rFonts w:ascii="Times New Roman" w:cs="Times New Roman" w:eastAsia="Times New Roman" w:hAnsi="Times New Roman"/>
          <w:sz w:val="17"/>
          <w:szCs w:val="17"/>
          <w:color w:val="auto"/>
        </w:rPr>
      </w:pPr>
    </w:p>
    <w:p>
      <w:pPr>
        <w:ind w:left="1360" w:right="120" w:hanging="396"/>
        <w:spacing w:after="0" w:line="281"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Capitalization</w:t>
      </w:r>
      <w:r>
        <w:rPr>
          <w:rFonts w:ascii="Times New Roman" w:cs="Times New Roman" w:eastAsia="Times New Roman" w:hAnsi="Times New Roman"/>
          <w:sz w:val="17"/>
          <w:szCs w:val="17"/>
          <w:color w:val="auto"/>
        </w:rPr>
        <w:t>: We generally focused on companies with market capitalization within a range of approximately 0.33x to 3x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capitalization, with limited exceptions for strong performers the Compensation Committee viewed as key competitors;</w:t>
      </w:r>
    </w:p>
    <w:p>
      <w:pPr>
        <w:spacing w:after="0" w:line="61" w:lineRule="exact"/>
        <w:rPr>
          <w:rFonts w:ascii="Times New Roman" w:cs="Times New Roman" w:eastAsia="Times New Roman" w:hAnsi="Times New Roman"/>
          <w:sz w:val="17"/>
          <w:szCs w:val="17"/>
          <w:color w:val="auto"/>
        </w:rPr>
      </w:pPr>
    </w:p>
    <w:p>
      <w:pPr>
        <w:ind w:left="1360" w:right="120" w:hanging="396"/>
        <w:spacing w:after="0" w:line="281"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Considerations</w:t>
      </w:r>
      <w:r>
        <w:rPr>
          <w:rFonts w:ascii="Times New Roman" w:cs="Times New Roman" w:eastAsia="Times New Roman" w:hAnsi="Times New Roman"/>
          <w:sz w:val="17"/>
          <w:szCs w:val="17"/>
          <w:color w:val="auto"/>
        </w:rPr>
        <w:t>: We gave preference to high-growth companies with which we compete in the sale of products and services and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talent and investor capital.</w:t>
      </w:r>
    </w:p>
    <w:p>
      <w:pPr>
        <w:spacing w:after="0" w:line="154" w:lineRule="exact"/>
        <w:rPr>
          <w:sz w:val="20"/>
          <w:szCs w:val="20"/>
          <w:color w:val="auto"/>
        </w:rPr>
      </w:pPr>
    </w:p>
    <w:p>
      <w:pPr>
        <w:ind w:left="460" w:right="340" w:firstLine="413"/>
        <w:spacing w:after="0" w:line="276" w:lineRule="auto"/>
        <w:rPr>
          <w:sz w:val="20"/>
          <w:szCs w:val="20"/>
          <w:color w:val="auto"/>
        </w:rPr>
      </w:pPr>
      <w:r>
        <w:rPr>
          <w:rFonts w:ascii="Times New Roman" w:cs="Times New Roman" w:eastAsia="Times New Roman" w:hAnsi="Times New Roman"/>
          <w:sz w:val="17"/>
          <w:szCs w:val="17"/>
          <w:color w:val="auto"/>
        </w:rPr>
        <w:t>Using the above criteria, the Compensation Committee selected the following group of companies for the purpose of informing executive pay decisions for 2023 (the “2023 Peer Group”):</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97"/>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•   3D Systems Corporation</w:t>
            </w:r>
          </w:p>
        </w:tc>
        <w:tc>
          <w:tcPr>
            <w:tcW w:w="28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•   Kornit Digital Ltd.</w:t>
            </w:r>
          </w:p>
        </w:tc>
        <w:tc>
          <w:tcPr>
            <w:tcW w:w="2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 Poshmark, Inc.</w:t>
            </w:r>
          </w:p>
        </w:tc>
        <w:tc>
          <w:tcPr>
            <w:tcW w:w="2000" w:type="dxa"/>
            <w:vAlign w:val="bottom"/>
          </w:tcPr>
          <w:p>
            <w:pPr>
              <w:ind w:left="580"/>
              <w:spacing w:after="0"/>
              <w:rPr>
                <w:sz w:val="20"/>
                <w:szCs w:val="20"/>
                <w:color w:val="auto"/>
              </w:rPr>
            </w:pPr>
            <w:r>
              <w:rPr>
                <w:rFonts w:ascii="Times New Roman" w:cs="Times New Roman" w:eastAsia="Times New Roman" w:hAnsi="Times New Roman"/>
                <w:sz w:val="15"/>
                <w:szCs w:val="15"/>
                <w:color w:val="auto"/>
                <w:w w:val="98"/>
              </w:rPr>
              <w:t>•   SPS Commerce, Inc.</w:t>
            </w:r>
          </w:p>
        </w:tc>
      </w:tr>
      <w:tr>
        <w:trPr>
          <w:trHeight w:val="291"/>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•   BTRS Holdings Inc.</w:t>
            </w:r>
          </w:p>
        </w:tc>
        <w:tc>
          <w:tcPr>
            <w:tcW w:w="28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•   LivePerson, Inc.</w:t>
            </w:r>
          </w:p>
        </w:tc>
        <w:tc>
          <w:tcPr>
            <w:tcW w:w="2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 Proto Labs, Inc.</w:t>
            </w:r>
          </w:p>
        </w:tc>
        <w:tc>
          <w:tcPr>
            <w:tcW w:w="200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•   Stratasys Ltd.</w:t>
            </w:r>
          </w:p>
        </w:tc>
      </w:tr>
      <w:tr>
        <w:trPr>
          <w:trHeight w:val="291"/>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•   C3.ai, Inc.</w:t>
            </w:r>
          </w:p>
        </w:tc>
        <w:tc>
          <w:tcPr>
            <w:tcW w:w="28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•   Manhattan Associates, Inc.</w:t>
            </w:r>
          </w:p>
        </w:tc>
        <w:tc>
          <w:tcPr>
            <w:tcW w:w="2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 PubMatic, Inc.</w:t>
            </w:r>
          </w:p>
        </w:tc>
        <w:tc>
          <w:tcPr>
            <w:tcW w:w="200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•   Upwork Inc.</w:t>
            </w:r>
          </w:p>
        </w:tc>
      </w:tr>
      <w:tr>
        <w:trPr>
          <w:trHeight w:val="317"/>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 E2open Parent Holdings, Inc.  </w:t>
            </w:r>
          </w:p>
        </w:tc>
        <w:tc>
          <w:tcPr>
            <w:tcW w:w="28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•   nCino, Inc.</w:t>
            </w:r>
          </w:p>
        </w:tc>
        <w:tc>
          <w:tcPr>
            <w:tcW w:w="2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 Shutterstock, Inc.</w:t>
            </w:r>
          </w:p>
        </w:tc>
        <w:tc>
          <w:tcPr>
            <w:tcW w:w="200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 xml:space="preserve">•   Zuora, Inc.  </w:t>
            </w:r>
          </w:p>
        </w:tc>
      </w:tr>
      <w:tr>
        <w:trPr>
          <w:trHeight w:val="317"/>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•   Fiverr International Ltd.</w:t>
            </w:r>
          </w:p>
        </w:tc>
        <w:tc>
          <w:tcPr>
            <w:tcW w:w="28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•   Payoneer Global Inc.</w:t>
            </w:r>
          </w:p>
        </w:tc>
        <w:tc>
          <w:tcPr>
            <w:tcW w:w="2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 xml:space="preserve">•   Sprinklr, Inc.  </w:t>
            </w:r>
          </w:p>
        </w:tc>
        <w:tc>
          <w:tcPr>
            <w:tcW w:w="2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-334010</wp:posOffset>
            </wp:positionV>
            <wp:extent cx="177165" cy="104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7165" cy="10477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-334010</wp:posOffset>
            </wp:positionV>
            <wp:extent cx="177165" cy="104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7165" cy="10477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-133350</wp:posOffset>
            </wp:positionV>
            <wp:extent cx="177165" cy="104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7165" cy="104775"/>
                    </a:xfrm>
                    <a:prstGeom prst="rect">
                      <a:avLst/>
                    </a:prstGeom>
                    <a:noFill/>
                  </pic:spPr>
                </pic:pic>
              </a:graphicData>
            </a:graphic>
          </wp:anchor>
        </w:drawing>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780"/>
          </w:cols>
          <w:pgMar w:left="320" w:top="462" w:right="7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240" w:firstLine="413"/>
        <w:spacing w:after="0" w:line="230" w:lineRule="auto"/>
        <w:rPr>
          <w:sz w:val="20"/>
          <w:szCs w:val="20"/>
          <w:color w:val="auto"/>
        </w:rPr>
      </w:pPr>
      <w:r>
        <w:rPr>
          <w:rFonts w:ascii="Times New Roman" w:cs="Times New Roman" w:eastAsia="Times New Roman" w:hAnsi="Times New Roman"/>
          <w:sz w:val="17"/>
          <w:szCs w:val="17"/>
          <w:color w:val="auto"/>
        </w:rPr>
        <w:t>At the time of selection, the consensus estimate for our next twelve months’ revenue (as reported by S&amp;P Global Market Intelligence) approximated the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of the 2023 Peer Group while our market capitalization approximated the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For 2023, three companies were removed from the 2022 peer group (the “2022 Peer Group”)—MicroStrategy Incorporated, The RealReal, Inc., and Vroom, Inc.—because of business model disruptions that make them inappropriate peers at this time. Three new companies were added to form the 2023 Peer Group as shown above.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2023 Advisory Vote on Executive Compensation</w:t>
      </w:r>
    </w:p>
    <w:p>
      <w:pPr>
        <w:spacing w:after="0" w:line="112" w:lineRule="exact"/>
        <w:rPr>
          <w:sz w:val="20"/>
          <w:szCs w:val="20"/>
          <w:color w:val="auto"/>
        </w:rPr>
      </w:pPr>
    </w:p>
    <w:p>
      <w:pPr>
        <w:ind w:left="460" w:right="120" w:firstLine="413"/>
        <w:spacing w:after="0" w:line="255" w:lineRule="auto"/>
        <w:rPr>
          <w:sz w:val="20"/>
          <w:szCs w:val="20"/>
          <w:color w:val="auto"/>
        </w:rPr>
      </w:pPr>
      <w:r>
        <w:rPr>
          <w:rFonts w:ascii="Times New Roman" w:cs="Times New Roman" w:eastAsia="Times New Roman" w:hAnsi="Times New Roman"/>
          <w:sz w:val="17"/>
          <w:szCs w:val="17"/>
          <w:color w:val="auto"/>
        </w:rPr>
        <w:t>Stockholders are provided the opportunity to cast an annual “say-on-pay” advisory vote on the compensation of our named executive officers. At last year’s annual meeting of stockholders, approximately 99% of votes cast approved the say-on-pay proposal regarding the compensation awarded to our named executive officers. We take the views of our stockholders seriously and view this result as an indication that the principles of our executive compensation program are supported by our stockholders and that no significant changes to the structure of our executive compensation program were necessary.</w:t>
      </w:r>
    </w:p>
    <w:p>
      <w:pPr>
        <w:spacing w:after="0" w:line="177" w:lineRule="exact"/>
        <w:rPr>
          <w:sz w:val="20"/>
          <w:szCs w:val="20"/>
          <w:color w:val="auto"/>
        </w:rPr>
      </w:pPr>
    </w:p>
    <w:p>
      <w:pPr>
        <w:jc w:val="both"/>
        <w:ind w:left="460" w:firstLine="413"/>
        <w:spacing w:after="0" w:line="262" w:lineRule="auto"/>
        <w:rPr>
          <w:sz w:val="20"/>
          <w:szCs w:val="20"/>
          <w:color w:val="auto"/>
        </w:rPr>
      </w:pPr>
      <w:r>
        <w:rPr>
          <w:rFonts w:ascii="Times New Roman" w:cs="Times New Roman" w:eastAsia="Times New Roman" w:hAnsi="Times New Roman"/>
          <w:sz w:val="17"/>
          <w:szCs w:val="17"/>
          <w:color w:val="auto"/>
        </w:rPr>
        <w:t>At last year’s annual meeting, our stockholders also indicated their approval of the recommendation that we solicit a say-on-pay vote on an annual basis. Accordingly, we are holding a say-on-pay vote at the upcoming Annual Meeting and intend to hold a say-on-pay vote on an annual basis hereafter. A “say-on-frequency” vote is required every six years, and as such, our next say-on-frequency vote will be in 2029.</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Elements of Our Fiscal Year 2023 Executive Compensation Program</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Base Salary</w:t>
      </w:r>
    </w:p>
    <w:p>
      <w:pPr>
        <w:spacing w:after="0" w:line="112" w:lineRule="exact"/>
        <w:rPr>
          <w:sz w:val="20"/>
          <w:szCs w:val="20"/>
          <w:color w:val="auto"/>
        </w:rPr>
      </w:pPr>
    </w:p>
    <w:p>
      <w:pPr>
        <w:ind w:left="460" w:right="200" w:firstLine="413"/>
        <w:spacing w:after="0" w:line="252" w:lineRule="auto"/>
        <w:rPr>
          <w:sz w:val="20"/>
          <w:szCs w:val="20"/>
          <w:color w:val="auto"/>
        </w:rPr>
      </w:pPr>
      <w:r>
        <w:rPr>
          <w:rFonts w:ascii="Times New Roman" w:cs="Times New Roman" w:eastAsia="Times New Roman" w:hAnsi="Times New Roman"/>
          <w:sz w:val="17"/>
          <w:szCs w:val="17"/>
          <w:color w:val="auto"/>
        </w:rPr>
        <w:t>Our named executive officers receive a base salary to compensate them for services rendered to us. Base salaries represent an annual fixed component of compensation reflecting the executive’s skill set, experience, role and responsibilities. Each named executive officer’s base salary is adjusted based on a number of factors (including the value of current equity awards; scope and complexity of role; past performance; the Chief Executive Officer’s recommendations for executive officers other than himself; and experience, qualifications and skills) and with reference to an analysis of competitive market data prepared by Meridian. In the first quarter of 2023, the Compensation Committee reviewed the base salaries of our named executive officers and recommended that the Board approve increases to base salaries in amounts ranging from approximately 2% to 17% for each of the named executive officers to align with target market and internal positioning. The 2023 base salaries of our named executive officers subsequently approved by the Board are shown below.</w:t>
      </w:r>
    </w:p>
    <w:p>
      <w:pPr>
        <w:spacing w:after="0" w:line="189"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2023 Base</w:t>
            </w:r>
          </w:p>
        </w:tc>
        <w:tc>
          <w:tcPr>
            <w:tcW w:w="2400" w:type="dxa"/>
            <w:vAlign w:val="bottom"/>
            <w:gridSpan w:val="2"/>
          </w:tcPr>
          <w:p>
            <w:pPr>
              <w:jc w:val="center"/>
              <w:ind w:left="859"/>
              <w:spacing w:after="0"/>
              <w:rPr>
                <w:sz w:val="20"/>
                <w:szCs w:val="20"/>
                <w:color w:val="auto"/>
              </w:rPr>
            </w:pPr>
            <w:r>
              <w:rPr>
                <w:rFonts w:ascii="Times New Roman" w:cs="Times New Roman" w:eastAsia="Times New Roman" w:hAnsi="Times New Roman"/>
                <w:sz w:val="13"/>
                <w:szCs w:val="13"/>
                <w:b w:val="1"/>
                <w:bCs w:val="1"/>
                <w:color w:val="auto"/>
              </w:rPr>
              <w:t>Percentage Increase from</w:t>
            </w:r>
          </w:p>
        </w:tc>
        <w:tc>
          <w:tcPr>
            <w:tcW w:w="0" w:type="dxa"/>
            <w:vAlign w:val="bottom"/>
          </w:tcPr>
          <w:p>
            <w:pPr>
              <w:spacing w:after="0"/>
              <w:rPr>
                <w:sz w:val="1"/>
                <w:szCs w:val="1"/>
                <w:color w:val="auto"/>
              </w:rPr>
            </w:pPr>
          </w:p>
        </w:tc>
      </w:tr>
      <w:tr>
        <w:trPr>
          <w:trHeight w:val="139"/>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4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2022 Base</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4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9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Randolph Altschuler</w:t>
            </w:r>
          </w:p>
        </w:tc>
        <w:tc>
          <w:tcPr>
            <w:tcW w:w="4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$475,000</w:t>
            </w:r>
          </w:p>
        </w:tc>
        <w:tc>
          <w:tcPr>
            <w:tcW w:w="94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2.2%</w:t>
            </w:r>
          </w:p>
        </w:tc>
        <w:tc>
          <w:tcPr>
            <w:tcW w:w="0" w:type="dxa"/>
            <w:vAlign w:val="bottom"/>
          </w:tcPr>
          <w:p>
            <w:pPr>
              <w:spacing w:after="0"/>
              <w:rPr>
                <w:sz w:val="1"/>
                <w:szCs w:val="1"/>
                <w:color w:val="auto"/>
              </w:rPr>
            </w:pPr>
          </w:p>
        </w:tc>
      </w:tr>
      <w:tr>
        <w:trPr>
          <w:trHeight w:val="22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Rallo</w:t>
            </w:r>
          </w:p>
        </w:tc>
        <w:tc>
          <w:tcPr>
            <w:tcW w:w="4820" w:type="dxa"/>
            <w:vAlign w:val="bottom"/>
            <w:gridSpan w:val="2"/>
          </w:tcPr>
          <w:p>
            <w:pPr>
              <w:jc w:val="center"/>
              <w:ind w:left="4096"/>
              <w:spacing w:after="0"/>
              <w:rPr>
                <w:sz w:val="20"/>
                <w:szCs w:val="20"/>
                <w:color w:val="auto"/>
              </w:rPr>
            </w:pPr>
            <w:r>
              <w:rPr>
                <w:rFonts w:ascii="Times New Roman" w:cs="Times New Roman" w:eastAsia="Times New Roman" w:hAnsi="Times New Roman"/>
                <w:sz w:val="17"/>
                <w:szCs w:val="17"/>
                <w:color w:val="auto"/>
              </w:rPr>
              <w:t>$416,000</w:t>
            </w:r>
          </w:p>
        </w:tc>
        <w:tc>
          <w:tcPr>
            <w:tcW w:w="2400" w:type="dxa"/>
            <w:vAlign w:val="bottom"/>
            <w:gridSpan w:val="2"/>
          </w:tcPr>
          <w:p>
            <w:pPr>
              <w:jc w:val="center"/>
              <w:ind w:left="859"/>
              <w:spacing w:after="0"/>
              <w:rPr>
                <w:sz w:val="20"/>
                <w:szCs w:val="20"/>
                <w:color w:val="auto"/>
              </w:rPr>
            </w:pPr>
            <w:r>
              <w:rPr>
                <w:rFonts w:ascii="Times New Roman" w:cs="Times New Roman" w:eastAsia="Times New Roman" w:hAnsi="Times New Roman"/>
                <w:sz w:val="17"/>
                <w:szCs w:val="17"/>
                <w:color w:val="auto"/>
                <w:w w:val="95"/>
              </w:rPr>
              <w:t>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Goguen(1)</w:t>
            </w:r>
          </w:p>
        </w:tc>
        <w:tc>
          <w:tcPr>
            <w:tcW w:w="4820" w:type="dxa"/>
            <w:vAlign w:val="bottom"/>
            <w:gridSpan w:val="2"/>
            <w:shd w:val="clear" w:color="auto" w:fill="CCEEFF"/>
          </w:tcPr>
          <w:p>
            <w:pPr>
              <w:jc w:val="center"/>
              <w:ind w:left="4096"/>
              <w:spacing w:after="0"/>
              <w:rPr>
                <w:sz w:val="20"/>
                <w:szCs w:val="20"/>
                <w:color w:val="auto"/>
              </w:rPr>
            </w:pPr>
            <w:r>
              <w:rPr>
                <w:rFonts w:ascii="Times New Roman" w:cs="Times New Roman" w:eastAsia="Times New Roman" w:hAnsi="Times New Roman"/>
                <w:sz w:val="17"/>
                <w:szCs w:val="17"/>
                <w:color w:val="auto"/>
              </w:rPr>
              <w:t>$400,000</w:t>
            </w:r>
          </w:p>
        </w:tc>
        <w:tc>
          <w:tcPr>
            <w:tcW w:w="2400" w:type="dxa"/>
            <w:vAlign w:val="bottom"/>
            <w:gridSpan w:val="2"/>
            <w:shd w:val="clear" w:color="auto" w:fill="CCEEFF"/>
          </w:tcPr>
          <w:p>
            <w:pPr>
              <w:jc w:val="center"/>
              <w:ind w:left="839"/>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Leibel(2)</w:t>
            </w:r>
          </w:p>
        </w:tc>
        <w:tc>
          <w:tcPr>
            <w:tcW w:w="4820" w:type="dxa"/>
            <w:vAlign w:val="bottom"/>
            <w:gridSpan w:val="2"/>
          </w:tcPr>
          <w:p>
            <w:pPr>
              <w:jc w:val="center"/>
              <w:ind w:left="4096"/>
              <w:spacing w:after="0"/>
              <w:rPr>
                <w:sz w:val="20"/>
                <w:szCs w:val="20"/>
                <w:color w:val="auto"/>
              </w:rPr>
            </w:pPr>
            <w:r>
              <w:rPr>
                <w:rFonts w:ascii="Times New Roman" w:cs="Times New Roman" w:eastAsia="Times New Roman" w:hAnsi="Times New Roman"/>
                <w:sz w:val="17"/>
                <w:szCs w:val="17"/>
                <w:color w:val="auto"/>
              </w:rPr>
              <w:t>$400,000</w:t>
            </w:r>
          </w:p>
        </w:tc>
        <w:tc>
          <w:tcPr>
            <w:tcW w:w="2400" w:type="dxa"/>
            <w:vAlign w:val="bottom"/>
            <w:gridSpan w:val="2"/>
          </w:tcPr>
          <w:p>
            <w:pPr>
              <w:jc w:val="center"/>
              <w:ind w:left="859"/>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7"/>
              </w:rPr>
              <w:t>Kathy Mayerhofer(3)</w:t>
            </w:r>
          </w:p>
        </w:tc>
        <w:tc>
          <w:tcPr>
            <w:tcW w:w="4820" w:type="dxa"/>
            <w:vAlign w:val="bottom"/>
            <w:gridSpan w:val="2"/>
            <w:shd w:val="clear" w:color="auto" w:fill="CCEEFF"/>
          </w:tcPr>
          <w:p>
            <w:pPr>
              <w:jc w:val="center"/>
              <w:ind w:left="4096"/>
              <w:spacing w:after="0"/>
              <w:rPr>
                <w:sz w:val="20"/>
                <w:szCs w:val="20"/>
                <w:color w:val="auto"/>
              </w:rPr>
            </w:pPr>
            <w:r>
              <w:rPr>
                <w:rFonts w:ascii="Times New Roman" w:cs="Times New Roman" w:eastAsia="Times New Roman" w:hAnsi="Times New Roman"/>
                <w:sz w:val="17"/>
                <w:szCs w:val="17"/>
                <w:color w:val="auto"/>
              </w:rPr>
              <w:t>$350,000</w:t>
            </w:r>
          </w:p>
        </w:tc>
        <w:tc>
          <w:tcPr>
            <w:tcW w:w="2400" w:type="dxa"/>
            <w:vAlign w:val="bottom"/>
            <w:gridSpan w:val="2"/>
            <w:shd w:val="clear" w:color="auto" w:fill="CCEEFF"/>
          </w:tcPr>
          <w:p>
            <w:pPr>
              <w:jc w:val="center"/>
              <w:ind w:left="839"/>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hanging="403"/>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Goguen’s base salary was increased in consideration of the unique qualifications for his role and his substantial contributions to Xometry.</w:t>
      </w:r>
    </w:p>
    <w:p>
      <w:pPr>
        <w:spacing w:after="0" w:line="22" w:lineRule="exact"/>
        <w:rPr>
          <w:rFonts w:ascii="Times New Roman" w:cs="Times New Roman" w:eastAsia="Times New Roman" w:hAnsi="Times New Roman"/>
          <w:sz w:val="17"/>
          <w:szCs w:val="17"/>
          <w:color w:val="auto"/>
        </w:rPr>
      </w:pPr>
    </w:p>
    <w:p>
      <w:pPr>
        <w:ind w:left="860" w:right="40" w:hanging="403"/>
        <w:spacing w:after="0" w:line="248" w:lineRule="auto"/>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Mr. Leibel’s promotion to Chief Technology Officer in September 2022, Mr. Leibel’s base salary was increased from $329,000 to $400,000. The Compensation Committee and the Board determined this amount remained appropriate for 2023.</w:t>
      </w:r>
    </w:p>
    <w:p>
      <w:pPr>
        <w:spacing w:after="0" w:line="1" w:lineRule="exact"/>
        <w:rPr>
          <w:rFonts w:ascii="Times New Roman" w:cs="Times New Roman" w:eastAsia="Times New Roman" w:hAnsi="Times New Roman"/>
          <w:sz w:val="17"/>
          <w:szCs w:val="17"/>
          <w:color w:val="auto"/>
        </w:rPr>
      </w:pPr>
    </w:p>
    <w:p>
      <w:pPr>
        <w:ind w:left="860" w:hanging="403"/>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Mayerhofer’s base salary was increased to better align her compensation with market competitive data.</w:t>
      </w:r>
    </w:p>
    <w:p>
      <w:pPr>
        <w:spacing w:after="0" w:line="1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780"/>
          </w:cols>
          <w:pgMar w:left="320" w:top="462" w:right="7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Annual Cash Bonus Awards</w:t>
      </w:r>
    </w:p>
    <w:p>
      <w:pPr>
        <w:spacing w:after="0" w:line="112" w:lineRule="exact"/>
        <w:rPr>
          <w:sz w:val="20"/>
          <w:szCs w:val="20"/>
          <w:color w:val="auto"/>
        </w:rPr>
      </w:pPr>
    </w:p>
    <w:p>
      <w:pPr>
        <w:ind w:left="460" w:right="60" w:firstLine="413"/>
        <w:spacing w:after="0" w:line="255" w:lineRule="auto"/>
        <w:rPr>
          <w:sz w:val="20"/>
          <w:szCs w:val="20"/>
          <w:color w:val="auto"/>
        </w:rPr>
      </w:pPr>
      <w:r>
        <w:rPr>
          <w:rFonts w:ascii="Times New Roman" w:cs="Times New Roman" w:eastAsia="Times New Roman" w:hAnsi="Times New Roman"/>
          <w:sz w:val="17"/>
          <w:szCs w:val="17"/>
          <w:color w:val="auto"/>
        </w:rPr>
        <w:t>Our named executive officers are eligible for annual cash bonus awards based on company performance and individual performance, with payment amounts determined by the Compensation Committee based on the Compensation Committee’s assessment of performance for the applicable year. The annual incentive plan is intended to focus the entire organization on meeting or exceeding the annual performance goals that are set during the early part of each year and approved by the Compensation Committee or the Board, while also providing significant opportunity to reward individual contributions.</w:t>
      </w:r>
    </w:p>
    <w:p>
      <w:pPr>
        <w:spacing w:after="0" w:line="177" w:lineRule="exact"/>
        <w:rPr>
          <w:sz w:val="20"/>
          <w:szCs w:val="20"/>
          <w:color w:val="auto"/>
        </w:rPr>
      </w:pPr>
    </w:p>
    <w:p>
      <w:pPr>
        <w:ind w:left="460" w:right="140" w:firstLine="413"/>
        <w:spacing w:after="0" w:line="255" w:lineRule="auto"/>
        <w:rPr>
          <w:sz w:val="20"/>
          <w:szCs w:val="20"/>
          <w:color w:val="auto"/>
        </w:rPr>
      </w:pPr>
      <w:r>
        <w:rPr>
          <w:rFonts w:ascii="Times New Roman" w:cs="Times New Roman" w:eastAsia="Times New Roman" w:hAnsi="Times New Roman"/>
          <w:sz w:val="17"/>
          <w:szCs w:val="17"/>
          <w:color w:val="auto"/>
        </w:rPr>
        <w:t>Each named executive officer is assigned an annual target bonus opportunity, which is expressed as a percentage of such executive’s base salary. Each executive’s annual target bonus opportunity generally increases as such executive’s ability to affect our company’s performance increases. Consequently, as an executive’s responsibilities increase, the executive’s variable, at-risk compensation in the form of an annual cash bonus may also increase, generally making up a larger portion of the executive’s total compensation. Our named executive officers may be eligible for an annual bonus in excess of target based on outstanding performance.</w:t>
      </w:r>
    </w:p>
    <w:p>
      <w:pPr>
        <w:spacing w:after="0" w:line="177" w:lineRule="exact"/>
        <w:rPr>
          <w:sz w:val="20"/>
          <w:szCs w:val="20"/>
          <w:color w:val="auto"/>
        </w:rPr>
      </w:pPr>
    </w:p>
    <w:p>
      <w:pPr>
        <w:ind w:left="460" w:right="200" w:firstLine="413"/>
        <w:spacing w:after="0" w:line="276" w:lineRule="auto"/>
        <w:rPr>
          <w:sz w:val="20"/>
          <w:szCs w:val="20"/>
          <w:color w:val="auto"/>
        </w:rPr>
      </w:pPr>
      <w:r>
        <w:rPr>
          <w:rFonts w:ascii="Times New Roman" w:cs="Times New Roman" w:eastAsia="Times New Roman" w:hAnsi="Times New Roman"/>
          <w:sz w:val="17"/>
          <w:szCs w:val="17"/>
          <w:color w:val="auto"/>
        </w:rPr>
        <w:t>The 2023 target bonus opportunities of our named executive officers, which were determined by the Compensation Committee and approved by the Board in the first quarter of 2023, are set forth in the table below.</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40" w:type="dxa"/>
            <w:vAlign w:val="bottom"/>
            <w:gridSpan w:val="2"/>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2023 Target Bonus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2023 Target Bonus</w:t>
            </w:r>
          </w:p>
        </w:tc>
        <w:tc>
          <w:tcPr>
            <w:tcW w:w="0" w:type="dxa"/>
            <w:vAlign w:val="bottom"/>
          </w:tcPr>
          <w:p>
            <w:pPr>
              <w:spacing w:after="0"/>
              <w:rPr>
                <w:sz w:val="1"/>
                <w:szCs w:val="1"/>
                <w:color w:val="auto"/>
              </w:rPr>
            </w:pPr>
          </w:p>
        </w:tc>
      </w:tr>
      <w:tr>
        <w:trPr>
          <w:trHeight w:val="139"/>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3280" w:type="dxa"/>
            <w:vAlign w:val="bottom"/>
          </w:tcPr>
          <w:p>
            <w:pPr>
              <w:spacing w:after="0"/>
              <w:rPr>
                <w:sz w:val="12"/>
                <w:szCs w:val="12"/>
                <w:color w:val="auto"/>
              </w:rPr>
            </w:pPr>
          </w:p>
        </w:tc>
        <w:tc>
          <w:tcPr>
            <w:tcW w:w="2040" w:type="dxa"/>
            <w:vAlign w:val="bottom"/>
            <w:gridSpan w:val="2"/>
          </w:tcPr>
          <w:p>
            <w:pPr>
              <w:jc w:val="center"/>
              <w:ind w:right="980"/>
              <w:spacing w:after="0" w:line="139" w:lineRule="exact"/>
              <w:rPr>
                <w:sz w:val="20"/>
                <w:szCs w:val="20"/>
                <w:color w:val="auto"/>
              </w:rPr>
            </w:pPr>
            <w:r>
              <w:rPr>
                <w:rFonts w:ascii="Times New Roman" w:cs="Times New Roman" w:eastAsia="Times New Roman" w:hAnsi="Times New Roman"/>
                <w:sz w:val="13"/>
                <w:szCs w:val="13"/>
                <w:b w:val="1"/>
                <w:bCs w:val="1"/>
                <w:color w:val="auto"/>
              </w:rPr>
              <w:t>Opportunity</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Opportunity</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3280" w:type="dxa"/>
            <w:vAlign w:val="bottom"/>
          </w:tcPr>
          <w:p>
            <w:pPr>
              <w:spacing w:after="0"/>
              <w:rPr>
                <w:sz w:val="14"/>
                <w:szCs w:val="14"/>
                <w:color w:val="auto"/>
              </w:rPr>
            </w:pPr>
          </w:p>
        </w:tc>
        <w:tc>
          <w:tcPr>
            <w:tcW w:w="2040" w:type="dxa"/>
            <w:vAlign w:val="bottom"/>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 of base salary)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Randolph Altschuler</w:t>
            </w:r>
          </w:p>
        </w:tc>
        <w:tc>
          <w:tcPr>
            <w:tcW w:w="32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9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475,000</w:t>
            </w:r>
          </w:p>
        </w:tc>
        <w:tc>
          <w:tcPr>
            <w:tcW w:w="0" w:type="dxa"/>
            <w:vAlign w:val="bottom"/>
          </w:tcPr>
          <w:p>
            <w:pPr>
              <w:spacing w:after="0"/>
              <w:rPr>
                <w:sz w:val="1"/>
                <w:szCs w:val="1"/>
                <w:color w:val="auto"/>
              </w:rPr>
            </w:pPr>
          </w:p>
        </w:tc>
      </w:tr>
      <w:tr>
        <w:trPr>
          <w:trHeight w:val="22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Rallo</w:t>
            </w:r>
          </w:p>
        </w:tc>
        <w:tc>
          <w:tcPr>
            <w:tcW w:w="4360" w:type="dxa"/>
            <w:vAlign w:val="bottom"/>
            <w:gridSpan w:val="2"/>
          </w:tcPr>
          <w:p>
            <w:pPr>
              <w:jc w:val="center"/>
              <w:ind w:left="3176"/>
              <w:spacing w:after="0"/>
              <w:rPr>
                <w:sz w:val="20"/>
                <w:szCs w:val="20"/>
                <w:color w:val="auto"/>
              </w:rPr>
            </w:pPr>
            <w:r>
              <w:rPr>
                <w:rFonts w:ascii="Times New Roman" w:cs="Times New Roman" w:eastAsia="Times New Roman" w:hAnsi="Times New Roman"/>
                <w:sz w:val="17"/>
                <w:szCs w:val="17"/>
                <w:color w:val="auto"/>
              </w:rPr>
              <w:t>65</w:t>
            </w:r>
          </w:p>
        </w:tc>
        <w:tc>
          <w:tcPr>
            <w:tcW w:w="9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270,400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4360" w:type="dxa"/>
            <w:vAlign w:val="bottom"/>
            <w:gridSpan w:val="2"/>
            <w:shd w:val="clear" w:color="auto" w:fill="CCEEFF"/>
          </w:tcPr>
          <w:p>
            <w:pPr>
              <w:jc w:val="center"/>
              <w:ind w:left="3176"/>
              <w:spacing w:after="0"/>
              <w:rPr>
                <w:sz w:val="20"/>
                <w:szCs w:val="20"/>
                <w:color w:val="auto"/>
              </w:rPr>
            </w:pPr>
            <w:r>
              <w:rPr>
                <w:rFonts w:ascii="Times New Roman" w:cs="Times New Roman" w:eastAsia="Times New Roman" w:hAnsi="Times New Roman"/>
                <w:sz w:val="17"/>
                <w:szCs w:val="17"/>
                <w:color w:val="auto"/>
              </w:rPr>
              <w:t>55</w:t>
            </w: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220,000</w:t>
            </w:r>
          </w:p>
        </w:tc>
        <w:tc>
          <w:tcPr>
            <w:tcW w:w="0" w:type="dxa"/>
            <w:vAlign w:val="bottom"/>
          </w:tcPr>
          <w:p>
            <w:pPr>
              <w:spacing w:after="0"/>
              <w:rPr>
                <w:sz w:val="1"/>
                <w:szCs w:val="1"/>
                <w:color w:val="auto"/>
              </w:rPr>
            </w:pPr>
          </w:p>
        </w:tc>
      </w:tr>
      <w:tr>
        <w:trPr>
          <w:trHeight w:val="22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Leibel</w:t>
            </w:r>
          </w:p>
        </w:tc>
        <w:tc>
          <w:tcPr>
            <w:tcW w:w="4360" w:type="dxa"/>
            <w:vAlign w:val="bottom"/>
            <w:gridSpan w:val="2"/>
          </w:tcPr>
          <w:p>
            <w:pPr>
              <w:jc w:val="center"/>
              <w:ind w:left="3176"/>
              <w:spacing w:after="0"/>
              <w:rPr>
                <w:sz w:val="20"/>
                <w:szCs w:val="20"/>
                <w:color w:val="auto"/>
              </w:rPr>
            </w:pPr>
            <w:r>
              <w:rPr>
                <w:rFonts w:ascii="Times New Roman" w:cs="Times New Roman" w:eastAsia="Times New Roman" w:hAnsi="Times New Roman"/>
                <w:sz w:val="17"/>
                <w:szCs w:val="17"/>
                <w:color w:val="auto"/>
              </w:rPr>
              <w:t>50</w:t>
            </w:r>
          </w:p>
        </w:tc>
        <w:tc>
          <w:tcPr>
            <w:tcW w:w="9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Mayerhofer</w:t>
            </w:r>
          </w:p>
        </w:tc>
        <w:tc>
          <w:tcPr>
            <w:tcW w:w="4360" w:type="dxa"/>
            <w:vAlign w:val="bottom"/>
            <w:gridSpan w:val="2"/>
            <w:shd w:val="clear" w:color="auto" w:fill="CCEEFF"/>
          </w:tcPr>
          <w:p>
            <w:pPr>
              <w:jc w:val="center"/>
              <w:ind w:left="3176"/>
              <w:spacing w:after="0"/>
              <w:rPr>
                <w:sz w:val="20"/>
                <w:szCs w:val="20"/>
                <w:color w:val="auto"/>
              </w:rPr>
            </w:pPr>
            <w:r>
              <w:rPr>
                <w:rFonts w:ascii="Times New Roman" w:cs="Times New Roman" w:eastAsia="Times New Roman" w:hAnsi="Times New Roman"/>
                <w:sz w:val="17"/>
                <w:szCs w:val="17"/>
                <w:color w:val="auto"/>
              </w:rPr>
              <w:t>100</w:t>
            </w: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350,000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60" w:right="60" w:firstLine="413"/>
        <w:spacing w:after="0" w:line="253" w:lineRule="auto"/>
        <w:rPr>
          <w:sz w:val="20"/>
          <w:szCs w:val="20"/>
          <w:color w:val="auto"/>
        </w:rPr>
      </w:pPr>
      <w:r>
        <w:rPr>
          <w:rFonts w:ascii="Times New Roman" w:cs="Times New Roman" w:eastAsia="Times New Roman" w:hAnsi="Times New Roman"/>
          <w:sz w:val="17"/>
          <w:szCs w:val="17"/>
          <w:color w:val="auto"/>
        </w:rPr>
        <w:t>For 2023, our Board, upon the recommendation of the Compensation Committee, established total revenue and Adjusted EBITDA as the corporate performance goals applicable to the annual incentive bonus. The Compensation Committee chose these metrics because it believes that these goals represent rigorous objectives for our named executive officers, align with stockholder interests, and are the most impactful financial measures driving long-term stockholder value. Additionally, a weighting between corporate performance and individual performance is also applied for each named executive officer to reflect the level of impact such individual would be able to make on the overall corporate performance. The program permits the exercise of both negative and positive discretion based on the Compensation Committee’s view of overall corporate and individual performance within the context of challenges and opportunities confronted during the year.</w:t>
      </w:r>
    </w:p>
    <w:p>
      <w:pPr>
        <w:spacing w:after="0" w:line="178" w:lineRule="exact"/>
        <w:rPr>
          <w:sz w:val="20"/>
          <w:szCs w:val="20"/>
          <w:color w:val="auto"/>
        </w:rPr>
      </w:pPr>
    </w:p>
    <w:p>
      <w:pPr>
        <w:ind w:left="460" w:right="20" w:firstLine="413"/>
        <w:spacing w:after="0" w:line="258" w:lineRule="auto"/>
        <w:rPr>
          <w:sz w:val="20"/>
          <w:szCs w:val="20"/>
          <w:color w:val="auto"/>
        </w:rPr>
      </w:pPr>
      <w:r>
        <w:rPr>
          <w:rFonts w:ascii="Times New Roman" w:cs="Times New Roman" w:eastAsia="Times New Roman" w:hAnsi="Times New Roman"/>
          <w:sz w:val="17"/>
          <w:szCs w:val="17"/>
          <w:color w:val="auto"/>
        </w:rPr>
        <w:t>The table below sets forth (i) the relative weighting for each corporate performance goal and the individual performance component of the 2023 cash bonus awards, (ii) the threshold, target and maximum performance levels for each corporate performance goal, (iii) the actual performance level for each corporate performance goal and the individual performance component for each named executive officer and (iv) the total weighted payout as a percentage of each named executive officer’s 2023 target bonus opportunity.</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Goal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Weighted %</w:t>
            </w:r>
          </w:p>
        </w:tc>
        <w:tc>
          <w:tcPr>
            <w:tcW w:w="0" w:type="dxa"/>
            <w:vAlign w:val="bottom"/>
          </w:tcPr>
          <w:p>
            <w:pPr>
              <w:spacing w:after="0"/>
              <w:rPr>
                <w:sz w:val="1"/>
                <w:szCs w:val="1"/>
                <w:color w:val="auto"/>
              </w:rPr>
            </w:pPr>
          </w:p>
        </w:tc>
      </w:tr>
      <w:tr>
        <w:trPr>
          <w:trHeight w:val="139"/>
        </w:trPr>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Bonus Component</w:t>
            </w:r>
          </w:p>
        </w:tc>
        <w:tc>
          <w:tcPr>
            <w:tcW w:w="204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4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Payout of</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Weighting</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(20% Payout)</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(100% Payout)</w:t>
            </w: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(200% Payout)</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Target Award</w:t>
            </w:r>
          </w:p>
        </w:tc>
        <w:tc>
          <w:tcPr>
            <w:tcW w:w="0" w:type="dxa"/>
            <w:vAlign w:val="bottom"/>
          </w:tcPr>
          <w:p>
            <w:pPr>
              <w:spacing w:after="0"/>
              <w:rPr>
                <w:sz w:val="1"/>
                <w:szCs w:val="1"/>
                <w:color w:val="auto"/>
              </w:rPr>
            </w:pPr>
          </w:p>
        </w:tc>
      </w:tr>
      <w:tr>
        <w:trPr>
          <w:trHeight w:val="175"/>
        </w:trPr>
        <w:tc>
          <w:tcPr>
            <w:tcW w:w="312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Corporate Performance</w:t>
            </w: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Revenue(1)</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427.5M</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475.0M</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522.5M</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$463.4M</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Adjusted EBITDA(2)</w:t>
            </w: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(27.5M)</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(25.0M)</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(22.5M)</w:t>
            </w:r>
          </w:p>
        </w:tc>
        <w:tc>
          <w:tcPr>
            <w:tcW w:w="1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(27.5M)</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80%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40%</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Individual Performance(3)</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Randolph Altschuler</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15%</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James Rallo</w:t>
            </w: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w:t>
            </w:r>
          </w:p>
        </w:tc>
        <w:tc>
          <w:tcPr>
            <w:tcW w:w="0" w:type="dxa"/>
            <w:vAlign w:val="bottom"/>
          </w:tcPr>
          <w:p>
            <w:pPr>
              <w:spacing w:after="0"/>
              <w:rPr>
                <w:sz w:val="1"/>
                <w:szCs w:val="1"/>
                <w:color w:val="auto"/>
              </w:rPr>
            </w:pPr>
          </w:p>
        </w:tc>
      </w:tr>
      <w:tr>
        <w:trPr>
          <w:trHeight w:val="203"/>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Peter Goguen</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Matthew Leibel</w:t>
            </w: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w:t>
            </w:r>
          </w:p>
        </w:tc>
        <w:tc>
          <w:tcPr>
            <w:tcW w:w="0" w:type="dxa"/>
            <w:vAlign w:val="bottom"/>
          </w:tcPr>
          <w:p>
            <w:pPr>
              <w:spacing w:after="0"/>
              <w:rPr>
                <w:sz w:val="1"/>
                <w:szCs w:val="1"/>
                <w:color w:val="auto"/>
              </w:rPr>
            </w:pPr>
          </w:p>
        </w:tc>
      </w:tr>
      <w:tr>
        <w:trPr>
          <w:trHeight w:val="222"/>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Kathy Mayerhofer</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w:t>
            </w:r>
          </w:p>
        </w:tc>
        <w:tc>
          <w:tcPr>
            <w:tcW w:w="0" w:type="dxa"/>
            <w:vAlign w:val="bottom"/>
          </w:tcPr>
          <w:p>
            <w:pPr>
              <w:spacing w:after="0"/>
              <w:rPr>
                <w:sz w:val="1"/>
                <w:szCs w:val="1"/>
                <w:color w:val="auto"/>
              </w:rPr>
            </w:pPr>
          </w:p>
        </w:tc>
      </w:tr>
      <w:tr>
        <w:trPr>
          <w:trHeight w:val="321"/>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30</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62" w:right="7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282575</wp:posOffset>
            </wp:positionV>
            <wp:extent cx="723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60" w:right="420" w:hanging="403"/>
        <w:spacing w:after="0" w:line="258" w:lineRule="auto"/>
        <w:tabs>
          <w:tab w:leader="none" w:pos="8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means our consolidated revenue determined in a manner consistent with the GAAP methodology used for reporting in our financial statements, as may be adjusted.</w:t>
      </w:r>
    </w:p>
    <w:p>
      <w:pPr>
        <w:ind w:left="860" w:right="60" w:hanging="403"/>
        <w:spacing w:after="0" w:line="248" w:lineRule="auto"/>
        <w:tabs>
          <w:tab w:leader="none" w:pos="8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means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unconsolidated joint venture, impairment of assets, lease abandonment, restructuring charges, costs to exit the supplies business and acquisition and other adjustments not reflective of our ongoing business, such as adjustments related to purchase accounting, the revaluation of contingent consideration and transaction costs or other adjustments.</w:t>
      </w:r>
    </w:p>
    <w:p>
      <w:pPr>
        <w:spacing w:after="0" w:line="3" w:lineRule="exact"/>
        <w:rPr>
          <w:rFonts w:ascii="Times New Roman" w:cs="Times New Roman" w:eastAsia="Times New Roman" w:hAnsi="Times New Roman"/>
          <w:sz w:val="17"/>
          <w:szCs w:val="17"/>
          <w:color w:val="auto"/>
        </w:rPr>
      </w:pPr>
    </w:p>
    <w:p>
      <w:pPr>
        <w:ind w:left="860" w:right="100" w:hanging="403"/>
        <w:spacing w:after="0" w:line="251" w:lineRule="auto"/>
        <w:tabs>
          <w:tab w:leader="none" w:pos="8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Rallo achieved 50% and Mr. Altschuler achieved 75% of their respective individual performance components of the 2023 incentive bonus awards due to the material weakness that occurred in 2022 and the miss of certain metric targets. All other named executive officers achieved 100% of their individual performance components of the 2023 incentive bonus awards based on the Chief Executive Officer’s assessment of each named executive officer’s performance.</w:t>
      </w:r>
    </w:p>
    <w:p>
      <w:pPr>
        <w:spacing w:after="0" w:line="180" w:lineRule="exact"/>
        <w:rPr>
          <w:sz w:val="20"/>
          <w:szCs w:val="20"/>
          <w:color w:val="auto"/>
        </w:rPr>
      </w:pPr>
    </w:p>
    <w:p>
      <w:pPr>
        <w:ind w:left="460" w:right="120" w:firstLine="413"/>
        <w:spacing w:after="0" w:line="276" w:lineRule="auto"/>
        <w:rPr>
          <w:sz w:val="20"/>
          <w:szCs w:val="20"/>
          <w:color w:val="auto"/>
        </w:rPr>
      </w:pPr>
      <w:r>
        <w:rPr>
          <w:rFonts w:ascii="Times New Roman" w:cs="Times New Roman" w:eastAsia="Times New Roman" w:hAnsi="Times New Roman"/>
          <w:sz w:val="17"/>
          <w:szCs w:val="17"/>
          <w:color w:val="auto"/>
        </w:rPr>
        <w:t>In consideration of the foregoing, in March 2024, the Board approved an annual cash bonus payout for each named executive officer, as reflected in the table below.</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7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Annual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Payout of</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Payout of</w:t>
            </w:r>
          </w:p>
        </w:tc>
        <w:tc>
          <w:tcPr>
            <w:tcW w:w="7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Bonus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2023 Target</w:t>
            </w:r>
          </w:p>
        </w:tc>
        <w:tc>
          <w:tcPr>
            <w:tcW w:w="12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8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2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128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Individual</w:t>
            </w:r>
          </w:p>
        </w:tc>
        <w:tc>
          <w:tcPr>
            <w:tcW w:w="7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Payout</w:t>
            </w:r>
          </w:p>
        </w:tc>
        <w:tc>
          <w:tcPr>
            <w:tcW w:w="20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Annual</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7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Bonus</w:t>
            </w: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Component</w:t>
            </w:r>
          </w:p>
        </w:tc>
        <w:tc>
          <w:tcPr>
            <w:tcW w:w="128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28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Component</w:t>
            </w:r>
          </w:p>
        </w:tc>
        <w:tc>
          <w:tcPr>
            <w:tcW w:w="7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Target)</w:t>
            </w:r>
          </w:p>
        </w:tc>
        <w:tc>
          <w:tcPr>
            <w:tcW w:w="20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Bonus</w:t>
            </w:r>
          </w:p>
        </w:tc>
        <w:tc>
          <w:tcPr>
            <w:tcW w:w="0" w:type="dxa"/>
            <w:vAlign w:val="bottom"/>
          </w:tcPr>
          <w:p>
            <w:pPr>
              <w:spacing w:after="0"/>
              <w:rPr>
                <w:sz w:val="1"/>
                <w:szCs w:val="1"/>
                <w:color w:val="auto"/>
              </w:rPr>
            </w:pPr>
          </w:p>
        </w:tc>
      </w:tr>
      <w:tr>
        <w:trPr>
          <w:trHeight w:val="156"/>
        </w:trPr>
        <w:tc>
          <w:tcPr>
            <w:tcW w:w="340" w:type="dxa"/>
            <w:vAlign w:val="bottom"/>
            <w:tcBorders>
              <w:bottom w:val="single" w:sz="8" w:color="auto"/>
            </w:tcBorders>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Weighting</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9"/>
              </w:rPr>
              <w:t>(A)</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Weighting</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(B)</w:t>
            </w: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(A+B)</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20"/>
        </w:trPr>
        <w:tc>
          <w:tcPr>
            <w:tcW w:w="2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Randolph Altschuler</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ind w:left="40"/>
              <w:spacing w:after="0" w:line="188" w:lineRule="exact"/>
              <w:rPr>
                <w:sz w:val="20"/>
                <w:szCs w:val="20"/>
                <w:color w:val="auto"/>
              </w:rPr>
            </w:pPr>
            <w:r>
              <w:rPr>
                <w:rFonts w:ascii="Times New Roman" w:cs="Times New Roman" w:eastAsia="Times New Roman" w:hAnsi="Times New Roman"/>
                <w:sz w:val="17"/>
                <w:szCs w:val="17"/>
                <w:color w:val="auto"/>
                <w:w w:val="97"/>
              </w:rPr>
              <w:t>475,000</w:t>
            </w:r>
          </w:p>
        </w:tc>
        <w:tc>
          <w:tcPr>
            <w:tcW w:w="380" w:type="dxa"/>
            <w:vAlign w:val="bottom"/>
            <w:vMerge w:val="continue"/>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line="188" w:lineRule="exact"/>
              <w:rPr>
                <w:sz w:val="20"/>
                <w:szCs w:val="20"/>
                <w:color w:val="auto"/>
              </w:rPr>
            </w:pPr>
            <w:r>
              <w:rPr>
                <w:rFonts w:ascii="Times New Roman" w:cs="Times New Roman" w:eastAsia="Times New Roman" w:hAnsi="Times New Roman"/>
                <w:sz w:val="17"/>
                <w:szCs w:val="17"/>
                <w:color w:val="auto"/>
              </w:rPr>
              <w:t>80%</w:t>
            </w:r>
          </w:p>
        </w:tc>
        <w:tc>
          <w:tcPr>
            <w:tcW w:w="1280" w:type="dxa"/>
            <w:vAlign w:val="bottom"/>
            <w:gridSpan w:val="2"/>
            <w:shd w:val="clear" w:color="auto" w:fill="CCEEFF"/>
          </w:tcPr>
          <w:p>
            <w:pPr>
              <w:jc w:val="right"/>
              <w:ind w:right="380"/>
              <w:spacing w:after="0" w:line="188" w:lineRule="exact"/>
              <w:rPr>
                <w:sz w:val="20"/>
                <w:szCs w:val="20"/>
                <w:color w:val="auto"/>
              </w:rPr>
            </w:pPr>
            <w:r>
              <w:rPr>
                <w:rFonts w:ascii="Times New Roman" w:cs="Times New Roman" w:eastAsia="Times New Roman" w:hAnsi="Times New Roman"/>
                <w:sz w:val="17"/>
                <w:szCs w:val="17"/>
                <w:color w:val="auto"/>
              </w:rPr>
              <w:t>40%</w:t>
            </w:r>
          </w:p>
        </w:tc>
        <w:tc>
          <w:tcPr>
            <w:tcW w:w="1280" w:type="dxa"/>
            <w:vAlign w:val="bottom"/>
            <w:gridSpan w:val="2"/>
            <w:shd w:val="clear" w:color="auto" w:fill="CCEEFF"/>
          </w:tcPr>
          <w:p>
            <w:pPr>
              <w:jc w:val="right"/>
              <w:ind w:right="380"/>
              <w:spacing w:after="0" w:line="188" w:lineRule="exact"/>
              <w:rPr>
                <w:sz w:val="20"/>
                <w:szCs w:val="20"/>
                <w:color w:val="auto"/>
              </w:rPr>
            </w:pPr>
            <w:r>
              <w:rPr>
                <w:rFonts w:ascii="Times New Roman" w:cs="Times New Roman" w:eastAsia="Times New Roman" w:hAnsi="Times New Roman"/>
                <w:sz w:val="17"/>
                <w:szCs w:val="17"/>
                <w:color w:val="auto"/>
              </w:rPr>
              <w:t>20%</w:t>
            </w:r>
          </w:p>
        </w:tc>
        <w:tc>
          <w:tcPr>
            <w:tcW w:w="1280" w:type="dxa"/>
            <w:vAlign w:val="bottom"/>
            <w:gridSpan w:val="2"/>
            <w:shd w:val="clear" w:color="auto" w:fill="CCEEFF"/>
          </w:tcPr>
          <w:p>
            <w:pPr>
              <w:jc w:val="right"/>
              <w:ind w:right="380"/>
              <w:spacing w:after="0" w:line="188" w:lineRule="exact"/>
              <w:rPr>
                <w:sz w:val="20"/>
                <w:szCs w:val="20"/>
                <w:color w:val="auto"/>
              </w:rPr>
            </w:pPr>
            <w:r>
              <w:rPr>
                <w:rFonts w:ascii="Times New Roman" w:cs="Times New Roman" w:eastAsia="Times New Roman" w:hAnsi="Times New Roman"/>
                <w:sz w:val="17"/>
                <w:szCs w:val="17"/>
                <w:color w:val="auto"/>
              </w:rPr>
              <w:t>15%</w:t>
            </w:r>
          </w:p>
        </w:tc>
        <w:tc>
          <w:tcPr>
            <w:tcW w:w="76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7"/>
                <w:szCs w:val="17"/>
                <w:color w:val="auto"/>
              </w:rPr>
              <w:t>55%</w:t>
            </w:r>
          </w:p>
        </w:tc>
        <w:tc>
          <w:tcPr>
            <w:tcW w:w="200" w:type="dxa"/>
            <w:vAlign w:val="bottom"/>
            <w:vMerge w:val="continue"/>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$261,505</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Rallo</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270,400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80%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w:t>
            </w:r>
          </w:p>
        </w:tc>
        <w:tc>
          <w:tcPr>
            <w:tcW w:w="900" w:type="dxa"/>
            <w:vAlign w:val="bottom"/>
            <w:gridSpan w:val="2"/>
          </w:tcPr>
          <w:p>
            <w:pPr>
              <w:jc w:val="center"/>
              <w:ind w:left="59"/>
              <w:spacing w:after="0"/>
              <w:rPr>
                <w:sz w:val="20"/>
                <w:szCs w:val="20"/>
                <w:color w:val="auto"/>
              </w:rPr>
            </w:pPr>
            <w:r>
              <w:rPr>
                <w:rFonts w:ascii="Times New Roman" w:cs="Times New Roman" w:eastAsia="Times New Roman" w:hAnsi="Times New Roman"/>
                <w:sz w:val="17"/>
                <w:szCs w:val="17"/>
                <w:color w:val="auto"/>
              </w:rPr>
              <w:t>$135,251</w:t>
            </w: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220,000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80%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60%</w:t>
            </w:r>
          </w:p>
        </w:tc>
        <w:tc>
          <w:tcPr>
            <w:tcW w:w="900" w:type="dxa"/>
            <w:vAlign w:val="bottom"/>
            <w:tcBorders>
              <w:right w:val="single" w:sz="8" w:color="CCEEFF"/>
            </w:tcBorders>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7"/>
                <w:szCs w:val="17"/>
                <w:color w:val="auto"/>
              </w:rPr>
              <w:t>$132,000</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Leibel</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200,000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80%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w:t>
            </w:r>
          </w:p>
        </w:tc>
        <w:tc>
          <w:tcPr>
            <w:tcW w:w="900" w:type="dxa"/>
            <w:vAlign w:val="bottom"/>
            <w:gridSpan w:val="2"/>
          </w:tcPr>
          <w:p>
            <w:pPr>
              <w:jc w:val="center"/>
              <w:ind w:left="59"/>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Mayerhofer</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350,000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80%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60%</w:t>
            </w:r>
          </w:p>
        </w:tc>
        <w:tc>
          <w:tcPr>
            <w:tcW w:w="900" w:type="dxa"/>
            <w:vAlign w:val="bottom"/>
            <w:tcBorders>
              <w:right w:val="single" w:sz="8" w:color="CCEEFF"/>
            </w:tcBorders>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7"/>
                <w:szCs w:val="17"/>
                <w:color w:val="auto"/>
              </w:rPr>
              <w:t>$210,000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Equity-Based Incentive Awards</w:t>
      </w:r>
    </w:p>
    <w:p>
      <w:pPr>
        <w:spacing w:after="0" w:line="112" w:lineRule="exact"/>
        <w:rPr>
          <w:sz w:val="20"/>
          <w:szCs w:val="20"/>
          <w:color w:val="auto"/>
        </w:rPr>
      </w:pPr>
    </w:p>
    <w:p>
      <w:pPr>
        <w:ind w:left="460" w:right="60" w:firstLine="413"/>
        <w:spacing w:after="0" w:line="253" w:lineRule="auto"/>
        <w:rPr>
          <w:sz w:val="20"/>
          <w:szCs w:val="20"/>
          <w:color w:val="auto"/>
        </w:rPr>
      </w:pPr>
      <w:r>
        <w:rPr>
          <w:rFonts w:ascii="Times New Roman" w:cs="Times New Roman" w:eastAsia="Times New Roman" w:hAnsi="Times New Roman"/>
          <w:sz w:val="17"/>
          <w:szCs w:val="17"/>
          <w:color w:val="auto"/>
        </w:rPr>
        <w:t>Equity-based compensation is an important foundation in executive compensation packages, as we believe it is important to maintain a strong link between executive incentives and the creation of stockholder value. We believe that performance and equity-based compensation can be an important component of the total executive compensation package for maximizing stockholder value while, at the same time, attracting, motivating and retaining high-quality executives. Prior to our IPO, all of the equity awards we granted were made pursuant to our 2016 Incentive Plan (the “2016 Plan”). Following our IPO, all of the equity incentive awards have been and will be granted under the terms of our 2021 Equity Incentive Plan (the “2021 Plan”), under which we may grant equity incentive awards to our directors, employees and consultants, and our affiliates, to enable us to obtain and retain services of these individuals, which we believe is essential to our long-term success.</w:t>
      </w:r>
    </w:p>
    <w:p>
      <w:pPr>
        <w:spacing w:after="0" w:line="178" w:lineRule="exact"/>
        <w:rPr>
          <w:sz w:val="20"/>
          <w:szCs w:val="20"/>
          <w:color w:val="auto"/>
        </w:rPr>
      </w:pPr>
    </w:p>
    <w:p>
      <w:pPr>
        <w:ind w:left="460" w:right="180" w:firstLine="413"/>
        <w:spacing w:after="0" w:line="255" w:lineRule="auto"/>
        <w:rPr>
          <w:sz w:val="20"/>
          <w:szCs w:val="20"/>
          <w:color w:val="auto"/>
        </w:rPr>
      </w:pPr>
      <w:r>
        <w:rPr>
          <w:rFonts w:ascii="Times New Roman" w:cs="Times New Roman" w:eastAsia="Times New Roman" w:hAnsi="Times New Roman"/>
          <w:sz w:val="17"/>
          <w:szCs w:val="17"/>
          <w:color w:val="auto"/>
        </w:rPr>
        <w:t>Individual grants are determined by the Compensation Committee based on a number of factors, including current corporate and individual performance, the Chief Executive Officer’s recommendations for executive officers other than himself, outstanding equity holdings and their retention value and total ownership, historical value of our stock, the value of current equity awards of executives, and with reference to an analysis of competitive market data prepared by Meridian. Following this, the Compensation Committee recommends to the Board the size of individual grants to our executive officers.</w:t>
      </w:r>
    </w:p>
    <w:p>
      <w:pPr>
        <w:spacing w:after="0" w:line="177" w:lineRule="exact"/>
        <w:rPr>
          <w:sz w:val="20"/>
          <w:szCs w:val="20"/>
          <w:color w:val="auto"/>
        </w:rPr>
      </w:pPr>
    </w:p>
    <w:p>
      <w:pPr>
        <w:ind w:left="460" w:right="340" w:firstLine="413"/>
        <w:spacing w:after="0" w:line="258" w:lineRule="auto"/>
        <w:rPr>
          <w:sz w:val="20"/>
          <w:szCs w:val="20"/>
          <w:color w:val="auto"/>
        </w:rPr>
      </w:pPr>
      <w:r>
        <w:rPr>
          <w:rFonts w:ascii="Times New Roman" w:cs="Times New Roman" w:eastAsia="Times New Roman" w:hAnsi="Times New Roman"/>
          <w:sz w:val="17"/>
          <w:szCs w:val="17"/>
          <w:color w:val="auto"/>
        </w:rPr>
        <w:t>In 2023, as part of its annual process, the Compensation Committee reviewed our executive compensation program with Meridian to ensure it continues to achieve the goals of the program and remains competitive. Based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on its review, the Compensation Committee approved the use of a mixture of 50% stock options and 50%</w:t>
      </w:r>
    </w:p>
    <w:p>
      <w:pPr>
        <w:spacing w:after="0" w:line="1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800"/>
          </w:cols>
          <w:pgMar w:left="320" w:top="462" w:right="7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60"/>
        <w:spacing w:after="0" w:line="262" w:lineRule="auto"/>
        <w:rPr>
          <w:sz w:val="20"/>
          <w:szCs w:val="20"/>
          <w:color w:val="auto"/>
        </w:rPr>
      </w:pPr>
      <w:r>
        <w:rPr>
          <w:rFonts w:ascii="Times New Roman" w:cs="Times New Roman" w:eastAsia="Times New Roman" w:hAnsi="Times New Roman"/>
          <w:sz w:val="17"/>
          <w:szCs w:val="17"/>
          <w:color w:val="auto"/>
        </w:rPr>
        <w:t>restricted stock units (“RSUs”), consistent with 2022. In connection with its general review of our equity program, the Compensation Committee determined that such a mix of RSU and stock option awards as part of our executive officer’s equity compensation package would continue to have the effect of retaining and incentivizing our executive officers to grow the business in a way that increases stockholder value.</w:t>
      </w:r>
    </w:p>
    <w:p>
      <w:pPr>
        <w:spacing w:after="0" w:line="170" w:lineRule="exact"/>
        <w:rPr>
          <w:sz w:val="20"/>
          <w:szCs w:val="20"/>
          <w:color w:val="auto"/>
        </w:rPr>
      </w:pPr>
    </w:p>
    <w:p>
      <w:pPr>
        <w:ind w:left="460" w:right="80" w:firstLine="413"/>
        <w:spacing w:after="0" w:line="262" w:lineRule="auto"/>
        <w:rPr>
          <w:sz w:val="20"/>
          <w:szCs w:val="20"/>
          <w:color w:val="auto"/>
        </w:rPr>
      </w:pPr>
      <w:r>
        <w:rPr>
          <w:rFonts w:ascii="Times New Roman" w:cs="Times New Roman" w:eastAsia="Times New Roman" w:hAnsi="Times New Roman"/>
          <w:sz w:val="17"/>
          <w:szCs w:val="17"/>
          <w:color w:val="auto"/>
        </w:rPr>
        <w:t>In March 2023, the Compensation Committee recommended, and the Board approved, equity awards to our named executive officers using a mixture of stock options and RSUs. The number of stock options and RSUs received by each named executive officer was based on an aggregate grant value approved by the Board, split 50% in the form of stock options and 50% in the form of RSUs.</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sets forth the annual equity incentive awards granted to our named executive officers in 2023:</w:t>
      </w:r>
    </w:p>
    <w:p>
      <w:pPr>
        <w:spacing w:after="0" w:line="217"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60" w:type="dxa"/>
            <w:vAlign w:val="bottom"/>
            <w:gridSpan w:val="2"/>
            <w:vMerge w:val="restart"/>
          </w:tcPr>
          <w:p>
            <w:pPr>
              <w:ind w:left="332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6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RSUs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Aggregate Grant Date</w:t>
            </w:r>
          </w:p>
        </w:tc>
        <w:tc>
          <w:tcPr>
            <w:tcW w:w="0" w:type="dxa"/>
            <w:vAlign w:val="bottom"/>
          </w:tcPr>
          <w:p>
            <w:pPr>
              <w:spacing w:after="0"/>
              <w:rPr>
                <w:sz w:val="1"/>
                <w:szCs w:val="1"/>
                <w:color w:val="auto"/>
              </w:rPr>
            </w:pPr>
          </w:p>
        </w:tc>
      </w:tr>
      <w:tr>
        <w:trPr>
          <w:trHeight w:val="139"/>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41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4160" w:type="dxa"/>
            <w:vAlign w:val="bottom"/>
            <w:gridSpan w:val="2"/>
          </w:tcPr>
          <w:p>
            <w:pPr>
              <w:jc w:val="center"/>
              <w:ind w:left="3221"/>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100" w:type="dxa"/>
            <w:vAlign w:val="bottom"/>
            <w:gridSpan w:val="2"/>
          </w:tcPr>
          <w:p>
            <w:pPr>
              <w:jc w:val="center"/>
              <w:ind w:left="518"/>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6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Randolph Altschuler</w:t>
            </w:r>
          </w:p>
        </w:tc>
        <w:tc>
          <w:tcPr>
            <w:tcW w:w="3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29,407</w:t>
            </w:r>
          </w:p>
        </w:tc>
        <w:tc>
          <w:tcPr>
            <w:tcW w:w="1100" w:type="dxa"/>
            <w:vAlign w:val="bottom"/>
            <w:gridSpan w:val="2"/>
            <w:shd w:val="clear" w:color="auto" w:fill="CCEEFF"/>
          </w:tcPr>
          <w:p>
            <w:pPr>
              <w:jc w:val="center"/>
              <w:ind w:left="518"/>
              <w:spacing w:after="0"/>
              <w:rPr>
                <w:sz w:val="20"/>
                <w:szCs w:val="20"/>
                <w:color w:val="auto"/>
              </w:rPr>
            </w:pPr>
            <w:r>
              <w:rPr>
                <w:rFonts w:ascii="Times New Roman" w:cs="Times New Roman" w:eastAsia="Times New Roman" w:hAnsi="Times New Roman"/>
                <w:sz w:val="17"/>
                <w:szCs w:val="17"/>
                <w:color w:val="auto"/>
                <w:w w:val="98"/>
              </w:rPr>
              <w:t>19,715</w:t>
            </w: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646,288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Rallo</w:t>
            </w:r>
          </w:p>
        </w:tc>
        <w:tc>
          <w:tcPr>
            <w:tcW w:w="4160" w:type="dxa"/>
            <w:vAlign w:val="bottom"/>
            <w:gridSpan w:val="2"/>
          </w:tcPr>
          <w:p>
            <w:pPr>
              <w:jc w:val="center"/>
              <w:ind w:left="3221"/>
              <w:spacing w:after="0"/>
              <w:rPr>
                <w:sz w:val="20"/>
                <w:szCs w:val="20"/>
                <w:color w:val="auto"/>
              </w:rPr>
            </w:pPr>
            <w:r>
              <w:rPr>
                <w:rFonts w:ascii="Times New Roman" w:cs="Times New Roman" w:eastAsia="Times New Roman" w:hAnsi="Times New Roman"/>
                <w:sz w:val="17"/>
                <w:szCs w:val="17"/>
                <w:color w:val="auto"/>
                <w:w w:val="98"/>
              </w:rPr>
              <w:t>44,463</w:t>
            </w:r>
          </w:p>
        </w:tc>
        <w:tc>
          <w:tcPr>
            <w:tcW w:w="1100" w:type="dxa"/>
            <w:vAlign w:val="bottom"/>
            <w:gridSpan w:val="2"/>
          </w:tcPr>
          <w:p>
            <w:pPr>
              <w:jc w:val="center"/>
              <w:ind w:left="518"/>
              <w:spacing w:after="0"/>
              <w:rPr>
                <w:sz w:val="20"/>
                <w:szCs w:val="20"/>
                <w:color w:val="auto"/>
              </w:rPr>
            </w:pPr>
            <w:r>
              <w:rPr>
                <w:rFonts w:ascii="Times New Roman" w:cs="Times New Roman" w:eastAsia="Times New Roman" w:hAnsi="Times New Roman"/>
                <w:sz w:val="17"/>
                <w:szCs w:val="17"/>
                <w:color w:val="auto"/>
                <w:w w:val="98"/>
              </w:rPr>
              <w:t>29,809</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4160" w:type="dxa"/>
            <w:vAlign w:val="bottom"/>
            <w:gridSpan w:val="2"/>
            <w:shd w:val="clear" w:color="auto" w:fill="CCEEFF"/>
          </w:tcPr>
          <w:p>
            <w:pPr>
              <w:jc w:val="center"/>
              <w:ind w:left="3221"/>
              <w:spacing w:after="0"/>
              <w:rPr>
                <w:sz w:val="20"/>
                <w:szCs w:val="20"/>
                <w:color w:val="auto"/>
              </w:rPr>
            </w:pPr>
            <w:r>
              <w:rPr>
                <w:rFonts w:ascii="Times New Roman" w:cs="Times New Roman" w:eastAsia="Times New Roman" w:hAnsi="Times New Roman"/>
                <w:sz w:val="17"/>
                <w:szCs w:val="17"/>
                <w:color w:val="auto"/>
                <w:w w:val="98"/>
              </w:rPr>
              <w:t>32,465</w:t>
            </w:r>
          </w:p>
        </w:tc>
        <w:tc>
          <w:tcPr>
            <w:tcW w:w="1100" w:type="dxa"/>
            <w:vAlign w:val="bottom"/>
            <w:gridSpan w:val="2"/>
            <w:shd w:val="clear" w:color="auto" w:fill="CCEEFF"/>
          </w:tcPr>
          <w:p>
            <w:pPr>
              <w:jc w:val="center"/>
              <w:ind w:left="518"/>
              <w:spacing w:after="0"/>
              <w:rPr>
                <w:sz w:val="20"/>
                <w:szCs w:val="20"/>
                <w:color w:val="auto"/>
              </w:rPr>
            </w:pPr>
            <w:r>
              <w:rPr>
                <w:rFonts w:ascii="Times New Roman" w:cs="Times New Roman" w:eastAsia="Times New Roman" w:hAnsi="Times New Roman"/>
                <w:sz w:val="17"/>
                <w:szCs w:val="17"/>
                <w:color w:val="auto"/>
                <w:w w:val="98"/>
              </w:rPr>
              <w:t>21,765</w:t>
            </w: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713,492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Leibel</w:t>
            </w:r>
          </w:p>
        </w:tc>
        <w:tc>
          <w:tcPr>
            <w:tcW w:w="4160" w:type="dxa"/>
            <w:vAlign w:val="bottom"/>
            <w:gridSpan w:val="2"/>
          </w:tcPr>
          <w:p>
            <w:pPr>
              <w:jc w:val="center"/>
              <w:ind w:left="3221"/>
              <w:spacing w:after="0"/>
              <w:rPr>
                <w:sz w:val="20"/>
                <w:szCs w:val="20"/>
                <w:color w:val="auto"/>
              </w:rPr>
            </w:pPr>
            <w:r>
              <w:rPr>
                <w:rFonts w:ascii="Times New Roman" w:cs="Times New Roman" w:eastAsia="Times New Roman" w:hAnsi="Times New Roman"/>
                <w:sz w:val="17"/>
                <w:szCs w:val="17"/>
                <w:color w:val="auto"/>
                <w:w w:val="98"/>
              </w:rPr>
              <w:t>58,813</w:t>
            </w:r>
          </w:p>
        </w:tc>
        <w:tc>
          <w:tcPr>
            <w:tcW w:w="1100" w:type="dxa"/>
            <w:vAlign w:val="bottom"/>
            <w:gridSpan w:val="2"/>
          </w:tcPr>
          <w:p>
            <w:pPr>
              <w:jc w:val="center"/>
              <w:ind w:left="518"/>
              <w:spacing w:after="0"/>
              <w:rPr>
                <w:sz w:val="20"/>
                <w:szCs w:val="20"/>
                <w:color w:val="auto"/>
              </w:rPr>
            </w:pPr>
            <w:r>
              <w:rPr>
                <w:rFonts w:ascii="Times New Roman" w:cs="Times New Roman" w:eastAsia="Times New Roman" w:hAnsi="Times New Roman"/>
                <w:sz w:val="17"/>
                <w:szCs w:val="17"/>
                <w:color w:val="auto"/>
                <w:w w:val="98"/>
              </w:rPr>
              <w:t>39,430</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1,292,564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Mayerhofer</w:t>
            </w:r>
          </w:p>
        </w:tc>
        <w:tc>
          <w:tcPr>
            <w:tcW w:w="4160" w:type="dxa"/>
            <w:vAlign w:val="bottom"/>
            <w:gridSpan w:val="2"/>
            <w:shd w:val="clear" w:color="auto" w:fill="CCEEFF"/>
          </w:tcPr>
          <w:p>
            <w:pPr>
              <w:jc w:val="center"/>
              <w:ind w:left="3221"/>
              <w:spacing w:after="0"/>
              <w:rPr>
                <w:sz w:val="20"/>
                <w:szCs w:val="20"/>
                <w:color w:val="auto"/>
              </w:rPr>
            </w:pPr>
            <w:r>
              <w:rPr>
                <w:rFonts w:ascii="Times New Roman" w:cs="Times New Roman" w:eastAsia="Times New Roman" w:hAnsi="Times New Roman"/>
                <w:sz w:val="17"/>
                <w:szCs w:val="17"/>
                <w:color w:val="auto"/>
                <w:w w:val="98"/>
              </w:rPr>
              <w:t>27,877</w:t>
            </w:r>
          </w:p>
        </w:tc>
        <w:tc>
          <w:tcPr>
            <w:tcW w:w="1100" w:type="dxa"/>
            <w:vAlign w:val="bottom"/>
            <w:gridSpan w:val="2"/>
            <w:shd w:val="clear" w:color="auto" w:fill="CCEEFF"/>
          </w:tcPr>
          <w:p>
            <w:pPr>
              <w:jc w:val="center"/>
              <w:ind w:left="518"/>
              <w:spacing w:after="0"/>
              <w:rPr>
                <w:sz w:val="20"/>
                <w:szCs w:val="20"/>
                <w:color w:val="auto"/>
              </w:rPr>
            </w:pPr>
            <w:r>
              <w:rPr>
                <w:rFonts w:ascii="Times New Roman" w:cs="Times New Roman" w:eastAsia="Times New Roman" w:hAnsi="Times New Roman"/>
                <w:sz w:val="17"/>
                <w:szCs w:val="17"/>
                <w:color w:val="auto"/>
                <w:w w:val="98"/>
              </w:rPr>
              <w:t>18,690</w:t>
            </w: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612,674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right="280" w:hanging="403"/>
        <w:spacing w:after="0" w:line="258" w:lineRule="auto"/>
        <w:tabs>
          <w:tab w:leader="none" w:pos="8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vest over four years, with 25% of the total shares granted vesting on January 1, 2024 and the remainder vesting in equal quarterly installments for the three years thereafter, subject to the named executive officer’s continuous service through each such date.</w:t>
      </w:r>
    </w:p>
    <w:p>
      <w:pPr>
        <w:jc w:val="both"/>
        <w:ind w:left="860" w:hanging="403"/>
        <w:spacing w:after="0" w:line="253" w:lineRule="auto"/>
        <w:tabs>
          <w:tab w:leader="none" w:pos="8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Class A common stock underlying such RSUs vest over four years, with 25% of the total shares granted vesting on January 1, 2024 and the remainder vesting in equal quarterly installments for the three years thereafter, subject to the named executive officer’s continuous service through each such date.</w:t>
      </w:r>
    </w:p>
    <w:p>
      <w:pPr>
        <w:spacing w:after="0" w:line="176"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In March 2023, the Compensation Committee recommended, and the Board approved, a special one-time equity award for Mr. Goguen, our Chief Operating Officer, using a mixture of stock options and RSUs, for retention purposes. Mr. Goguen is a highly skilled executive in our industry and the Compensation Committee and the Board were concerned that the total value of Mr. Goguen’s equity holdings in Xometry prior to the grant of the special equity awards were below a level that was adequate for his retention. The aggregate grant value approved by the Board was split 50% in the form of stock options and 50% in the form of RSUs. The following table sets forth the special equity awards granted to Mr. Goguen in 2023:</w:t>
      </w:r>
    </w:p>
    <w:p>
      <w:pPr>
        <w:spacing w:after="0" w:line="184"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160" w:type="dxa"/>
            <w:vAlign w:val="bottom"/>
            <w:gridSpan w:val="2"/>
            <w:vMerge w:val="restart"/>
          </w:tcPr>
          <w:p>
            <w:pPr>
              <w:ind w:left="332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6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RSUs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Aggregate Grant Date</w:t>
            </w:r>
          </w:p>
        </w:tc>
        <w:tc>
          <w:tcPr>
            <w:tcW w:w="0" w:type="dxa"/>
            <w:vAlign w:val="bottom"/>
          </w:tcPr>
          <w:p>
            <w:pPr>
              <w:spacing w:after="0"/>
              <w:rPr>
                <w:sz w:val="1"/>
                <w:szCs w:val="1"/>
                <w:color w:val="auto"/>
              </w:rPr>
            </w:pPr>
          </w:p>
        </w:tc>
      </w:tr>
      <w:tr>
        <w:trPr>
          <w:trHeight w:val="139"/>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41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4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4160" w:type="dxa"/>
            <w:vAlign w:val="bottom"/>
            <w:gridSpan w:val="2"/>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(#)(1)</w:t>
            </w:r>
          </w:p>
        </w:tc>
        <w:tc>
          <w:tcPr>
            <w:tcW w:w="110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w:t>
            </w:r>
          </w:p>
        </w:tc>
        <w:tc>
          <w:tcPr>
            <w:tcW w:w="6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3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58,813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39,430</w:t>
            </w: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1,292,564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1" w:lineRule="exact"/>
        <w:rPr>
          <w:sz w:val="20"/>
          <w:szCs w:val="20"/>
          <w:color w:val="auto"/>
        </w:rPr>
      </w:pPr>
    </w:p>
    <w:p>
      <w:pPr>
        <w:ind w:left="860" w:right="280" w:hanging="403"/>
        <w:spacing w:after="0" w:line="258" w:lineRule="auto"/>
        <w:tabs>
          <w:tab w:leader="none" w:pos="8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vest over four years, with 25% of the total shares granted vesting on March 15, 2024 and the remainder vesting in equal quarterly installments for the three years thereafter, subject to Mr. Goguen’s continuous service through each such date.</w:t>
      </w:r>
    </w:p>
    <w:p>
      <w:pPr>
        <w:ind w:left="860" w:right="40" w:hanging="403"/>
        <w:spacing w:after="0" w:line="253" w:lineRule="auto"/>
        <w:tabs>
          <w:tab w:leader="none" w:pos="8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Class A common stock underlying such RSUs vest over four years, with 25% of the total shares granted vesting on March 15, 2024 and the remainder vesting in equal quarterly installments for the three years thereafter, subject to Mr. Goguen’s continuous service through each such date.</w:t>
      </w:r>
    </w:p>
    <w:p>
      <w:pPr>
        <w:spacing w:after="0" w:line="176" w:lineRule="exact"/>
        <w:rPr>
          <w:sz w:val="20"/>
          <w:szCs w:val="20"/>
          <w:color w:val="auto"/>
        </w:rPr>
      </w:pPr>
    </w:p>
    <w:p>
      <w:pPr>
        <w:ind w:left="460" w:right="40" w:firstLine="413"/>
        <w:spacing w:after="0" w:line="255" w:lineRule="auto"/>
        <w:rPr>
          <w:sz w:val="20"/>
          <w:szCs w:val="20"/>
          <w:color w:val="auto"/>
        </w:rPr>
      </w:pPr>
      <w:r>
        <w:rPr>
          <w:rFonts w:ascii="Times New Roman" w:cs="Times New Roman" w:eastAsia="Times New Roman" w:hAnsi="Times New Roman"/>
          <w:sz w:val="17"/>
          <w:szCs w:val="17"/>
          <w:color w:val="auto"/>
        </w:rPr>
        <w:t>In March 2024, the Compensation Committee introduced performance restricted stock units (“PSUs”) into our long-term incentive compensation program for 2024. PSUs are intended to further our pay-for-performance philosophy by incentivizing long-term value creation and strong financial performance, and further aligning the interests of our named executive officers with those of our stockholders. The PSUs are eligible to be earned upon achievement of certain corporate and financial performance metrics, to be measured as of the end of fiscal 2024, and, once earned based on performance, are subject to an additional time-based vesting period. One-third of the</w:t>
      </w:r>
    </w:p>
    <w:p>
      <w:pPr>
        <w:spacing w:after="0" w:line="1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720"/>
          </w:cols>
          <w:pgMar w:left="320" w:top="462" w:right="8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100"/>
        <w:spacing w:after="0" w:line="255" w:lineRule="auto"/>
        <w:rPr>
          <w:sz w:val="20"/>
          <w:szCs w:val="20"/>
          <w:color w:val="auto"/>
        </w:rPr>
      </w:pPr>
      <w:r>
        <w:rPr>
          <w:rFonts w:ascii="Times New Roman" w:cs="Times New Roman" w:eastAsia="Times New Roman" w:hAnsi="Times New Roman"/>
          <w:sz w:val="17"/>
          <w:szCs w:val="17"/>
          <w:color w:val="auto"/>
        </w:rPr>
        <w:t>PSUs that are earned based on performance will vest when the Compensation Committee certifies achievement of the performance goals, and the remainder of the PSUs will vest in equal annual installments on the first and second anniversaries of the performance certification date, subject to the recipient’s continued service. For 2024, the Board did not issue stock options to our named executive officers; rather, the number of RSUs and PSUs received by each named executive officer was based on an aggregate grant value approved by the Board, split 50% in the form of RSUs and 50% in the form of PSUs.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Features of Our Compensation Program</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Employment Offer Letters</w:t>
      </w:r>
    </w:p>
    <w:p>
      <w:pPr>
        <w:spacing w:after="0" w:line="112" w:lineRule="exact"/>
        <w:rPr>
          <w:sz w:val="20"/>
          <w:szCs w:val="20"/>
          <w:color w:val="auto"/>
        </w:rPr>
      </w:pPr>
    </w:p>
    <w:p>
      <w:pPr>
        <w:ind w:left="460" w:right="80" w:firstLine="413"/>
        <w:spacing w:after="0" w:line="258" w:lineRule="auto"/>
        <w:rPr>
          <w:sz w:val="20"/>
          <w:szCs w:val="20"/>
          <w:color w:val="auto"/>
        </w:rPr>
      </w:pPr>
      <w:r>
        <w:rPr>
          <w:rFonts w:ascii="Times New Roman" w:cs="Times New Roman" w:eastAsia="Times New Roman" w:hAnsi="Times New Roman"/>
          <w:sz w:val="17"/>
          <w:szCs w:val="17"/>
          <w:color w:val="auto"/>
        </w:rPr>
        <w:t>We have entered into offer letters with each of our named executive officers. Each of these agreements established the named executive officer’s starting base salary, initial target annual bonus opportunity and initial equity grant. These individuals’ base salaries, annual bonus opportunities and any equity awards are reviewed annually by the Compensation Committee. The amounts effective for 2023 are described above in this Compensation Discussion and Analysis.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Severance and Change in Control Benefits</w:t>
      </w:r>
    </w:p>
    <w:p>
      <w:pPr>
        <w:spacing w:after="0" w:line="112" w:lineRule="exact"/>
        <w:rPr>
          <w:sz w:val="20"/>
          <w:szCs w:val="20"/>
          <w:color w:val="auto"/>
        </w:rPr>
      </w:pPr>
    </w:p>
    <w:p>
      <w:pPr>
        <w:ind w:left="460" w:right="40" w:firstLine="413"/>
        <w:spacing w:after="0" w:line="269" w:lineRule="auto"/>
        <w:rPr>
          <w:sz w:val="20"/>
          <w:szCs w:val="20"/>
          <w:color w:val="auto"/>
        </w:rPr>
      </w:pPr>
      <w:r>
        <w:rPr>
          <w:rFonts w:ascii="Times New Roman" w:cs="Times New Roman" w:eastAsia="Times New Roman" w:hAnsi="Times New Roman"/>
          <w:sz w:val="16"/>
          <w:szCs w:val="16"/>
          <w:color w:val="auto"/>
        </w:rPr>
        <w:t>Pursuant to the employment agreements we have entered into with each of our named executive officers (other than Mr. Leibel), each executive will be entitled to certain payments and benefits upon a qualifying termination of employment or a change in control. The agreements provide that if the executive resigns for Good Reason or we terminate such executive’s employment without Cause (each as defined in his employment agreement) not in connection with a Change in Control (as defined in the 2021 Plan), then the executive will be eligible to receive the following severance benefits:</w:t>
      </w:r>
    </w:p>
    <w:p>
      <w:pPr>
        <w:spacing w:after="0" w:line="1" w:lineRule="exact"/>
        <w:rPr>
          <w:sz w:val="20"/>
          <w:szCs w:val="20"/>
          <w:color w:val="auto"/>
        </w:rPr>
      </w:pPr>
    </w:p>
    <w:p>
      <w:pPr>
        <w:ind w:left="460" w:hanging="3"/>
        <w:spacing w:after="0" w:line="249" w:lineRule="auto"/>
        <w:tabs>
          <w:tab w:leader="none" w:pos="69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twelve months (with respect to Messrs. Altschuler and Rallo) or six months (with respect to Mr. Goguen and Ms. Mayerhofer) of base salary, less applicable tax withholdings and paid in accordance with our regular payroll practices; (2) an amount equal to the executive’s prorated annual performance bonus for the calendar year in which the termination occurs, calculated based on the number of days the executive was employed during the applicable calendar year, less applicable tax withholdings; and (3) up to twelve months (with respect to Messrs. Altschuler and Rallo) or six months (with respect to Mr. Goguen and Ms. Mayerhofer) of the employer portion of COBRA premiums paid by us. In addition, if the executive resigns for Good Reason or we terminate such executive’s employment without Cause within three months prior to or twelve months following the effective date of a Change in Control, then the executive will also be eligible to receive the following severance benefits: (1) an amount equal to 100% (with respect to Messrs. Altschuler and Rallo) or 50% (with respect to Mr. Goguen and Ms. Mayerhofer) of the executive’s target annual performance bonus for the calendar year in which the termination occurs, less applicable tax withholdings; and (2) all of the outstanding and unvested time-based equity awards the executive held immediately prior to the termination date will become fully vested and immediately exercisable. As a condition to receiving the severance benefits set forth above, the executive must sign and comply with a separation agreement in a form presented by us, containing among other terms a general release of claims.</w:t>
      </w:r>
    </w:p>
    <w:p>
      <w:pPr>
        <w:spacing w:after="0" w:line="185" w:lineRule="exact"/>
        <w:rPr>
          <w:sz w:val="20"/>
          <w:szCs w:val="20"/>
          <w:color w:val="auto"/>
        </w:rPr>
      </w:pPr>
    </w:p>
    <w:p>
      <w:pPr>
        <w:ind w:left="460" w:right="160" w:firstLine="413"/>
        <w:spacing w:after="0" w:line="268" w:lineRule="auto"/>
        <w:rPr>
          <w:sz w:val="20"/>
          <w:szCs w:val="20"/>
          <w:color w:val="auto"/>
        </w:rPr>
      </w:pPr>
      <w:r>
        <w:rPr>
          <w:rFonts w:ascii="Times New Roman" w:cs="Times New Roman" w:eastAsia="Times New Roman" w:hAnsi="Times New Roman"/>
          <w:sz w:val="16"/>
          <w:szCs w:val="16"/>
          <w:color w:val="auto"/>
        </w:rPr>
        <w:t>Mr. Leibel is subject to our corporate severance program (the “Severance Program”), which provides for specified payments and benefits to eligible employees whose positions are eliminated or whose employment is terminated other than for performance-related issues, misconduct or other for-cause reasons. If Mr. Leibel is terminated in accordance with a reduction in the number of employees due to a reduction in force or downsizing, change in strategy or job elimination (as determined by Xometry) then he will be eligible to receive the following severance benefits: (1) equivalent to 1.5 weeks’ base pay for each year of continuous service to Xometry, not to exceed the lesser of (i) 16 weeks’ base pay, or (ii) the limit under</w:t>
      </w:r>
    </w:p>
    <w:p>
      <w:pPr>
        <w:spacing w:after="0" w:line="2" w:lineRule="exact"/>
        <w:rPr>
          <w:sz w:val="20"/>
          <w:szCs w:val="20"/>
          <w:color w:val="auto"/>
        </w:rPr>
      </w:pPr>
    </w:p>
    <w:p>
      <w:pPr>
        <w:ind w:left="460" w:right="40"/>
        <w:spacing w:after="0" w:line="251" w:lineRule="auto"/>
        <w:rPr>
          <w:sz w:val="20"/>
          <w:szCs w:val="20"/>
          <w:color w:val="auto"/>
        </w:rPr>
      </w:pPr>
      <w:r>
        <w:rPr>
          <w:rFonts w:ascii="Times New Roman" w:cs="Times New Roman" w:eastAsia="Times New Roman" w:hAnsi="Times New Roman"/>
          <w:sz w:val="17"/>
          <w:szCs w:val="17"/>
          <w:color w:val="auto"/>
        </w:rPr>
        <w:t>Section 401(a)(17) of the Internal Revenue Code for the year in which termination occurs; and (2) if COBRA is elected, for tenure of three years or less, COBRA premiums for two months; tenure of four to seven years, COBRA premiums for three months; and tenure of eight or more years, COBRA premiums for four months. As a condition to receiving the severance benefits set forth above, Mr. Leibel must sign and comply with a separation agreement in a form presented by us, containing among other terms a general release of claims.</w:t>
      </w:r>
    </w:p>
    <w:p>
      <w:pPr>
        <w:spacing w:after="0" w:line="1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780"/>
          </w:cols>
          <w:pgMar w:left="320" w:top="462" w:right="7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260" w:firstLine="413"/>
        <w:spacing w:after="0" w:line="276" w:lineRule="auto"/>
        <w:rPr>
          <w:sz w:val="20"/>
          <w:szCs w:val="20"/>
          <w:color w:val="auto"/>
        </w:rPr>
      </w:pPr>
      <w:r>
        <w:rPr>
          <w:rFonts w:ascii="Times New Roman" w:cs="Times New Roman" w:eastAsia="Times New Roman" w:hAnsi="Times New Roman"/>
          <w:sz w:val="17"/>
          <w:szCs w:val="17"/>
          <w:color w:val="auto"/>
        </w:rPr>
        <w:t>A more detailed description of each of our named executive officer’s payment and benefits upon a termination or change in control is provided below under “Potential Payments upon Termination or Change in Control.”</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Health and Welfare and Retirement Benefits; Perquisites</w:t>
      </w:r>
    </w:p>
    <w:p>
      <w:pPr>
        <w:spacing w:after="0" w:line="112" w:lineRule="exact"/>
        <w:rPr>
          <w:sz w:val="20"/>
          <w:szCs w:val="20"/>
          <w:color w:val="auto"/>
        </w:rPr>
      </w:pPr>
    </w:p>
    <w:p>
      <w:pPr>
        <w:ind w:left="460" w:right="160" w:firstLine="413"/>
        <w:spacing w:after="0" w:line="255" w:lineRule="auto"/>
        <w:rPr>
          <w:sz w:val="20"/>
          <w:szCs w:val="20"/>
          <w:color w:val="auto"/>
        </w:rPr>
      </w:pPr>
      <w:r>
        <w:rPr>
          <w:rFonts w:ascii="Times New Roman" w:cs="Times New Roman" w:eastAsia="Times New Roman" w:hAnsi="Times New Roman"/>
          <w:sz w:val="17"/>
          <w:szCs w:val="17"/>
          <w:color w:val="auto"/>
        </w:rPr>
        <w:t>We do not generally provide perquisites or personal benefits to our named executive officers. Our named executive officers are eligible to participate in all of our benefit plans, such as a 401(k) plan (as described below), medical, dental, vision, disability and life insurance, in each case generally on the same basis as other employees. We do not currently have qualified or nonqualified defined benefit plans or deferred compensation plans, nor do we offer pension or other retirement benefits, other than our 401(k) plan. The Compensation Committee may elect to adopt such plans in the future if it determines that doing so is in our best interests.</w:t>
      </w:r>
    </w:p>
    <w:p>
      <w:pPr>
        <w:spacing w:after="0" w:line="177" w:lineRule="exact"/>
        <w:rPr>
          <w:sz w:val="20"/>
          <w:szCs w:val="20"/>
          <w:color w:val="auto"/>
        </w:rPr>
      </w:pPr>
    </w:p>
    <w:p>
      <w:pPr>
        <w:ind w:left="460" w:right="120" w:firstLine="413"/>
        <w:spacing w:after="0" w:line="254" w:lineRule="auto"/>
        <w:rPr>
          <w:sz w:val="20"/>
          <w:szCs w:val="20"/>
          <w:color w:val="auto"/>
        </w:rPr>
      </w:pPr>
      <w:r>
        <w:rPr>
          <w:rFonts w:ascii="Times New Roman" w:cs="Times New Roman" w:eastAsia="Times New Roman" w:hAnsi="Times New Roman"/>
          <w:sz w:val="17"/>
          <w:szCs w:val="17"/>
          <w:color w:val="auto"/>
        </w:rPr>
        <w:t>We provide a retirement savings plan for the benefit of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Compensation Policies and Practices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Compensation Recoupment (“Clawback”) Policy</w:t>
      </w:r>
    </w:p>
    <w:p>
      <w:pPr>
        <w:spacing w:after="0" w:line="112" w:lineRule="exact"/>
        <w:rPr>
          <w:sz w:val="20"/>
          <w:szCs w:val="20"/>
          <w:color w:val="auto"/>
        </w:rPr>
      </w:pPr>
    </w:p>
    <w:p>
      <w:pPr>
        <w:ind w:left="460" w:firstLine="413"/>
        <w:spacing w:after="0" w:line="252" w:lineRule="auto"/>
        <w:rPr>
          <w:sz w:val="20"/>
          <w:szCs w:val="20"/>
          <w:color w:val="auto"/>
        </w:rPr>
      </w:pPr>
      <w:r>
        <w:rPr>
          <w:rFonts w:ascii="Times New Roman" w:cs="Times New Roman" w:eastAsia="Times New Roman" w:hAnsi="Times New Roman"/>
          <w:sz w:val="17"/>
          <w:szCs w:val="17"/>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as amended. Additionally, in October 2023, we adopted an Incentive Compensation Recoupment Policy (the “Recoupment Policy”) that complies with the new listing standards adopted by Nasdaq that implement the new SEC rules under the Dodd-Frank Wall Street Reform and Consumer Protection Act relating to recoupment of incentive-based compensation. The Recoupment Policy requires us to recover from covered executive officers the amount of erroneously awarded incentive-based compensation resulting from an accounting restatement due to our material noncompliance with any financial reporting requirement under the securities laws, subject to limited exceptions.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Hedging and Pledging of Securities</w:t>
      </w:r>
    </w:p>
    <w:p>
      <w:pPr>
        <w:spacing w:after="0" w:line="112" w:lineRule="exact"/>
        <w:rPr>
          <w:sz w:val="20"/>
          <w:szCs w:val="20"/>
          <w:color w:val="auto"/>
        </w:rPr>
      </w:pPr>
    </w:p>
    <w:p>
      <w:pPr>
        <w:ind w:left="460" w:right="100" w:firstLine="413"/>
        <w:spacing w:after="0" w:line="253" w:lineRule="auto"/>
        <w:rPr>
          <w:sz w:val="20"/>
          <w:szCs w:val="20"/>
          <w:color w:val="auto"/>
        </w:rPr>
      </w:pPr>
      <w:r>
        <w:rPr>
          <w:rFonts w:ascii="Times New Roman" w:cs="Times New Roman" w:eastAsia="Times New Roman" w:hAnsi="Times New Roman"/>
          <w:sz w:val="17"/>
          <w:szCs w:val="17"/>
          <w:color w:val="auto"/>
        </w:rPr>
        <w:t>We believe it is improper and inappropriate for any person associated with Xometry to engage in short-term or speculative transactions involving Xometry securities. We have therefore adopted an insider trading policy that, among other things, prohibits our employees, directors, other applicable members of management, including our named executive officers, and designated consultants from engaging in “hedging” or other monetization transactions with respect to our common stock, including through the use of financial instruments such as prepaid variable forwards, equity swaps, collars and exchange funds.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Compensation Policies and Practices as They Relate to Risk Management</w:t>
      </w:r>
    </w:p>
    <w:p>
      <w:pPr>
        <w:spacing w:after="0" w:line="112" w:lineRule="exact"/>
        <w:rPr>
          <w:sz w:val="20"/>
          <w:szCs w:val="20"/>
          <w:color w:val="auto"/>
        </w:rPr>
      </w:pPr>
    </w:p>
    <w:p>
      <w:pPr>
        <w:jc w:val="both"/>
        <w:ind w:left="460" w:right="60" w:firstLine="413"/>
        <w:spacing w:after="0" w:line="286" w:lineRule="auto"/>
        <w:rPr>
          <w:sz w:val="20"/>
          <w:szCs w:val="20"/>
          <w:color w:val="auto"/>
        </w:rPr>
      </w:pPr>
      <w:r>
        <w:rPr>
          <w:rFonts w:ascii="Times New Roman" w:cs="Times New Roman" w:eastAsia="Times New Roman" w:hAnsi="Times New Roman"/>
          <w:sz w:val="16"/>
          <w:szCs w:val="16"/>
          <w:color w:val="auto"/>
        </w:rPr>
        <w:t>The Compensation Committee reviews on an annual basis the risks arising from our compensation policies and practices applicable to our named executive officers and evaluates the policies and practices that could mitigate any such risk. Based on these reviews, the Compensation Committee does not believe that our compensation policies and practices create risks that are reasonably likely to have a material adverse effect on our company.</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780"/>
          </w:cols>
          <w:pgMar w:left="320" w:top="462" w:right="7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2" w:lineRule="exact"/>
        <w:rPr>
          <w:sz w:val="20"/>
          <w:szCs w:val="20"/>
          <w:color w:val="auto"/>
        </w:rPr>
      </w:pPr>
    </w:p>
    <w:p>
      <w:pPr>
        <w:ind w:left="460" w:right="260" w:firstLine="413"/>
        <w:spacing w:after="0" w:line="276" w:lineRule="auto"/>
        <w:rPr>
          <w:sz w:val="20"/>
          <w:szCs w:val="20"/>
          <w:color w:val="auto"/>
        </w:rPr>
      </w:pPr>
      <w:r>
        <w:rPr>
          <w:rFonts w:ascii="Times New Roman" w:cs="Times New Roman" w:eastAsia="Times New Roman" w:hAnsi="Times New Roman"/>
          <w:sz w:val="17"/>
          <w:szCs w:val="17"/>
          <w:color w:val="auto"/>
        </w:rPr>
        <w:t>The following table sets forth information for each of the last three completed fiscal years regarding compensation awarded to or earned by our named executive officers during the years indicated:</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0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1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5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90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2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20" w:type="dxa"/>
            <w:vAlign w:val="bottom"/>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w:t>
            </w:r>
          </w:p>
        </w:tc>
        <w:tc>
          <w:tcPr>
            <w:tcW w:w="16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20" w:type="dxa"/>
            <w:vAlign w:val="bottom"/>
            <w:tcBorders>
              <w:top w:val="single" w:sz="8" w:color="DBF3FF"/>
            </w:tcBorders>
            <w:gridSpan w:val="2"/>
            <w:shd w:val="clear" w:color="auto" w:fill="DBF3FF"/>
          </w:tcPr>
          <w:p>
            <w:pPr>
              <w:spacing w:after="0" w:line="188" w:lineRule="exact"/>
              <w:rPr>
                <w:sz w:val="20"/>
                <w:szCs w:val="20"/>
                <w:color w:val="auto"/>
              </w:rPr>
            </w:pPr>
            <w:r>
              <w:rPr>
                <w:rFonts w:ascii="Times New Roman" w:cs="Times New Roman" w:eastAsia="Times New Roman" w:hAnsi="Times New Roman"/>
                <w:sz w:val="17"/>
                <w:szCs w:val="17"/>
                <w:color w:val="auto"/>
              </w:rPr>
              <w:t>Randolph Altschuler</w:t>
            </w:r>
          </w:p>
        </w:tc>
        <w:tc>
          <w:tcPr>
            <w:tcW w:w="100" w:type="dxa"/>
            <w:vAlign w:val="bottom"/>
            <w:tcBorders>
              <w:top w:val="single" w:sz="8" w:color="DBF3FF"/>
            </w:tcBorders>
            <w:shd w:val="clear" w:color="auto" w:fill="DBF3FF"/>
          </w:tcPr>
          <w:p>
            <w:pPr>
              <w:spacing w:after="0"/>
              <w:rPr>
                <w:sz w:val="16"/>
                <w:szCs w:val="16"/>
                <w:color w:val="auto"/>
              </w:rPr>
            </w:pPr>
          </w:p>
        </w:tc>
        <w:tc>
          <w:tcPr>
            <w:tcW w:w="400" w:type="dxa"/>
            <w:vAlign w:val="bottom"/>
            <w:tcBorders>
              <w:top w:val="single" w:sz="8" w:color="auto"/>
            </w:tcBorders>
            <w:shd w:val="clear" w:color="auto" w:fill="DBF3FF"/>
          </w:tcPr>
          <w:p>
            <w:pPr>
              <w:ind w:left="60"/>
              <w:spacing w:after="0" w:line="188" w:lineRule="exact"/>
              <w:rPr>
                <w:sz w:val="20"/>
                <w:szCs w:val="20"/>
                <w:color w:val="auto"/>
              </w:rPr>
            </w:pPr>
            <w:r>
              <w:rPr>
                <w:rFonts w:ascii="Times New Roman" w:cs="Times New Roman" w:eastAsia="Times New Roman" w:hAnsi="Times New Roman"/>
                <w:sz w:val="17"/>
                <w:szCs w:val="17"/>
                <w:color w:val="auto"/>
                <w:w w:val="93"/>
              </w:rPr>
              <w:t>2023</w:t>
            </w:r>
          </w:p>
        </w:tc>
        <w:tc>
          <w:tcPr>
            <w:tcW w:w="160" w:type="dxa"/>
            <w:vAlign w:val="bottom"/>
            <w:tcBorders>
              <w:top w:val="single" w:sz="8" w:color="DBF3FF"/>
            </w:tcBorders>
            <w:shd w:val="clear" w:color="auto" w:fill="DBF3FF"/>
          </w:tcPr>
          <w:p>
            <w:pPr>
              <w:spacing w:after="0"/>
              <w:rPr>
                <w:sz w:val="16"/>
                <w:szCs w:val="16"/>
                <w:color w:val="auto"/>
              </w:rPr>
            </w:pPr>
          </w:p>
        </w:tc>
        <w:tc>
          <w:tcPr>
            <w:tcW w:w="620" w:type="dxa"/>
            <w:vAlign w:val="bottom"/>
            <w:tcBorders>
              <w:top w:val="single" w:sz="8" w:color="auto"/>
            </w:tcBorders>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475,000</w:t>
            </w:r>
          </w:p>
        </w:tc>
        <w:tc>
          <w:tcPr>
            <w:tcW w:w="140" w:type="dxa"/>
            <w:vAlign w:val="bottom"/>
            <w:tcBorders>
              <w:top w:val="single" w:sz="8" w:color="DBF3FF"/>
            </w:tcBorders>
            <w:shd w:val="clear" w:color="auto" w:fill="DBF3FF"/>
          </w:tcPr>
          <w:p>
            <w:pPr>
              <w:spacing w:after="0"/>
              <w:rPr>
                <w:sz w:val="16"/>
                <w:szCs w:val="16"/>
                <w:color w:val="auto"/>
              </w:rPr>
            </w:pPr>
          </w:p>
        </w:tc>
        <w:tc>
          <w:tcPr>
            <w:tcW w:w="760" w:type="dxa"/>
            <w:vAlign w:val="bottom"/>
            <w:tcBorders>
              <w:top w:val="single" w:sz="8" w:color="auto"/>
            </w:tcBorders>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311,891</w:t>
            </w:r>
          </w:p>
        </w:tc>
        <w:tc>
          <w:tcPr>
            <w:tcW w:w="160" w:type="dxa"/>
            <w:vAlign w:val="bottom"/>
            <w:tcBorders>
              <w:top w:val="single" w:sz="8" w:color="DBF3FF"/>
            </w:tcBorders>
            <w:shd w:val="clear" w:color="auto" w:fill="DBF3FF"/>
          </w:tcPr>
          <w:p>
            <w:pPr>
              <w:spacing w:after="0"/>
              <w:rPr>
                <w:sz w:val="16"/>
                <w:szCs w:val="16"/>
                <w:color w:val="auto"/>
              </w:rPr>
            </w:pPr>
          </w:p>
        </w:tc>
        <w:tc>
          <w:tcPr>
            <w:tcW w:w="760" w:type="dxa"/>
            <w:vAlign w:val="bottom"/>
            <w:tcBorders>
              <w:top w:val="single" w:sz="8" w:color="auto"/>
            </w:tcBorders>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334,396</w:t>
            </w:r>
          </w:p>
        </w:tc>
        <w:tc>
          <w:tcPr>
            <w:tcW w:w="140" w:type="dxa"/>
            <w:vAlign w:val="bottom"/>
            <w:tcBorders>
              <w:top w:val="single" w:sz="8" w:color="DBF3FF"/>
            </w:tcBorders>
            <w:shd w:val="clear" w:color="auto" w:fill="DBF3FF"/>
          </w:tcPr>
          <w:p>
            <w:pPr>
              <w:spacing w:after="0"/>
              <w:rPr>
                <w:sz w:val="16"/>
                <w:szCs w:val="16"/>
                <w:color w:val="auto"/>
              </w:rPr>
            </w:pPr>
          </w:p>
        </w:tc>
        <w:tc>
          <w:tcPr>
            <w:tcW w:w="860" w:type="dxa"/>
            <w:vAlign w:val="bottom"/>
            <w:tcBorders>
              <w:top w:val="single" w:sz="8" w:color="auto"/>
            </w:tcBorders>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261,505</w:t>
            </w:r>
          </w:p>
        </w:tc>
        <w:tc>
          <w:tcPr>
            <w:tcW w:w="160" w:type="dxa"/>
            <w:vAlign w:val="bottom"/>
            <w:tcBorders>
              <w:top w:val="single" w:sz="8" w:color="DBF3FF"/>
            </w:tcBorders>
            <w:shd w:val="clear" w:color="auto" w:fill="DBF3FF"/>
          </w:tcPr>
          <w:p>
            <w:pPr>
              <w:spacing w:after="0"/>
              <w:rPr>
                <w:sz w:val="16"/>
                <w:szCs w:val="16"/>
                <w:color w:val="auto"/>
              </w:rPr>
            </w:pPr>
          </w:p>
        </w:tc>
        <w:tc>
          <w:tcPr>
            <w:tcW w:w="860" w:type="dxa"/>
            <w:vAlign w:val="bottom"/>
            <w:tcBorders>
              <w:top w:val="single" w:sz="8" w:color="auto"/>
            </w:tcBorders>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1,271</w:t>
            </w:r>
          </w:p>
        </w:tc>
        <w:tc>
          <w:tcPr>
            <w:tcW w:w="160" w:type="dxa"/>
            <w:vAlign w:val="bottom"/>
            <w:tcBorders>
              <w:top w:val="single" w:sz="8" w:color="DBF3FF"/>
            </w:tcBorders>
            <w:shd w:val="clear" w:color="auto" w:fill="DBF3FF"/>
          </w:tcPr>
          <w:p>
            <w:pPr>
              <w:spacing w:after="0"/>
              <w:rPr>
                <w:sz w:val="16"/>
                <w:szCs w:val="16"/>
                <w:color w:val="auto"/>
              </w:rPr>
            </w:pPr>
          </w:p>
        </w:tc>
        <w:tc>
          <w:tcPr>
            <w:tcW w:w="760" w:type="dxa"/>
            <w:vAlign w:val="bottom"/>
            <w:tcBorders>
              <w:top w:val="single" w:sz="8" w:color="auto"/>
            </w:tcBorders>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1,384,063</w:t>
            </w:r>
          </w:p>
        </w:tc>
        <w:tc>
          <w:tcPr>
            <w:tcW w:w="80" w:type="dxa"/>
            <w:vAlign w:val="bottom"/>
            <w:tcBorders>
              <w:top w:val="single" w:sz="8" w:color="DBF3FF"/>
            </w:tcBorders>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DBF3FF"/>
          </w:tcPr>
          <w:p>
            <w:pPr>
              <w:ind w:left="340"/>
              <w:spacing w:after="0"/>
              <w:rPr>
                <w:sz w:val="20"/>
                <w:szCs w:val="20"/>
                <w:color w:val="auto"/>
              </w:rPr>
            </w:pPr>
            <w:r>
              <w:rPr>
                <w:rFonts w:ascii="Times New Roman" w:cs="Times New Roman" w:eastAsia="Times New Roman" w:hAnsi="Times New Roman"/>
                <w:sz w:val="17"/>
                <w:szCs w:val="17"/>
                <w:i w:val="1"/>
                <w:iCs w:val="1"/>
                <w:color w:val="auto"/>
              </w:rPr>
              <w:t>Co-Founder and Chief Executive Officer</w:t>
            </w:r>
          </w:p>
        </w:tc>
        <w:tc>
          <w:tcPr>
            <w:tcW w:w="100" w:type="dxa"/>
            <w:vAlign w:val="bottom"/>
            <w:shd w:val="clear" w:color="auto" w:fill="DBF3FF"/>
          </w:tcPr>
          <w:p>
            <w:pPr>
              <w:spacing w:after="0"/>
              <w:rPr>
                <w:sz w:val="17"/>
                <w:szCs w:val="17"/>
                <w:color w:val="auto"/>
              </w:rPr>
            </w:pPr>
          </w:p>
        </w:tc>
        <w:tc>
          <w:tcPr>
            <w:tcW w:w="560" w:type="dxa"/>
            <w:vAlign w:val="bottom"/>
            <w:gridSpan w:val="2"/>
            <w:shd w:val="clear" w:color="auto" w:fill="DBF3FF"/>
          </w:tcPr>
          <w:p>
            <w:pPr>
              <w:ind w:left="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461,250</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1,656,512</w:t>
            </w: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1,656,490</w:t>
            </w:r>
          </w:p>
        </w:tc>
        <w:tc>
          <w:tcPr>
            <w:tcW w:w="140" w:type="dxa"/>
            <w:vAlign w:val="bottom"/>
            <w:shd w:val="clear" w:color="auto" w:fill="DBF3FF"/>
          </w:tcPr>
          <w:p>
            <w:pPr>
              <w:spacing w:after="0"/>
              <w:rPr>
                <w:sz w:val="17"/>
                <w:szCs w:val="17"/>
                <w:color w:val="auto"/>
              </w:rPr>
            </w:pPr>
          </w:p>
        </w:tc>
        <w:tc>
          <w:tcPr>
            <w:tcW w:w="1020" w:type="dxa"/>
            <w:vAlign w:val="bottom"/>
            <w:gridSpan w:val="2"/>
            <w:shd w:val="clear" w:color="auto" w:fill="DBF3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3,775,410</w:t>
            </w: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DBF3FF"/>
          </w:tcPr>
          <w:p>
            <w:pPr>
              <w:spacing w:after="0"/>
              <w:rPr>
                <w:sz w:val="17"/>
                <w:szCs w:val="17"/>
                <w:color w:val="auto"/>
              </w:rPr>
            </w:pPr>
          </w:p>
        </w:tc>
        <w:tc>
          <w:tcPr>
            <w:tcW w:w="2560" w:type="dxa"/>
            <w:vAlign w:val="bottom"/>
            <w:shd w:val="clear" w:color="auto" w:fill="DBF3FF"/>
          </w:tcPr>
          <w:p>
            <w:pPr>
              <w:spacing w:after="0"/>
              <w:rPr>
                <w:sz w:val="17"/>
                <w:szCs w:val="17"/>
                <w:color w:val="auto"/>
              </w:rPr>
            </w:pPr>
          </w:p>
        </w:tc>
        <w:tc>
          <w:tcPr>
            <w:tcW w:w="100" w:type="dxa"/>
            <w:vAlign w:val="bottom"/>
            <w:shd w:val="clear" w:color="auto" w:fill="DBF3FF"/>
          </w:tcPr>
          <w:p>
            <w:pPr>
              <w:spacing w:after="0"/>
              <w:rPr>
                <w:sz w:val="17"/>
                <w:szCs w:val="17"/>
                <w:color w:val="auto"/>
              </w:rPr>
            </w:pPr>
          </w:p>
        </w:tc>
        <w:tc>
          <w:tcPr>
            <w:tcW w:w="560" w:type="dxa"/>
            <w:vAlign w:val="bottom"/>
            <w:gridSpan w:val="2"/>
            <w:shd w:val="clear" w:color="auto" w:fill="DBF3FF"/>
          </w:tcPr>
          <w:p>
            <w:pPr>
              <w:ind w:left="60"/>
              <w:spacing w:after="0"/>
              <w:rPr>
                <w:sz w:val="20"/>
                <w:szCs w:val="20"/>
                <w:color w:val="auto"/>
              </w:rPr>
            </w:pPr>
            <w:r>
              <w:rPr>
                <w:rFonts w:ascii="Times New Roman" w:cs="Times New Roman" w:eastAsia="Times New Roman" w:hAnsi="Times New Roman"/>
                <w:sz w:val="17"/>
                <w:szCs w:val="17"/>
                <w:color w:val="auto"/>
              </w:rPr>
              <w:t>2021</w:t>
            </w:r>
          </w:p>
        </w:tc>
        <w:tc>
          <w:tcPr>
            <w:tcW w:w="76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310,000</w:t>
            </w:r>
          </w:p>
        </w:tc>
        <w:tc>
          <w:tcPr>
            <w:tcW w:w="920" w:type="dxa"/>
            <w:vAlign w:val="bottom"/>
            <w:gridSpan w:val="2"/>
            <w:shd w:val="clear" w:color="auto" w:fill="DBF3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2,778,161</w:t>
            </w:r>
          </w:p>
        </w:tc>
        <w:tc>
          <w:tcPr>
            <w:tcW w:w="140" w:type="dxa"/>
            <w:vAlign w:val="bottom"/>
            <w:shd w:val="clear" w:color="auto" w:fill="DBF3FF"/>
          </w:tcPr>
          <w:p>
            <w:pPr>
              <w:spacing w:after="0"/>
              <w:rPr>
                <w:sz w:val="17"/>
                <w:szCs w:val="17"/>
                <w:color w:val="auto"/>
              </w:rPr>
            </w:pPr>
          </w:p>
        </w:tc>
        <w:tc>
          <w:tcPr>
            <w:tcW w:w="102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211,152</w:t>
            </w:r>
          </w:p>
        </w:tc>
        <w:tc>
          <w:tcPr>
            <w:tcW w:w="8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3,303,032</w:t>
            </w: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2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James Rallo(5)</w:t>
            </w:r>
          </w:p>
        </w:tc>
        <w:tc>
          <w:tcPr>
            <w:tcW w:w="100" w:type="dxa"/>
            <w:vAlign w:val="bottom"/>
          </w:tcPr>
          <w:p>
            <w:pPr>
              <w:spacing w:after="0"/>
              <w:rPr>
                <w:sz w:val="15"/>
                <w:szCs w:val="15"/>
                <w:color w:val="auto"/>
              </w:rPr>
            </w:pPr>
          </w:p>
        </w:tc>
        <w:tc>
          <w:tcPr>
            <w:tcW w:w="5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7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7"/>
                <w:szCs w:val="17"/>
                <w:color w:val="auto"/>
              </w:rPr>
              <w:t>416,000</w:t>
            </w:r>
          </w:p>
        </w:tc>
        <w:tc>
          <w:tcPr>
            <w:tcW w:w="92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7"/>
                <w:szCs w:val="17"/>
                <w:color w:val="auto"/>
              </w:rPr>
              <w:t>471,578</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505,603</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7"/>
                <w:szCs w:val="17"/>
                <w:color w:val="auto"/>
              </w:rPr>
              <w:t>135,251</w:t>
            </w:r>
          </w:p>
        </w:tc>
        <w:tc>
          <w:tcPr>
            <w:tcW w:w="102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7"/>
                <w:szCs w:val="17"/>
                <w:color w:val="auto"/>
              </w:rPr>
              <w:t>12,587</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1,541,019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7"/>
                <w:szCs w:val="17"/>
                <w:i w:val="1"/>
                <w:iCs w:val="1"/>
                <w:color w:val="auto"/>
              </w:rPr>
              <w:t>Former Chief Financial Officer</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406,291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756,009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755,997</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11,694</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1,929,991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2021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346,635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195,267</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148,406</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11,204</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701,512</w:t>
            </w: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660" w:type="dxa"/>
            <w:vAlign w:val="bottom"/>
            <w:gridSpan w:val="3"/>
            <w:shd w:val="clear" w:color="auto" w:fill="DBF3FF"/>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76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400,000</w:t>
            </w:r>
          </w:p>
        </w:tc>
        <w:tc>
          <w:tcPr>
            <w:tcW w:w="920" w:type="dxa"/>
            <w:vAlign w:val="bottom"/>
            <w:gridSpan w:val="2"/>
            <w:shd w:val="clear" w:color="auto" w:fill="DBF3FF"/>
          </w:tcPr>
          <w:p>
            <w:pPr>
              <w:jc w:val="right"/>
              <w:ind w:right="160"/>
              <w:spacing w:after="0"/>
              <w:rPr>
                <w:sz w:val="20"/>
                <w:szCs w:val="20"/>
                <w:color w:val="auto"/>
              </w:rPr>
            </w:pPr>
            <w:r>
              <w:rPr>
                <w:rFonts w:ascii="Times New Roman" w:cs="Times New Roman" w:eastAsia="Times New Roman" w:hAnsi="Times New Roman"/>
                <w:sz w:val="17"/>
                <w:szCs w:val="17"/>
                <w:color w:val="auto"/>
              </w:rPr>
              <w:t>968,105</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1,037,951</w:t>
            </w:r>
          </w:p>
        </w:tc>
        <w:tc>
          <w:tcPr>
            <w:tcW w:w="140" w:type="dxa"/>
            <w:vAlign w:val="bottom"/>
            <w:shd w:val="clear" w:color="auto" w:fill="DBF3FF"/>
          </w:tcPr>
          <w:p>
            <w:pPr>
              <w:spacing w:after="0"/>
              <w:rPr>
                <w:sz w:val="17"/>
                <w:szCs w:val="17"/>
                <w:color w:val="auto"/>
              </w:rPr>
            </w:pPr>
          </w:p>
        </w:tc>
        <w:tc>
          <w:tcPr>
            <w:tcW w:w="102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132,000</w:t>
            </w:r>
          </w:p>
        </w:tc>
        <w:tc>
          <w:tcPr>
            <w:tcW w:w="1020" w:type="dxa"/>
            <w:vAlign w:val="bottom"/>
            <w:gridSpan w:val="2"/>
            <w:shd w:val="clear" w:color="auto" w:fill="DBF3FF"/>
          </w:tcPr>
          <w:p>
            <w:pPr>
              <w:jc w:val="right"/>
              <w:ind w:right="160"/>
              <w:spacing w:after="0"/>
              <w:rPr>
                <w:sz w:val="20"/>
                <w:szCs w:val="20"/>
                <w:color w:val="auto"/>
              </w:rPr>
            </w:pPr>
            <w:r>
              <w:rPr>
                <w:rFonts w:ascii="Times New Roman" w:cs="Times New Roman" w:eastAsia="Times New Roman" w:hAnsi="Times New Roman"/>
                <w:sz w:val="17"/>
                <w:szCs w:val="17"/>
                <w:color w:val="auto"/>
              </w:rPr>
              <w:t>608</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2,538,664</w:t>
            </w: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DBF3FF"/>
          </w:tcPr>
          <w:p>
            <w:pPr>
              <w:ind w:left="34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100" w:type="dxa"/>
            <w:vAlign w:val="bottom"/>
            <w:shd w:val="clear" w:color="auto" w:fill="DBF3FF"/>
          </w:tcPr>
          <w:p>
            <w:pPr>
              <w:spacing w:after="0"/>
              <w:rPr>
                <w:sz w:val="17"/>
                <w:szCs w:val="17"/>
                <w:color w:val="auto"/>
              </w:rPr>
            </w:pPr>
          </w:p>
        </w:tc>
        <w:tc>
          <w:tcPr>
            <w:tcW w:w="560" w:type="dxa"/>
            <w:vAlign w:val="bottom"/>
            <w:gridSpan w:val="2"/>
            <w:shd w:val="clear" w:color="auto" w:fill="DBF3FF"/>
          </w:tcPr>
          <w:p>
            <w:pPr>
              <w:ind w:left="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361,929</w:t>
            </w:r>
          </w:p>
        </w:tc>
        <w:tc>
          <w:tcPr>
            <w:tcW w:w="920" w:type="dxa"/>
            <w:vAlign w:val="bottom"/>
            <w:gridSpan w:val="2"/>
            <w:shd w:val="clear" w:color="auto" w:fill="DBF3FF"/>
          </w:tcPr>
          <w:p>
            <w:pPr>
              <w:jc w:val="right"/>
              <w:ind w:right="160"/>
              <w:spacing w:after="0"/>
              <w:rPr>
                <w:sz w:val="20"/>
                <w:szCs w:val="20"/>
                <w:color w:val="auto"/>
              </w:rPr>
            </w:pPr>
            <w:r>
              <w:rPr>
                <w:rFonts w:ascii="Times New Roman" w:cs="Times New Roman" w:eastAsia="Times New Roman" w:hAnsi="Times New Roman"/>
                <w:sz w:val="17"/>
                <w:szCs w:val="17"/>
                <w:color w:val="auto"/>
              </w:rPr>
              <w:t>552,008</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551,988</w:t>
            </w:r>
          </w:p>
        </w:tc>
        <w:tc>
          <w:tcPr>
            <w:tcW w:w="140" w:type="dxa"/>
            <w:vAlign w:val="bottom"/>
            <w:shd w:val="clear" w:color="auto" w:fill="DBF3FF"/>
          </w:tcPr>
          <w:p>
            <w:pPr>
              <w:spacing w:after="0"/>
              <w:rPr>
                <w:sz w:val="17"/>
                <w:szCs w:val="17"/>
                <w:color w:val="auto"/>
              </w:rPr>
            </w:pPr>
          </w:p>
        </w:tc>
        <w:tc>
          <w:tcPr>
            <w:tcW w:w="1020" w:type="dxa"/>
            <w:vAlign w:val="bottom"/>
            <w:gridSpan w:val="2"/>
            <w:shd w:val="clear" w:color="auto" w:fill="DBF3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DBF3FF"/>
          </w:tcPr>
          <w:p>
            <w:pPr>
              <w:jc w:val="right"/>
              <w:ind w:right="160"/>
              <w:spacing w:after="0"/>
              <w:rPr>
                <w:sz w:val="20"/>
                <w:szCs w:val="20"/>
                <w:color w:val="auto"/>
              </w:rPr>
            </w:pPr>
            <w:r>
              <w:rPr>
                <w:rFonts w:ascii="Times New Roman" w:cs="Times New Roman" w:eastAsia="Times New Roman" w:hAnsi="Times New Roman"/>
                <w:sz w:val="17"/>
                <w:szCs w:val="17"/>
                <w:color w:val="auto"/>
              </w:rPr>
              <w:t>108</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1,466,033</w:t>
            </w: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DBF3FF"/>
          </w:tcPr>
          <w:p>
            <w:pPr>
              <w:spacing w:after="0"/>
              <w:rPr>
                <w:sz w:val="17"/>
                <w:szCs w:val="17"/>
                <w:color w:val="auto"/>
              </w:rPr>
            </w:pPr>
          </w:p>
        </w:tc>
        <w:tc>
          <w:tcPr>
            <w:tcW w:w="2560" w:type="dxa"/>
            <w:vAlign w:val="bottom"/>
            <w:shd w:val="clear" w:color="auto" w:fill="DBF3FF"/>
          </w:tcPr>
          <w:p>
            <w:pPr>
              <w:spacing w:after="0"/>
              <w:rPr>
                <w:sz w:val="17"/>
                <w:szCs w:val="17"/>
                <w:color w:val="auto"/>
              </w:rPr>
            </w:pPr>
          </w:p>
        </w:tc>
        <w:tc>
          <w:tcPr>
            <w:tcW w:w="100" w:type="dxa"/>
            <w:vAlign w:val="bottom"/>
            <w:shd w:val="clear" w:color="auto" w:fill="DBF3FF"/>
          </w:tcPr>
          <w:p>
            <w:pPr>
              <w:spacing w:after="0"/>
              <w:rPr>
                <w:sz w:val="17"/>
                <w:szCs w:val="17"/>
                <w:color w:val="auto"/>
              </w:rPr>
            </w:pPr>
          </w:p>
        </w:tc>
        <w:tc>
          <w:tcPr>
            <w:tcW w:w="560" w:type="dxa"/>
            <w:vAlign w:val="bottom"/>
            <w:gridSpan w:val="2"/>
            <w:shd w:val="clear" w:color="auto" w:fill="DBF3FF"/>
          </w:tcPr>
          <w:p>
            <w:pPr>
              <w:ind w:left="60"/>
              <w:spacing w:after="0"/>
              <w:rPr>
                <w:sz w:val="20"/>
                <w:szCs w:val="20"/>
                <w:color w:val="auto"/>
              </w:rPr>
            </w:pPr>
            <w:r>
              <w:rPr>
                <w:rFonts w:ascii="Times New Roman" w:cs="Times New Roman" w:eastAsia="Times New Roman" w:hAnsi="Times New Roman"/>
                <w:sz w:val="17"/>
                <w:szCs w:val="17"/>
                <w:color w:val="auto"/>
              </w:rPr>
              <w:t>2021</w:t>
            </w:r>
          </w:p>
        </w:tc>
        <w:tc>
          <w:tcPr>
            <w:tcW w:w="76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345,232</w:t>
            </w:r>
          </w:p>
        </w:tc>
        <w:tc>
          <w:tcPr>
            <w:tcW w:w="920" w:type="dxa"/>
            <w:vAlign w:val="bottom"/>
            <w:gridSpan w:val="2"/>
            <w:shd w:val="clear" w:color="auto" w:fill="DBF3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976,335</w:t>
            </w:r>
          </w:p>
        </w:tc>
        <w:tc>
          <w:tcPr>
            <w:tcW w:w="140" w:type="dxa"/>
            <w:vAlign w:val="bottom"/>
            <w:shd w:val="clear" w:color="auto" w:fill="DBF3FF"/>
          </w:tcPr>
          <w:p>
            <w:pPr>
              <w:spacing w:after="0"/>
              <w:rPr>
                <w:sz w:val="17"/>
                <w:szCs w:val="17"/>
                <w:color w:val="auto"/>
              </w:rPr>
            </w:pPr>
          </w:p>
        </w:tc>
        <w:tc>
          <w:tcPr>
            <w:tcW w:w="102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122,924</w:t>
            </w:r>
          </w:p>
        </w:tc>
        <w:tc>
          <w:tcPr>
            <w:tcW w:w="8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150,267</w:t>
            </w: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1,594,768</w:t>
            </w: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2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Matthew Leibel</w:t>
            </w:r>
          </w:p>
        </w:tc>
        <w:tc>
          <w:tcPr>
            <w:tcW w:w="100" w:type="dxa"/>
            <w:vAlign w:val="bottom"/>
          </w:tcPr>
          <w:p>
            <w:pPr>
              <w:spacing w:after="0"/>
              <w:rPr>
                <w:sz w:val="15"/>
                <w:szCs w:val="15"/>
                <w:color w:val="auto"/>
              </w:rPr>
            </w:pPr>
          </w:p>
        </w:tc>
        <w:tc>
          <w:tcPr>
            <w:tcW w:w="5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7"/>
                <w:szCs w:val="17"/>
                <w:color w:val="auto"/>
              </w:rPr>
              <w:t>2023</w:t>
            </w:r>
          </w:p>
        </w:tc>
        <w:tc>
          <w:tcPr>
            <w:tcW w:w="7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7"/>
                <w:szCs w:val="17"/>
                <w:color w:val="auto"/>
              </w:rPr>
              <w:t>400,000</w:t>
            </w:r>
          </w:p>
        </w:tc>
        <w:tc>
          <w:tcPr>
            <w:tcW w:w="92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7"/>
                <w:szCs w:val="17"/>
                <w:color w:val="auto"/>
              </w:rPr>
              <w:t>623,783</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668,781</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7"/>
                <w:szCs w:val="17"/>
                <w:color w:val="auto"/>
              </w:rPr>
              <w:t>120,000</w:t>
            </w:r>
          </w:p>
        </w:tc>
        <w:tc>
          <w:tcPr>
            <w:tcW w:w="102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7"/>
                <w:szCs w:val="17"/>
                <w:color w:val="auto"/>
              </w:rPr>
              <w:t>14,062</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1,826,626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7"/>
                <w:szCs w:val="17"/>
                <w:i w:val="1"/>
                <w:iCs w:val="1"/>
                <w:color w:val="auto"/>
              </w:rPr>
              <w:t>Chief Technology Officer</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332,231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529,001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528,987</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64,378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10,186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1,464,783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Kathy Mayerhofer</w:t>
            </w:r>
          </w:p>
        </w:tc>
        <w:tc>
          <w:tcPr>
            <w:tcW w:w="660" w:type="dxa"/>
            <w:vAlign w:val="bottom"/>
            <w:gridSpan w:val="3"/>
            <w:shd w:val="clear" w:color="auto" w:fill="DBF3FF"/>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76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350,000</w:t>
            </w:r>
          </w:p>
        </w:tc>
        <w:tc>
          <w:tcPr>
            <w:tcW w:w="920" w:type="dxa"/>
            <w:vAlign w:val="bottom"/>
            <w:gridSpan w:val="2"/>
            <w:shd w:val="clear" w:color="auto" w:fill="DBF3FF"/>
          </w:tcPr>
          <w:p>
            <w:pPr>
              <w:jc w:val="right"/>
              <w:ind w:right="160"/>
              <w:spacing w:after="0"/>
              <w:rPr>
                <w:sz w:val="20"/>
                <w:szCs w:val="20"/>
                <w:color w:val="auto"/>
              </w:rPr>
            </w:pPr>
            <w:r>
              <w:rPr>
                <w:rFonts w:ascii="Times New Roman" w:cs="Times New Roman" w:eastAsia="Times New Roman" w:hAnsi="Times New Roman"/>
                <w:sz w:val="17"/>
                <w:szCs w:val="17"/>
                <w:color w:val="auto"/>
              </w:rPr>
              <w:t>295,676</w:t>
            </w: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316,998</w:t>
            </w:r>
          </w:p>
        </w:tc>
        <w:tc>
          <w:tcPr>
            <w:tcW w:w="140" w:type="dxa"/>
            <w:vAlign w:val="bottom"/>
            <w:shd w:val="clear" w:color="auto" w:fill="DBF3FF"/>
          </w:tcPr>
          <w:p>
            <w:pPr>
              <w:spacing w:after="0"/>
              <w:rPr>
                <w:sz w:val="17"/>
                <w:szCs w:val="17"/>
                <w:color w:val="auto"/>
              </w:rPr>
            </w:pPr>
          </w:p>
        </w:tc>
        <w:tc>
          <w:tcPr>
            <w:tcW w:w="1020" w:type="dxa"/>
            <w:vAlign w:val="bottom"/>
            <w:gridSpan w:val="2"/>
            <w:shd w:val="clear" w:color="auto" w:fill="DBF3FF"/>
          </w:tcPr>
          <w:p>
            <w:pPr>
              <w:jc w:val="right"/>
              <w:ind w:right="140"/>
              <w:spacing w:after="0"/>
              <w:rPr>
                <w:sz w:val="20"/>
                <w:szCs w:val="20"/>
                <w:color w:val="auto"/>
              </w:rPr>
            </w:pPr>
            <w:r>
              <w:rPr>
                <w:rFonts w:ascii="Times New Roman" w:cs="Times New Roman" w:eastAsia="Times New Roman" w:hAnsi="Times New Roman"/>
                <w:sz w:val="17"/>
                <w:szCs w:val="17"/>
                <w:color w:val="auto"/>
              </w:rPr>
              <w:t>210,000</w:t>
            </w:r>
          </w:p>
        </w:tc>
        <w:tc>
          <w:tcPr>
            <w:tcW w:w="8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6,207</w:t>
            </w: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1,178,881</w:t>
            </w: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shd w:val="clear" w:color="auto" w:fill="DBF3FF"/>
          </w:tcPr>
          <w:p>
            <w:pPr>
              <w:ind w:left="340"/>
              <w:spacing w:after="0"/>
              <w:rPr>
                <w:sz w:val="20"/>
                <w:szCs w:val="20"/>
                <w:color w:val="auto"/>
              </w:rPr>
            </w:pPr>
            <w:r>
              <w:rPr>
                <w:rFonts w:ascii="Times New Roman" w:cs="Times New Roman" w:eastAsia="Times New Roman" w:hAnsi="Times New Roman"/>
                <w:sz w:val="17"/>
                <w:szCs w:val="17"/>
                <w:i w:val="1"/>
                <w:iCs w:val="1"/>
                <w:color w:val="auto"/>
              </w:rPr>
              <w:t>Chief Sales Officer</w:t>
            </w:r>
          </w:p>
        </w:tc>
        <w:tc>
          <w:tcPr>
            <w:tcW w:w="100" w:type="dxa"/>
            <w:vAlign w:val="bottom"/>
            <w:shd w:val="clear" w:color="auto" w:fill="DBF3FF"/>
          </w:tcPr>
          <w:p>
            <w:pPr>
              <w:spacing w:after="0"/>
              <w:rPr>
                <w:sz w:val="17"/>
                <w:szCs w:val="17"/>
                <w:color w:val="auto"/>
              </w:rPr>
            </w:pPr>
          </w:p>
        </w:tc>
        <w:tc>
          <w:tcPr>
            <w:tcW w:w="400" w:type="dxa"/>
            <w:vAlign w:val="bottom"/>
            <w:shd w:val="clear" w:color="auto" w:fill="DBF3FF"/>
          </w:tcPr>
          <w:p>
            <w:pPr>
              <w:spacing w:after="0"/>
              <w:rPr>
                <w:sz w:val="17"/>
                <w:szCs w:val="17"/>
                <w:color w:val="auto"/>
              </w:rPr>
            </w:pPr>
          </w:p>
        </w:tc>
        <w:tc>
          <w:tcPr>
            <w:tcW w:w="16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1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140" w:type="dxa"/>
            <w:vAlign w:val="bottom"/>
            <w:shd w:val="clear" w:color="auto" w:fill="DBF3FF"/>
          </w:tcPr>
          <w:p>
            <w:pPr>
              <w:spacing w:after="0"/>
              <w:rPr>
                <w:sz w:val="17"/>
                <w:szCs w:val="17"/>
                <w:color w:val="auto"/>
              </w:rPr>
            </w:pPr>
          </w:p>
        </w:tc>
        <w:tc>
          <w:tcPr>
            <w:tcW w:w="860" w:type="dxa"/>
            <w:vAlign w:val="bottom"/>
            <w:shd w:val="clear" w:color="auto" w:fill="DBF3FF"/>
          </w:tcPr>
          <w:p>
            <w:pPr>
              <w:spacing w:after="0"/>
              <w:rPr>
                <w:sz w:val="17"/>
                <w:szCs w:val="17"/>
                <w:color w:val="auto"/>
              </w:rPr>
            </w:pPr>
          </w:p>
        </w:tc>
        <w:tc>
          <w:tcPr>
            <w:tcW w:w="160" w:type="dxa"/>
            <w:vAlign w:val="bottom"/>
            <w:shd w:val="clear" w:color="auto" w:fill="DBF3FF"/>
          </w:tcPr>
          <w:p>
            <w:pPr>
              <w:spacing w:after="0"/>
              <w:rPr>
                <w:sz w:val="17"/>
                <w:szCs w:val="17"/>
                <w:color w:val="auto"/>
              </w:rPr>
            </w:pPr>
          </w:p>
        </w:tc>
        <w:tc>
          <w:tcPr>
            <w:tcW w:w="860" w:type="dxa"/>
            <w:vAlign w:val="bottom"/>
            <w:shd w:val="clear" w:color="auto" w:fill="DBF3FF"/>
          </w:tcPr>
          <w:p>
            <w:pPr>
              <w:spacing w:after="0"/>
              <w:rPr>
                <w:sz w:val="17"/>
                <w:szCs w:val="17"/>
                <w:color w:val="auto"/>
              </w:rPr>
            </w:pPr>
          </w:p>
        </w:tc>
        <w:tc>
          <w:tcPr>
            <w:tcW w:w="16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right="320" w:hanging="403"/>
        <w:spacing w:after="0" w:line="258" w:lineRule="auto"/>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Salary amounts represent actual amounts earned during the periods presented. See “Compensation Discussion and Analysis—Elements of Our Fiscal Year 2023 Executive Compensation Program—Base Salary” above for further information.</w:t>
      </w:r>
    </w:p>
    <w:p>
      <w:pPr>
        <w:ind w:left="860" w:right="100" w:hanging="403"/>
        <w:spacing w:after="0" w:line="248" w:lineRule="auto"/>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for RSU and option awards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 10-K for a discussion of assumptions used in determining the aggregate grant date fair value of our RSU and option awards. The amounts reported do not reflect the actual economic value that may be realized by the named executive officers.</w:t>
      </w:r>
    </w:p>
    <w:p>
      <w:pPr>
        <w:spacing w:after="0" w:line="3" w:lineRule="exact"/>
        <w:rPr>
          <w:rFonts w:ascii="Times New Roman" w:cs="Times New Roman" w:eastAsia="Times New Roman" w:hAnsi="Times New Roman"/>
          <w:sz w:val="17"/>
          <w:szCs w:val="17"/>
          <w:color w:val="auto"/>
        </w:rPr>
      </w:pPr>
    </w:p>
    <w:p>
      <w:pPr>
        <w:ind w:left="860" w:right="100" w:hanging="403"/>
        <w:spacing w:after="0" w:line="248" w:lineRule="auto"/>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“Compensation Discussion and Analysis—Elements of Our Fiscal Year 2023 Executive Compensation Program—Non-Equity Incentive Plan Compensation” above for a description of the material terms of the program pursuant to which this compensation was awarded.</w:t>
      </w:r>
    </w:p>
    <w:p>
      <w:pPr>
        <w:spacing w:after="0" w:line="1" w:lineRule="exact"/>
        <w:rPr>
          <w:rFonts w:ascii="Times New Roman" w:cs="Times New Roman" w:eastAsia="Times New Roman" w:hAnsi="Times New Roman"/>
          <w:sz w:val="17"/>
          <w:szCs w:val="17"/>
          <w:color w:val="auto"/>
        </w:rPr>
      </w:pPr>
    </w:p>
    <w:p>
      <w:pPr>
        <w:ind w:left="860" w:right="100" w:hanging="403"/>
        <w:spacing w:after="0" w:line="248" w:lineRule="auto"/>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for 2023 (i) matching contributions to 401(k) plans in the amounts of $1,163, $12,479, $500, $13,954 and $6,099 for Messrs. Altschuler, Rallo, Goguen and Leibel and Ms. Mayerhofer, respectively, and (ii) life insurance premiums of $108 paid by us on behalf of each of Messrs. Altschuler, Rallo, Goguen and Leibel, and Ms. Mayerhofer.</w:t>
      </w:r>
    </w:p>
    <w:p>
      <w:pPr>
        <w:spacing w:after="0" w:line="1" w:lineRule="exact"/>
        <w:rPr>
          <w:rFonts w:ascii="Times New Roman" w:cs="Times New Roman" w:eastAsia="Times New Roman" w:hAnsi="Times New Roman"/>
          <w:sz w:val="17"/>
          <w:szCs w:val="17"/>
          <w:color w:val="auto"/>
        </w:rPr>
      </w:pPr>
    </w:p>
    <w:p>
      <w:pPr>
        <w:ind w:left="860" w:right="200" w:hanging="403"/>
        <w:spacing w:after="0" w:line="257" w:lineRule="auto"/>
        <w:tabs>
          <w:tab w:leader="none" w:pos="8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Rallo retired as our Chief Financial Officer, effective as of March 1, 2024, and will continue serving as an employee for a period of up to 60 days following the effective date of his retirement to assist in the transition to James Miln, our newly appointed Chief Financial Officer.</w:t>
      </w:r>
    </w:p>
    <w:p>
      <w:pPr>
        <w:spacing w:after="0" w:line="11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800"/>
          </w:cols>
          <w:pgMar w:left="320" w:top="462" w:right="7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112" w:lineRule="exact"/>
        <w:rPr>
          <w:sz w:val="20"/>
          <w:szCs w:val="20"/>
          <w:color w:val="auto"/>
        </w:rPr>
      </w:pPr>
    </w:p>
    <w:p>
      <w:pPr>
        <w:ind w:left="460" w:right="220" w:firstLine="413"/>
        <w:spacing w:after="0" w:line="276" w:lineRule="auto"/>
        <w:rPr>
          <w:sz w:val="20"/>
          <w:szCs w:val="20"/>
          <w:color w:val="auto"/>
        </w:rPr>
      </w:pPr>
      <w:r>
        <w:rPr>
          <w:rFonts w:ascii="Times New Roman" w:cs="Times New Roman" w:eastAsia="Times New Roman" w:hAnsi="Times New Roman"/>
          <w:sz w:val="17"/>
          <w:szCs w:val="17"/>
          <w:color w:val="auto"/>
        </w:rPr>
        <w:t>The following table shows for the fiscal year ended December 31, 2023 certain information regarding grants of plan-based awards to the named executive officers.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5"/>
            <w:vMerge w:val="restart"/>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240" w:type="dxa"/>
            <w:vAlign w:val="bottom"/>
          </w:tcPr>
          <w:p>
            <w:pPr>
              <w:spacing w:after="0"/>
              <w:rPr>
                <w:sz w:val="12"/>
                <w:szCs w:val="12"/>
                <w:color w:val="auto"/>
              </w:rPr>
            </w:pPr>
          </w:p>
        </w:tc>
        <w:tc>
          <w:tcPr>
            <w:tcW w:w="8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9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Exercise or</w:t>
            </w:r>
          </w:p>
        </w:tc>
        <w:tc>
          <w:tcPr>
            <w:tcW w:w="760" w:type="dxa"/>
            <w:vAlign w:val="bottom"/>
            <w:gridSpan w:val="2"/>
          </w:tcPr>
          <w:p>
            <w:pPr>
              <w:jc w:val="right"/>
              <w:ind w:right="60"/>
              <w:spacing w:after="0" w:line="139" w:lineRule="exact"/>
              <w:rPr>
                <w:sz w:val="20"/>
                <w:szCs w:val="20"/>
                <w:color w:val="auto"/>
              </w:rPr>
            </w:pPr>
            <w:r>
              <w:rPr>
                <w:rFonts w:ascii="Times New Roman" w:cs="Times New Roman" w:eastAsia="Times New Roman" w:hAnsi="Times New Roman"/>
                <w:sz w:val="13"/>
                <w:szCs w:val="13"/>
                <w:b w:val="1"/>
                <w:bCs w:val="1"/>
                <w:color w:val="auto"/>
                <w:w w:val="92"/>
              </w:rPr>
              <w:t>Fair Value of</w:t>
            </w:r>
          </w:p>
        </w:tc>
        <w:tc>
          <w:tcPr>
            <w:tcW w:w="0" w:type="dxa"/>
            <w:vAlign w:val="bottom"/>
          </w:tcPr>
          <w:p>
            <w:pPr>
              <w:spacing w:after="0"/>
              <w:rPr>
                <w:sz w:val="1"/>
                <w:szCs w:val="1"/>
                <w:color w:val="auto"/>
              </w:rPr>
            </w:pPr>
          </w:p>
        </w:tc>
      </w:tr>
      <w:tr>
        <w:trPr>
          <w:trHeight w:val="79"/>
        </w:trPr>
        <w:tc>
          <w:tcPr>
            <w:tcW w:w="24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jc w:val="right"/>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860" w:type="dxa"/>
            <w:vAlign w:val="bottom"/>
            <w:gridSpan w:val="2"/>
            <w:vMerge w:val="restart"/>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40" w:type="dxa"/>
            <w:vAlign w:val="bottom"/>
            <w:gridSpan w:val="2"/>
            <w:vMerge w:val="restart"/>
          </w:tcPr>
          <w:p>
            <w:pPr>
              <w:jc w:val="right"/>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4"/>
              </w:rPr>
              <w:t>Base Price of</w:t>
            </w:r>
          </w:p>
        </w:tc>
        <w:tc>
          <w:tcPr>
            <w:tcW w:w="760" w:type="dxa"/>
            <w:vAlign w:val="bottom"/>
            <w:gridSpan w:val="2"/>
            <w:vMerge w:val="restart"/>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w w:val="97"/>
              </w:rPr>
              <w:t>Stock and</w:t>
            </w: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5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Non-Equity Incentive Plan Awards(1)</w:t>
            </w:r>
          </w:p>
        </w:tc>
        <w:tc>
          <w:tcPr>
            <w:tcW w:w="2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Borders>
              <w:bottom w:val="single" w:sz="8" w:color="auto"/>
            </w:tcBorders>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Stock or</w:t>
            </w:r>
          </w:p>
        </w:tc>
        <w:tc>
          <w:tcPr>
            <w:tcW w:w="86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94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Option</w:t>
            </w:r>
          </w:p>
        </w:tc>
        <w:tc>
          <w:tcPr>
            <w:tcW w:w="76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Option</w:t>
            </w:r>
          </w:p>
        </w:tc>
        <w:tc>
          <w:tcPr>
            <w:tcW w:w="0" w:type="dxa"/>
            <w:vAlign w:val="bottom"/>
          </w:tcPr>
          <w:p>
            <w:pPr>
              <w:spacing w:after="0"/>
              <w:rPr>
                <w:sz w:val="1"/>
                <w:szCs w:val="1"/>
                <w:color w:val="auto"/>
              </w:rPr>
            </w:pPr>
          </w:p>
        </w:tc>
      </w:tr>
      <w:tr>
        <w:trPr>
          <w:trHeight w:val="133"/>
        </w:trPr>
        <w:tc>
          <w:tcPr>
            <w:tcW w:w="2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Grant</w:t>
            </w:r>
          </w:p>
        </w:tc>
        <w:tc>
          <w:tcPr>
            <w:tcW w:w="180" w:type="dxa"/>
            <w:vAlign w:val="bottom"/>
          </w:tcPr>
          <w:p>
            <w:pPr>
              <w:spacing w:after="0"/>
              <w:rPr>
                <w:sz w:val="11"/>
                <w:szCs w:val="11"/>
                <w:color w:val="auto"/>
              </w:rPr>
            </w:pPr>
          </w:p>
        </w:tc>
        <w:tc>
          <w:tcPr>
            <w:tcW w:w="90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rPr>
              <w:t>Grant</w:t>
            </w:r>
          </w:p>
        </w:tc>
        <w:tc>
          <w:tcPr>
            <w:tcW w:w="9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Threshold </w:t>
            </w:r>
          </w:p>
        </w:tc>
        <w:tc>
          <w:tcPr>
            <w:tcW w:w="80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3"/>
                <w:szCs w:val="13"/>
                <w:b w:val="1"/>
                <w:bCs w:val="1"/>
                <w:color w:val="auto"/>
              </w:rPr>
              <w:t>Target </w:t>
            </w:r>
          </w:p>
        </w:tc>
        <w:tc>
          <w:tcPr>
            <w:tcW w:w="760" w:type="dxa"/>
            <w:vAlign w:val="bottom"/>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Maximum </w:t>
            </w:r>
          </w:p>
        </w:tc>
        <w:tc>
          <w:tcPr>
            <w:tcW w:w="240" w:type="dxa"/>
            <w:vAlign w:val="bottom"/>
          </w:tcPr>
          <w:p>
            <w:pPr>
              <w:spacing w:after="0"/>
              <w:rPr>
                <w:sz w:val="11"/>
                <w:szCs w:val="11"/>
                <w:color w:val="auto"/>
              </w:rPr>
            </w:pPr>
          </w:p>
        </w:tc>
        <w:tc>
          <w:tcPr>
            <w:tcW w:w="8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8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9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6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64"/>
        </w:trPr>
        <w:tc>
          <w:tcPr>
            <w:tcW w:w="2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center"/>
              <w:ind w:left="14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Borders>
              <w:top w:val="single" w:sz="8" w:color="auto"/>
            </w:tcBorders>
            <w:shd w:val="clear" w:color="auto" w:fill="DBF3FF"/>
          </w:tcPr>
          <w:p>
            <w:pPr>
              <w:spacing w:after="0" w:line="171" w:lineRule="exact"/>
              <w:rPr>
                <w:sz w:val="20"/>
                <w:szCs w:val="20"/>
                <w:color w:val="auto"/>
              </w:rPr>
            </w:pPr>
            <w:r>
              <w:rPr>
                <w:rFonts w:ascii="Times New Roman" w:cs="Times New Roman" w:eastAsia="Times New Roman" w:hAnsi="Times New Roman"/>
                <w:sz w:val="15"/>
                <w:szCs w:val="15"/>
                <w:color w:val="auto"/>
              </w:rPr>
              <w:t>Randolph Altschuler</w:t>
            </w:r>
          </w:p>
        </w:tc>
        <w:tc>
          <w:tcPr>
            <w:tcW w:w="40" w:type="dxa"/>
            <w:vAlign w:val="bottom"/>
            <w:tcBorders>
              <w:top w:val="single" w:sz="8" w:color="DBF3FF"/>
            </w:tcBorders>
            <w:shd w:val="clear" w:color="auto" w:fill="DBF3FF"/>
          </w:tcPr>
          <w:p>
            <w:pPr>
              <w:spacing w:after="0"/>
              <w:rPr>
                <w:sz w:val="14"/>
                <w:szCs w:val="14"/>
                <w:color w:val="auto"/>
              </w:rPr>
            </w:pPr>
          </w:p>
        </w:tc>
        <w:tc>
          <w:tcPr>
            <w:tcW w:w="620" w:type="dxa"/>
            <w:vAlign w:val="bottom"/>
            <w:tcBorders>
              <w:top w:val="single" w:sz="8" w:color="auto"/>
            </w:tcBorders>
            <w:shd w:val="clear" w:color="auto" w:fill="DBF3FF"/>
          </w:tcPr>
          <w:p>
            <w:pPr>
              <w:jc w:val="center"/>
              <w:spacing w:after="0" w:line="171" w:lineRule="exact"/>
              <w:rPr>
                <w:sz w:val="20"/>
                <w:szCs w:val="20"/>
                <w:color w:val="auto"/>
              </w:rPr>
            </w:pPr>
            <w:r>
              <w:rPr>
                <w:rFonts w:ascii="Times New Roman" w:cs="Times New Roman" w:eastAsia="Times New Roman" w:hAnsi="Times New Roman"/>
                <w:sz w:val="15"/>
                <w:szCs w:val="15"/>
                <w:color w:val="auto"/>
              </w:rPr>
              <w:t>Annual</w:t>
            </w:r>
          </w:p>
        </w:tc>
        <w:tc>
          <w:tcPr>
            <w:tcW w:w="180" w:type="dxa"/>
            <w:vAlign w:val="bottom"/>
            <w:tcBorders>
              <w:top w:val="single" w:sz="8" w:color="DBF3FF"/>
            </w:tcBorders>
            <w:shd w:val="clear" w:color="auto" w:fill="DBF3FF"/>
          </w:tcPr>
          <w:p>
            <w:pPr>
              <w:spacing w:after="0"/>
              <w:rPr>
                <w:sz w:val="14"/>
                <w:szCs w:val="14"/>
                <w:color w:val="auto"/>
              </w:rPr>
            </w:pPr>
          </w:p>
        </w:tc>
        <w:tc>
          <w:tcPr>
            <w:tcW w:w="660" w:type="dxa"/>
            <w:vAlign w:val="bottom"/>
            <w:tcBorders>
              <w:top w:val="single" w:sz="8" w:color="auto"/>
            </w:tcBorders>
            <w:shd w:val="clear" w:color="auto" w:fill="DBF3FF"/>
          </w:tcPr>
          <w:p>
            <w:pPr>
              <w:ind w:left="440"/>
              <w:spacing w:after="0" w:line="171" w:lineRule="exact"/>
              <w:rPr>
                <w:sz w:val="20"/>
                <w:szCs w:val="20"/>
                <w:color w:val="auto"/>
              </w:rPr>
            </w:pPr>
            <w:r>
              <w:rPr>
                <w:rFonts w:ascii="Times New Roman" w:cs="Times New Roman" w:eastAsia="Times New Roman" w:hAnsi="Times New Roman"/>
                <w:sz w:val="15"/>
                <w:szCs w:val="15"/>
                <w:color w:val="auto"/>
                <w:w w:val="88"/>
              </w:rPr>
              <w:t>— </w:t>
            </w:r>
          </w:p>
        </w:tc>
        <w:tc>
          <w:tcPr>
            <w:tcW w:w="240" w:type="dxa"/>
            <w:vAlign w:val="bottom"/>
            <w:tcBorders>
              <w:top w:val="single" w:sz="8" w:color="DBF3FF"/>
            </w:tcBorders>
            <w:shd w:val="clear" w:color="auto" w:fill="DBF3FF"/>
          </w:tcPr>
          <w:p>
            <w:pPr>
              <w:spacing w:after="0"/>
              <w:rPr>
                <w:sz w:val="14"/>
                <w:szCs w:val="14"/>
                <w:color w:val="auto"/>
              </w:rPr>
            </w:pPr>
          </w:p>
        </w:tc>
        <w:tc>
          <w:tcPr>
            <w:tcW w:w="700" w:type="dxa"/>
            <w:vAlign w:val="bottom"/>
            <w:tcBorders>
              <w:top w:val="single" w:sz="8" w:color="auto"/>
            </w:tcBorders>
            <w:shd w:val="clear" w:color="auto" w:fill="DBF3FF"/>
          </w:tcPr>
          <w:p>
            <w:pPr>
              <w:ind w:left="480"/>
              <w:spacing w:after="0" w:line="171" w:lineRule="exact"/>
              <w:rPr>
                <w:sz w:val="20"/>
                <w:szCs w:val="20"/>
                <w:color w:val="auto"/>
              </w:rPr>
            </w:pPr>
            <w:r>
              <w:rPr>
                <w:rFonts w:ascii="Times New Roman" w:cs="Times New Roman" w:eastAsia="Times New Roman" w:hAnsi="Times New Roman"/>
                <w:sz w:val="15"/>
                <w:szCs w:val="15"/>
                <w:color w:val="auto"/>
                <w:w w:val="88"/>
              </w:rPr>
              <w:t>— </w:t>
            </w:r>
          </w:p>
        </w:tc>
        <w:tc>
          <w:tcPr>
            <w:tcW w:w="240" w:type="dxa"/>
            <w:vAlign w:val="bottom"/>
            <w:tcBorders>
              <w:top w:val="single" w:sz="8" w:color="DBF3FF"/>
            </w:tcBorders>
            <w:shd w:val="clear" w:color="auto" w:fill="DBF3FF"/>
          </w:tcPr>
          <w:p>
            <w:pPr>
              <w:spacing w:after="0"/>
              <w:rPr>
                <w:sz w:val="14"/>
                <w:szCs w:val="14"/>
                <w:color w:val="auto"/>
              </w:rPr>
            </w:pPr>
          </w:p>
        </w:tc>
        <w:tc>
          <w:tcPr>
            <w:tcW w:w="560" w:type="dxa"/>
            <w:vAlign w:val="bottom"/>
            <w:tcBorders>
              <w:top w:val="single" w:sz="8" w:color="auto"/>
            </w:tcBorders>
            <w:shd w:val="clear" w:color="auto" w:fill="DBF3FF"/>
          </w:tcPr>
          <w:p>
            <w:pPr>
              <w:ind w:left="80"/>
              <w:spacing w:after="0" w:line="171" w:lineRule="exact"/>
              <w:rPr>
                <w:sz w:val="20"/>
                <w:szCs w:val="20"/>
                <w:color w:val="auto"/>
              </w:rPr>
            </w:pPr>
            <w:r>
              <w:rPr>
                <w:rFonts w:ascii="Times New Roman" w:cs="Times New Roman" w:eastAsia="Times New Roman" w:hAnsi="Times New Roman"/>
                <w:sz w:val="15"/>
                <w:szCs w:val="15"/>
                <w:color w:val="auto"/>
                <w:w w:val="94"/>
              </w:rPr>
              <w:t>475,000</w:t>
            </w:r>
          </w:p>
        </w:tc>
        <w:tc>
          <w:tcPr>
            <w:tcW w:w="240" w:type="dxa"/>
            <w:vAlign w:val="bottom"/>
            <w:tcBorders>
              <w:top w:val="single" w:sz="8" w:color="DBF3FF"/>
            </w:tcBorders>
            <w:shd w:val="clear" w:color="auto" w:fill="DBF3FF"/>
          </w:tcPr>
          <w:p>
            <w:pPr>
              <w:spacing w:after="0"/>
              <w:rPr>
                <w:sz w:val="14"/>
                <w:szCs w:val="14"/>
                <w:color w:val="auto"/>
              </w:rPr>
            </w:pPr>
          </w:p>
        </w:tc>
        <w:tc>
          <w:tcPr>
            <w:tcW w:w="760" w:type="dxa"/>
            <w:vAlign w:val="bottom"/>
            <w:tcBorders>
              <w:top w:val="single" w:sz="8" w:color="auto"/>
            </w:tcBorders>
            <w:shd w:val="clear" w:color="auto" w:fill="DBF3FF"/>
          </w:tcPr>
          <w:p>
            <w:pPr>
              <w:ind w:left="520"/>
              <w:spacing w:after="0" w:line="171" w:lineRule="exact"/>
              <w:rPr>
                <w:sz w:val="20"/>
                <w:szCs w:val="20"/>
                <w:color w:val="auto"/>
              </w:rPr>
            </w:pPr>
            <w:r>
              <w:rPr>
                <w:rFonts w:ascii="Times New Roman" w:cs="Times New Roman" w:eastAsia="Times New Roman" w:hAnsi="Times New Roman"/>
                <w:sz w:val="15"/>
                <w:szCs w:val="15"/>
                <w:color w:val="auto"/>
                <w:w w:val="97"/>
              </w:rPr>
              <w:t>— </w:t>
            </w:r>
          </w:p>
        </w:tc>
        <w:tc>
          <w:tcPr>
            <w:tcW w:w="240" w:type="dxa"/>
            <w:vAlign w:val="bottom"/>
            <w:tcBorders>
              <w:top w:val="single" w:sz="8" w:color="DBF3FF"/>
            </w:tcBorders>
            <w:shd w:val="clear" w:color="auto" w:fill="DBF3FF"/>
          </w:tcPr>
          <w:p>
            <w:pPr>
              <w:spacing w:after="0"/>
              <w:rPr>
                <w:sz w:val="14"/>
                <w:szCs w:val="14"/>
                <w:color w:val="auto"/>
              </w:rPr>
            </w:pPr>
          </w:p>
        </w:tc>
        <w:tc>
          <w:tcPr>
            <w:tcW w:w="600" w:type="dxa"/>
            <w:vAlign w:val="bottom"/>
            <w:tcBorders>
              <w:top w:val="single" w:sz="8" w:color="auto"/>
            </w:tcBorders>
            <w:shd w:val="clear" w:color="auto" w:fill="DBF3FF"/>
          </w:tcPr>
          <w:p>
            <w:pPr>
              <w:jc w:val="right"/>
              <w:spacing w:after="0" w:line="171"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top w:val="single" w:sz="8" w:color="DBF3FF"/>
            </w:tcBorders>
            <w:shd w:val="clear" w:color="auto" w:fill="DBF3FF"/>
          </w:tcPr>
          <w:p>
            <w:pPr>
              <w:spacing w:after="0"/>
              <w:rPr>
                <w:sz w:val="14"/>
                <w:szCs w:val="14"/>
                <w:color w:val="auto"/>
              </w:rPr>
            </w:pPr>
          </w:p>
        </w:tc>
        <w:tc>
          <w:tcPr>
            <w:tcW w:w="620" w:type="dxa"/>
            <w:vAlign w:val="bottom"/>
            <w:tcBorders>
              <w:top w:val="single" w:sz="8" w:color="auto"/>
            </w:tcBorders>
            <w:shd w:val="clear" w:color="auto" w:fill="DBF3FF"/>
          </w:tcPr>
          <w:p>
            <w:pPr>
              <w:ind w:left="380"/>
              <w:spacing w:after="0" w:line="171" w:lineRule="exact"/>
              <w:rPr>
                <w:sz w:val="20"/>
                <w:szCs w:val="20"/>
                <w:color w:val="auto"/>
              </w:rPr>
            </w:pPr>
            <w:r>
              <w:rPr>
                <w:rFonts w:ascii="Times New Roman" w:cs="Times New Roman" w:eastAsia="Times New Roman" w:hAnsi="Times New Roman"/>
                <w:sz w:val="15"/>
                <w:szCs w:val="15"/>
                <w:color w:val="auto"/>
                <w:w w:val="97"/>
              </w:rPr>
              <w:t>— </w:t>
            </w:r>
          </w:p>
        </w:tc>
        <w:tc>
          <w:tcPr>
            <w:tcW w:w="240" w:type="dxa"/>
            <w:vAlign w:val="bottom"/>
            <w:tcBorders>
              <w:top w:val="single" w:sz="8" w:color="DBF3FF"/>
            </w:tcBorders>
            <w:shd w:val="clear" w:color="auto" w:fill="DBF3FF"/>
          </w:tcPr>
          <w:p>
            <w:pPr>
              <w:spacing w:after="0"/>
              <w:rPr>
                <w:sz w:val="14"/>
                <w:szCs w:val="14"/>
                <w:color w:val="auto"/>
              </w:rPr>
            </w:pPr>
          </w:p>
        </w:tc>
        <w:tc>
          <w:tcPr>
            <w:tcW w:w="700" w:type="dxa"/>
            <w:vAlign w:val="bottom"/>
            <w:tcBorders>
              <w:top w:val="single" w:sz="8" w:color="auto"/>
            </w:tcBorders>
            <w:shd w:val="clear" w:color="auto" w:fill="DBF3FF"/>
          </w:tcPr>
          <w:p>
            <w:pPr>
              <w:ind w:left="480"/>
              <w:spacing w:after="0" w:line="171" w:lineRule="exact"/>
              <w:rPr>
                <w:sz w:val="20"/>
                <w:szCs w:val="20"/>
                <w:color w:val="auto"/>
              </w:rPr>
            </w:pPr>
            <w:r>
              <w:rPr>
                <w:rFonts w:ascii="Times New Roman" w:cs="Times New Roman" w:eastAsia="Times New Roman" w:hAnsi="Times New Roman"/>
                <w:sz w:val="15"/>
                <w:szCs w:val="15"/>
                <w:color w:val="auto"/>
                <w:w w:val="88"/>
              </w:rPr>
              <w:t>— </w:t>
            </w:r>
          </w:p>
        </w:tc>
        <w:tc>
          <w:tcPr>
            <w:tcW w:w="240" w:type="dxa"/>
            <w:vAlign w:val="bottom"/>
            <w:tcBorders>
              <w:top w:val="single" w:sz="8" w:color="DBF3FF"/>
            </w:tcBorders>
            <w:shd w:val="clear" w:color="auto" w:fill="DBF3FF"/>
          </w:tcPr>
          <w:p>
            <w:pPr>
              <w:spacing w:after="0"/>
              <w:rPr>
                <w:sz w:val="14"/>
                <w:szCs w:val="14"/>
                <w:color w:val="auto"/>
              </w:rPr>
            </w:pPr>
          </w:p>
        </w:tc>
        <w:tc>
          <w:tcPr>
            <w:tcW w:w="720" w:type="dxa"/>
            <w:vAlign w:val="bottom"/>
            <w:tcBorders>
              <w:top w:val="single" w:sz="8" w:color="auto"/>
            </w:tcBorders>
            <w:shd w:val="clear" w:color="auto" w:fill="DBF3FF"/>
          </w:tcPr>
          <w:p>
            <w:pPr>
              <w:jc w:val="right"/>
              <w:spacing w:after="0" w:line="171" w:lineRule="exact"/>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DBF3FF"/>
            </w:tcBorders>
            <w:shd w:val="clear" w:color="auto" w:fill="DBF3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DBF3FF"/>
          </w:tcPr>
          <w:p>
            <w:pPr>
              <w:spacing w:after="0"/>
              <w:rPr>
                <w:sz w:val="16"/>
                <w:szCs w:val="16"/>
                <w:color w:val="auto"/>
              </w:rPr>
            </w:pPr>
          </w:p>
        </w:tc>
        <w:tc>
          <w:tcPr>
            <w:tcW w:w="40" w:type="dxa"/>
            <w:vAlign w:val="bottom"/>
            <w:shd w:val="clear" w:color="auto" w:fill="DBF3FF"/>
          </w:tcPr>
          <w:p>
            <w:pPr>
              <w:spacing w:after="0"/>
              <w:rPr>
                <w:sz w:val="16"/>
                <w:szCs w:val="16"/>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080" w:type="dxa"/>
            <w:vAlign w:val="bottom"/>
            <w:gridSpan w:val="3"/>
            <w:shd w:val="clear" w:color="auto" w:fill="DBF3FF"/>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56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760" w:type="dxa"/>
            <w:vAlign w:val="bottom"/>
            <w:shd w:val="clear" w:color="auto" w:fill="DBF3FF"/>
          </w:tcPr>
          <w:p>
            <w:pPr>
              <w:spacing w:after="0"/>
              <w:rPr>
                <w:sz w:val="16"/>
                <w:szCs w:val="16"/>
                <w:color w:val="auto"/>
              </w:rPr>
            </w:pPr>
          </w:p>
        </w:tc>
        <w:tc>
          <w:tcPr>
            <w:tcW w:w="1080" w:type="dxa"/>
            <w:vAlign w:val="bottom"/>
            <w:gridSpan w:val="3"/>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19,715</w:t>
            </w:r>
          </w:p>
        </w:tc>
        <w:tc>
          <w:tcPr>
            <w:tcW w:w="86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shd w:val="clear" w:color="auto" w:fill="DBF3FF"/>
          </w:tcPr>
          <w:p>
            <w:pPr>
              <w:jc w:val="right"/>
              <w:ind w:right="40"/>
              <w:spacing w:after="0"/>
              <w:rPr>
                <w:sz w:val="20"/>
                <w:szCs w:val="20"/>
                <w:color w:val="auto"/>
              </w:rPr>
            </w:pPr>
            <w:r>
              <w:rPr>
                <w:rFonts w:ascii="Times New Roman" w:cs="Times New Roman" w:eastAsia="Times New Roman" w:hAnsi="Times New Roman"/>
                <w:sz w:val="15"/>
                <w:szCs w:val="15"/>
                <w:color w:val="auto"/>
              </w:rPr>
              <w:t>311,891</w:t>
            </w:r>
          </w:p>
        </w:tc>
        <w:tc>
          <w:tcPr>
            <w:tcW w:w="0" w:type="dxa"/>
            <w:vAlign w:val="bottom"/>
          </w:tcPr>
          <w:p>
            <w:pPr>
              <w:spacing w:after="0"/>
              <w:rPr>
                <w:sz w:val="1"/>
                <w:szCs w:val="1"/>
                <w:color w:val="auto"/>
              </w:rPr>
            </w:pPr>
          </w:p>
        </w:tc>
      </w:tr>
      <w:tr>
        <w:trPr>
          <w:trHeight w:val="178"/>
        </w:trPr>
        <w:tc>
          <w:tcPr>
            <w:tcW w:w="2460" w:type="dxa"/>
            <w:vAlign w:val="bottom"/>
            <w:shd w:val="clear" w:color="auto" w:fill="DBF3FF"/>
          </w:tcPr>
          <w:p>
            <w:pPr>
              <w:spacing w:after="0"/>
              <w:rPr>
                <w:sz w:val="15"/>
                <w:szCs w:val="15"/>
                <w:color w:val="auto"/>
              </w:rPr>
            </w:pPr>
          </w:p>
        </w:tc>
        <w:tc>
          <w:tcPr>
            <w:tcW w:w="40" w:type="dxa"/>
            <w:vAlign w:val="bottom"/>
            <w:shd w:val="clear" w:color="auto" w:fill="DBF3FF"/>
          </w:tcPr>
          <w:p>
            <w:pPr>
              <w:spacing w:after="0"/>
              <w:rPr>
                <w:sz w:val="15"/>
                <w:szCs w:val="15"/>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1080" w:type="dxa"/>
            <w:vAlign w:val="bottom"/>
            <w:gridSpan w:val="3"/>
            <w:shd w:val="clear" w:color="auto" w:fill="DBF3FF"/>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5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7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840" w:type="dxa"/>
            <w:vAlign w:val="bottom"/>
            <w:gridSpan w:val="2"/>
            <w:shd w:val="clear" w:color="auto" w:fill="DBF3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5"/>
                <w:szCs w:val="15"/>
                <w:color w:val="auto"/>
                <w:w w:val="96"/>
              </w:rPr>
              <w:t>29,407</w:t>
            </w:r>
          </w:p>
        </w:tc>
        <w:tc>
          <w:tcPr>
            <w:tcW w:w="240" w:type="dxa"/>
            <w:vAlign w:val="bottom"/>
            <w:shd w:val="clear" w:color="auto" w:fill="DBF3FF"/>
          </w:tcPr>
          <w:p>
            <w:pPr>
              <w:spacing w:after="0"/>
              <w:rPr>
                <w:sz w:val="15"/>
                <w:szCs w:val="15"/>
                <w:color w:val="auto"/>
              </w:rPr>
            </w:pP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240" w:type="dxa"/>
            <w:vAlign w:val="bottom"/>
            <w:shd w:val="clear" w:color="auto" w:fill="DBF3FF"/>
          </w:tcPr>
          <w:p>
            <w:pPr>
              <w:spacing w:after="0"/>
              <w:rPr>
                <w:sz w:val="15"/>
                <w:szCs w:val="15"/>
                <w:color w:val="auto"/>
              </w:rPr>
            </w:pP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334,396</w:t>
            </w:r>
          </w:p>
        </w:tc>
        <w:tc>
          <w:tcPr>
            <w:tcW w:w="40" w:type="dxa"/>
            <w:vAlign w:val="bottom"/>
            <w:shd w:val="clear" w:color="auto" w:fill="DBF3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Option</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20"/>
                <w:szCs w:val="20"/>
                <w:color w:val="auto"/>
              </w:rPr>
            </w:pPr>
            <w:r>
              <w:rPr>
                <w:rFonts w:ascii="Times New Roman" w:cs="Times New Roman" w:eastAsia="Times New Roman" w:hAnsi="Times New Roman"/>
                <w:sz w:val="15"/>
                <w:szCs w:val="15"/>
                <w:color w:val="auto"/>
              </w:rPr>
              <w:t>James Rallo</w:t>
            </w: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Annual</w:t>
            </w:r>
          </w:p>
        </w:tc>
        <w:tc>
          <w:tcPr>
            <w:tcW w:w="180" w:type="dxa"/>
            <w:vAlign w:val="bottom"/>
          </w:tcPr>
          <w:p>
            <w:pPr>
              <w:spacing w:after="0"/>
              <w:rPr>
                <w:sz w:val="15"/>
                <w:szCs w:val="15"/>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270,400</w:t>
            </w:r>
          </w:p>
        </w:tc>
        <w:tc>
          <w:tcPr>
            <w:tcW w:w="7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97"/>
              </w:rPr>
              <w:t>— </w:t>
            </w:r>
          </w:p>
        </w:tc>
        <w:tc>
          <w:tcPr>
            <w:tcW w:w="2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29,809</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6"/>
              </w:rPr>
              <w:t>44,463</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505,603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DBF3FF"/>
          </w:tcPr>
          <w:p>
            <w:pPr>
              <w:spacing w:after="0"/>
              <w:rPr>
                <w:sz w:val="20"/>
                <w:szCs w:val="20"/>
                <w:color w:val="auto"/>
              </w:rPr>
            </w:pPr>
            <w:r>
              <w:rPr>
                <w:rFonts w:ascii="Times New Roman" w:cs="Times New Roman" w:eastAsia="Times New Roman" w:hAnsi="Times New Roman"/>
                <w:sz w:val="15"/>
                <w:szCs w:val="15"/>
                <w:color w:val="auto"/>
              </w:rPr>
              <w:t>Peter Goguen</w:t>
            </w:r>
          </w:p>
        </w:tc>
        <w:tc>
          <w:tcPr>
            <w:tcW w:w="40" w:type="dxa"/>
            <w:vAlign w:val="bottom"/>
            <w:shd w:val="clear" w:color="auto" w:fill="DBF3FF"/>
          </w:tcPr>
          <w:p>
            <w:pPr>
              <w:spacing w:after="0"/>
              <w:rPr>
                <w:sz w:val="15"/>
                <w:szCs w:val="15"/>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Annual</w:t>
            </w:r>
          </w:p>
        </w:tc>
        <w:tc>
          <w:tcPr>
            <w:tcW w:w="180" w:type="dxa"/>
            <w:vAlign w:val="bottom"/>
            <w:shd w:val="clear" w:color="auto" w:fill="DBF3FF"/>
          </w:tcPr>
          <w:p>
            <w:pPr>
              <w:spacing w:after="0"/>
              <w:rPr>
                <w:sz w:val="15"/>
                <w:szCs w:val="15"/>
                <w:color w:val="auto"/>
              </w:rPr>
            </w:pPr>
          </w:p>
        </w:tc>
        <w:tc>
          <w:tcPr>
            <w:tcW w:w="90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DBF3FF"/>
          </w:tcPr>
          <w:p>
            <w:pPr>
              <w:ind w:left="80"/>
              <w:spacing w:after="0"/>
              <w:rPr>
                <w:sz w:val="20"/>
                <w:szCs w:val="20"/>
                <w:color w:val="auto"/>
              </w:rPr>
            </w:pPr>
            <w:r>
              <w:rPr>
                <w:rFonts w:ascii="Times New Roman" w:cs="Times New Roman" w:eastAsia="Times New Roman" w:hAnsi="Times New Roman"/>
                <w:sz w:val="15"/>
                <w:szCs w:val="15"/>
                <w:color w:val="auto"/>
              </w:rPr>
              <w:t>220,000</w:t>
            </w:r>
          </w:p>
        </w:tc>
        <w:tc>
          <w:tcPr>
            <w:tcW w:w="760" w:type="dxa"/>
            <w:vAlign w:val="bottom"/>
            <w:shd w:val="clear" w:color="auto" w:fill="DBF3FF"/>
          </w:tcPr>
          <w:p>
            <w:pPr>
              <w:ind w:left="520"/>
              <w:spacing w:after="0"/>
              <w:rPr>
                <w:sz w:val="20"/>
                <w:szCs w:val="20"/>
                <w:color w:val="auto"/>
              </w:rPr>
            </w:pPr>
            <w:r>
              <w:rPr>
                <w:rFonts w:ascii="Times New Roman" w:cs="Times New Roman" w:eastAsia="Times New Roman" w:hAnsi="Times New Roman"/>
                <w:sz w:val="15"/>
                <w:szCs w:val="15"/>
                <w:color w:val="auto"/>
                <w:w w:val="97"/>
              </w:rPr>
              <w:t>— </w:t>
            </w:r>
          </w:p>
        </w:tc>
        <w:tc>
          <w:tcPr>
            <w:tcW w:w="240" w:type="dxa"/>
            <w:vAlign w:val="bottom"/>
            <w:shd w:val="clear" w:color="auto" w:fill="DBF3FF"/>
          </w:tcPr>
          <w:p>
            <w:pPr>
              <w:spacing w:after="0"/>
              <w:rPr>
                <w:sz w:val="15"/>
                <w:szCs w:val="15"/>
                <w:color w:val="auto"/>
              </w:rPr>
            </w:pPr>
          </w:p>
        </w:tc>
        <w:tc>
          <w:tcPr>
            <w:tcW w:w="840" w:type="dxa"/>
            <w:vAlign w:val="bottom"/>
            <w:gridSpan w:val="2"/>
            <w:shd w:val="clear" w:color="auto" w:fill="DBF3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7"/>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DBF3FF"/>
          </w:tcPr>
          <w:p>
            <w:pPr>
              <w:spacing w:after="0"/>
              <w:rPr>
                <w:sz w:val="16"/>
                <w:szCs w:val="16"/>
                <w:color w:val="auto"/>
              </w:rPr>
            </w:pPr>
          </w:p>
        </w:tc>
        <w:tc>
          <w:tcPr>
            <w:tcW w:w="40" w:type="dxa"/>
            <w:vAlign w:val="bottom"/>
            <w:shd w:val="clear" w:color="auto" w:fill="DBF3FF"/>
          </w:tcPr>
          <w:p>
            <w:pPr>
              <w:spacing w:after="0"/>
              <w:rPr>
                <w:sz w:val="16"/>
                <w:szCs w:val="16"/>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080" w:type="dxa"/>
            <w:vAlign w:val="bottom"/>
            <w:gridSpan w:val="3"/>
            <w:shd w:val="clear" w:color="auto" w:fill="DBF3FF"/>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56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760" w:type="dxa"/>
            <w:vAlign w:val="bottom"/>
            <w:shd w:val="clear" w:color="auto" w:fill="DBF3FF"/>
          </w:tcPr>
          <w:p>
            <w:pPr>
              <w:spacing w:after="0"/>
              <w:rPr>
                <w:sz w:val="16"/>
                <w:szCs w:val="16"/>
                <w:color w:val="auto"/>
              </w:rPr>
            </w:pPr>
          </w:p>
        </w:tc>
        <w:tc>
          <w:tcPr>
            <w:tcW w:w="1080" w:type="dxa"/>
            <w:vAlign w:val="bottom"/>
            <w:gridSpan w:val="3"/>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21,765</w:t>
            </w:r>
          </w:p>
        </w:tc>
        <w:tc>
          <w:tcPr>
            <w:tcW w:w="86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344,322</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40" w:type="dxa"/>
            <w:vAlign w:val="bottom"/>
            <w:shd w:val="clear" w:color="auto" w:fill="DBF3FF"/>
          </w:tcPr>
          <w:p>
            <w:pPr>
              <w:spacing w:after="0"/>
              <w:rPr>
                <w:sz w:val="16"/>
                <w:szCs w:val="16"/>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w w:val="98"/>
              </w:rPr>
              <w:t>RSU(3)</w:t>
            </w:r>
          </w:p>
        </w:tc>
        <w:tc>
          <w:tcPr>
            <w:tcW w:w="1080" w:type="dxa"/>
            <w:vAlign w:val="bottom"/>
            <w:gridSpan w:val="3"/>
            <w:shd w:val="clear" w:color="auto" w:fill="DBF3FF"/>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56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760" w:type="dxa"/>
            <w:vAlign w:val="bottom"/>
            <w:shd w:val="clear" w:color="auto" w:fill="DBF3FF"/>
          </w:tcPr>
          <w:p>
            <w:pPr>
              <w:spacing w:after="0"/>
              <w:rPr>
                <w:sz w:val="16"/>
                <w:szCs w:val="16"/>
                <w:color w:val="auto"/>
              </w:rPr>
            </w:pPr>
          </w:p>
        </w:tc>
        <w:tc>
          <w:tcPr>
            <w:tcW w:w="1080" w:type="dxa"/>
            <w:vAlign w:val="bottom"/>
            <w:gridSpan w:val="3"/>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39,430</w:t>
            </w:r>
          </w:p>
        </w:tc>
        <w:tc>
          <w:tcPr>
            <w:tcW w:w="86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623,783</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60" w:type="dxa"/>
            <w:vAlign w:val="bottom"/>
            <w:shd w:val="clear" w:color="auto" w:fill="DBF3FF"/>
          </w:tcPr>
          <w:p>
            <w:pPr>
              <w:spacing w:after="0"/>
              <w:rPr>
                <w:sz w:val="15"/>
                <w:szCs w:val="15"/>
                <w:color w:val="auto"/>
              </w:rPr>
            </w:pPr>
          </w:p>
        </w:tc>
        <w:tc>
          <w:tcPr>
            <w:tcW w:w="40" w:type="dxa"/>
            <w:vAlign w:val="bottom"/>
            <w:shd w:val="clear" w:color="auto" w:fill="DBF3FF"/>
          </w:tcPr>
          <w:p>
            <w:pPr>
              <w:spacing w:after="0"/>
              <w:rPr>
                <w:sz w:val="15"/>
                <w:szCs w:val="15"/>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180" w:type="dxa"/>
            <w:vAlign w:val="bottom"/>
            <w:shd w:val="clear" w:color="auto" w:fill="DBF3FF"/>
          </w:tcPr>
          <w:p>
            <w:pPr>
              <w:spacing w:after="0"/>
              <w:rPr>
                <w:sz w:val="15"/>
                <w:szCs w:val="15"/>
                <w:color w:val="auto"/>
              </w:rPr>
            </w:pPr>
          </w:p>
        </w:tc>
        <w:tc>
          <w:tcPr>
            <w:tcW w:w="900" w:type="dxa"/>
            <w:vAlign w:val="bottom"/>
            <w:gridSpan w:val="2"/>
            <w:shd w:val="clear" w:color="auto" w:fill="DBF3FF"/>
          </w:tcPr>
          <w:p>
            <w:pPr>
              <w:jc w:val="center"/>
              <w:ind w:right="20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5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7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840" w:type="dxa"/>
            <w:vAlign w:val="bottom"/>
            <w:gridSpan w:val="2"/>
            <w:shd w:val="clear" w:color="auto" w:fill="DBF3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5"/>
                <w:szCs w:val="15"/>
                <w:color w:val="auto"/>
                <w:w w:val="96"/>
              </w:rPr>
              <w:t>32,465</w:t>
            </w:r>
          </w:p>
        </w:tc>
        <w:tc>
          <w:tcPr>
            <w:tcW w:w="240" w:type="dxa"/>
            <w:vAlign w:val="bottom"/>
            <w:shd w:val="clear" w:color="auto" w:fill="DBF3FF"/>
          </w:tcPr>
          <w:p>
            <w:pPr>
              <w:spacing w:after="0"/>
              <w:rPr>
                <w:sz w:val="15"/>
                <w:szCs w:val="15"/>
                <w:color w:val="auto"/>
              </w:rPr>
            </w:pP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240" w:type="dxa"/>
            <w:vAlign w:val="bottom"/>
            <w:shd w:val="clear" w:color="auto" w:fill="DBF3FF"/>
          </w:tcPr>
          <w:p>
            <w:pPr>
              <w:spacing w:after="0"/>
              <w:rPr>
                <w:sz w:val="15"/>
                <w:szCs w:val="15"/>
                <w:color w:val="auto"/>
              </w:rPr>
            </w:pP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369,170</w:t>
            </w:r>
          </w:p>
        </w:tc>
        <w:tc>
          <w:tcPr>
            <w:tcW w:w="40" w:type="dxa"/>
            <w:vAlign w:val="bottom"/>
            <w:shd w:val="clear" w:color="auto" w:fill="DBF3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Option</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DBF3FF"/>
          </w:tcPr>
          <w:p>
            <w:pPr>
              <w:spacing w:after="0"/>
              <w:rPr>
                <w:sz w:val="15"/>
                <w:szCs w:val="15"/>
                <w:color w:val="auto"/>
              </w:rPr>
            </w:pPr>
          </w:p>
        </w:tc>
        <w:tc>
          <w:tcPr>
            <w:tcW w:w="40" w:type="dxa"/>
            <w:vAlign w:val="bottom"/>
            <w:shd w:val="clear" w:color="auto" w:fill="DBF3FF"/>
          </w:tcPr>
          <w:p>
            <w:pPr>
              <w:spacing w:after="0"/>
              <w:rPr>
                <w:sz w:val="15"/>
                <w:szCs w:val="15"/>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180" w:type="dxa"/>
            <w:vAlign w:val="bottom"/>
            <w:shd w:val="clear" w:color="auto" w:fill="DBF3FF"/>
          </w:tcPr>
          <w:p>
            <w:pPr>
              <w:spacing w:after="0"/>
              <w:rPr>
                <w:sz w:val="15"/>
                <w:szCs w:val="15"/>
                <w:color w:val="auto"/>
              </w:rPr>
            </w:pPr>
          </w:p>
        </w:tc>
        <w:tc>
          <w:tcPr>
            <w:tcW w:w="900" w:type="dxa"/>
            <w:vAlign w:val="bottom"/>
            <w:gridSpan w:val="2"/>
            <w:shd w:val="clear" w:color="auto" w:fill="DBF3FF"/>
          </w:tcPr>
          <w:p>
            <w:pPr>
              <w:jc w:val="center"/>
              <w:ind w:right="20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5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7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8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5"/>
                <w:szCs w:val="15"/>
                <w:color w:val="auto"/>
                <w:w w:val="96"/>
              </w:rPr>
              <w:t>58,813</w:t>
            </w:r>
          </w:p>
        </w:tc>
        <w:tc>
          <w:tcPr>
            <w:tcW w:w="240" w:type="dxa"/>
            <w:vAlign w:val="bottom"/>
            <w:shd w:val="clear" w:color="auto" w:fill="DBF3FF"/>
          </w:tcPr>
          <w:p>
            <w:pPr>
              <w:spacing w:after="0"/>
              <w:rPr>
                <w:sz w:val="15"/>
                <w:szCs w:val="15"/>
                <w:color w:val="auto"/>
              </w:rPr>
            </w:pP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240" w:type="dxa"/>
            <w:vAlign w:val="bottom"/>
            <w:shd w:val="clear" w:color="auto" w:fill="DBF3FF"/>
          </w:tcPr>
          <w:p>
            <w:pPr>
              <w:spacing w:after="0"/>
              <w:rPr>
                <w:sz w:val="15"/>
                <w:szCs w:val="15"/>
                <w:color w:val="auto"/>
              </w:rPr>
            </w:pP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668,781</w:t>
            </w:r>
          </w:p>
        </w:tc>
        <w:tc>
          <w:tcPr>
            <w:tcW w:w="40" w:type="dxa"/>
            <w:vAlign w:val="bottom"/>
            <w:shd w:val="clear" w:color="auto" w:fill="DBF3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Option(3)</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20"/>
                <w:szCs w:val="20"/>
                <w:color w:val="auto"/>
              </w:rPr>
            </w:pPr>
            <w:r>
              <w:rPr>
                <w:rFonts w:ascii="Times New Roman" w:cs="Times New Roman" w:eastAsia="Times New Roman" w:hAnsi="Times New Roman"/>
                <w:sz w:val="15"/>
                <w:szCs w:val="15"/>
                <w:color w:val="auto"/>
              </w:rPr>
              <w:t>Matthew Leibel</w:t>
            </w: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Annual</w:t>
            </w:r>
          </w:p>
        </w:tc>
        <w:tc>
          <w:tcPr>
            <w:tcW w:w="180" w:type="dxa"/>
            <w:vAlign w:val="bottom"/>
          </w:tcPr>
          <w:p>
            <w:pPr>
              <w:spacing w:after="0"/>
              <w:rPr>
                <w:sz w:val="15"/>
                <w:szCs w:val="15"/>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200,000</w:t>
            </w:r>
          </w:p>
        </w:tc>
        <w:tc>
          <w:tcPr>
            <w:tcW w:w="7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97"/>
              </w:rPr>
              <w:t>— </w:t>
            </w:r>
          </w:p>
        </w:tc>
        <w:tc>
          <w:tcPr>
            <w:tcW w:w="2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39,430</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623,783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5"/>
                <w:szCs w:val="15"/>
                <w:color w:val="auto"/>
                <w:w w:val="96"/>
              </w:rPr>
              <w:t>58,813</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668,781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Option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DBF3FF"/>
          </w:tcPr>
          <w:p>
            <w:pPr>
              <w:spacing w:after="0"/>
              <w:rPr>
                <w:sz w:val="20"/>
                <w:szCs w:val="20"/>
                <w:color w:val="auto"/>
              </w:rPr>
            </w:pPr>
            <w:r>
              <w:rPr>
                <w:rFonts w:ascii="Times New Roman" w:cs="Times New Roman" w:eastAsia="Times New Roman" w:hAnsi="Times New Roman"/>
                <w:sz w:val="15"/>
                <w:szCs w:val="15"/>
                <w:color w:val="auto"/>
              </w:rPr>
              <w:t>Kathy Mayerhofer</w:t>
            </w:r>
          </w:p>
        </w:tc>
        <w:tc>
          <w:tcPr>
            <w:tcW w:w="40" w:type="dxa"/>
            <w:vAlign w:val="bottom"/>
            <w:shd w:val="clear" w:color="auto" w:fill="DBF3FF"/>
          </w:tcPr>
          <w:p>
            <w:pPr>
              <w:spacing w:after="0"/>
              <w:rPr>
                <w:sz w:val="15"/>
                <w:szCs w:val="15"/>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Annual</w:t>
            </w:r>
          </w:p>
        </w:tc>
        <w:tc>
          <w:tcPr>
            <w:tcW w:w="180" w:type="dxa"/>
            <w:vAlign w:val="bottom"/>
            <w:shd w:val="clear" w:color="auto" w:fill="DBF3FF"/>
          </w:tcPr>
          <w:p>
            <w:pPr>
              <w:spacing w:after="0"/>
              <w:rPr>
                <w:sz w:val="15"/>
                <w:szCs w:val="15"/>
                <w:color w:val="auto"/>
              </w:rPr>
            </w:pPr>
          </w:p>
        </w:tc>
        <w:tc>
          <w:tcPr>
            <w:tcW w:w="90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DBF3FF"/>
          </w:tcPr>
          <w:p>
            <w:pPr>
              <w:ind w:left="80"/>
              <w:spacing w:after="0"/>
              <w:rPr>
                <w:sz w:val="20"/>
                <w:szCs w:val="20"/>
                <w:color w:val="auto"/>
              </w:rPr>
            </w:pPr>
            <w:r>
              <w:rPr>
                <w:rFonts w:ascii="Times New Roman" w:cs="Times New Roman" w:eastAsia="Times New Roman" w:hAnsi="Times New Roman"/>
                <w:sz w:val="15"/>
                <w:szCs w:val="15"/>
                <w:color w:val="auto"/>
              </w:rPr>
              <w:t>350,000</w:t>
            </w:r>
          </w:p>
        </w:tc>
        <w:tc>
          <w:tcPr>
            <w:tcW w:w="760" w:type="dxa"/>
            <w:vAlign w:val="bottom"/>
            <w:shd w:val="clear" w:color="auto" w:fill="DBF3FF"/>
          </w:tcPr>
          <w:p>
            <w:pPr>
              <w:ind w:left="520"/>
              <w:spacing w:after="0"/>
              <w:rPr>
                <w:sz w:val="20"/>
                <w:szCs w:val="20"/>
                <w:color w:val="auto"/>
              </w:rPr>
            </w:pPr>
            <w:r>
              <w:rPr>
                <w:rFonts w:ascii="Times New Roman" w:cs="Times New Roman" w:eastAsia="Times New Roman" w:hAnsi="Times New Roman"/>
                <w:sz w:val="15"/>
                <w:szCs w:val="15"/>
                <w:color w:val="auto"/>
                <w:w w:val="97"/>
              </w:rPr>
              <w:t>— </w:t>
            </w:r>
          </w:p>
        </w:tc>
        <w:tc>
          <w:tcPr>
            <w:tcW w:w="240" w:type="dxa"/>
            <w:vAlign w:val="bottom"/>
            <w:shd w:val="clear" w:color="auto" w:fill="DBF3FF"/>
          </w:tcPr>
          <w:p>
            <w:pPr>
              <w:spacing w:after="0"/>
              <w:rPr>
                <w:sz w:val="15"/>
                <w:szCs w:val="15"/>
                <w:color w:val="auto"/>
              </w:rPr>
            </w:pPr>
          </w:p>
        </w:tc>
        <w:tc>
          <w:tcPr>
            <w:tcW w:w="840" w:type="dxa"/>
            <w:vAlign w:val="bottom"/>
            <w:gridSpan w:val="2"/>
            <w:shd w:val="clear" w:color="auto" w:fill="DBF3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7"/>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Incentive</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DBF3FF"/>
          </w:tcPr>
          <w:p>
            <w:pPr>
              <w:spacing w:after="0"/>
              <w:rPr>
                <w:sz w:val="16"/>
                <w:szCs w:val="16"/>
                <w:color w:val="auto"/>
              </w:rPr>
            </w:pPr>
          </w:p>
        </w:tc>
        <w:tc>
          <w:tcPr>
            <w:tcW w:w="40" w:type="dxa"/>
            <w:vAlign w:val="bottom"/>
            <w:shd w:val="clear" w:color="auto" w:fill="DBF3FF"/>
          </w:tcPr>
          <w:p>
            <w:pPr>
              <w:spacing w:after="0"/>
              <w:rPr>
                <w:sz w:val="16"/>
                <w:szCs w:val="16"/>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RSU</w:t>
            </w:r>
          </w:p>
        </w:tc>
        <w:tc>
          <w:tcPr>
            <w:tcW w:w="1080" w:type="dxa"/>
            <w:vAlign w:val="bottom"/>
            <w:gridSpan w:val="3"/>
            <w:shd w:val="clear" w:color="auto" w:fill="DBF3FF"/>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560" w:type="dxa"/>
            <w:vAlign w:val="bottom"/>
            <w:shd w:val="clear" w:color="auto" w:fill="DBF3FF"/>
          </w:tcPr>
          <w:p>
            <w:pPr>
              <w:spacing w:after="0"/>
              <w:rPr>
                <w:sz w:val="16"/>
                <w:szCs w:val="16"/>
                <w:color w:val="auto"/>
              </w:rPr>
            </w:pPr>
          </w:p>
        </w:tc>
        <w:tc>
          <w:tcPr>
            <w:tcW w:w="240" w:type="dxa"/>
            <w:vAlign w:val="bottom"/>
            <w:shd w:val="clear" w:color="auto" w:fill="DBF3FF"/>
          </w:tcPr>
          <w:p>
            <w:pPr>
              <w:spacing w:after="0"/>
              <w:rPr>
                <w:sz w:val="16"/>
                <w:szCs w:val="16"/>
                <w:color w:val="auto"/>
              </w:rPr>
            </w:pPr>
          </w:p>
        </w:tc>
        <w:tc>
          <w:tcPr>
            <w:tcW w:w="760" w:type="dxa"/>
            <w:vAlign w:val="bottom"/>
            <w:shd w:val="clear" w:color="auto" w:fill="DBF3FF"/>
          </w:tcPr>
          <w:p>
            <w:pPr>
              <w:spacing w:after="0"/>
              <w:rPr>
                <w:sz w:val="16"/>
                <w:szCs w:val="16"/>
                <w:color w:val="auto"/>
              </w:rPr>
            </w:pPr>
          </w:p>
        </w:tc>
        <w:tc>
          <w:tcPr>
            <w:tcW w:w="1080" w:type="dxa"/>
            <w:vAlign w:val="bottom"/>
            <w:gridSpan w:val="3"/>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18,690</w:t>
            </w:r>
          </w:p>
        </w:tc>
        <w:tc>
          <w:tcPr>
            <w:tcW w:w="86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shd w:val="clear" w:color="auto" w:fill="DBF3FF"/>
          </w:tcPr>
          <w:p>
            <w:pPr>
              <w:ind w:left="4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295,676</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60" w:type="dxa"/>
            <w:vAlign w:val="bottom"/>
            <w:shd w:val="clear" w:color="auto" w:fill="DBF3FF"/>
          </w:tcPr>
          <w:p>
            <w:pPr>
              <w:spacing w:after="0"/>
              <w:rPr>
                <w:sz w:val="15"/>
                <w:szCs w:val="15"/>
                <w:color w:val="auto"/>
              </w:rPr>
            </w:pPr>
          </w:p>
        </w:tc>
        <w:tc>
          <w:tcPr>
            <w:tcW w:w="40" w:type="dxa"/>
            <w:vAlign w:val="bottom"/>
            <w:shd w:val="clear" w:color="auto" w:fill="DBF3FF"/>
          </w:tcPr>
          <w:p>
            <w:pPr>
              <w:spacing w:after="0"/>
              <w:rPr>
                <w:sz w:val="15"/>
                <w:szCs w:val="15"/>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1080" w:type="dxa"/>
            <w:vAlign w:val="bottom"/>
            <w:gridSpan w:val="3"/>
            <w:shd w:val="clear" w:color="auto" w:fill="DBF3FF"/>
          </w:tcPr>
          <w:p>
            <w:pPr>
              <w:jc w:val="center"/>
              <w:ind w:right="20"/>
              <w:spacing w:after="0"/>
              <w:rPr>
                <w:sz w:val="20"/>
                <w:szCs w:val="20"/>
                <w:color w:val="auto"/>
              </w:rPr>
            </w:pPr>
            <w:r>
              <w:rPr>
                <w:rFonts w:ascii="Times New Roman" w:cs="Times New Roman" w:eastAsia="Times New Roman" w:hAnsi="Times New Roman"/>
                <w:sz w:val="15"/>
                <w:szCs w:val="15"/>
                <w:color w:val="auto"/>
              </w:rPr>
              <w:t>3/15/2023</w:t>
            </w:r>
          </w:p>
        </w:tc>
        <w:tc>
          <w:tcPr>
            <w:tcW w:w="70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5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760" w:type="dxa"/>
            <w:vAlign w:val="bottom"/>
            <w:shd w:val="clear" w:color="auto" w:fill="DBF3FF"/>
          </w:tcPr>
          <w:p>
            <w:pPr>
              <w:spacing w:after="0"/>
              <w:rPr>
                <w:sz w:val="15"/>
                <w:szCs w:val="15"/>
                <w:color w:val="auto"/>
              </w:rPr>
            </w:pPr>
          </w:p>
        </w:tc>
        <w:tc>
          <w:tcPr>
            <w:tcW w:w="240" w:type="dxa"/>
            <w:vAlign w:val="bottom"/>
            <w:shd w:val="clear" w:color="auto" w:fill="DBF3FF"/>
          </w:tcPr>
          <w:p>
            <w:pPr>
              <w:spacing w:after="0"/>
              <w:rPr>
                <w:sz w:val="15"/>
                <w:szCs w:val="15"/>
                <w:color w:val="auto"/>
              </w:rPr>
            </w:pPr>
          </w:p>
        </w:tc>
        <w:tc>
          <w:tcPr>
            <w:tcW w:w="840" w:type="dxa"/>
            <w:vAlign w:val="bottom"/>
            <w:gridSpan w:val="2"/>
            <w:shd w:val="clear" w:color="auto" w:fill="DBF3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shd w:val="clear" w:color="auto" w:fill="DBF3FF"/>
          </w:tcPr>
          <w:p>
            <w:pPr>
              <w:ind w:left="200"/>
              <w:spacing w:after="0"/>
              <w:rPr>
                <w:sz w:val="20"/>
                <w:szCs w:val="20"/>
                <w:color w:val="auto"/>
              </w:rPr>
            </w:pPr>
            <w:r>
              <w:rPr>
                <w:rFonts w:ascii="Times New Roman" w:cs="Times New Roman" w:eastAsia="Times New Roman" w:hAnsi="Times New Roman"/>
                <w:sz w:val="15"/>
                <w:szCs w:val="15"/>
                <w:color w:val="auto"/>
                <w:w w:val="96"/>
              </w:rPr>
              <w:t>27,877</w:t>
            </w:r>
          </w:p>
        </w:tc>
        <w:tc>
          <w:tcPr>
            <w:tcW w:w="240" w:type="dxa"/>
            <w:vAlign w:val="bottom"/>
            <w:shd w:val="clear" w:color="auto" w:fill="DBF3FF"/>
          </w:tcPr>
          <w:p>
            <w:pPr>
              <w:spacing w:after="0"/>
              <w:rPr>
                <w:sz w:val="15"/>
                <w:szCs w:val="15"/>
                <w:color w:val="auto"/>
              </w:rPr>
            </w:pP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15.82</w:t>
            </w:r>
          </w:p>
        </w:tc>
        <w:tc>
          <w:tcPr>
            <w:tcW w:w="240" w:type="dxa"/>
            <w:vAlign w:val="bottom"/>
            <w:shd w:val="clear" w:color="auto" w:fill="DBF3FF"/>
          </w:tcPr>
          <w:p>
            <w:pPr>
              <w:spacing w:after="0"/>
              <w:rPr>
                <w:sz w:val="15"/>
                <w:szCs w:val="15"/>
                <w:color w:val="auto"/>
              </w:rPr>
            </w:pPr>
          </w:p>
        </w:tc>
        <w:tc>
          <w:tcPr>
            <w:tcW w:w="7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316,998</w:t>
            </w:r>
          </w:p>
        </w:tc>
        <w:tc>
          <w:tcPr>
            <w:tcW w:w="40" w:type="dxa"/>
            <w:vAlign w:val="bottom"/>
            <w:shd w:val="clear" w:color="auto" w:fill="DBF3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620" w:type="dxa"/>
            <w:vAlign w:val="bottom"/>
            <w:shd w:val="clear" w:color="auto" w:fill="DBF3FF"/>
          </w:tcPr>
          <w:p>
            <w:pPr>
              <w:jc w:val="center"/>
              <w:spacing w:after="0"/>
              <w:rPr>
                <w:sz w:val="20"/>
                <w:szCs w:val="20"/>
                <w:color w:val="auto"/>
              </w:rPr>
            </w:pPr>
            <w:r>
              <w:rPr>
                <w:rFonts w:ascii="Times New Roman" w:cs="Times New Roman" w:eastAsia="Times New Roman" w:hAnsi="Times New Roman"/>
                <w:sz w:val="15"/>
                <w:szCs w:val="15"/>
                <w:color w:val="auto"/>
              </w:rPr>
              <w:t>Option</w:t>
            </w:r>
          </w:p>
        </w:tc>
        <w:tc>
          <w:tcPr>
            <w:tcW w:w="180" w:type="dxa"/>
            <w:vAlign w:val="bottom"/>
            <w:shd w:val="clear" w:color="auto" w:fill="DBF3FF"/>
          </w:tcPr>
          <w:p>
            <w:pPr>
              <w:spacing w:after="0"/>
              <w:rPr>
                <w:sz w:val="17"/>
                <w:szCs w:val="17"/>
                <w:color w:val="auto"/>
              </w:rPr>
            </w:pPr>
          </w:p>
        </w:tc>
        <w:tc>
          <w:tcPr>
            <w:tcW w:w="6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5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6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6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0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720" w:type="dxa"/>
            <w:vAlign w:val="bottom"/>
            <w:shd w:val="clear" w:color="auto" w:fill="DBF3FF"/>
          </w:tcPr>
          <w:p>
            <w:pPr>
              <w:spacing w:after="0"/>
              <w:rPr>
                <w:sz w:val="17"/>
                <w:szCs w:val="17"/>
                <w:color w:val="auto"/>
              </w:rPr>
            </w:pPr>
          </w:p>
        </w:tc>
        <w:tc>
          <w:tcPr>
            <w:tcW w:w="4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right="240" w:hanging="403"/>
        <w:spacing w:after="0" w:line="251" w:lineRule="auto"/>
        <w:tabs>
          <w:tab w:leader="none" w:pos="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set forth in the “Target” column represent target bonus amounts for each named executive officer for 2023 under our annual cash bonus program, and do not represent either additional or actual compensation earned by our named executive officers for the year ended December 31, 2023. The dollar value of the actual payments for these awards is included in the “Non-Equity Incentive Plan Compensation” column of the “Summary Compensation Table” above. The plan does not provide for threshold or maximum payout amounts. For more information about our annual cash bonus program for 2023, please see “Elements of Our Fiscal Year 2023 Executive Compensation Program— Annual Cash Bonus Awards” in the Compensation Discussion &amp; Analysis above.</w:t>
      </w:r>
    </w:p>
    <w:p>
      <w:pPr>
        <w:spacing w:after="0" w:line="4" w:lineRule="exact"/>
        <w:rPr>
          <w:rFonts w:ascii="Times New Roman" w:cs="Times New Roman" w:eastAsia="Times New Roman" w:hAnsi="Times New Roman"/>
          <w:sz w:val="17"/>
          <w:szCs w:val="17"/>
          <w:color w:val="auto"/>
        </w:rPr>
      </w:pPr>
    </w:p>
    <w:p>
      <w:pPr>
        <w:ind w:left="860" w:right="40" w:hanging="403"/>
        <w:spacing w:after="0" w:line="250" w:lineRule="auto"/>
        <w:tabs>
          <w:tab w:leader="none" w:pos="8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represent the aggregate grant date fair value of RSUs and stock options granted to our named executive officers under our 2021 Plan, computed in accordance with ASC 718. The assumptions used in calculating the grant date fair value of the RSUs and stock options reported in this column are set forth in the notes to our audited consolidated financial statements included in our Annual Report on Form 10-K. The amounts reported do not reflect the actual economic value that may be realized by the named executive officers. For more information about the RSUs and stock options granted to our named</w:t>
      </w:r>
    </w:p>
    <w:p>
      <w:pPr>
        <w:spacing w:after="0" w:line="1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800"/>
          </w:cols>
          <w:pgMar w:left="320" w:top="462" w:right="7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860" w:right="100"/>
        <w:spacing w:after="0" w:line="258" w:lineRule="auto"/>
        <w:rPr>
          <w:sz w:val="20"/>
          <w:szCs w:val="20"/>
          <w:color w:val="auto"/>
        </w:rPr>
      </w:pPr>
      <w:r>
        <w:rPr>
          <w:rFonts w:ascii="Times New Roman" w:cs="Times New Roman" w:eastAsia="Times New Roman" w:hAnsi="Times New Roman"/>
          <w:sz w:val="17"/>
          <w:szCs w:val="17"/>
          <w:color w:val="auto"/>
        </w:rPr>
        <w:t>executive officers in 2023, please see “Elements of Our Fiscal Year 2023 Executive Compensation Program—Equity-Based Incentive Awards” in the Compensation Discussion &amp; Analysis above.</w:t>
      </w:r>
    </w:p>
    <w:p>
      <w:pPr>
        <w:spacing w:after="0" w:line="1" w:lineRule="exact"/>
        <w:rPr>
          <w:sz w:val="20"/>
          <w:szCs w:val="20"/>
          <w:color w:val="auto"/>
        </w:rPr>
      </w:pPr>
    </w:p>
    <w:p>
      <w:pPr>
        <w:ind w:left="860" w:right="160" w:hanging="403"/>
        <w:spacing w:after="0" w:line="257" w:lineRule="auto"/>
        <w:tabs>
          <w:tab w:leader="none" w:pos="8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equity award grants are the special grants described “Elements of Our Fiscal Year 2023 Executive Compensation Program—Equity-Based Incentive Awards” in the Compensation Discussion &amp; Analysis above.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provides information regarding equity awards held by the named executive officers that were outstanding as of December 31,</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2023.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Option Awards(1)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Stock Awards(1)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22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7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92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7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7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880" w:type="dxa"/>
            <w:vAlign w:val="bottom"/>
            <w:gridSpan w:val="2"/>
            <w:vMerge w:val="continue"/>
          </w:tcPr>
          <w:p>
            <w:pPr>
              <w:spacing w:after="0"/>
              <w:rPr>
                <w:sz w:val="12"/>
                <w:szCs w:val="12"/>
                <w:color w:val="auto"/>
              </w:rPr>
            </w:pPr>
          </w:p>
        </w:tc>
        <w:tc>
          <w:tcPr>
            <w:tcW w:w="124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0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and Option</w:t>
            </w:r>
          </w:p>
        </w:tc>
        <w:tc>
          <w:tcPr>
            <w:tcW w:w="0" w:type="dxa"/>
            <w:vAlign w:val="bottom"/>
          </w:tcPr>
          <w:p>
            <w:pPr>
              <w:spacing w:after="0"/>
              <w:rPr>
                <w:sz w:val="1"/>
                <w:szCs w:val="1"/>
                <w:color w:val="auto"/>
              </w:rPr>
            </w:pPr>
          </w:p>
        </w:tc>
      </w:tr>
      <w:tr>
        <w:trPr>
          <w:trHeight w:val="139"/>
        </w:trPr>
        <w:tc>
          <w:tcPr>
            <w:tcW w:w="2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92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7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Price</w:t>
            </w: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24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Stock or Units</w:t>
            </w:r>
          </w:p>
        </w:tc>
        <w:tc>
          <w:tcPr>
            <w:tcW w:w="7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64"/>
        </w:trPr>
        <w:tc>
          <w:tcPr>
            <w:tcW w:w="2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shd w:val="clear" w:color="auto" w:fill="DBF3FF"/>
          </w:tcPr>
          <w:p>
            <w:pPr>
              <w:spacing w:after="0"/>
              <w:rPr>
                <w:sz w:val="20"/>
                <w:szCs w:val="20"/>
                <w:color w:val="auto"/>
              </w:rPr>
            </w:pPr>
            <w:r>
              <w:rPr>
                <w:rFonts w:ascii="Times New Roman" w:cs="Times New Roman" w:eastAsia="Times New Roman" w:hAnsi="Times New Roman"/>
                <w:sz w:val="15"/>
                <w:szCs w:val="15"/>
                <w:color w:val="auto"/>
              </w:rPr>
              <w:t>Randolph Altschuler</w:t>
            </w:r>
          </w:p>
        </w:tc>
        <w:tc>
          <w:tcPr>
            <w:tcW w:w="180" w:type="dxa"/>
            <w:vAlign w:val="bottom"/>
            <w:tcBorders>
              <w:top w:val="single" w:sz="8" w:color="DBF3FF"/>
            </w:tcBorders>
            <w:shd w:val="clear" w:color="auto" w:fill="DBF3FF"/>
          </w:tcPr>
          <w:p>
            <w:pPr>
              <w:spacing w:after="0"/>
              <w:rPr>
                <w:sz w:val="15"/>
                <w:szCs w:val="15"/>
                <w:color w:val="auto"/>
              </w:rPr>
            </w:pPr>
          </w:p>
        </w:tc>
        <w:tc>
          <w:tcPr>
            <w:tcW w:w="640" w:type="dxa"/>
            <w:vAlign w:val="bottom"/>
            <w:tcBorders>
              <w:top w:val="single" w:sz="8" w:color="auto"/>
            </w:tcBorders>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1/30/2018</w:t>
            </w:r>
          </w:p>
        </w:tc>
        <w:tc>
          <w:tcPr>
            <w:tcW w:w="40" w:type="dxa"/>
            <w:vAlign w:val="bottom"/>
            <w:tcBorders>
              <w:top w:val="single" w:sz="8" w:color="DBF3FF"/>
            </w:tcBorders>
            <w:shd w:val="clear" w:color="auto" w:fill="DBF3FF"/>
          </w:tcPr>
          <w:p>
            <w:pPr>
              <w:spacing w:after="0"/>
              <w:rPr>
                <w:sz w:val="15"/>
                <w:szCs w:val="15"/>
                <w:color w:val="auto"/>
              </w:rPr>
            </w:pPr>
          </w:p>
        </w:tc>
        <w:tc>
          <w:tcPr>
            <w:tcW w:w="180" w:type="dxa"/>
            <w:vAlign w:val="bottom"/>
            <w:tcBorders>
              <w:top w:val="single" w:sz="8" w:color="DBF3FF"/>
            </w:tcBorders>
            <w:shd w:val="clear" w:color="auto" w:fill="DBF3FF"/>
          </w:tcPr>
          <w:p>
            <w:pPr>
              <w:spacing w:after="0"/>
              <w:rPr>
                <w:sz w:val="15"/>
                <w:szCs w:val="15"/>
                <w:color w:val="auto"/>
              </w:rPr>
            </w:pPr>
          </w:p>
        </w:tc>
        <w:tc>
          <w:tcPr>
            <w:tcW w:w="940" w:type="dxa"/>
            <w:vAlign w:val="bottom"/>
            <w:tcBorders>
              <w:top w:val="single" w:sz="8" w:color="auto"/>
            </w:tcBorders>
            <w:gridSpan w:val="2"/>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1/1/2018</w:t>
            </w:r>
          </w:p>
        </w:tc>
        <w:tc>
          <w:tcPr>
            <w:tcW w:w="220" w:type="dxa"/>
            <w:vAlign w:val="bottom"/>
            <w:tcBorders>
              <w:top w:val="single" w:sz="8" w:color="DBF3FF"/>
            </w:tcBorders>
            <w:shd w:val="clear" w:color="auto" w:fill="DBF3FF"/>
          </w:tcPr>
          <w:p>
            <w:pPr>
              <w:spacing w:after="0"/>
              <w:rPr>
                <w:sz w:val="15"/>
                <w:szCs w:val="15"/>
                <w:color w:val="auto"/>
              </w:rPr>
            </w:pPr>
          </w:p>
        </w:tc>
        <w:tc>
          <w:tcPr>
            <w:tcW w:w="70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73,518</w:t>
            </w:r>
          </w:p>
        </w:tc>
        <w:tc>
          <w:tcPr>
            <w:tcW w:w="220" w:type="dxa"/>
            <w:vAlign w:val="bottom"/>
            <w:tcBorders>
              <w:top w:val="single" w:sz="8" w:color="DBF3FF"/>
            </w:tcBorders>
            <w:shd w:val="clear" w:color="auto" w:fill="DBF3FF"/>
          </w:tcPr>
          <w:p>
            <w:pPr>
              <w:spacing w:after="0"/>
              <w:rPr>
                <w:sz w:val="15"/>
                <w:szCs w:val="15"/>
                <w:color w:val="auto"/>
              </w:rPr>
            </w:pPr>
          </w:p>
        </w:tc>
        <w:tc>
          <w:tcPr>
            <w:tcW w:w="820" w:type="dxa"/>
            <w:vAlign w:val="bottom"/>
            <w:tcBorders>
              <w:top w:val="single" w:sz="8" w:color="auto"/>
            </w:tcBorders>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w w:val="97"/>
              </w:rPr>
              <w:t>— </w:t>
            </w:r>
          </w:p>
        </w:tc>
        <w:tc>
          <w:tcPr>
            <w:tcW w:w="400" w:type="dxa"/>
            <w:vAlign w:val="bottom"/>
            <w:tcBorders>
              <w:top w:val="single" w:sz="8" w:color="DBF3FF"/>
            </w:tcBorders>
            <w:shd w:val="clear" w:color="auto" w:fill="DBF3FF"/>
          </w:tcPr>
          <w:p>
            <w:pPr>
              <w:spacing w:after="0"/>
              <w:rPr>
                <w:sz w:val="15"/>
                <w:szCs w:val="15"/>
                <w:color w:val="auto"/>
              </w:rPr>
            </w:pPr>
          </w:p>
        </w:tc>
        <w:tc>
          <w:tcPr>
            <w:tcW w:w="50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220" w:type="dxa"/>
            <w:vAlign w:val="bottom"/>
            <w:tcBorders>
              <w:top w:val="single" w:sz="8" w:color="DBF3FF"/>
            </w:tcBorders>
            <w:shd w:val="clear" w:color="auto" w:fill="DBF3FF"/>
          </w:tcPr>
          <w:p>
            <w:pPr>
              <w:spacing w:after="0"/>
              <w:rPr>
                <w:sz w:val="15"/>
                <w:szCs w:val="15"/>
                <w:color w:val="auto"/>
              </w:rPr>
            </w:pPr>
          </w:p>
        </w:tc>
        <w:tc>
          <w:tcPr>
            <w:tcW w:w="66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1/29/2028</w:t>
            </w:r>
          </w:p>
        </w:tc>
        <w:tc>
          <w:tcPr>
            <w:tcW w:w="220" w:type="dxa"/>
            <w:vAlign w:val="bottom"/>
            <w:tcBorders>
              <w:top w:val="single" w:sz="8" w:color="DBF3FF"/>
            </w:tcBorders>
            <w:shd w:val="clear" w:color="auto" w:fill="DBF3FF"/>
          </w:tcPr>
          <w:p>
            <w:pPr>
              <w:spacing w:after="0"/>
              <w:rPr>
                <w:sz w:val="15"/>
                <w:szCs w:val="15"/>
                <w:color w:val="auto"/>
              </w:rPr>
            </w:pPr>
          </w:p>
        </w:tc>
        <w:tc>
          <w:tcPr>
            <w:tcW w:w="820" w:type="dxa"/>
            <w:vAlign w:val="bottom"/>
            <w:tcBorders>
              <w:top w:val="single" w:sz="8" w:color="auto"/>
            </w:tcBorders>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w w:val="88"/>
              </w:rPr>
              <w:t>— </w:t>
            </w:r>
          </w:p>
        </w:tc>
        <w:tc>
          <w:tcPr>
            <w:tcW w:w="420" w:type="dxa"/>
            <w:vAlign w:val="bottom"/>
            <w:tcBorders>
              <w:top w:val="single" w:sz="8" w:color="DBF3FF"/>
            </w:tcBorders>
            <w:shd w:val="clear" w:color="auto" w:fill="DBF3FF"/>
          </w:tcPr>
          <w:p>
            <w:pPr>
              <w:spacing w:after="0"/>
              <w:rPr>
                <w:sz w:val="15"/>
                <w:szCs w:val="15"/>
                <w:color w:val="auto"/>
              </w:rPr>
            </w:pPr>
          </w:p>
        </w:tc>
        <w:tc>
          <w:tcPr>
            <w:tcW w:w="66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DBF3FF"/>
            </w:tcBorders>
            <w:shd w:val="clear" w:color="auto" w:fill="DBF3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80" w:type="dxa"/>
            <w:vAlign w:val="bottom"/>
            <w:gridSpan w:val="2"/>
            <w:shd w:val="clear" w:color="auto" w:fill="DBF3FF"/>
          </w:tcPr>
          <w:p>
            <w:pPr>
              <w:ind w:left="100"/>
              <w:spacing w:after="0"/>
              <w:rPr>
                <w:sz w:val="20"/>
                <w:szCs w:val="20"/>
                <w:color w:val="auto"/>
              </w:rPr>
            </w:pPr>
            <w:r>
              <w:rPr>
                <w:rFonts w:ascii="Times New Roman" w:cs="Times New Roman" w:eastAsia="Times New Roman" w:hAnsi="Times New Roman"/>
                <w:sz w:val="15"/>
                <w:szCs w:val="15"/>
                <w:color w:val="auto"/>
              </w:rPr>
              <w:t>8/8/2019</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5/2/2019</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205,769</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3.65</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8/7/2029</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80" w:type="dxa"/>
            <w:vAlign w:val="bottom"/>
            <w:gridSpan w:val="2"/>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rPr>
              <w:t>3/26/2021</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1/1/2021</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103,742</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38,533(3)</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12.32</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3/27/2031</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3/15/2022</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34,376</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44,198(4)</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34.86</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3/14/2032</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3/15/2022</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26,729(5)</w:t>
            </w:r>
          </w:p>
        </w:tc>
        <w:tc>
          <w:tcPr>
            <w:tcW w:w="6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959,838</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3/15/2023</w:t>
            </w:r>
          </w:p>
        </w:tc>
        <w:tc>
          <w:tcPr>
            <w:tcW w:w="4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1160" w:type="dxa"/>
            <w:vAlign w:val="bottom"/>
            <w:gridSpan w:val="3"/>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29,407(4)</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15.82</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3/14/2033</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3/15/2023</w:t>
            </w:r>
          </w:p>
        </w:tc>
        <w:tc>
          <w:tcPr>
            <w:tcW w:w="4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1160" w:type="dxa"/>
            <w:vAlign w:val="bottom"/>
            <w:gridSpan w:val="3"/>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19,715(5)</w:t>
            </w:r>
          </w:p>
        </w:tc>
        <w:tc>
          <w:tcPr>
            <w:tcW w:w="6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707,966</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20"/>
                <w:szCs w:val="20"/>
                <w:color w:val="auto"/>
              </w:rPr>
            </w:pPr>
            <w:r>
              <w:rPr>
                <w:rFonts w:ascii="Times New Roman" w:cs="Times New Roman" w:eastAsia="Times New Roman" w:hAnsi="Times New Roman"/>
                <w:sz w:val="15"/>
                <w:szCs w:val="15"/>
                <w:color w:val="auto"/>
              </w:rPr>
              <w:t>James Rallo(6)</w:t>
            </w:r>
          </w:p>
        </w:tc>
        <w:tc>
          <w:tcPr>
            <w:tcW w:w="1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7"/>
              </w:rPr>
              <w:t>5/6/2020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4/13/2020</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212,941</w:t>
            </w:r>
          </w:p>
        </w:tc>
        <w:tc>
          <w:tcPr>
            <w:tcW w:w="2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38,236(3)</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5/5/2030</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3/26/2021</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7,291</w:t>
            </w:r>
          </w:p>
        </w:tc>
        <w:tc>
          <w:tcPr>
            <w:tcW w:w="2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2,709(3)</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3/27/2031</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3/15/2022</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15,689</w:t>
            </w:r>
          </w:p>
        </w:tc>
        <w:tc>
          <w:tcPr>
            <w:tcW w:w="2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20,171(4)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34.86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3/14/2032</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3/15/2022</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12,199(5)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438,066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3/15/2023</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44,463(4)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15.82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3/14/2033</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7"/>
        </w:trPr>
        <w:tc>
          <w:tcPr>
            <w:tcW w:w="2460" w:type="dxa"/>
            <w:vAlign w:val="bottom"/>
          </w:tcPr>
          <w:p>
            <w:pPr>
              <w:spacing w:after="0"/>
              <w:rPr>
                <w:sz w:val="17"/>
                <w:szCs w:val="17"/>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3/15/2023</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29,809(5)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DBF3FF"/>
          </w:tcPr>
          <w:p>
            <w:pPr>
              <w:spacing w:after="0"/>
              <w:rPr>
                <w:sz w:val="20"/>
                <w:szCs w:val="20"/>
                <w:color w:val="auto"/>
              </w:rPr>
            </w:pPr>
            <w:r>
              <w:rPr>
                <w:rFonts w:ascii="Times New Roman" w:cs="Times New Roman" w:eastAsia="Times New Roman" w:hAnsi="Times New Roman"/>
                <w:sz w:val="15"/>
                <w:szCs w:val="15"/>
                <w:color w:val="auto"/>
              </w:rPr>
              <w:t>Peter Goguen</w:t>
            </w:r>
          </w:p>
        </w:tc>
        <w:tc>
          <w:tcPr>
            <w:tcW w:w="860" w:type="dxa"/>
            <w:vAlign w:val="bottom"/>
            <w:gridSpan w:val="3"/>
            <w:shd w:val="clear" w:color="auto" w:fill="DBF3FF"/>
          </w:tcPr>
          <w:p>
            <w:pPr>
              <w:ind w:left="220"/>
              <w:spacing w:after="0"/>
              <w:rPr>
                <w:sz w:val="20"/>
                <w:szCs w:val="20"/>
                <w:color w:val="auto"/>
              </w:rPr>
            </w:pPr>
            <w:r>
              <w:rPr>
                <w:rFonts w:ascii="Times New Roman" w:cs="Times New Roman" w:eastAsia="Times New Roman" w:hAnsi="Times New Roman"/>
                <w:sz w:val="15"/>
                <w:szCs w:val="15"/>
                <w:color w:val="auto"/>
              </w:rPr>
              <w:t>4/28/2020</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1/1/2020</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8,333</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1,042(3)</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3.65</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4/27/2030</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80" w:type="dxa"/>
            <w:vAlign w:val="bottom"/>
            <w:gridSpan w:val="2"/>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rPr>
              <w:t>3/26/2021</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1/1/2021</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8,333</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13,542(3)</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12.32</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3/27/2031</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80" w:type="dxa"/>
            <w:vAlign w:val="bottom"/>
            <w:gridSpan w:val="2"/>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rPr>
              <w:t>3/15/2022</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9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11,455</w:t>
            </w: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14,728(4)</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34.86</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3/14/2032</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3/15/2022</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8,907(5)</w:t>
            </w:r>
          </w:p>
        </w:tc>
        <w:tc>
          <w:tcPr>
            <w:tcW w:w="6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319,850</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3/15/2023</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91,278(4)</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15.82</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3/14/2033</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3/15/2023</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61,195(5)</w:t>
            </w:r>
          </w:p>
        </w:tc>
        <w:tc>
          <w:tcPr>
            <w:tcW w:w="6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2,197,512</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20"/>
                <w:szCs w:val="20"/>
                <w:color w:val="auto"/>
              </w:rPr>
            </w:pPr>
            <w:r>
              <w:rPr>
                <w:rFonts w:ascii="Times New Roman" w:cs="Times New Roman" w:eastAsia="Times New Roman" w:hAnsi="Times New Roman"/>
                <w:sz w:val="15"/>
                <w:szCs w:val="15"/>
                <w:color w:val="auto"/>
              </w:rPr>
              <w:t>Matthew Leibel</w:t>
            </w:r>
          </w:p>
        </w:tc>
        <w:tc>
          <w:tcPr>
            <w:tcW w:w="1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7"/>
              </w:rPr>
              <w:t>8/8/2019</w:t>
            </w:r>
          </w:p>
        </w:tc>
        <w:tc>
          <w:tcPr>
            <w:tcW w:w="40" w:type="dxa"/>
            <w:vAlign w:val="bottom"/>
          </w:tcPr>
          <w:p>
            <w:pPr>
              <w:spacing w:after="0"/>
              <w:rPr>
                <w:sz w:val="15"/>
                <w:szCs w:val="15"/>
                <w:color w:val="auto"/>
              </w:rPr>
            </w:pP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6/10/2019</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76,689</w:t>
            </w:r>
          </w:p>
        </w:tc>
        <w:tc>
          <w:tcPr>
            <w:tcW w:w="220" w:type="dxa"/>
            <w:vAlign w:val="bottom"/>
          </w:tcPr>
          <w:p>
            <w:pPr>
              <w:spacing w:after="0"/>
              <w:rPr>
                <w:sz w:val="15"/>
                <w:szCs w:val="15"/>
                <w:color w:val="auto"/>
              </w:rPr>
            </w:pP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8/7/2029</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3/26/2021</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18,229</w:t>
            </w:r>
          </w:p>
        </w:tc>
        <w:tc>
          <w:tcPr>
            <w:tcW w:w="2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6,771(3)</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12.32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3/27/2031</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3/15/2022</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10,978</w:t>
            </w:r>
          </w:p>
        </w:tc>
        <w:tc>
          <w:tcPr>
            <w:tcW w:w="2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14,114(4)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34.86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3/14/2032</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3/15/2022</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8,536(5)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306,528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3/15/2023</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58,813(4)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15.82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3/14/2033</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7"/>
        </w:trPr>
        <w:tc>
          <w:tcPr>
            <w:tcW w:w="2460" w:type="dxa"/>
            <w:vAlign w:val="bottom"/>
          </w:tcPr>
          <w:p>
            <w:pPr>
              <w:spacing w:after="0"/>
              <w:rPr>
                <w:sz w:val="17"/>
                <w:szCs w:val="17"/>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3/15/2023</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39,430(5)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1,415,931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DBF3FF"/>
          </w:tcPr>
          <w:p>
            <w:pPr>
              <w:spacing w:after="0"/>
              <w:rPr>
                <w:sz w:val="20"/>
                <w:szCs w:val="20"/>
                <w:color w:val="auto"/>
              </w:rPr>
            </w:pPr>
            <w:r>
              <w:rPr>
                <w:rFonts w:ascii="Times New Roman" w:cs="Times New Roman" w:eastAsia="Times New Roman" w:hAnsi="Times New Roman"/>
                <w:sz w:val="15"/>
                <w:szCs w:val="15"/>
                <w:color w:val="auto"/>
              </w:rPr>
              <w:t>Kathy Mayerhofer</w:t>
            </w:r>
          </w:p>
        </w:tc>
        <w:tc>
          <w:tcPr>
            <w:tcW w:w="860" w:type="dxa"/>
            <w:vAlign w:val="bottom"/>
            <w:gridSpan w:val="3"/>
            <w:shd w:val="clear" w:color="auto" w:fill="DBF3FF"/>
          </w:tcPr>
          <w:p>
            <w:pPr>
              <w:ind w:left="220"/>
              <w:spacing w:after="0"/>
              <w:rPr>
                <w:sz w:val="20"/>
                <w:szCs w:val="20"/>
                <w:color w:val="auto"/>
              </w:rPr>
            </w:pPr>
            <w:r>
              <w:rPr>
                <w:rFonts w:ascii="Times New Roman" w:cs="Times New Roman" w:eastAsia="Times New Roman" w:hAnsi="Times New Roman"/>
                <w:sz w:val="15"/>
                <w:szCs w:val="15"/>
                <w:color w:val="auto"/>
              </w:rPr>
              <w:t>2/20/2018</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1/1/2018</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1.65</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1/29/2028</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80" w:type="dxa"/>
            <w:vAlign w:val="bottom"/>
            <w:gridSpan w:val="2"/>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rPr>
              <w:t>2/20/2019</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1/1/2019</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12,188</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1.68</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2/19/2029</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80" w:type="dxa"/>
            <w:vAlign w:val="bottom"/>
            <w:gridSpan w:val="2"/>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rPr>
              <w:t>4/28/2020</w:t>
            </w: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1/1/2020</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16,041</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417(3)</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3.65</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4/27/2030</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3/26/2021</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1/1/2021</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40,104</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14,896(3)</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12.32</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3/25/2031</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3/15/2022</w:t>
            </w:r>
          </w:p>
        </w:tc>
        <w:tc>
          <w:tcPr>
            <w:tcW w:w="40" w:type="dxa"/>
            <w:vAlign w:val="bottom"/>
            <w:shd w:val="clear" w:color="auto" w:fill="DBF3FF"/>
          </w:tcPr>
          <w:p>
            <w:pPr>
              <w:spacing w:after="0"/>
              <w:rPr>
                <w:sz w:val="16"/>
                <w:szCs w:val="16"/>
                <w:color w:val="auto"/>
              </w:rPr>
            </w:pPr>
          </w:p>
        </w:tc>
        <w:tc>
          <w:tcPr>
            <w:tcW w:w="1340" w:type="dxa"/>
            <w:vAlign w:val="bottom"/>
            <w:gridSpan w:val="4"/>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7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8,301</w:t>
            </w:r>
          </w:p>
        </w:tc>
        <w:tc>
          <w:tcPr>
            <w:tcW w:w="220" w:type="dxa"/>
            <w:vAlign w:val="bottom"/>
            <w:shd w:val="clear" w:color="auto" w:fill="DBF3FF"/>
          </w:tcPr>
          <w:p>
            <w:pPr>
              <w:spacing w:after="0"/>
              <w:rPr>
                <w:sz w:val="16"/>
                <w:szCs w:val="16"/>
                <w:color w:val="auto"/>
              </w:rPr>
            </w:pP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10,673(4)</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34.86</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3/14/2032</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3/15/2022</w:t>
            </w:r>
          </w:p>
        </w:tc>
        <w:tc>
          <w:tcPr>
            <w:tcW w:w="4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1160" w:type="dxa"/>
            <w:vAlign w:val="bottom"/>
            <w:gridSpan w:val="3"/>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1/1/2022</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6,454(5)</w:t>
            </w:r>
          </w:p>
        </w:tc>
        <w:tc>
          <w:tcPr>
            <w:tcW w:w="6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231,763</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3/15/2023</w:t>
            </w:r>
          </w:p>
        </w:tc>
        <w:tc>
          <w:tcPr>
            <w:tcW w:w="4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0" w:type="dxa"/>
            <w:vAlign w:val="bottom"/>
            <w:shd w:val="clear" w:color="auto" w:fill="DBF3FF"/>
          </w:tcPr>
          <w:p>
            <w:pPr>
              <w:spacing w:after="0"/>
              <w:rPr>
                <w:sz w:val="16"/>
                <w:szCs w:val="16"/>
                <w:color w:val="auto"/>
              </w:rPr>
            </w:pPr>
          </w:p>
        </w:tc>
        <w:tc>
          <w:tcPr>
            <w:tcW w:w="110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27,877(4)</w:t>
            </w:r>
          </w:p>
        </w:tc>
        <w:tc>
          <w:tcPr>
            <w:tcW w:w="72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15.82</w:t>
            </w:r>
          </w:p>
        </w:tc>
        <w:tc>
          <w:tcPr>
            <w:tcW w:w="88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3/14/2033</w:t>
            </w:r>
          </w:p>
        </w:tc>
        <w:tc>
          <w:tcPr>
            <w:tcW w:w="1240" w:type="dxa"/>
            <w:vAlign w:val="bottom"/>
            <w:gridSpan w:val="2"/>
            <w:shd w:val="clear" w:color="auto" w:fill="DBF3FF"/>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DBF3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0"/>
        </w:trPr>
        <w:tc>
          <w:tcPr>
            <w:tcW w:w="246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40" w:type="dxa"/>
            <w:vAlign w:val="bottom"/>
            <w:shd w:val="clear" w:color="auto" w:fill="DBF3FF"/>
          </w:tcPr>
          <w:p>
            <w:pPr>
              <w:ind w:left="40"/>
              <w:spacing w:after="0"/>
              <w:rPr>
                <w:sz w:val="20"/>
                <w:szCs w:val="20"/>
                <w:color w:val="auto"/>
              </w:rPr>
            </w:pPr>
            <w:r>
              <w:rPr>
                <w:rFonts w:ascii="Times New Roman" w:cs="Times New Roman" w:eastAsia="Times New Roman" w:hAnsi="Times New Roman"/>
                <w:sz w:val="15"/>
                <w:szCs w:val="15"/>
                <w:color w:val="auto"/>
                <w:w w:val="95"/>
              </w:rPr>
              <w:t>3/15/2023</w:t>
            </w:r>
          </w:p>
        </w:tc>
        <w:tc>
          <w:tcPr>
            <w:tcW w:w="40" w:type="dxa"/>
            <w:vAlign w:val="bottom"/>
            <w:shd w:val="clear" w:color="auto" w:fill="DBF3FF"/>
          </w:tcPr>
          <w:p>
            <w:pPr>
              <w:spacing w:after="0"/>
              <w:rPr>
                <w:sz w:val="16"/>
                <w:szCs w:val="16"/>
                <w:color w:val="auto"/>
              </w:rPr>
            </w:pPr>
          </w:p>
        </w:tc>
        <w:tc>
          <w:tcPr>
            <w:tcW w:w="180" w:type="dxa"/>
            <w:vAlign w:val="bottom"/>
            <w:shd w:val="clear" w:color="auto" w:fill="DBF3FF"/>
          </w:tcPr>
          <w:p>
            <w:pPr>
              <w:spacing w:after="0"/>
              <w:rPr>
                <w:sz w:val="16"/>
                <w:szCs w:val="16"/>
                <w:color w:val="auto"/>
              </w:rPr>
            </w:pPr>
          </w:p>
        </w:tc>
        <w:tc>
          <w:tcPr>
            <w:tcW w:w="60" w:type="dxa"/>
            <w:vAlign w:val="bottom"/>
            <w:shd w:val="clear" w:color="auto" w:fill="DBF3FF"/>
          </w:tcPr>
          <w:p>
            <w:pPr>
              <w:spacing w:after="0"/>
              <w:rPr>
                <w:sz w:val="16"/>
                <w:szCs w:val="16"/>
                <w:color w:val="auto"/>
              </w:rPr>
            </w:pPr>
          </w:p>
        </w:tc>
        <w:tc>
          <w:tcPr>
            <w:tcW w:w="110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5"/>
                <w:szCs w:val="15"/>
                <w:color w:val="auto"/>
              </w:rPr>
              <w:t>1/1/2023</w:t>
            </w:r>
          </w:p>
        </w:tc>
        <w:tc>
          <w:tcPr>
            <w:tcW w:w="9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DBF3FF"/>
          </w:tcPr>
          <w:p>
            <w:pPr>
              <w:ind w:left="5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DBF3FF"/>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shd w:val="clear" w:color="auto" w:fill="DBF3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5"/>
                <w:szCs w:val="15"/>
                <w:color w:val="auto"/>
              </w:rPr>
              <w:t>18,690(5)</w:t>
            </w:r>
          </w:p>
        </w:tc>
        <w:tc>
          <w:tcPr>
            <w:tcW w:w="6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5"/>
                <w:szCs w:val="15"/>
                <w:color w:val="auto"/>
              </w:rPr>
              <w:t>671,158</w:t>
            </w:r>
          </w:p>
        </w:tc>
        <w:tc>
          <w:tcPr>
            <w:tcW w:w="4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00"/>
          </w:cols>
          <w:pgMar w:left="320" w:top="462" w:right="7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282575</wp:posOffset>
            </wp:positionV>
            <wp:extent cx="7239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60" w:right="20" w:hanging="403"/>
        <w:spacing w:after="0" w:line="269" w:lineRule="auto"/>
        <w:tabs>
          <w:tab w:leader="none" w:pos="8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awards granted prior to July 2, 2021 were granted under our 2016 Incentive Plan (“2016 Plan”) and equity awards granted on or after July 2, 2021 were granted under our 2021 Equity Incentive Plan (“2021 Plan”). Our 2021 Plan, became effective on July 2, 2021, in connection with our IPO. Our 2016 Plan was suspended when our 2021 Plan became effective; however, awards outstanding under our 2016 Plan continue in full effect in accordance with their existing terms. All vesting is subject to the individual’s continuous service with us through the vesting dates.</w:t>
      </w:r>
    </w:p>
    <w:p>
      <w:pPr>
        <w:spacing w:after="0" w:line="1" w:lineRule="exact"/>
        <w:rPr>
          <w:rFonts w:ascii="Times New Roman" w:cs="Times New Roman" w:eastAsia="Times New Roman" w:hAnsi="Times New Roman"/>
          <w:sz w:val="16"/>
          <w:szCs w:val="16"/>
          <w:color w:val="auto"/>
        </w:rPr>
      </w:pPr>
    </w:p>
    <w:p>
      <w:pPr>
        <w:ind w:left="860" w:right="340" w:hanging="403"/>
        <w:spacing w:after="0" w:line="248" w:lineRule="auto"/>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value is calculated based on the closing price of our Class A common stock on December 29, 2023, which was $35.91, as reported on Nasdaq.</w:t>
      </w:r>
    </w:p>
    <w:p>
      <w:pPr>
        <w:spacing w:after="0" w:line="1" w:lineRule="exact"/>
        <w:rPr>
          <w:rFonts w:ascii="Times New Roman" w:cs="Times New Roman" w:eastAsia="Times New Roman" w:hAnsi="Times New Roman"/>
          <w:sz w:val="17"/>
          <w:szCs w:val="17"/>
          <w:color w:val="auto"/>
        </w:rPr>
      </w:pPr>
    </w:p>
    <w:p>
      <w:pPr>
        <w:ind w:left="860" w:right="600" w:hanging="403"/>
        <w:spacing w:after="0" w:line="248" w:lineRule="auto"/>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option vest over four years, with 25% of the total shares granted vesting on one-year anniversary of the vesting commencement date, with the remainder vesting in equal monthly installments over the remaining 36 months.</w:t>
      </w:r>
    </w:p>
    <w:p>
      <w:pPr>
        <w:spacing w:after="0" w:line="1" w:lineRule="exact"/>
        <w:rPr>
          <w:rFonts w:ascii="Times New Roman" w:cs="Times New Roman" w:eastAsia="Times New Roman" w:hAnsi="Times New Roman"/>
          <w:sz w:val="17"/>
          <w:szCs w:val="17"/>
          <w:color w:val="auto"/>
        </w:rPr>
      </w:pPr>
    </w:p>
    <w:p>
      <w:pPr>
        <w:ind w:left="860" w:right="600" w:hanging="403"/>
        <w:spacing w:after="0" w:line="248" w:lineRule="auto"/>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option vest over four years, with 25% of the total shares granted vesting on one-year anniversary of the vesting commencement date, with the remainder vesting in equal quarterly installments over the remaining 36 months.</w:t>
      </w:r>
    </w:p>
    <w:p>
      <w:pPr>
        <w:spacing w:after="0" w:line="1" w:lineRule="exact"/>
        <w:rPr>
          <w:rFonts w:ascii="Times New Roman" w:cs="Times New Roman" w:eastAsia="Times New Roman" w:hAnsi="Times New Roman"/>
          <w:sz w:val="17"/>
          <w:szCs w:val="17"/>
          <w:color w:val="auto"/>
        </w:rPr>
      </w:pPr>
    </w:p>
    <w:p>
      <w:pPr>
        <w:ind w:left="860" w:right="240" w:hanging="403"/>
        <w:spacing w:after="0" w:line="248" w:lineRule="auto"/>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RSU award vest over four years, with 25% of the total shares granted vesting on one-year anniversary of the vesting commencement date, with the remainder vesting in equal quarterly installments over the remaining 36 months.</w:t>
      </w:r>
    </w:p>
    <w:p>
      <w:pPr>
        <w:spacing w:after="0" w:line="1" w:lineRule="exact"/>
        <w:rPr>
          <w:rFonts w:ascii="Times New Roman" w:cs="Times New Roman" w:eastAsia="Times New Roman" w:hAnsi="Times New Roman"/>
          <w:sz w:val="17"/>
          <w:szCs w:val="17"/>
          <w:color w:val="auto"/>
        </w:rPr>
      </w:pPr>
    </w:p>
    <w:p>
      <w:pPr>
        <w:ind w:left="860" w:right="80" w:hanging="403"/>
        <w:spacing w:after="0" w:line="257" w:lineRule="auto"/>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Mr. Rallo’s option awards will expire 90 days after his retirement date. Effective as of his retirement date, all of Mr. Rallo’s unvested RSU awards will be forfeited.</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112" w:lineRule="exact"/>
        <w:rPr>
          <w:sz w:val="20"/>
          <w:szCs w:val="20"/>
          <w:color w:val="auto"/>
        </w:rPr>
      </w:pPr>
    </w:p>
    <w:p>
      <w:pPr>
        <w:ind w:left="460" w:right="180" w:firstLine="413"/>
        <w:spacing w:after="0" w:line="276" w:lineRule="auto"/>
        <w:rPr>
          <w:sz w:val="20"/>
          <w:szCs w:val="20"/>
          <w:color w:val="auto"/>
        </w:rPr>
      </w:pPr>
      <w:r>
        <w:rPr>
          <w:rFonts w:ascii="Times New Roman" w:cs="Times New Roman" w:eastAsia="Times New Roman" w:hAnsi="Times New Roman"/>
          <w:sz w:val="17"/>
          <w:szCs w:val="17"/>
          <w:color w:val="auto"/>
        </w:rPr>
        <w:t>The following table shows for the fiscal year ended December 31, 2023, certain information regarding option exercises and stock vested during the last fiscal year with respect to the named executive officers:</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4"/>
        </w:trPr>
        <w:tc>
          <w:tcPr>
            <w:tcW w:w="3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52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gridSpan w:val="2"/>
          </w:tcPr>
          <w:p>
            <w:pPr>
              <w:jc w:val="center"/>
              <w:ind w:right="520"/>
              <w:spacing w:after="0" w:line="10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40" w:type="dxa"/>
            <w:vAlign w:val="bottom"/>
            <w:gridSpan w:val="2"/>
          </w:tcPr>
          <w:p>
            <w:pPr>
              <w:jc w:val="center"/>
              <w:ind w:right="540"/>
              <w:spacing w:after="0" w:line="10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54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Acquired on</w:t>
            </w:r>
          </w:p>
        </w:tc>
        <w:tc>
          <w:tcPr>
            <w:tcW w:w="120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Realized on</w:t>
            </w:r>
          </w:p>
        </w:tc>
        <w:tc>
          <w:tcPr>
            <w:tcW w:w="1240" w:type="dxa"/>
            <w:vAlign w:val="bottom"/>
            <w:gridSpan w:val="2"/>
          </w:tcPr>
          <w:p>
            <w:pPr>
              <w:jc w:val="center"/>
              <w:ind w:right="540"/>
              <w:spacing w:after="0" w:line="139" w:lineRule="exact"/>
              <w:rPr>
                <w:sz w:val="20"/>
                <w:szCs w:val="20"/>
                <w:color w:val="auto"/>
              </w:rPr>
            </w:pPr>
            <w:r>
              <w:rPr>
                <w:rFonts w:ascii="Times New Roman" w:cs="Times New Roman" w:eastAsia="Times New Roman" w:hAnsi="Times New Roman"/>
                <w:sz w:val="13"/>
                <w:szCs w:val="13"/>
                <w:b w:val="1"/>
                <w:bCs w:val="1"/>
                <w:color w:val="auto"/>
              </w:rPr>
              <w:t>Acquired on</w:t>
            </w:r>
          </w:p>
        </w:tc>
        <w:tc>
          <w:tcPr>
            <w:tcW w:w="720" w:type="dxa"/>
            <w:vAlign w:val="bottom"/>
            <w:gridSpan w:val="2"/>
          </w:tcPr>
          <w:p>
            <w:pPr>
              <w:jc w:val="right"/>
              <w:ind w:right="60"/>
              <w:spacing w:after="0" w:line="139" w:lineRule="exact"/>
              <w:rPr>
                <w:sz w:val="20"/>
                <w:szCs w:val="20"/>
                <w:color w:val="auto"/>
              </w:rPr>
            </w:pPr>
            <w:r>
              <w:rPr>
                <w:rFonts w:ascii="Times New Roman" w:cs="Times New Roman" w:eastAsia="Times New Roman" w:hAnsi="Times New Roman"/>
                <w:sz w:val="13"/>
                <w:szCs w:val="13"/>
                <w:b w:val="1"/>
                <w:bCs w:val="1"/>
                <w:color w:val="auto"/>
                <w:w w:val="98"/>
              </w:rPr>
              <w:t>Realized on</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4760" w:type="dxa"/>
            <w:vAlign w:val="bottom"/>
            <w:vMerge w:val="restart"/>
          </w:tcPr>
          <w:p>
            <w:pPr>
              <w:spacing w:after="0"/>
              <w:rPr>
                <w:sz w:val="12"/>
                <w:szCs w:val="12"/>
                <w:color w:val="auto"/>
              </w:rPr>
            </w:pPr>
          </w:p>
        </w:tc>
        <w:tc>
          <w:tcPr>
            <w:tcW w:w="124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0" w:type="dxa"/>
            <w:vAlign w:val="bottom"/>
            <w:gridSpan w:val="2"/>
          </w:tcPr>
          <w:p>
            <w:pPr>
              <w:jc w:val="center"/>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40" w:type="dxa"/>
            <w:vAlign w:val="bottom"/>
            <w:gridSpan w:val="2"/>
          </w:tcPr>
          <w:p>
            <w:pPr>
              <w:jc w:val="center"/>
              <w:ind w:right="540"/>
              <w:spacing w:after="0" w:line="139" w:lineRule="exact"/>
              <w:rPr>
                <w:sz w:val="20"/>
                <w:szCs w:val="20"/>
                <w:color w:val="auto"/>
              </w:rPr>
            </w:pPr>
            <w:r>
              <w:rPr>
                <w:rFonts w:ascii="Times New Roman" w:cs="Times New Roman" w:eastAsia="Times New Roman" w:hAnsi="Times New Roman"/>
                <w:sz w:val="13"/>
                <w:szCs w:val="13"/>
                <w:b w:val="1"/>
                <w:bCs w:val="1"/>
                <w:color w:val="auto"/>
              </w:rPr>
              <w:t>Vesting</w:t>
            </w:r>
          </w:p>
        </w:tc>
        <w:tc>
          <w:tcPr>
            <w:tcW w:w="72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Vesting</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0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Randolph Altschuler</w:t>
            </w:r>
          </w:p>
        </w:tc>
        <w:tc>
          <w:tcPr>
            <w:tcW w:w="720" w:type="dxa"/>
            <w:vAlign w:val="bottom"/>
            <w:tcBorders>
              <w:top w:val="single" w:sz="8" w:color="auto"/>
            </w:tcBorders>
            <w:shd w:val="clear" w:color="auto" w:fill="CCEEFF"/>
          </w:tcPr>
          <w:p>
            <w:pPr>
              <w:ind w:left="460"/>
              <w:spacing w:after="0" w:line="188" w:lineRule="exact"/>
              <w:rPr>
                <w:sz w:val="20"/>
                <w:szCs w:val="20"/>
                <w:color w:val="auto"/>
              </w:rPr>
            </w:pPr>
            <w:r>
              <w:rPr>
                <w:rFonts w:ascii="Times New Roman" w:cs="Times New Roman" w:eastAsia="Times New Roman" w:hAnsi="Times New Roman"/>
                <w:sz w:val="17"/>
                <w:szCs w:val="17"/>
                <w:color w:val="auto"/>
                <w:w w:val="93"/>
              </w:rPr>
              <w:t>— </w:t>
            </w:r>
          </w:p>
        </w:tc>
        <w:tc>
          <w:tcPr>
            <w:tcW w:w="5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— </w:t>
            </w:r>
          </w:p>
        </w:tc>
        <w:tc>
          <w:tcPr>
            <w:tcW w:w="5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20,790</w:t>
            </w:r>
          </w:p>
        </w:tc>
        <w:tc>
          <w:tcPr>
            <w:tcW w:w="5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540,689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Rallo</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20,000</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549,002</w:t>
            </w:r>
          </w:p>
        </w:tc>
        <w:tc>
          <w:tcPr>
            <w:tcW w:w="520" w:type="dxa"/>
            <w:vAlign w:val="bottom"/>
          </w:tcPr>
          <w:p>
            <w:pPr>
              <w:spacing w:after="0"/>
              <w:rPr>
                <w:sz w:val="17"/>
                <w:szCs w:val="17"/>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9,488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246,763</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Goguen</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16,251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152,642</w:t>
            </w:r>
          </w:p>
        </w:tc>
        <w:tc>
          <w:tcPr>
            <w:tcW w:w="5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6,928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180,182</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Leibel</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3,311</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93,734</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6,639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172,669</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Kathy Mayerhofer</w:t>
            </w:r>
          </w:p>
        </w:tc>
        <w:tc>
          <w:tcPr>
            <w:tcW w:w="1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5,020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130,562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80645</wp:posOffset>
            </wp:positionV>
            <wp:extent cx="7239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41" w:lineRule="exact"/>
        <w:rPr>
          <w:sz w:val="20"/>
          <w:szCs w:val="20"/>
          <w:color w:val="auto"/>
        </w:rPr>
      </w:pPr>
    </w:p>
    <w:p>
      <w:pPr>
        <w:ind w:left="860" w:right="200" w:hanging="403"/>
        <w:spacing w:after="0" w:line="258" w:lineRule="auto"/>
        <w:tabs>
          <w:tab w:leader="none" w:pos="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upon exercise is the aggregate total of the difference between the closing price of our Class A common stock on the exercise date as reported on Nasdaq and the exercise price per option, multiplied by the number of shares acquired on exercise.</w:t>
      </w:r>
    </w:p>
    <w:p>
      <w:pPr>
        <w:ind w:left="860" w:hanging="403"/>
        <w:spacing w:after="0" w:line="257" w:lineRule="auto"/>
        <w:tabs>
          <w:tab w:leader="none" w:pos="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upon vesting is calculated by multiplying the number of shares vested by the closing price of our Class A common stock on the vesting date as reported on Nasdaq.</w:t>
      </w:r>
    </w:p>
    <w:p>
      <w:pPr>
        <w:spacing w:after="0" w:line="11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740"/>
          </w:cols>
          <w:pgMar w:left="320" w:top="462" w:right="8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12" w:lineRule="exact"/>
        <w:rPr>
          <w:sz w:val="20"/>
          <w:szCs w:val="20"/>
          <w:color w:val="auto"/>
        </w:rPr>
      </w:pPr>
    </w:p>
    <w:p>
      <w:pPr>
        <w:ind w:left="460" w:right="180" w:firstLine="413"/>
        <w:spacing w:after="0" w:line="258" w:lineRule="auto"/>
        <w:rPr>
          <w:sz w:val="20"/>
          <w:szCs w:val="20"/>
          <w:color w:val="auto"/>
        </w:rPr>
      </w:pPr>
      <w:r>
        <w:rPr>
          <w:rFonts w:ascii="Times New Roman" w:cs="Times New Roman" w:eastAsia="Times New Roman" w:hAnsi="Times New Roman"/>
          <w:sz w:val="17"/>
          <w:szCs w:val="17"/>
          <w:color w:val="auto"/>
        </w:rPr>
        <w:t>The table below provides information with respect to potential payments and benefits to which our named executive officers would be entitled under the arrangements set forth in their respective offer letters or employment agreement, as described below under the section titled, “Compensation Discussion and Analysis—Other Features of Our Compensation Program—Severance and Change in Control Benefits,” assuming their employment was terminated as of December 31, 2023, including in connection with a change in control as of December 31, 2023.</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Accelerated</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Continuation</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Cash</w:t>
            </w:r>
          </w:p>
        </w:tc>
        <w:tc>
          <w:tcPr>
            <w:tcW w:w="11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Vesting of</w:t>
            </w:r>
          </w:p>
        </w:tc>
        <w:tc>
          <w:tcPr>
            <w:tcW w:w="11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of Insurance</w:t>
            </w: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3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2"/>
                <w:szCs w:val="12"/>
                <w:color w:val="auto"/>
              </w:rPr>
            </w:pPr>
          </w:p>
        </w:tc>
        <w:tc>
          <w:tcPr>
            <w:tcW w:w="22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Type of Termination</w:t>
            </w:r>
          </w:p>
        </w:tc>
        <w:tc>
          <w:tcPr>
            <w:tcW w:w="11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Severance</w:t>
            </w:r>
          </w:p>
        </w:tc>
        <w:tc>
          <w:tcPr>
            <w:tcW w:w="11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1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Coverage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0" w:type="dxa"/>
            <w:vAlign w:val="bottom"/>
            <w:tcBorders>
              <w:top w:val="single" w:sz="8" w:color="auto"/>
            </w:tcBorders>
            <w:shd w:val="clear" w:color="auto" w:fill="DBF3FF"/>
          </w:tcPr>
          <w:p>
            <w:pPr>
              <w:spacing w:after="0" w:line="179" w:lineRule="exact"/>
              <w:rPr>
                <w:sz w:val="20"/>
                <w:szCs w:val="20"/>
                <w:color w:val="auto"/>
              </w:rPr>
            </w:pPr>
            <w:r>
              <w:rPr>
                <w:rFonts w:ascii="Times New Roman" w:cs="Times New Roman" w:eastAsia="Times New Roman" w:hAnsi="Times New Roman"/>
                <w:sz w:val="17"/>
                <w:szCs w:val="17"/>
                <w:color w:val="auto"/>
              </w:rPr>
              <w:t>Randolph Altschuler</w:t>
            </w:r>
          </w:p>
        </w:tc>
        <w:tc>
          <w:tcPr>
            <w:tcW w:w="200" w:type="dxa"/>
            <w:vAlign w:val="bottom"/>
            <w:tcBorders>
              <w:top w:val="single" w:sz="8" w:color="DBF3FF"/>
            </w:tcBorders>
            <w:shd w:val="clear" w:color="auto" w:fill="DBF3FF"/>
          </w:tcPr>
          <w:p>
            <w:pPr>
              <w:spacing w:after="0"/>
              <w:rPr>
                <w:sz w:val="15"/>
                <w:szCs w:val="15"/>
                <w:color w:val="auto"/>
              </w:rPr>
            </w:pPr>
          </w:p>
        </w:tc>
        <w:tc>
          <w:tcPr>
            <w:tcW w:w="2040" w:type="dxa"/>
            <w:vAlign w:val="bottom"/>
            <w:tcBorders>
              <w:top w:val="single" w:sz="8" w:color="auto"/>
            </w:tcBorders>
            <w:shd w:val="clear" w:color="auto" w:fill="DBF3FF"/>
          </w:tcPr>
          <w:p>
            <w:pPr>
              <w:spacing w:after="0" w:line="179" w:lineRule="exact"/>
              <w:rPr>
                <w:sz w:val="20"/>
                <w:szCs w:val="20"/>
                <w:color w:val="auto"/>
              </w:rPr>
            </w:pPr>
            <w:r>
              <w:rPr>
                <w:rFonts w:ascii="Times New Roman" w:cs="Times New Roman" w:eastAsia="Times New Roman" w:hAnsi="Times New Roman"/>
                <w:sz w:val="17"/>
                <w:szCs w:val="17"/>
                <w:color w:val="auto"/>
              </w:rPr>
              <w:t>Termination without</w:t>
            </w:r>
          </w:p>
        </w:tc>
        <w:tc>
          <w:tcPr>
            <w:tcW w:w="200" w:type="dxa"/>
            <w:vAlign w:val="bottom"/>
            <w:tcBorders>
              <w:top w:val="single" w:sz="8" w:color="DBF3FF"/>
            </w:tcBorders>
            <w:shd w:val="clear" w:color="auto" w:fill="DBF3FF"/>
          </w:tcPr>
          <w:p>
            <w:pPr>
              <w:spacing w:after="0"/>
              <w:rPr>
                <w:sz w:val="15"/>
                <w:szCs w:val="15"/>
                <w:color w:val="auto"/>
              </w:rPr>
            </w:pPr>
          </w:p>
        </w:tc>
        <w:tc>
          <w:tcPr>
            <w:tcW w:w="860" w:type="dxa"/>
            <w:vAlign w:val="bottom"/>
            <w:tcBorders>
              <w:top w:val="single" w:sz="8" w:color="auto"/>
            </w:tcBorders>
            <w:shd w:val="clear" w:color="auto" w:fill="DBF3FF"/>
          </w:tcPr>
          <w:p>
            <w:pPr>
              <w:ind w:left="260"/>
              <w:spacing w:after="0" w:line="179" w:lineRule="exact"/>
              <w:rPr>
                <w:sz w:val="20"/>
                <w:szCs w:val="20"/>
                <w:color w:val="auto"/>
              </w:rPr>
            </w:pPr>
            <w:r>
              <w:rPr>
                <w:rFonts w:ascii="Times New Roman" w:cs="Times New Roman" w:eastAsia="Times New Roman" w:hAnsi="Times New Roman"/>
                <w:sz w:val="17"/>
                <w:szCs w:val="17"/>
                <w:color w:val="auto"/>
                <w:w w:val="95"/>
              </w:rPr>
              <w:t>950,000 </w:t>
            </w:r>
          </w:p>
        </w:tc>
        <w:tc>
          <w:tcPr>
            <w:tcW w:w="260" w:type="dxa"/>
            <w:vAlign w:val="bottom"/>
            <w:tcBorders>
              <w:top w:val="single" w:sz="8" w:color="DBF3FF"/>
            </w:tcBorders>
            <w:shd w:val="clear" w:color="auto" w:fill="DBF3FF"/>
          </w:tcPr>
          <w:p>
            <w:pPr>
              <w:spacing w:after="0"/>
              <w:rPr>
                <w:sz w:val="15"/>
                <w:szCs w:val="15"/>
                <w:color w:val="auto"/>
              </w:rPr>
            </w:pPr>
          </w:p>
        </w:tc>
        <w:tc>
          <w:tcPr>
            <w:tcW w:w="920" w:type="dxa"/>
            <w:vAlign w:val="bottom"/>
            <w:tcBorders>
              <w:top w:val="single" w:sz="8" w:color="auto"/>
            </w:tcBorders>
            <w:shd w:val="clear" w:color="auto" w:fill="DBF3FF"/>
          </w:tcPr>
          <w:p>
            <w:pPr>
              <w:jc w:val="right"/>
              <w:spacing w:after="0" w:line="17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top w:val="single" w:sz="8" w:color="DBF3FF"/>
            </w:tcBorders>
            <w:shd w:val="clear" w:color="auto" w:fill="DBF3FF"/>
          </w:tcPr>
          <w:p>
            <w:pPr>
              <w:spacing w:after="0"/>
              <w:rPr>
                <w:sz w:val="15"/>
                <w:szCs w:val="15"/>
                <w:color w:val="auto"/>
              </w:rPr>
            </w:pPr>
          </w:p>
        </w:tc>
        <w:tc>
          <w:tcPr>
            <w:tcW w:w="880" w:type="dxa"/>
            <w:vAlign w:val="bottom"/>
            <w:tcBorders>
              <w:top w:val="single" w:sz="8" w:color="auto"/>
            </w:tcBorders>
            <w:shd w:val="clear" w:color="auto" w:fill="DBF3FF"/>
          </w:tcPr>
          <w:p>
            <w:pPr>
              <w:ind w:left="300"/>
              <w:spacing w:after="0" w:line="179" w:lineRule="exact"/>
              <w:rPr>
                <w:sz w:val="20"/>
                <w:szCs w:val="20"/>
                <w:color w:val="auto"/>
              </w:rPr>
            </w:pPr>
            <w:r>
              <w:rPr>
                <w:rFonts w:ascii="Times New Roman" w:cs="Times New Roman" w:eastAsia="Times New Roman" w:hAnsi="Times New Roman"/>
                <w:sz w:val="17"/>
                <w:szCs w:val="17"/>
                <w:color w:val="auto"/>
              </w:rPr>
              <w:t xml:space="preserve">16,347   </w:t>
            </w:r>
          </w:p>
        </w:tc>
        <w:tc>
          <w:tcPr>
            <w:tcW w:w="260" w:type="dxa"/>
            <w:vAlign w:val="bottom"/>
            <w:tcBorders>
              <w:top w:val="single" w:sz="8" w:color="DBF3FF"/>
            </w:tcBorders>
            <w:shd w:val="clear" w:color="auto" w:fill="DBF3FF"/>
          </w:tcPr>
          <w:p>
            <w:pPr>
              <w:spacing w:after="0"/>
              <w:rPr>
                <w:sz w:val="15"/>
                <w:szCs w:val="15"/>
                <w:color w:val="auto"/>
              </w:rPr>
            </w:pPr>
          </w:p>
        </w:tc>
        <w:tc>
          <w:tcPr>
            <w:tcW w:w="1000" w:type="dxa"/>
            <w:vAlign w:val="bottom"/>
            <w:tcBorders>
              <w:top w:val="single" w:sz="8" w:color="auto"/>
            </w:tcBorders>
            <w:shd w:val="clear" w:color="auto" w:fill="DBF3FF"/>
          </w:tcPr>
          <w:p>
            <w:pPr>
              <w:ind w:left="400"/>
              <w:spacing w:after="0" w:line="179" w:lineRule="exact"/>
              <w:rPr>
                <w:sz w:val="20"/>
                <w:szCs w:val="20"/>
                <w:color w:val="auto"/>
              </w:rPr>
            </w:pPr>
            <w:r>
              <w:rPr>
                <w:rFonts w:ascii="Times New Roman" w:cs="Times New Roman" w:eastAsia="Times New Roman" w:hAnsi="Times New Roman"/>
                <w:sz w:val="17"/>
                <w:szCs w:val="17"/>
                <w:color w:val="auto"/>
                <w:w w:val="95"/>
              </w:rPr>
              <w:t>966,347 </w:t>
            </w:r>
          </w:p>
        </w:tc>
        <w:tc>
          <w:tcPr>
            <w:tcW w:w="80" w:type="dxa"/>
            <w:vAlign w:val="bottom"/>
            <w:tcBorders>
              <w:top w:val="single" w:sz="8" w:color="DBF3FF"/>
            </w:tcBorders>
            <w:shd w:val="clear" w:color="auto" w:fill="DBF3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DBF3FF"/>
          </w:tcPr>
          <w:p>
            <w:pPr>
              <w:spacing w:after="0"/>
              <w:rPr>
                <w:sz w:val="18"/>
                <w:szCs w:val="18"/>
                <w:color w:val="auto"/>
              </w:rPr>
            </w:pPr>
          </w:p>
        </w:tc>
        <w:tc>
          <w:tcPr>
            <w:tcW w:w="200" w:type="dxa"/>
            <w:vAlign w:val="bottom"/>
            <w:shd w:val="clear" w:color="auto" w:fill="DBF3FF"/>
          </w:tcPr>
          <w:p>
            <w:pPr>
              <w:spacing w:after="0"/>
              <w:rPr>
                <w:sz w:val="18"/>
                <w:szCs w:val="18"/>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shd w:val="clear" w:color="auto" w:fill="DBF3FF"/>
          </w:tcPr>
          <w:p>
            <w:pPr>
              <w:spacing w:after="0"/>
              <w:rPr>
                <w:sz w:val="18"/>
                <w:szCs w:val="18"/>
                <w:color w:val="auto"/>
              </w:rPr>
            </w:pPr>
          </w:p>
        </w:tc>
        <w:tc>
          <w:tcPr>
            <w:tcW w:w="260" w:type="dxa"/>
            <w:vAlign w:val="bottom"/>
            <w:shd w:val="clear" w:color="auto" w:fill="DBF3FF"/>
          </w:tcPr>
          <w:p>
            <w:pPr>
              <w:spacing w:after="0"/>
              <w:rPr>
                <w:sz w:val="18"/>
                <w:szCs w:val="18"/>
                <w:color w:val="auto"/>
              </w:rPr>
            </w:pPr>
          </w:p>
        </w:tc>
        <w:tc>
          <w:tcPr>
            <w:tcW w:w="920" w:type="dxa"/>
            <w:vAlign w:val="bottom"/>
            <w:shd w:val="clear" w:color="auto" w:fill="DBF3FF"/>
          </w:tcPr>
          <w:p>
            <w:pPr>
              <w:spacing w:after="0"/>
              <w:rPr>
                <w:sz w:val="18"/>
                <w:szCs w:val="18"/>
                <w:color w:val="auto"/>
              </w:rPr>
            </w:pPr>
          </w:p>
        </w:tc>
        <w:tc>
          <w:tcPr>
            <w:tcW w:w="240" w:type="dxa"/>
            <w:vAlign w:val="bottom"/>
            <w:shd w:val="clear" w:color="auto" w:fill="DBF3FF"/>
          </w:tcPr>
          <w:p>
            <w:pPr>
              <w:spacing w:after="0"/>
              <w:rPr>
                <w:sz w:val="18"/>
                <w:szCs w:val="18"/>
                <w:color w:val="auto"/>
              </w:rPr>
            </w:pPr>
          </w:p>
        </w:tc>
        <w:tc>
          <w:tcPr>
            <w:tcW w:w="880" w:type="dxa"/>
            <w:vAlign w:val="bottom"/>
            <w:shd w:val="clear" w:color="auto" w:fill="DBF3FF"/>
          </w:tcPr>
          <w:p>
            <w:pPr>
              <w:spacing w:after="0"/>
              <w:rPr>
                <w:sz w:val="18"/>
                <w:szCs w:val="18"/>
                <w:color w:val="auto"/>
              </w:rPr>
            </w:pPr>
          </w:p>
        </w:tc>
        <w:tc>
          <w:tcPr>
            <w:tcW w:w="260" w:type="dxa"/>
            <w:vAlign w:val="bottom"/>
            <w:shd w:val="clear" w:color="auto" w:fill="DBF3FF"/>
          </w:tcPr>
          <w:p>
            <w:pPr>
              <w:spacing w:after="0"/>
              <w:rPr>
                <w:sz w:val="18"/>
                <w:szCs w:val="18"/>
                <w:color w:val="auto"/>
              </w:rPr>
            </w:pPr>
          </w:p>
        </w:tc>
        <w:tc>
          <w:tcPr>
            <w:tcW w:w="1000" w:type="dxa"/>
            <w:vAlign w:val="bottom"/>
            <w:shd w:val="clear" w:color="auto" w:fill="DBF3FF"/>
          </w:tcPr>
          <w:p>
            <w:pPr>
              <w:spacing w:after="0"/>
              <w:rPr>
                <w:sz w:val="18"/>
                <w:szCs w:val="18"/>
                <w:color w:val="auto"/>
              </w:rPr>
            </w:pPr>
          </w:p>
        </w:tc>
        <w:tc>
          <w:tcPr>
            <w:tcW w:w="80" w:type="dxa"/>
            <w:vAlign w:val="bottom"/>
            <w:shd w:val="clear" w:color="auto" w:fill="DBF3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400" w:type="dxa"/>
            <w:vAlign w:val="bottom"/>
            <w:shd w:val="clear" w:color="auto" w:fill="DBF3FF"/>
          </w:tcPr>
          <w:p>
            <w:pPr>
              <w:spacing w:after="0"/>
              <w:rPr>
                <w:sz w:val="24"/>
                <w:szCs w:val="24"/>
                <w:color w:val="auto"/>
              </w:rPr>
            </w:pPr>
          </w:p>
        </w:tc>
        <w:tc>
          <w:tcPr>
            <w:tcW w:w="200" w:type="dxa"/>
            <w:vAlign w:val="bottom"/>
            <w:shd w:val="clear" w:color="auto" w:fill="DBF3FF"/>
          </w:tcPr>
          <w:p>
            <w:pPr>
              <w:spacing w:after="0"/>
              <w:rPr>
                <w:sz w:val="24"/>
                <w:szCs w:val="24"/>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shd w:val="clear" w:color="auto" w:fill="DBF3FF"/>
          </w:tcPr>
          <w:p>
            <w:pPr>
              <w:jc w:val="right"/>
              <w:ind w:right="200"/>
              <w:spacing w:after="0"/>
              <w:rPr>
                <w:sz w:val="20"/>
                <w:szCs w:val="20"/>
                <w:color w:val="auto"/>
              </w:rPr>
            </w:pPr>
            <w:r>
              <w:rPr>
                <w:rFonts w:ascii="Times New Roman" w:cs="Times New Roman" w:eastAsia="Times New Roman" w:hAnsi="Times New Roman"/>
                <w:sz w:val="17"/>
                <w:szCs w:val="17"/>
                <w:color w:val="auto"/>
              </w:rPr>
              <w:t>1,425,000  </w:t>
            </w:r>
          </w:p>
        </w:tc>
        <w:tc>
          <w:tcPr>
            <w:tcW w:w="1160" w:type="dxa"/>
            <w:vAlign w:val="bottom"/>
            <w:gridSpan w:val="2"/>
            <w:shd w:val="clear" w:color="auto" w:fill="DBF3FF"/>
          </w:tcPr>
          <w:p>
            <w:pPr>
              <w:jc w:val="right"/>
              <w:ind w:right="240"/>
              <w:spacing w:after="0"/>
              <w:rPr>
                <w:sz w:val="20"/>
                <w:szCs w:val="20"/>
                <w:color w:val="auto"/>
              </w:rPr>
            </w:pPr>
            <w:r>
              <w:rPr>
                <w:rFonts w:ascii="Times New Roman" w:cs="Times New Roman" w:eastAsia="Times New Roman" w:hAnsi="Times New Roman"/>
                <w:sz w:val="17"/>
                <w:szCs w:val="17"/>
                <w:color w:val="auto"/>
              </w:rPr>
              <w:t>14,854,195</w:t>
            </w:r>
          </w:p>
        </w:tc>
        <w:tc>
          <w:tcPr>
            <w:tcW w:w="114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7"/>
                <w:szCs w:val="17"/>
                <w:color w:val="auto"/>
              </w:rPr>
              <w:t>16,347    </w:t>
            </w:r>
          </w:p>
        </w:tc>
        <w:tc>
          <w:tcPr>
            <w:tcW w:w="1080" w:type="dxa"/>
            <w:vAlign w:val="bottom"/>
            <w:gridSpan w:val="2"/>
            <w:shd w:val="clear" w:color="auto" w:fill="DBF3FF"/>
          </w:tcPr>
          <w:p>
            <w:pPr>
              <w:jc w:val="right"/>
              <w:ind w:right="40"/>
              <w:spacing w:after="0"/>
              <w:rPr>
                <w:sz w:val="20"/>
                <w:szCs w:val="20"/>
                <w:color w:val="auto"/>
              </w:rPr>
            </w:pPr>
            <w:r>
              <w:rPr>
                <w:rFonts w:ascii="Times New Roman" w:cs="Times New Roman" w:eastAsia="Times New Roman" w:hAnsi="Times New Roman"/>
                <w:sz w:val="17"/>
                <w:szCs w:val="17"/>
                <w:color w:val="auto"/>
              </w:rPr>
              <w:t>16,295,542  </w:t>
            </w:r>
          </w:p>
        </w:tc>
        <w:tc>
          <w:tcPr>
            <w:tcW w:w="0" w:type="dxa"/>
            <w:vAlign w:val="bottom"/>
          </w:tcPr>
          <w:p>
            <w:pPr>
              <w:spacing w:after="0"/>
              <w:rPr>
                <w:sz w:val="1"/>
                <w:szCs w:val="1"/>
                <w:color w:val="auto"/>
              </w:rPr>
            </w:pPr>
          </w:p>
        </w:tc>
      </w:tr>
      <w:tr>
        <w:trPr>
          <w:trHeight w:val="203"/>
        </w:trPr>
        <w:tc>
          <w:tcPr>
            <w:tcW w:w="34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9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88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100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in connection with a</w:t>
            </w:r>
          </w:p>
        </w:tc>
        <w:tc>
          <w:tcPr>
            <w:tcW w:w="86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9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88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100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DBF3FF"/>
          </w:tcPr>
          <w:p>
            <w:pPr>
              <w:spacing w:after="0"/>
              <w:rPr>
                <w:sz w:val="19"/>
                <w:szCs w:val="19"/>
                <w:color w:val="auto"/>
              </w:rPr>
            </w:pPr>
          </w:p>
        </w:tc>
        <w:tc>
          <w:tcPr>
            <w:tcW w:w="200" w:type="dxa"/>
            <w:vAlign w:val="bottom"/>
            <w:shd w:val="clear" w:color="auto" w:fill="DBF3FF"/>
          </w:tcPr>
          <w:p>
            <w:pPr>
              <w:spacing w:after="0"/>
              <w:rPr>
                <w:sz w:val="19"/>
                <w:szCs w:val="19"/>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CIC(3)</w:t>
            </w:r>
          </w:p>
        </w:tc>
        <w:tc>
          <w:tcPr>
            <w:tcW w:w="860" w:type="dxa"/>
            <w:vAlign w:val="bottom"/>
            <w:shd w:val="clear" w:color="auto" w:fill="DBF3FF"/>
          </w:tcPr>
          <w:p>
            <w:pPr>
              <w:spacing w:after="0"/>
              <w:rPr>
                <w:sz w:val="19"/>
                <w:szCs w:val="19"/>
                <w:color w:val="auto"/>
              </w:rPr>
            </w:pPr>
          </w:p>
        </w:tc>
        <w:tc>
          <w:tcPr>
            <w:tcW w:w="260" w:type="dxa"/>
            <w:vAlign w:val="bottom"/>
            <w:shd w:val="clear" w:color="auto" w:fill="DBF3FF"/>
          </w:tcPr>
          <w:p>
            <w:pPr>
              <w:spacing w:after="0"/>
              <w:rPr>
                <w:sz w:val="19"/>
                <w:szCs w:val="19"/>
                <w:color w:val="auto"/>
              </w:rPr>
            </w:pPr>
          </w:p>
        </w:tc>
        <w:tc>
          <w:tcPr>
            <w:tcW w:w="920" w:type="dxa"/>
            <w:vAlign w:val="bottom"/>
            <w:shd w:val="clear" w:color="auto" w:fill="DBF3FF"/>
          </w:tcPr>
          <w:p>
            <w:pPr>
              <w:spacing w:after="0"/>
              <w:rPr>
                <w:sz w:val="19"/>
                <w:szCs w:val="19"/>
                <w:color w:val="auto"/>
              </w:rPr>
            </w:pPr>
          </w:p>
        </w:tc>
        <w:tc>
          <w:tcPr>
            <w:tcW w:w="240" w:type="dxa"/>
            <w:vAlign w:val="bottom"/>
            <w:shd w:val="clear" w:color="auto" w:fill="DBF3FF"/>
          </w:tcPr>
          <w:p>
            <w:pPr>
              <w:spacing w:after="0"/>
              <w:rPr>
                <w:sz w:val="19"/>
                <w:szCs w:val="19"/>
                <w:color w:val="auto"/>
              </w:rPr>
            </w:pPr>
          </w:p>
        </w:tc>
        <w:tc>
          <w:tcPr>
            <w:tcW w:w="880" w:type="dxa"/>
            <w:vAlign w:val="bottom"/>
            <w:shd w:val="clear" w:color="auto" w:fill="DBF3FF"/>
          </w:tcPr>
          <w:p>
            <w:pPr>
              <w:spacing w:after="0"/>
              <w:rPr>
                <w:sz w:val="19"/>
                <w:szCs w:val="19"/>
                <w:color w:val="auto"/>
              </w:rPr>
            </w:pPr>
          </w:p>
        </w:tc>
        <w:tc>
          <w:tcPr>
            <w:tcW w:w="260" w:type="dxa"/>
            <w:vAlign w:val="bottom"/>
            <w:shd w:val="clear" w:color="auto" w:fill="DBF3FF"/>
          </w:tcPr>
          <w:p>
            <w:pPr>
              <w:spacing w:after="0"/>
              <w:rPr>
                <w:sz w:val="19"/>
                <w:szCs w:val="19"/>
                <w:color w:val="auto"/>
              </w:rPr>
            </w:pPr>
          </w:p>
        </w:tc>
        <w:tc>
          <w:tcPr>
            <w:tcW w:w="1000" w:type="dxa"/>
            <w:vAlign w:val="bottom"/>
            <w:shd w:val="clear" w:color="auto" w:fill="DBF3FF"/>
          </w:tcPr>
          <w:p>
            <w:pPr>
              <w:spacing w:after="0"/>
              <w:rPr>
                <w:sz w:val="19"/>
                <w:szCs w:val="19"/>
                <w:color w:val="auto"/>
              </w:rPr>
            </w:pPr>
          </w:p>
        </w:tc>
        <w:tc>
          <w:tcPr>
            <w:tcW w:w="80" w:type="dxa"/>
            <w:vAlign w:val="bottom"/>
            <w:shd w:val="clear" w:color="auto" w:fill="DBF3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James Rallo</w:t>
            </w:r>
          </w:p>
        </w:tc>
        <w:tc>
          <w:tcPr>
            <w:tcW w:w="200" w:type="dxa"/>
            <w:vAlign w:val="bottom"/>
          </w:tcPr>
          <w:p>
            <w:pPr>
              <w:spacing w:after="0"/>
              <w:rPr>
                <w:sz w:val="16"/>
                <w:szCs w:val="16"/>
                <w:color w:val="auto"/>
              </w:rPr>
            </w:pPr>
          </w:p>
        </w:tc>
        <w:tc>
          <w:tcPr>
            <w:tcW w:w="224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686,400  </w:t>
            </w:r>
          </w:p>
        </w:tc>
        <w:tc>
          <w:tcPr>
            <w:tcW w:w="1160" w:type="dxa"/>
            <w:vAlign w:val="bottom"/>
            <w:gridSpan w:val="2"/>
          </w:tcPr>
          <w:p>
            <w:pPr>
              <w:jc w:val="right"/>
              <w:ind w:right="280"/>
              <w:spacing w:after="0" w:line="186" w:lineRule="exact"/>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10,005    </w:t>
            </w:r>
          </w:p>
        </w:tc>
        <w:tc>
          <w:tcPr>
            <w:tcW w:w="1080" w:type="dxa"/>
            <w:vAlign w:val="bottom"/>
            <w:gridSpan w:val="2"/>
          </w:tcPr>
          <w:p>
            <w:pPr>
              <w:jc w:val="right"/>
              <w:ind w:right="40"/>
              <w:spacing w:after="0" w:line="186" w:lineRule="exact"/>
              <w:rPr>
                <w:sz w:val="20"/>
                <w:szCs w:val="20"/>
                <w:color w:val="auto"/>
              </w:rPr>
            </w:pPr>
            <w:r>
              <w:rPr>
                <w:rFonts w:ascii="Times New Roman" w:cs="Times New Roman" w:eastAsia="Times New Roman" w:hAnsi="Times New Roman"/>
                <w:sz w:val="17"/>
                <w:szCs w:val="17"/>
                <w:color w:val="auto"/>
              </w:rPr>
              <w:t>696,405  </w:t>
            </w: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956,800  </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10,778,292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10,005 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11,745,097  </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connection with a</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CIC(3)</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DBF3FF"/>
          </w:tcPr>
          <w:p>
            <w:pPr>
              <w:spacing w:after="0" w:line="187" w:lineRule="exact"/>
              <w:rPr>
                <w:sz w:val="20"/>
                <w:szCs w:val="20"/>
                <w:color w:val="auto"/>
              </w:rPr>
            </w:pPr>
            <w:r>
              <w:rPr>
                <w:rFonts w:ascii="Times New Roman" w:cs="Times New Roman" w:eastAsia="Times New Roman" w:hAnsi="Times New Roman"/>
                <w:sz w:val="17"/>
                <w:szCs w:val="17"/>
                <w:color w:val="auto"/>
              </w:rPr>
              <w:t>Peter Goguen</w:t>
            </w:r>
          </w:p>
        </w:tc>
        <w:tc>
          <w:tcPr>
            <w:tcW w:w="200" w:type="dxa"/>
            <w:vAlign w:val="bottom"/>
            <w:shd w:val="clear" w:color="auto" w:fill="DBF3FF"/>
          </w:tcPr>
          <w:p>
            <w:pPr>
              <w:spacing w:after="0"/>
              <w:rPr>
                <w:sz w:val="16"/>
                <w:szCs w:val="16"/>
                <w:color w:val="auto"/>
              </w:rPr>
            </w:pPr>
          </w:p>
        </w:tc>
        <w:tc>
          <w:tcPr>
            <w:tcW w:w="2240" w:type="dxa"/>
            <w:vAlign w:val="bottom"/>
            <w:gridSpan w:val="2"/>
            <w:shd w:val="clear" w:color="auto" w:fill="DBF3FF"/>
          </w:tcPr>
          <w:p>
            <w:pPr>
              <w:spacing w:after="0" w:line="187" w:lineRule="exact"/>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shd w:val="clear" w:color="auto" w:fill="DBF3FF"/>
          </w:tcPr>
          <w:p>
            <w:pPr>
              <w:jc w:val="right"/>
              <w:ind w:right="200"/>
              <w:spacing w:after="0" w:line="187" w:lineRule="exact"/>
              <w:rPr>
                <w:sz w:val="20"/>
                <w:szCs w:val="20"/>
                <w:color w:val="auto"/>
              </w:rPr>
            </w:pPr>
            <w:r>
              <w:rPr>
                <w:rFonts w:ascii="Times New Roman" w:cs="Times New Roman" w:eastAsia="Times New Roman" w:hAnsi="Times New Roman"/>
                <w:sz w:val="17"/>
                <w:szCs w:val="17"/>
                <w:color w:val="auto"/>
              </w:rPr>
              <w:t>420,000  </w:t>
            </w:r>
          </w:p>
        </w:tc>
        <w:tc>
          <w:tcPr>
            <w:tcW w:w="1160" w:type="dxa"/>
            <w:vAlign w:val="bottom"/>
            <w:gridSpan w:val="2"/>
            <w:shd w:val="clear" w:color="auto" w:fill="DBF3FF"/>
          </w:tcPr>
          <w:p>
            <w:pPr>
              <w:jc w:val="right"/>
              <w:ind w:right="28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shd w:val="clear" w:color="auto" w:fill="DBF3FF"/>
          </w:tcPr>
          <w:p>
            <w:pPr>
              <w:jc w:val="right"/>
              <w:ind w:right="220"/>
              <w:spacing w:after="0" w:line="187" w:lineRule="exact"/>
              <w:rPr>
                <w:sz w:val="20"/>
                <w:szCs w:val="20"/>
                <w:color w:val="auto"/>
              </w:rPr>
            </w:pPr>
            <w:r>
              <w:rPr>
                <w:rFonts w:ascii="Times New Roman" w:cs="Times New Roman" w:eastAsia="Times New Roman" w:hAnsi="Times New Roman"/>
                <w:sz w:val="17"/>
                <w:szCs w:val="17"/>
                <w:color w:val="auto"/>
              </w:rPr>
              <w:t>7,735    </w:t>
            </w:r>
          </w:p>
        </w:tc>
        <w:tc>
          <w:tcPr>
            <w:tcW w:w="1080" w:type="dxa"/>
            <w:vAlign w:val="bottom"/>
            <w:gridSpan w:val="2"/>
            <w:shd w:val="clear" w:color="auto" w:fill="DBF3FF"/>
          </w:tcPr>
          <w:p>
            <w:pPr>
              <w:jc w:val="right"/>
              <w:ind w:right="40"/>
              <w:spacing w:after="0" w:line="187" w:lineRule="exact"/>
              <w:rPr>
                <w:sz w:val="20"/>
                <w:szCs w:val="20"/>
                <w:color w:val="auto"/>
              </w:rPr>
            </w:pPr>
            <w:r>
              <w:rPr>
                <w:rFonts w:ascii="Times New Roman" w:cs="Times New Roman" w:eastAsia="Times New Roman" w:hAnsi="Times New Roman"/>
                <w:sz w:val="17"/>
                <w:szCs w:val="17"/>
                <w:color w:val="auto"/>
              </w:rPr>
              <w:t>427,735  </w:t>
            </w:r>
          </w:p>
        </w:tc>
        <w:tc>
          <w:tcPr>
            <w:tcW w:w="0" w:type="dxa"/>
            <w:vAlign w:val="bottom"/>
          </w:tcPr>
          <w:p>
            <w:pPr>
              <w:spacing w:after="0"/>
              <w:rPr>
                <w:sz w:val="1"/>
                <w:szCs w:val="1"/>
                <w:color w:val="auto"/>
              </w:rPr>
            </w:pPr>
          </w:p>
        </w:tc>
      </w:tr>
      <w:tr>
        <w:trPr>
          <w:trHeight w:val="218"/>
        </w:trPr>
        <w:tc>
          <w:tcPr>
            <w:tcW w:w="3400" w:type="dxa"/>
            <w:vAlign w:val="bottom"/>
            <w:shd w:val="clear" w:color="auto" w:fill="DBF3FF"/>
          </w:tcPr>
          <w:p>
            <w:pPr>
              <w:spacing w:after="0"/>
              <w:rPr>
                <w:sz w:val="18"/>
                <w:szCs w:val="18"/>
                <w:color w:val="auto"/>
              </w:rPr>
            </w:pPr>
          </w:p>
        </w:tc>
        <w:tc>
          <w:tcPr>
            <w:tcW w:w="200" w:type="dxa"/>
            <w:vAlign w:val="bottom"/>
            <w:shd w:val="clear" w:color="auto" w:fill="DBF3FF"/>
          </w:tcPr>
          <w:p>
            <w:pPr>
              <w:spacing w:after="0"/>
              <w:rPr>
                <w:sz w:val="18"/>
                <w:szCs w:val="18"/>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shd w:val="clear" w:color="auto" w:fill="DBF3FF"/>
          </w:tcPr>
          <w:p>
            <w:pPr>
              <w:spacing w:after="0"/>
              <w:rPr>
                <w:sz w:val="18"/>
                <w:szCs w:val="18"/>
                <w:color w:val="auto"/>
              </w:rPr>
            </w:pPr>
          </w:p>
        </w:tc>
        <w:tc>
          <w:tcPr>
            <w:tcW w:w="260" w:type="dxa"/>
            <w:vAlign w:val="bottom"/>
            <w:shd w:val="clear" w:color="auto" w:fill="DBF3FF"/>
          </w:tcPr>
          <w:p>
            <w:pPr>
              <w:spacing w:after="0"/>
              <w:rPr>
                <w:sz w:val="18"/>
                <w:szCs w:val="18"/>
                <w:color w:val="auto"/>
              </w:rPr>
            </w:pPr>
          </w:p>
        </w:tc>
        <w:tc>
          <w:tcPr>
            <w:tcW w:w="920" w:type="dxa"/>
            <w:vAlign w:val="bottom"/>
            <w:shd w:val="clear" w:color="auto" w:fill="DBF3FF"/>
          </w:tcPr>
          <w:p>
            <w:pPr>
              <w:spacing w:after="0"/>
              <w:rPr>
                <w:sz w:val="18"/>
                <w:szCs w:val="18"/>
                <w:color w:val="auto"/>
              </w:rPr>
            </w:pPr>
          </w:p>
        </w:tc>
        <w:tc>
          <w:tcPr>
            <w:tcW w:w="240" w:type="dxa"/>
            <w:vAlign w:val="bottom"/>
            <w:shd w:val="clear" w:color="auto" w:fill="DBF3FF"/>
          </w:tcPr>
          <w:p>
            <w:pPr>
              <w:spacing w:after="0"/>
              <w:rPr>
                <w:sz w:val="18"/>
                <w:szCs w:val="18"/>
                <w:color w:val="auto"/>
              </w:rPr>
            </w:pPr>
          </w:p>
        </w:tc>
        <w:tc>
          <w:tcPr>
            <w:tcW w:w="880" w:type="dxa"/>
            <w:vAlign w:val="bottom"/>
            <w:shd w:val="clear" w:color="auto" w:fill="DBF3FF"/>
          </w:tcPr>
          <w:p>
            <w:pPr>
              <w:spacing w:after="0"/>
              <w:rPr>
                <w:sz w:val="18"/>
                <w:szCs w:val="18"/>
                <w:color w:val="auto"/>
              </w:rPr>
            </w:pPr>
          </w:p>
        </w:tc>
        <w:tc>
          <w:tcPr>
            <w:tcW w:w="260" w:type="dxa"/>
            <w:vAlign w:val="bottom"/>
            <w:shd w:val="clear" w:color="auto" w:fill="DBF3FF"/>
          </w:tcPr>
          <w:p>
            <w:pPr>
              <w:spacing w:after="0"/>
              <w:rPr>
                <w:sz w:val="18"/>
                <w:szCs w:val="18"/>
                <w:color w:val="auto"/>
              </w:rPr>
            </w:pPr>
          </w:p>
        </w:tc>
        <w:tc>
          <w:tcPr>
            <w:tcW w:w="1000" w:type="dxa"/>
            <w:vAlign w:val="bottom"/>
            <w:shd w:val="clear" w:color="auto" w:fill="DBF3FF"/>
          </w:tcPr>
          <w:p>
            <w:pPr>
              <w:spacing w:after="0"/>
              <w:rPr>
                <w:sz w:val="18"/>
                <w:szCs w:val="18"/>
                <w:color w:val="auto"/>
              </w:rPr>
            </w:pPr>
          </w:p>
        </w:tc>
        <w:tc>
          <w:tcPr>
            <w:tcW w:w="80" w:type="dxa"/>
            <w:vAlign w:val="bottom"/>
            <w:shd w:val="clear" w:color="auto" w:fill="DBF3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DBF3FF"/>
          </w:tcPr>
          <w:p>
            <w:pPr>
              <w:spacing w:after="0"/>
              <w:rPr>
                <w:sz w:val="16"/>
                <w:szCs w:val="16"/>
                <w:color w:val="auto"/>
              </w:rPr>
            </w:pPr>
          </w:p>
        </w:tc>
        <w:tc>
          <w:tcPr>
            <w:tcW w:w="200" w:type="dxa"/>
            <w:vAlign w:val="bottom"/>
            <w:shd w:val="clear" w:color="auto" w:fill="DBF3FF"/>
          </w:tcPr>
          <w:p>
            <w:pPr>
              <w:spacing w:after="0"/>
              <w:rPr>
                <w:sz w:val="16"/>
                <w:szCs w:val="16"/>
                <w:color w:val="auto"/>
              </w:rPr>
            </w:pPr>
          </w:p>
        </w:tc>
        <w:tc>
          <w:tcPr>
            <w:tcW w:w="2240" w:type="dxa"/>
            <w:vAlign w:val="bottom"/>
            <w:gridSpan w:val="2"/>
            <w:shd w:val="clear" w:color="auto" w:fill="DBF3FF"/>
          </w:tcPr>
          <w:p>
            <w:pPr>
              <w:spacing w:after="0" w:line="187" w:lineRule="exact"/>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shd w:val="clear" w:color="auto" w:fill="DBF3FF"/>
          </w:tcPr>
          <w:p>
            <w:pPr>
              <w:jc w:val="right"/>
              <w:ind w:right="200"/>
              <w:spacing w:after="0" w:line="187" w:lineRule="exact"/>
              <w:rPr>
                <w:sz w:val="20"/>
                <w:szCs w:val="20"/>
                <w:color w:val="auto"/>
              </w:rPr>
            </w:pPr>
            <w:r>
              <w:rPr>
                <w:rFonts w:ascii="Times New Roman" w:cs="Times New Roman" w:eastAsia="Times New Roman" w:hAnsi="Times New Roman"/>
                <w:sz w:val="17"/>
                <w:szCs w:val="17"/>
                <w:color w:val="auto"/>
              </w:rPr>
              <w:t>530,000  </w:t>
            </w:r>
          </w:p>
        </w:tc>
        <w:tc>
          <w:tcPr>
            <w:tcW w:w="920" w:type="dxa"/>
            <w:vAlign w:val="bottom"/>
            <w:shd w:val="clear" w:color="auto" w:fill="DBF3FF"/>
          </w:tcPr>
          <w:p>
            <w:pPr>
              <w:jc w:val="right"/>
              <w:spacing w:after="0" w:line="187" w:lineRule="exact"/>
              <w:rPr>
                <w:sz w:val="20"/>
                <w:szCs w:val="20"/>
                <w:color w:val="auto"/>
              </w:rPr>
            </w:pPr>
            <w:r>
              <w:rPr>
                <w:rFonts w:ascii="Times New Roman" w:cs="Times New Roman" w:eastAsia="Times New Roman" w:hAnsi="Times New Roman"/>
                <w:sz w:val="17"/>
                <w:szCs w:val="17"/>
                <w:color w:val="auto"/>
              </w:rPr>
              <w:t>5,197,099</w:t>
            </w:r>
          </w:p>
        </w:tc>
        <w:tc>
          <w:tcPr>
            <w:tcW w:w="240" w:type="dxa"/>
            <w:vAlign w:val="bottom"/>
            <w:shd w:val="clear" w:color="auto" w:fill="DBF3FF"/>
          </w:tcPr>
          <w:p>
            <w:pPr>
              <w:spacing w:after="0"/>
              <w:rPr>
                <w:sz w:val="16"/>
                <w:szCs w:val="16"/>
                <w:color w:val="auto"/>
              </w:rPr>
            </w:pPr>
          </w:p>
        </w:tc>
        <w:tc>
          <w:tcPr>
            <w:tcW w:w="1140" w:type="dxa"/>
            <w:vAlign w:val="bottom"/>
            <w:gridSpan w:val="2"/>
            <w:shd w:val="clear" w:color="auto" w:fill="DBF3FF"/>
          </w:tcPr>
          <w:p>
            <w:pPr>
              <w:jc w:val="right"/>
              <w:ind w:right="220"/>
              <w:spacing w:after="0" w:line="187" w:lineRule="exact"/>
              <w:rPr>
                <w:sz w:val="20"/>
                <w:szCs w:val="20"/>
                <w:color w:val="auto"/>
              </w:rPr>
            </w:pPr>
            <w:r>
              <w:rPr>
                <w:rFonts w:ascii="Times New Roman" w:cs="Times New Roman" w:eastAsia="Times New Roman" w:hAnsi="Times New Roman"/>
                <w:sz w:val="17"/>
                <w:szCs w:val="17"/>
                <w:color w:val="auto"/>
              </w:rPr>
              <w:t>7,735    </w:t>
            </w:r>
          </w:p>
        </w:tc>
        <w:tc>
          <w:tcPr>
            <w:tcW w:w="1080" w:type="dxa"/>
            <w:vAlign w:val="bottom"/>
            <w:gridSpan w:val="2"/>
            <w:shd w:val="clear" w:color="auto" w:fill="DBF3FF"/>
          </w:tcPr>
          <w:p>
            <w:pPr>
              <w:jc w:val="right"/>
              <w:ind w:right="40"/>
              <w:spacing w:after="0" w:line="187" w:lineRule="exact"/>
              <w:rPr>
                <w:sz w:val="20"/>
                <w:szCs w:val="20"/>
                <w:color w:val="auto"/>
              </w:rPr>
            </w:pPr>
            <w:r>
              <w:rPr>
                <w:rFonts w:ascii="Times New Roman" w:cs="Times New Roman" w:eastAsia="Times New Roman" w:hAnsi="Times New Roman"/>
                <w:sz w:val="17"/>
                <w:szCs w:val="17"/>
                <w:color w:val="auto"/>
              </w:rPr>
              <w:t>5,734,834  </w:t>
            </w:r>
          </w:p>
        </w:tc>
        <w:tc>
          <w:tcPr>
            <w:tcW w:w="0" w:type="dxa"/>
            <w:vAlign w:val="bottom"/>
          </w:tcPr>
          <w:p>
            <w:pPr>
              <w:spacing w:after="0"/>
              <w:rPr>
                <w:sz w:val="1"/>
                <w:szCs w:val="1"/>
                <w:color w:val="auto"/>
              </w:rPr>
            </w:pPr>
          </w:p>
        </w:tc>
      </w:tr>
      <w:tr>
        <w:trPr>
          <w:trHeight w:val="203"/>
        </w:trPr>
        <w:tc>
          <w:tcPr>
            <w:tcW w:w="34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9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88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100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in connection with a</w:t>
            </w:r>
          </w:p>
        </w:tc>
        <w:tc>
          <w:tcPr>
            <w:tcW w:w="86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9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88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100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DBF3FF"/>
          </w:tcPr>
          <w:p>
            <w:pPr>
              <w:spacing w:after="0"/>
              <w:rPr>
                <w:sz w:val="19"/>
                <w:szCs w:val="19"/>
                <w:color w:val="auto"/>
              </w:rPr>
            </w:pPr>
          </w:p>
        </w:tc>
        <w:tc>
          <w:tcPr>
            <w:tcW w:w="200" w:type="dxa"/>
            <w:vAlign w:val="bottom"/>
            <w:shd w:val="clear" w:color="auto" w:fill="DBF3FF"/>
          </w:tcPr>
          <w:p>
            <w:pPr>
              <w:spacing w:after="0"/>
              <w:rPr>
                <w:sz w:val="19"/>
                <w:szCs w:val="19"/>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CIC(3)</w:t>
            </w:r>
          </w:p>
        </w:tc>
        <w:tc>
          <w:tcPr>
            <w:tcW w:w="860" w:type="dxa"/>
            <w:vAlign w:val="bottom"/>
            <w:shd w:val="clear" w:color="auto" w:fill="DBF3FF"/>
          </w:tcPr>
          <w:p>
            <w:pPr>
              <w:spacing w:after="0"/>
              <w:rPr>
                <w:sz w:val="19"/>
                <w:szCs w:val="19"/>
                <w:color w:val="auto"/>
              </w:rPr>
            </w:pPr>
          </w:p>
        </w:tc>
        <w:tc>
          <w:tcPr>
            <w:tcW w:w="260" w:type="dxa"/>
            <w:vAlign w:val="bottom"/>
            <w:shd w:val="clear" w:color="auto" w:fill="DBF3FF"/>
          </w:tcPr>
          <w:p>
            <w:pPr>
              <w:spacing w:after="0"/>
              <w:rPr>
                <w:sz w:val="19"/>
                <w:szCs w:val="19"/>
                <w:color w:val="auto"/>
              </w:rPr>
            </w:pPr>
          </w:p>
        </w:tc>
        <w:tc>
          <w:tcPr>
            <w:tcW w:w="920" w:type="dxa"/>
            <w:vAlign w:val="bottom"/>
            <w:shd w:val="clear" w:color="auto" w:fill="DBF3FF"/>
          </w:tcPr>
          <w:p>
            <w:pPr>
              <w:spacing w:after="0"/>
              <w:rPr>
                <w:sz w:val="19"/>
                <w:szCs w:val="19"/>
                <w:color w:val="auto"/>
              </w:rPr>
            </w:pPr>
          </w:p>
        </w:tc>
        <w:tc>
          <w:tcPr>
            <w:tcW w:w="240" w:type="dxa"/>
            <w:vAlign w:val="bottom"/>
            <w:shd w:val="clear" w:color="auto" w:fill="DBF3FF"/>
          </w:tcPr>
          <w:p>
            <w:pPr>
              <w:spacing w:after="0"/>
              <w:rPr>
                <w:sz w:val="19"/>
                <w:szCs w:val="19"/>
                <w:color w:val="auto"/>
              </w:rPr>
            </w:pPr>
          </w:p>
        </w:tc>
        <w:tc>
          <w:tcPr>
            <w:tcW w:w="880" w:type="dxa"/>
            <w:vAlign w:val="bottom"/>
            <w:shd w:val="clear" w:color="auto" w:fill="DBF3FF"/>
          </w:tcPr>
          <w:p>
            <w:pPr>
              <w:spacing w:after="0"/>
              <w:rPr>
                <w:sz w:val="19"/>
                <w:szCs w:val="19"/>
                <w:color w:val="auto"/>
              </w:rPr>
            </w:pPr>
          </w:p>
        </w:tc>
        <w:tc>
          <w:tcPr>
            <w:tcW w:w="260" w:type="dxa"/>
            <w:vAlign w:val="bottom"/>
            <w:shd w:val="clear" w:color="auto" w:fill="DBF3FF"/>
          </w:tcPr>
          <w:p>
            <w:pPr>
              <w:spacing w:after="0"/>
              <w:rPr>
                <w:sz w:val="19"/>
                <w:szCs w:val="19"/>
                <w:color w:val="auto"/>
              </w:rPr>
            </w:pPr>
          </w:p>
        </w:tc>
        <w:tc>
          <w:tcPr>
            <w:tcW w:w="1000" w:type="dxa"/>
            <w:vAlign w:val="bottom"/>
            <w:shd w:val="clear" w:color="auto" w:fill="DBF3FF"/>
          </w:tcPr>
          <w:p>
            <w:pPr>
              <w:spacing w:after="0"/>
              <w:rPr>
                <w:sz w:val="19"/>
                <w:szCs w:val="19"/>
                <w:color w:val="auto"/>
              </w:rPr>
            </w:pPr>
          </w:p>
        </w:tc>
        <w:tc>
          <w:tcPr>
            <w:tcW w:w="80" w:type="dxa"/>
            <w:vAlign w:val="bottom"/>
            <w:shd w:val="clear" w:color="auto" w:fill="DBF3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Matthew Leibel(4)</w:t>
            </w:r>
          </w:p>
        </w:tc>
        <w:tc>
          <w:tcPr>
            <w:tcW w:w="200" w:type="dxa"/>
            <w:vAlign w:val="bottom"/>
          </w:tcPr>
          <w:p>
            <w:pPr>
              <w:spacing w:after="0"/>
              <w:rPr>
                <w:sz w:val="16"/>
                <w:szCs w:val="16"/>
                <w:color w:val="auto"/>
              </w:rPr>
            </w:pPr>
          </w:p>
        </w:tc>
        <w:tc>
          <w:tcPr>
            <w:tcW w:w="224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Termination Under</w:t>
            </w:r>
          </w:p>
        </w:tc>
        <w:tc>
          <w:tcPr>
            <w:tcW w:w="1120" w:type="dxa"/>
            <w:vAlign w:val="bottom"/>
            <w:gridSpan w:val="2"/>
          </w:tcPr>
          <w:p>
            <w:pPr>
              <w:jc w:val="right"/>
              <w:ind w:right="200"/>
              <w:spacing w:after="0" w:line="186" w:lineRule="exact"/>
              <w:rPr>
                <w:sz w:val="20"/>
                <w:szCs w:val="20"/>
                <w:color w:val="auto"/>
              </w:rPr>
            </w:pPr>
            <w:r>
              <w:rPr>
                <w:rFonts w:ascii="Times New Roman" w:cs="Times New Roman" w:eastAsia="Times New Roman" w:hAnsi="Times New Roman"/>
                <w:sz w:val="17"/>
                <w:szCs w:val="17"/>
                <w:color w:val="auto"/>
              </w:rPr>
              <w:t>246,154  </w:t>
            </w: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2,915,536</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2,578    </w:t>
            </w:r>
          </w:p>
        </w:tc>
        <w:tc>
          <w:tcPr>
            <w:tcW w:w="1080" w:type="dxa"/>
            <w:vAlign w:val="bottom"/>
            <w:gridSpan w:val="2"/>
          </w:tcPr>
          <w:p>
            <w:pPr>
              <w:jc w:val="right"/>
              <w:ind w:right="40"/>
              <w:spacing w:after="0" w:line="186" w:lineRule="exact"/>
              <w:rPr>
                <w:sz w:val="20"/>
                <w:szCs w:val="20"/>
                <w:color w:val="auto"/>
              </w:rPr>
            </w:pPr>
            <w:r>
              <w:rPr>
                <w:rFonts w:ascii="Times New Roman" w:cs="Times New Roman" w:eastAsia="Times New Roman" w:hAnsi="Times New Roman"/>
                <w:sz w:val="17"/>
                <w:szCs w:val="17"/>
                <w:color w:val="auto"/>
              </w:rPr>
              <w:t>3,164,268  </w:t>
            </w: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Severance Program</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DBF3FF"/>
          </w:tcPr>
          <w:p>
            <w:pPr>
              <w:spacing w:after="0" w:line="187" w:lineRule="exact"/>
              <w:rPr>
                <w:sz w:val="20"/>
                <w:szCs w:val="20"/>
                <w:color w:val="auto"/>
              </w:rPr>
            </w:pPr>
            <w:r>
              <w:rPr>
                <w:rFonts w:ascii="Times New Roman" w:cs="Times New Roman" w:eastAsia="Times New Roman" w:hAnsi="Times New Roman"/>
                <w:sz w:val="17"/>
                <w:szCs w:val="17"/>
                <w:color w:val="auto"/>
              </w:rPr>
              <w:t>Kathy Mayerhofer</w:t>
            </w:r>
          </w:p>
        </w:tc>
        <w:tc>
          <w:tcPr>
            <w:tcW w:w="200" w:type="dxa"/>
            <w:vAlign w:val="bottom"/>
            <w:shd w:val="clear" w:color="auto" w:fill="DBF3FF"/>
          </w:tcPr>
          <w:p>
            <w:pPr>
              <w:spacing w:after="0"/>
              <w:rPr>
                <w:sz w:val="16"/>
                <w:szCs w:val="16"/>
                <w:color w:val="auto"/>
              </w:rPr>
            </w:pPr>
          </w:p>
        </w:tc>
        <w:tc>
          <w:tcPr>
            <w:tcW w:w="2240" w:type="dxa"/>
            <w:vAlign w:val="bottom"/>
            <w:gridSpan w:val="2"/>
            <w:shd w:val="clear" w:color="auto" w:fill="DBF3FF"/>
          </w:tcPr>
          <w:p>
            <w:pPr>
              <w:spacing w:after="0" w:line="187" w:lineRule="exact"/>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shd w:val="clear" w:color="auto" w:fill="DBF3FF"/>
          </w:tcPr>
          <w:p>
            <w:pPr>
              <w:jc w:val="right"/>
              <w:ind w:right="200"/>
              <w:spacing w:after="0" w:line="187" w:lineRule="exact"/>
              <w:rPr>
                <w:sz w:val="20"/>
                <w:szCs w:val="20"/>
                <w:color w:val="auto"/>
              </w:rPr>
            </w:pPr>
            <w:r>
              <w:rPr>
                <w:rFonts w:ascii="Times New Roman" w:cs="Times New Roman" w:eastAsia="Times New Roman" w:hAnsi="Times New Roman"/>
                <w:sz w:val="17"/>
                <w:szCs w:val="17"/>
                <w:color w:val="auto"/>
              </w:rPr>
              <w:t>350,000  </w:t>
            </w:r>
          </w:p>
        </w:tc>
        <w:tc>
          <w:tcPr>
            <w:tcW w:w="1160" w:type="dxa"/>
            <w:vAlign w:val="bottom"/>
            <w:gridSpan w:val="2"/>
            <w:shd w:val="clear" w:color="auto" w:fill="DBF3FF"/>
          </w:tcPr>
          <w:p>
            <w:pPr>
              <w:jc w:val="right"/>
              <w:ind w:right="28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shd w:val="clear" w:color="auto" w:fill="DBF3FF"/>
          </w:tcPr>
          <w:p>
            <w:pPr>
              <w:jc w:val="right"/>
              <w:ind w:right="220"/>
              <w:spacing w:after="0" w:line="187" w:lineRule="exact"/>
              <w:rPr>
                <w:sz w:val="20"/>
                <w:szCs w:val="20"/>
                <w:color w:val="auto"/>
              </w:rPr>
            </w:pPr>
            <w:r>
              <w:rPr>
                <w:rFonts w:ascii="Times New Roman" w:cs="Times New Roman" w:eastAsia="Times New Roman" w:hAnsi="Times New Roman"/>
                <w:sz w:val="17"/>
                <w:szCs w:val="17"/>
                <w:color w:val="auto"/>
              </w:rPr>
              <w:t>6,216    </w:t>
            </w:r>
          </w:p>
        </w:tc>
        <w:tc>
          <w:tcPr>
            <w:tcW w:w="1080" w:type="dxa"/>
            <w:vAlign w:val="bottom"/>
            <w:gridSpan w:val="2"/>
            <w:shd w:val="clear" w:color="auto" w:fill="DBF3FF"/>
          </w:tcPr>
          <w:p>
            <w:pPr>
              <w:jc w:val="right"/>
              <w:ind w:right="40"/>
              <w:spacing w:after="0" w:line="187" w:lineRule="exact"/>
              <w:rPr>
                <w:sz w:val="20"/>
                <w:szCs w:val="20"/>
                <w:color w:val="auto"/>
              </w:rPr>
            </w:pPr>
            <w:r>
              <w:rPr>
                <w:rFonts w:ascii="Times New Roman" w:cs="Times New Roman" w:eastAsia="Times New Roman" w:hAnsi="Times New Roman"/>
                <w:sz w:val="17"/>
                <w:szCs w:val="17"/>
                <w:color w:val="auto"/>
              </w:rPr>
              <w:t>356,216  </w:t>
            </w:r>
          </w:p>
        </w:tc>
        <w:tc>
          <w:tcPr>
            <w:tcW w:w="0" w:type="dxa"/>
            <w:vAlign w:val="bottom"/>
          </w:tcPr>
          <w:p>
            <w:pPr>
              <w:spacing w:after="0"/>
              <w:rPr>
                <w:sz w:val="1"/>
                <w:szCs w:val="1"/>
                <w:color w:val="auto"/>
              </w:rPr>
            </w:pPr>
          </w:p>
        </w:tc>
      </w:tr>
      <w:tr>
        <w:trPr>
          <w:trHeight w:val="218"/>
        </w:trPr>
        <w:tc>
          <w:tcPr>
            <w:tcW w:w="3400" w:type="dxa"/>
            <w:vAlign w:val="bottom"/>
            <w:shd w:val="clear" w:color="auto" w:fill="DBF3FF"/>
          </w:tcPr>
          <w:p>
            <w:pPr>
              <w:spacing w:after="0"/>
              <w:rPr>
                <w:sz w:val="18"/>
                <w:szCs w:val="18"/>
                <w:color w:val="auto"/>
              </w:rPr>
            </w:pPr>
          </w:p>
        </w:tc>
        <w:tc>
          <w:tcPr>
            <w:tcW w:w="200" w:type="dxa"/>
            <w:vAlign w:val="bottom"/>
            <w:shd w:val="clear" w:color="auto" w:fill="DBF3FF"/>
          </w:tcPr>
          <w:p>
            <w:pPr>
              <w:spacing w:after="0"/>
              <w:rPr>
                <w:sz w:val="18"/>
                <w:szCs w:val="18"/>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shd w:val="clear" w:color="auto" w:fill="DBF3FF"/>
          </w:tcPr>
          <w:p>
            <w:pPr>
              <w:spacing w:after="0"/>
              <w:rPr>
                <w:sz w:val="18"/>
                <w:szCs w:val="18"/>
                <w:color w:val="auto"/>
              </w:rPr>
            </w:pPr>
          </w:p>
        </w:tc>
        <w:tc>
          <w:tcPr>
            <w:tcW w:w="260" w:type="dxa"/>
            <w:vAlign w:val="bottom"/>
            <w:shd w:val="clear" w:color="auto" w:fill="DBF3FF"/>
          </w:tcPr>
          <w:p>
            <w:pPr>
              <w:spacing w:after="0"/>
              <w:rPr>
                <w:sz w:val="18"/>
                <w:szCs w:val="18"/>
                <w:color w:val="auto"/>
              </w:rPr>
            </w:pPr>
          </w:p>
        </w:tc>
        <w:tc>
          <w:tcPr>
            <w:tcW w:w="920" w:type="dxa"/>
            <w:vAlign w:val="bottom"/>
            <w:shd w:val="clear" w:color="auto" w:fill="DBF3FF"/>
          </w:tcPr>
          <w:p>
            <w:pPr>
              <w:spacing w:after="0"/>
              <w:rPr>
                <w:sz w:val="18"/>
                <w:szCs w:val="18"/>
                <w:color w:val="auto"/>
              </w:rPr>
            </w:pPr>
          </w:p>
        </w:tc>
        <w:tc>
          <w:tcPr>
            <w:tcW w:w="240" w:type="dxa"/>
            <w:vAlign w:val="bottom"/>
            <w:shd w:val="clear" w:color="auto" w:fill="DBF3FF"/>
          </w:tcPr>
          <w:p>
            <w:pPr>
              <w:spacing w:after="0"/>
              <w:rPr>
                <w:sz w:val="18"/>
                <w:szCs w:val="18"/>
                <w:color w:val="auto"/>
              </w:rPr>
            </w:pPr>
          </w:p>
        </w:tc>
        <w:tc>
          <w:tcPr>
            <w:tcW w:w="880" w:type="dxa"/>
            <w:vAlign w:val="bottom"/>
            <w:shd w:val="clear" w:color="auto" w:fill="DBF3FF"/>
          </w:tcPr>
          <w:p>
            <w:pPr>
              <w:spacing w:after="0"/>
              <w:rPr>
                <w:sz w:val="18"/>
                <w:szCs w:val="18"/>
                <w:color w:val="auto"/>
              </w:rPr>
            </w:pPr>
          </w:p>
        </w:tc>
        <w:tc>
          <w:tcPr>
            <w:tcW w:w="260" w:type="dxa"/>
            <w:vAlign w:val="bottom"/>
            <w:shd w:val="clear" w:color="auto" w:fill="DBF3FF"/>
          </w:tcPr>
          <w:p>
            <w:pPr>
              <w:spacing w:after="0"/>
              <w:rPr>
                <w:sz w:val="18"/>
                <w:szCs w:val="18"/>
                <w:color w:val="auto"/>
              </w:rPr>
            </w:pPr>
          </w:p>
        </w:tc>
        <w:tc>
          <w:tcPr>
            <w:tcW w:w="1000" w:type="dxa"/>
            <w:vAlign w:val="bottom"/>
            <w:shd w:val="clear" w:color="auto" w:fill="DBF3FF"/>
          </w:tcPr>
          <w:p>
            <w:pPr>
              <w:spacing w:after="0"/>
              <w:rPr>
                <w:sz w:val="18"/>
                <w:szCs w:val="18"/>
                <w:color w:val="auto"/>
              </w:rPr>
            </w:pPr>
          </w:p>
        </w:tc>
        <w:tc>
          <w:tcPr>
            <w:tcW w:w="80" w:type="dxa"/>
            <w:vAlign w:val="bottom"/>
            <w:shd w:val="clear" w:color="auto" w:fill="DBF3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400" w:type="dxa"/>
            <w:vAlign w:val="bottom"/>
            <w:shd w:val="clear" w:color="auto" w:fill="DBF3FF"/>
          </w:tcPr>
          <w:p>
            <w:pPr>
              <w:spacing w:after="0"/>
              <w:rPr>
                <w:sz w:val="24"/>
                <w:szCs w:val="24"/>
                <w:color w:val="auto"/>
              </w:rPr>
            </w:pPr>
          </w:p>
        </w:tc>
        <w:tc>
          <w:tcPr>
            <w:tcW w:w="200" w:type="dxa"/>
            <w:vAlign w:val="bottom"/>
            <w:shd w:val="clear" w:color="auto" w:fill="DBF3FF"/>
          </w:tcPr>
          <w:p>
            <w:pPr>
              <w:spacing w:after="0"/>
              <w:rPr>
                <w:sz w:val="24"/>
                <w:szCs w:val="24"/>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Termination without</w:t>
            </w:r>
          </w:p>
        </w:tc>
        <w:tc>
          <w:tcPr>
            <w:tcW w:w="1120" w:type="dxa"/>
            <w:vAlign w:val="bottom"/>
            <w:gridSpan w:val="2"/>
            <w:shd w:val="clear" w:color="auto" w:fill="DBF3FF"/>
          </w:tcPr>
          <w:p>
            <w:pPr>
              <w:jc w:val="right"/>
              <w:ind w:right="200"/>
              <w:spacing w:after="0"/>
              <w:rPr>
                <w:sz w:val="20"/>
                <w:szCs w:val="20"/>
                <w:color w:val="auto"/>
              </w:rPr>
            </w:pPr>
            <w:r>
              <w:rPr>
                <w:rFonts w:ascii="Times New Roman" w:cs="Times New Roman" w:eastAsia="Times New Roman" w:hAnsi="Times New Roman"/>
                <w:sz w:val="17"/>
                <w:szCs w:val="17"/>
                <w:color w:val="auto"/>
              </w:rPr>
              <w:t>525,000  </w:t>
            </w:r>
          </w:p>
        </w:tc>
        <w:tc>
          <w:tcPr>
            <w:tcW w:w="9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3,732,070</w:t>
            </w:r>
          </w:p>
        </w:tc>
        <w:tc>
          <w:tcPr>
            <w:tcW w:w="240" w:type="dxa"/>
            <w:vAlign w:val="bottom"/>
            <w:shd w:val="clear" w:color="auto" w:fill="DBF3FF"/>
          </w:tcPr>
          <w:p>
            <w:pPr>
              <w:spacing w:after="0"/>
              <w:rPr>
                <w:sz w:val="24"/>
                <w:szCs w:val="24"/>
                <w:color w:val="auto"/>
              </w:rPr>
            </w:pPr>
          </w:p>
        </w:tc>
        <w:tc>
          <w:tcPr>
            <w:tcW w:w="1140" w:type="dxa"/>
            <w:vAlign w:val="bottom"/>
            <w:gridSpan w:val="2"/>
            <w:shd w:val="clear" w:color="auto" w:fill="DBF3FF"/>
          </w:tcPr>
          <w:p>
            <w:pPr>
              <w:jc w:val="right"/>
              <w:ind w:right="220"/>
              <w:spacing w:after="0"/>
              <w:rPr>
                <w:sz w:val="20"/>
                <w:szCs w:val="20"/>
                <w:color w:val="auto"/>
              </w:rPr>
            </w:pPr>
            <w:r>
              <w:rPr>
                <w:rFonts w:ascii="Times New Roman" w:cs="Times New Roman" w:eastAsia="Times New Roman" w:hAnsi="Times New Roman"/>
                <w:sz w:val="17"/>
                <w:szCs w:val="17"/>
                <w:color w:val="auto"/>
              </w:rPr>
              <w:t>6,216    </w:t>
            </w:r>
          </w:p>
        </w:tc>
        <w:tc>
          <w:tcPr>
            <w:tcW w:w="1080" w:type="dxa"/>
            <w:vAlign w:val="bottom"/>
            <w:gridSpan w:val="2"/>
            <w:shd w:val="clear" w:color="auto" w:fill="DBF3FF"/>
          </w:tcPr>
          <w:p>
            <w:pPr>
              <w:jc w:val="right"/>
              <w:ind w:right="40"/>
              <w:spacing w:after="0"/>
              <w:rPr>
                <w:sz w:val="20"/>
                <w:szCs w:val="20"/>
                <w:color w:val="auto"/>
              </w:rPr>
            </w:pPr>
            <w:r>
              <w:rPr>
                <w:rFonts w:ascii="Times New Roman" w:cs="Times New Roman" w:eastAsia="Times New Roman" w:hAnsi="Times New Roman"/>
                <w:sz w:val="17"/>
                <w:szCs w:val="17"/>
                <w:color w:val="auto"/>
              </w:rPr>
              <w:t>4,263,286  </w:t>
            </w:r>
          </w:p>
        </w:tc>
        <w:tc>
          <w:tcPr>
            <w:tcW w:w="0" w:type="dxa"/>
            <w:vAlign w:val="bottom"/>
          </w:tcPr>
          <w:p>
            <w:pPr>
              <w:spacing w:after="0"/>
              <w:rPr>
                <w:sz w:val="1"/>
                <w:szCs w:val="1"/>
                <w:color w:val="auto"/>
              </w:rPr>
            </w:pPr>
          </w:p>
        </w:tc>
      </w:tr>
      <w:tr>
        <w:trPr>
          <w:trHeight w:val="203"/>
        </w:trPr>
        <w:tc>
          <w:tcPr>
            <w:tcW w:w="34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Cause or for Good Reason</w:t>
            </w:r>
          </w:p>
        </w:tc>
        <w:tc>
          <w:tcPr>
            <w:tcW w:w="86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9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88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100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in connection with a</w:t>
            </w:r>
          </w:p>
        </w:tc>
        <w:tc>
          <w:tcPr>
            <w:tcW w:w="86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920" w:type="dxa"/>
            <w:vAlign w:val="bottom"/>
            <w:shd w:val="clear" w:color="auto" w:fill="DBF3FF"/>
          </w:tcPr>
          <w:p>
            <w:pPr>
              <w:spacing w:after="0"/>
              <w:rPr>
                <w:sz w:val="17"/>
                <w:szCs w:val="17"/>
                <w:color w:val="auto"/>
              </w:rPr>
            </w:pPr>
          </w:p>
        </w:tc>
        <w:tc>
          <w:tcPr>
            <w:tcW w:w="240" w:type="dxa"/>
            <w:vAlign w:val="bottom"/>
            <w:shd w:val="clear" w:color="auto" w:fill="DBF3FF"/>
          </w:tcPr>
          <w:p>
            <w:pPr>
              <w:spacing w:after="0"/>
              <w:rPr>
                <w:sz w:val="17"/>
                <w:szCs w:val="17"/>
                <w:color w:val="auto"/>
              </w:rPr>
            </w:pPr>
          </w:p>
        </w:tc>
        <w:tc>
          <w:tcPr>
            <w:tcW w:w="880" w:type="dxa"/>
            <w:vAlign w:val="bottom"/>
            <w:shd w:val="clear" w:color="auto" w:fill="DBF3FF"/>
          </w:tcPr>
          <w:p>
            <w:pPr>
              <w:spacing w:after="0"/>
              <w:rPr>
                <w:sz w:val="17"/>
                <w:szCs w:val="17"/>
                <w:color w:val="auto"/>
              </w:rPr>
            </w:pPr>
          </w:p>
        </w:tc>
        <w:tc>
          <w:tcPr>
            <w:tcW w:w="260" w:type="dxa"/>
            <w:vAlign w:val="bottom"/>
            <w:shd w:val="clear" w:color="auto" w:fill="DBF3FF"/>
          </w:tcPr>
          <w:p>
            <w:pPr>
              <w:spacing w:after="0"/>
              <w:rPr>
                <w:sz w:val="17"/>
                <w:szCs w:val="17"/>
                <w:color w:val="auto"/>
              </w:rPr>
            </w:pPr>
          </w:p>
        </w:tc>
        <w:tc>
          <w:tcPr>
            <w:tcW w:w="1000" w:type="dxa"/>
            <w:vAlign w:val="bottom"/>
            <w:shd w:val="clear" w:color="auto" w:fill="DBF3FF"/>
          </w:tcPr>
          <w:p>
            <w:pPr>
              <w:spacing w:after="0"/>
              <w:rPr>
                <w:sz w:val="17"/>
                <w:szCs w:val="17"/>
                <w:color w:val="auto"/>
              </w:rPr>
            </w:pPr>
          </w:p>
        </w:tc>
        <w:tc>
          <w:tcPr>
            <w:tcW w:w="8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DBF3FF"/>
          </w:tcPr>
          <w:p>
            <w:pPr>
              <w:spacing w:after="0"/>
              <w:rPr>
                <w:sz w:val="19"/>
                <w:szCs w:val="19"/>
                <w:color w:val="auto"/>
              </w:rPr>
            </w:pPr>
          </w:p>
        </w:tc>
        <w:tc>
          <w:tcPr>
            <w:tcW w:w="200" w:type="dxa"/>
            <w:vAlign w:val="bottom"/>
            <w:shd w:val="clear" w:color="auto" w:fill="DBF3FF"/>
          </w:tcPr>
          <w:p>
            <w:pPr>
              <w:spacing w:after="0"/>
              <w:rPr>
                <w:sz w:val="19"/>
                <w:szCs w:val="19"/>
                <w:color w:val="auto"/>
              </w:rPr>
            </w:pPr>
          </w:p>
        </w:tc>
        <w:tc>
          <w:tcPr>
            <w:tcW w:w="224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CIC(3)</w:t>
            </w:r>
          </w:p>
        </w:tc>
        <w:tc>
          <w:tcPr>
            <w:tcW w:w="860" w:type="dxa"/>
            <w:vAlign w:val="bottom"/>
            <w:shd w:val="clear" w:color="auto" w:fill="DBF3FF"/>
          </w:tcPr>
          <w:p>
            <w:pPr>
              <w:spacing w:after="0"/>
              <w:rPr>
                <w:sz w:val="19"/>
                <w:szCs w:val="19"/>
                <w:color w:val="auto"/>
              </w:rPr>
            </w:pPr>
          </w:p>
        </w:tc>
        <w:tc>
          <w:tcPr>
            <w:tcW w:w="260" w:type="dxa"/>
            <w:vAlign w:val="bottom"/>
            <w:shd w:val="clear" w:color="auto" w:fill="DBF3FF"/>
          </w:tcPr>
          <w:p>
            <w:pPr>
              <w:spacing w:after="0"/>
              <w:rPr>
                <w:sz w:val="19"/>
                <w:szCs w:val="19"/>
                <w:color w:val="auto"/>
              </w:rPr>
            </w:pPr>
          </w:p>
        </w:tc>
        <w:tc>
          <w:tcPr>
            <w:tcW w:w="920" w:type="dxa"/>
            <w:vAlign w:val="bottom"/>
            <w:shd w:val="clear" w:color="auto" w:fill="DBF3FF"/>
          </w:tcPr>
          <w:p>
            <w:pPr>
              <w:spacing w:after="0"/>
              <w:rPr>
                <w:sz w:val="19"/>
                <w:szCs w:val="19"/>
                <w:color w:val="auto"/>
              </w:rPr>
            </w:pPr>
          </w:p>
        </w:tc>
        <w:tc>
          <w:tcPr>
            <w:tcW w:w="240" w:type="dxa"/>
            <w:vAlign w:val="bottom"/>
            <w:shd w:val="clear" w:color="auto" w:fill="DBF3FF"/>
          </w:tcPr>
          <w:p>
            <w:pPr>
              <w:spacing w:after="0"/>
              <w:rPr>
                <w:sz w:val="19"/>
                <w:szCs w:val="19"/>
                <w:color w:val="auto"/>
              </w:rPr>
            </w:pPr>
          </w:p>
        </w:tc>
        <w:tc>
          <w:tcPr>
            <w:tcW w:w="880" w:type="dxa"/>
            <w:vAlign w:val="bottom"/>
            <w:shd w:val="clear" w:color="auto" w:fill="DBF3FF"/>
          </w:tcPr>
          <w:p>
            <w:pPr>
              <w:spacing w:after="0"/>
              <w:rPr>
                <w:sz w:val="19"/>
                <w:szCs w:val="19"/>
                <w:color w:val="auto"/>
              </w:rPr>
            </w:pPr>
          </w:p>
        </w:tc>
        <w:tc>
          <w:tcPr>
            <w:tcW w:w="260" w:type="dxa"/>
            <w:vAlign w:val="bottom"/>
            <w:shd w:val="clear" w:color="auto" w:fill="DBF3FF"/>
          </w:tcPr>
          <w:p>
            <w:pPr>
              <w:spacing w:after="0"/>
              <w:rPr>
                <w:sz w:val="19"/>
                <w:szCs w:val="19"/>
                <w:color w:val="auto"/>
              </w:rPr>
            </w:pPr>
          </w:p>
        </w:tc>
        <w:tc>
          <w:tcPr>
            <w:tcW w:w="1000" w:type="dxa"/>
            <w:vAlign w:val="bottom"/>
            <w:shd w:val="clear" w:color="auto" w:fill="DBF3FF"/>
          </w:tcPr>
          <w:p>
            <w:pPr>
              <w:spacing w:after="0"/>
              <w:rPr>
                <w:sz w:val="19"/>
                <w:szCs w:val="19"/>
                <w:color w:val="auto"/>
              </w:rPr>
            </w:pPr>
          </w:p>
        </w:tc>
        <w:tc>
          <w:tcPr>
            <w:tcW w:w="80" w:type="dxa"/>
            <w:vAlign w:val="bottom"/>
            <w:shd w:val="clear" w:color="auto" w:fill="DBF3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right="280" w:hanging="403"/>
        <w:spacing w:after="0" w:line="274" w:lineRule="auto"/>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the cash severance obligations under the employment agreements with the named executive officers is set forth under “Compensation Discussion and Analysis—Other Features of Our Compensation Program—Severance and Change in Control Benefits” above.</w:t>
      </w:r>
    </w:p>
    <w:p>
      <w:pPr>
        <w:ind w:left="860" w:right="180" w:hanging="403"/>
        <w:spacing w:after="0" w:line="248" w:lineRule="auto"/>
        <w:tabs>
          <w:tab w:leader="none" w:pos="8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accelerated vesting of unvested RSUs and unvested but early exercised stock options is based upon the closing price of our Class A common stock on December 29, 2023, which was $35.91, as reported on Nasdaq, multiplied by the number of unvested RSUs. The value of accelerated vesting of unvested, unexercised stock options is based on the difference between the closing stock price on December 29, 2023, as reported on Nasdaq, and the exercise price per option multiplied by the number of unvested options.</w:t>
      </w:r>
    </w:p>
    <w:p>
      <w:pPr>
        <w:spacing w:after="0" w:line="2" w:lineRule="exact"/>
        <w:rPr>
          <w:rFonts w:ascii="Times New Roman" w:cs="Times New Roman" w:eastAsia="Times New Roman" w:hAnsi="Times New Roman"/>
          <w:sz w:val="17"/>
          <w:szCs w:val="17"/>
          <w:color w:val="auto"/>
        </w:rPr>
      </w:pPr>
    </w:p>
    <w:p>
      <w:pPr>
        <w:ind w:left="860" w:right="20" w:hanging="403"/>
        <w:spacing w:after="0" w:line="257" w:lineRule="auto"/>
        <w:tabs>
          <w:tab w:leader="none" w:pos="8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change in control (as defined in the 2021 Plan) severance benefits based on a double-trigger arrangement, which assumes the executive officer is terminated without “cause” or resigns for “good</w:t>
      </w:r>
    </w:p>
    <w:p>
      <w:pPr>
        <w:spacing w:after="0" w:line="11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00"/>
          </w:cols>
          <w:pgMar w:left="320" w:top="462" w:right="7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860" w:right="460"/>
        <w:spacing w:after="0" w:line="258" w:lineRule="auto"/>
        <w:rPr>
          <w:sz w:val="20"/>
          <w:szCs w:val="20"/>
          <w:color w:val="auto"/>
        </w:rPr>
      </w:pPr>
      <w:r>
        <w:rPr>
          <w:rFonts w:ascii="Times New Roman" w:cs="Times New Roman" w:eastAsia="Times New Roman" w:hAnsi="Times New Roman"/>
          <w:sz w:val="17"/>
          <w:szCs w:val="17"/>
          <w:color w:val="auto"/>
        </w:rPr>
        <w:t>reason” (as such terms are defined in the executive officer’s employment agreement) within three months prior to or 12 months following, a change in control of Xometry.</w:t>
      </w:r>
    </w:p>
    <w:p>
      <w:pPr>
        <w:spacing w:after="0" w:line="1" w:lineRule="exact"/>
        <w:rPr>
          <w:sz w:val="20"/>
          <w:szCs w:val="20"/>
          <w:color w:val="auto"/>
        </w:rPr>
      </w:pPr>
    </w:p>
    <w:p>
      <w:pPr>
        <w:ind w:left="860" w:right="100" w:hanging="403"/>
        <w:spacing w:after="0" w:line="250" w:lineRule="auto"/>
        <w:tabs>
          <w:tab w:leader="none" w:pos="8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Leibel is subject to the Severance Program, which provides for specified payments and benefits to eligible employees whose positions are eliminated or whose employment is terminated other than for performance-related issues, misconduct or other for-cause reasons. The amounts shown here represent severance benefits and assumes the value of the exercise of vested, unexercised stock options is based on the difference between the closing stock price on December 29, 2023, which was $35.91, as reported on Nasdaq, and the exercise price per option multiplied by the number of vested, exercisable options. A description of Mr. Leibel’s severance benefits is set forth under “Compensation Discussion and Analysis—Other Features of Our Compensation Program—Severance and Change in Control Benefits” above.</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Limitations of Liability and Indemnification Matters</w:t>
      </w:r>
    </w:p>
    <w:p>
      <w:pPr>
        <w:spacing w:after="0" w:line="112" w:lineRule="exact"/>
        <w:rPr>
          <w:sz w:val="20"/>
          <w:szCs w:val="20"/>
          <w:color w:val="auto"/>
        </w:rPr>
      </w:pPr>
    </w:p>
    <w:p>
      <w:pPr>
        <w:ind w:left="460" w:firstLine="413"/>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2" w:lineRule="exact"/>
        <w:rPr>
          <w:sz w:val="20"/>
          <w:szCs w:val="20"/>
          <w:color w:val="auto"/>
        </w:rPr>
      </w:pPr>
    </w:p>
    <w:p>
      <w:pPr>
        <w:ind w:left="1360" w:hanging="396"/>
        <w:spacing w:after="0"/>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the corporation or its stockholders;</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or</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0" w:lineRule="exact"/>
        <w:rPr>
          <w:sz w:val="20"/>
          <w:szCs w:val="20"/>
          <w:color w:val="auto"/>
        </w:rPr>
      </w:pPr>
    </w:p>
    <w:p>
      <w:pPr>
        <w:ind w:left="460" w:right="580" w:firstLine="413"/>
        <w:spacing w:after="0" w:line="276" w:lineRule="auto"/>
        <w:rPr>
          <w:sz w:val="20"/>
          <w:szCs w:val="20"/>
          <w:color w:val="auto"/>
        </w:rPr>
      </w:pPr>
      <w:r>
        <w:rPr>
          <w:rFonts w:ascii="Times New Roman" w:cs="Times New Roman" w:eastAsia="Times New Roman" w:hAnsi="Times New Roman"/>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58" w:lineRule="exact"/>
        <w:rPr>
          <w:sz w:val="20"/>
          <w:szCs w:val="20"/>
          <w:color w:val="auto"/>
        </w:rPr>
      </w:pPr>
    </w:p>
    <w:p>
      <w:pPr>
        <w:ind w:left="460" w:firstLine="413"/>
        <w:spacing w:after="0" w:line="251"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that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such person’s actions in that capacity regardless of whether we would otherwise be permitted to indemnify such person under the provisions of Delaware law. 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3"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7" w:lineRule="exact"/>
        <w:rPr>
          <w:sz w:val="20"/>
          <w:szCs w:val="20"/>
          <w:color w:val="auto"/>
        </w:rPr>
      </w:pPr>
    </w:p>
    <w:p>
      <w:pPr>
        <w:ind w:left="460" w:right="160" w:firstLine="413"/>
        <w:spacing w:after="0" w:line="26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780"/>
          </w:cols>
          <w:pgMar w:left="320" w:top="462" w:right="7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Rule 10b5-1 Sales Plans</w:t>
      </w:r>
    </w:p>
    <w:p>
      <w:pPr>
        <w:spacing w:after="0" w:line="112"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or terminate a Rule 10b5-1 plan in some circumstances. Our directors and executive officers may also buy or sell additional shares outside of a Rule 10b5-1 plan when they do not possess of material nonpublic information, subject to compliance with the terms of our insider trading policy.</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provides certain information with respect to all of our equity compensation plans in effect as of December 31, 2023.</w:t>
      </w:r>
    </w:p>
    <w:p>
      <w:pPr>
        <w:sectPr>
          <w:pgSz w:w="11900" w:h="16838" w:orient="portrait"/>
          <w:cols w:equalWidth="0" w:num="1">
            <w:col w:w="10700"/>
          </w:cols>
          <w:pgMar w:left="320" w:top="46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u w:val="single" w:color="auto"/>
          <w:color w:val="auto"/>
        </w:rPr>
        <w:t>Plan Category</w:t>
      </w:r>
    </w:p>
    <w:p>
      <w:pPr>
        <w:spacing w:after="0" w:line="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108585</wp:posOffset>
            </wp:positionV>
            <wp:extent cx="7239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 Number of</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139"/>
        </w:trPr>
        <w:tc>
          <w:tcPr>
            <w:tcW w:w="16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(a) Number of</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available for</w:t>
            </w:r>
          </w:p>
        </w:tc>
        <w:tc>
          <w:tcPr>
            <w:tcW w:w="0" w:type="dxa"/>
            <w:vAlign w:val="bottom"/>
          </w:tcPr>
          <w:p>
            <w:pPr>
              <w:spacing w:after="0"/>
              <w:rPr>
                <w:sz w:val="1"/>
                <w:szCs w:val="1"/>
                <w:color w:val="auto"/>
              </w:rPr>
            </w:pPr>
          </w:p>
        </w:tc>
      </w:tr>
      <w:tr>
        <w:trPr>
          <w:trHeight w:val="139"/>
        </w:trPr>
        <w:tc>
          <w:tcPr>
            <w:tcW w:w="166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(b) Weighted-</w:t>
            </w: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issuance under</w:t>
            </w:r>
          </w:p>
        </w:tc>
        <w:tc>
          <w:tcPr>
            <w:tcW w:w="0" w:type="dxa"/>
            <w:vAlign w:val="bottom"/>
          </w:tcPr>
          <w:p>
            <w:pPr>
              <w:spacing w:after="0"/>
              <w:rPr>
                <w:sz w:val="1"/>
                <w:szCs w:val="1"/>
                <w:color w:val="auto"/>
              </w:rPr>
            </w:pPr>
          </w:p>
        </w:tc>
      </w:tr>
      <w:tr>
        <w:trPr>
          <w:trHeight w:val="139"/>
        </w:trPr>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securities to be</w:t>
            </w:r>
          </w:p>
        </w:tc>
        <w:tc>
          <w:tcPr>
            <w:tcW w:w="1660" w:type="dxa"/>
            <w:vAlign w:val="bottom"/>
            <w:gridSpan w:val="2"/>
            <w:vMerge w:val="continue"/>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9"/>
        </w:trPr>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issued upon</w:t>
            </w:r>
          </w:p>
        </w:tc>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average exercise</w:t>
            </w: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0" w:type="dxa"/>
            <w:vAlign w:val="bottom"/>
          </w:tcPr>
          <w:p>
            <w:pPr>
              <w:spacing w:after="0"/>
              <w:rPr>
                <w:sz w:val="1"/>
                <w:szCs w:val="1"/>
                <w:color w:val="auto"/>
              </w:rPr>
            </w:pPr>
          </w:p>
        </w:tc>
      </w:tr>
      <w:tr>
        <w:trPr>
          <w:trHeight w:val="139"/>
        </w:trPr>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exercise of</w:t>
            </w:r>
          </w:p>
        </w:tc>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price of</w:t>
            </w: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plans (excluding</w:t>
            </w:r>
          </w:p>
        </w:tc>
        <w:tc>
          <w:tcPr>
            <w:tcW w:w="0" w:type="dxa"/>
            <w:vAlign w:val="bottom"/>
          </w:tcPr>
          <w:p>
            <w:pPr>
              <w:spacing w:after="0"/>
              <w:rPr>
                <w:sz w:val="1"/>
                <w:szCs w:val="1"/>
                <w:color w:val="auto"/>
              </w:rPr>
            </w:pPr>
          </w:p>
        </w:tc>
      </w:tr>
      <w:tr>
        <w:trPr>
          <w:trHeight w:val="139"/>
        </w:trPr>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options, warrants</w:t>
            </w:r>
          </w:p>
        </w:tc>
        <w:tc>
          <w:tcPr>
            <w:tcW w:w="166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3"/>
                <w:szCs w:val="13"/>
                <w:b w:val="1"/>
                <w:bCs w:val="1"/>
                <w:color w:val="auto"/>
              </w:rPr>
              <w:t>options, warrants</w:t>
            </w: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reflected in</w:t>
            </w:r>
          </w:p>
        </w:tc>
        <w:tc>
          <w:tcPr>
            <w:tcW w:w="0" w:type="dxa"/>
            <w:vAlign w:val="bottom"/>
          </w:tcPr>
          <w:p>
            <w:pPr>
              <w:spacing w:after="0"/>
              <w:rPr>
                <w:sz w:val="1"/>
                <w:szCs w:val="1"/>
                <w:color w:val="auto"/>
              </w:rPr>
            </w:pPr>
          </w:p>
        </w:tc>
      </w:tr>
      <w:tr>
        <w:trPr>
          <w:trHeight w:val="164"/>
        </w:trPr>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and rights(1)</w:t>
            </w: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and rights(2)</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column (a))(3)</w:t>
            </w:r>
          </w:p>
        </w:tc>
        <w:tc>
          <w:tcPr>
            <w:tcW w:w="0" w:type="dxa"/>
            <w:vAlign w:val="bottom"/>
          </w:tcPr>
          <w:p>
            <w:pPr>
              <w:spacing w:after="0"/>
              <w:rPr>
                <w:sz w:val="1"/>
                <w:szCs w:val="1"/>
                <w:color w:val="auto"/>
              </w:rPr>
            </w:pPr>
          </w:p>
        </w:tc>
      </w:tr>
      <w:tr>
        <w:trPr>
          <w:trHeight w:val="179"/>
        </w:trPr>
        <w:tc>
          <w:tcPr>
            <w:tcW w:w="10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7"/>
                <w:szCs w:val="17"/>
                <w:color w:val="auto"/>
              </w:rPr>
              <w:t>4,649,201</w:t>
            </w:r>
          </w:p>
        </w:tc>
        <w:tc>
          <w:tcPr>
            <w:tcW w:w="660" w:type="dxa"/>
            <w:vAlign w:val="bottom"/>
          </w:tcPr>
          <w:p>
            <w:pPr>
              <w:spacing w:after="0"/>
              <w:rPr>
                <w:sz w:val="15"/>
                <w:szCs w:val="15"/>
                <w:color w:val="auto"/>
              </w:rPr>
            </w:pPr>
          </w:p>
        </w:tc>
        <w:tc>
          <w:tcPr>
            <w:tcW w:w="10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7"/>
                <w:szCs w:val="17"/>
                <w:color w:val="auto"/>
              </w:rPr>
              <w:t>11.82</w:t>
            </w:r>
          </w:p>
        </w:tc>
        <w:tc>
          <w:tcPr>
            <w:tcW w:w="660" w:type="dxa"/>
            <w:vAlign w:val="bottom"/>
          </w:tcPr>
          <w:p>
            <w:pPr>
              <w:spacing w:after="0"/>
              <w:rPr>
                <w:sz w:val="15"/>
                <w:szCs w:val="15"/>
                <w:color w:val="auto"/>
              </w:rPr>
            </w:pPr>
          </w:p>
        </w:tc>
        <w:tc>
          <w:tcPr>
            <w:tcW w:w="94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7"/>
                <w:szCs w:val="17"/>
                <w:color w:val="auto"/>
              </w:rPr>
              <w:t>5,765,450</w:t>
            </w:r>
          </w:p>
        </w:tc>
        <w:tc>
          <w:tcPr>
            <w:tcW w:w="0" w:type="dxa"/>
            <w:vAlign w:val="bottom"/>
          </w:tcPr>
          <w:p>
            <w:pPr>
              <w:spacing w:after="0"/>
              <w:rPr>
                <w:sz w:val="1"/>
                <w:szCs w:val="1"/>
                <w:color w:val="auto"/>
              </w:rPr>
            </w:pPr>
          </w:p>
        </w:tc>
      </w:tr>
      <w:tr>
        <w:trPr>
          <w:trHeight w:val="218"/>
        </w:trPr>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-264160</wp:posOffset>
            </wp:positionV>
            <wp:extent cx="6031230" cy="136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1230" cy="13652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340" w:space="720"/>
            <w:col w:w="4640"/>
          </w:cols>
          <w:pgMar w:left="320" w:top="462" w:right="879" w:bottom="1440" w:gutter="0" w:footer="0" w:header="0"/>
          <w:type w:val="continuous"/>
        </w:sectPr>
      </w:pPr>
    </w:p>
    <w:p>
      <w:pPr>
        <w:ind w:left="860" w:hanging="403"/>
        <w:spacing w:after="0"/>
        <w:tabs>
          <w:tab w:leader="none" w:pos="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2014 Plan, 2016 Plan and 2021 Plan.</w:t>
      </w:r>
    </w:p>
    <w:p>
      <w:pPr>
        <w:spacing w:after="0" w:line="22" w:lineRule="exact"/>
        <w:rPr>
          <w:rFonts w:ascii="Times New Roman" w:cs="Times New Roman" w:eastAsia="Times New Roman" w:hAnsi="Times New Roman"/>
          <w:sz w:val="17"/>
          <w:szCs w:val="17"/>
          <w:color w:val="auto"/>
        </w:rPr>
      </w:pPr>
    </w:p>
    <w:p>
      <w:pPr>
        <w:ind w:left="860" w:right="340" w:hanging="403"/>
        <w:spacing w:after="0" w:line="248" w:lineRule="auto"/>
        <w:tabs>
          <w:tab w:leader="none" w:pos="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exercise price is calculated based solely on outstanding stock options and does not take into account shares of Class A common stock underlying restricted stock units, which have no exercise price.</w:t>
      </w:r>
    </w:p>
    <w:p>
      <w:pPr>
        <w:spacing w:after="0" w:line="1" w:lineRule="exact"/>
        <w:rPr>
          <w:rFonts w:ascii="Times New Roman" w:cs="Times New Roman" w:eastAsia="Times New Roman" w:hAnsi="Times New Roman"/>
          <w:sz w:val="17"/>
          <w:szCs w:val="17"/>
          <w:color w:val="auto"/>
        </w:rPr>
      </w:pPr>
    </w:p>
    <w:p>
      <w:pPr>
        <w:ind w:left="860" w:right="40" w:hanging="403"/>
        <w:spacing w:after="0" w:line="251" w:lineRule="auto"/>
        <w:tabs>
          <w:tab w:leader="none" w:pos="8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Class A common stock reserved for issuance under the 2021 Plan will automatically increase on January 1 of each year by 5% of the total number of shares of our capital stock outstanding on December 31 of the preceding calendar year, or a lesser number of shares determined by our Board (which may be zero). Pursuant to the terms of the 2021 Plan, the number of shares available under the 2021 Plan was increased by 2,408,276 shares effective January 1, 2024.</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700"/>
          </w:cols>
          <w:pgMar w:left="320" w:top="462" w:right="8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214" w:lineRule="exact"/>
        <w:rPr>
          <w:sz w:val="20"/>
          <w:szCs w:val="20"/>
          <w:color w:val="auto"/>
        </w:rPr>
      </w:pPr>
    </w:p>
    <w:p>
      <w:pPr>
        <w:ind w:left="460" w:firstLine="413"/>
        <w:spacing w:after="0" w:line="276" w:lineRule="auto"/>
        <w:rPr>
          <w:sz w:val="20"/>
          <w:szCs w:val="20"/>
          <w:color w:val="auto"/>
        </w:rPr>
      </w:pPr>
      <w:r>
        <w:rPr>
          <w:rFonts w:ascii="Times New Roman" w:cs="Times New Roman" w:eastAsia="Times New Roman" w:hAnsi="Times New Roman"/>
          <w:sz w:val="17"/>
          <w:szCs w:val="17"/>
          <w:color w:val="auto"/>
        </w:rPr>
        <w:t>Pursuant to Item 402(u) of Regulation S-K, presented below is the ratio of annual total compensation of our Chief Executive Officer to the median annual total compensation of our employees (except our Chief Executive Officer).</w:t>
      </w:r>
    </w:p>
    <w:p>
      <w:pPr>
        <w:spacing w:after="0" w:line="158" w:lineRule="exact"/>
        <w:rPr>
          <w:sz w:val="20"/>
          <w:szCs w:val="20"/>
          <w:color w:val="auto"/>
        </w:rPr>
      </w:pPr>
    </w:p>
    <w:p>
      <w:pPr>
        <w:ind w:left="460" w:right="40" w:firstLine="413"/>
        <w:spacing w:after="0" w:line="254" w:lineRule="auto"/>
        <w:rPr>
          <w:sz w:val="20"/>
          <w:szCs w:val="20"/>
          <w:color w:val="auto"/>
        </w:rPr>
      </w:pPr>
      <w:r>
        <w:rPr>
          <w:rFonts w:ascii="Times New Roman" w:cs="Times New Roman" w:eastAsia="Times New Roman" w:hAnsi="Times New Roman"/>
          <w:sz w:val="17"/>
          <w:szCs w:val="17"/>
          <w:color w:val="auto"/>
        </w:rPr>
        <w:t>The ratio presented below is a reasonable estimate calculated in a manner consistent with Item 402(u).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77" w:lineRule="exact"/>
        <w:rPr>
          <w:sz w:val="20"/>
          <w:szCs w:val="20"/>
          <w:color w:val="auto"/>
        </w:rPr>
      </w:pPr>
    </w:p>
    <w:p>
      <w:pPr>
        <w:ind w:left="460" w:right="160" w:firstLine="413"/>
        <w:spacing w:after="0" w:line="254" w:lineRule="auto"/>
        <w:rPr>
          <w:sz w:val="20"/>
          <w:szCs w:val="20"/>
          <w:color w:val="auto"/>
        </w:rPr>
      </w:pPr>
      <w:r>
        <w:rPr>
          <w:rFonts w:ascii="Times New Roman" w:cs="Times New Roman" w:eastAsia="Times New Roman" w:hAnsi="Times New Roman"/>
          <w:sz w:val="17"/>
          <w:szCs w:val="17"/>
          <w:color w:val="auto"/>
        </w:rPr>
        <w:t>We identified our median employee from all full-time and part-time workers who were included as employees on our payroll records as of a determination date of December 31, 2023, based on base salary as of the determination date and excluding certain of our employees. Conforming adjustments were made for employees who were hired during that period and did not receive pay for the full period, and international employees’ pay was converted to U.S. dollar equivalents using exchange rates as of the determination date. Under the M&amp;A exemption, we excluded 52 employees in Turkey in determining our median employee. Excluding such Turkish employees, we had 922 total employees, with 184 of those outside the United States. Using the de minimis exemption, we excluded 48 employees located in China in determining our median employee.</w:t>
      </w:r>
    </w:p>
    <w:p>
      <w:pPr>
        <w:spacing w:after="0" w:line="177" w:lineRule="exact"/>
        <w:rPr>
          <w:sz w:val="20"/>
          <w:szCs w:val="20"/>
          <w:color w:val="auto"/>
        </w:rPr>
      </w:pPr>
    </w:p>
    <w:p>
      <w:pPr>
        <w:ind w:left="460" w:right="40" w:firstLine="413"/>
        <w:spacing w:after="0" w:line="255" w:lineRule="auto"/>
        <w:rPr>
          <w:sz w:val="20"/>
          <w:szCs w:val="20"/>
          <w:color w:val="auto"/>
        </w:rPr>
      </w:pPr>
      <w:r>
        <w:rPr>
          <w:rFonts w:ascii="Times New Roman" w:cs="Times New Roman" w:eastAsia="Times New Roman" w:hAnsi="Times New Roman"/>
          <w:sz w:val="17"/>
          <w:szCs w:val="17"/>
          <w:color w:val="auto"/>
        </w:rPr>
        <w:t>The fiscal year 2023 annual total compensation as determined under Item 402 of Regulation S-K for our Chief Executive Officer was $1,384,063, as reported in the Summary Compensation Table of this proxy statement. The fiscal year 2023 annual total compensation, including base salary, bonus, commissions, allowances and equity awards earned during fiscal year 2023, as determined under Item 402 of Regulation S-K for our median employee was $95,156. Based on this information, the ratio of our Chief Executive Officer’s annual total compensation to our median employee’s annual total compensation for fiscal year 2023 was 15 to 1.</w:t>
      </w:r>
    </w:p>
    <w:p>
      <w:pPr>
        <w:spacing w:after="0" w:line="200" w:lineRule="exact"/>
        <w:rPr>
          <w:sz w:val="20"/>
          <w:szCs w:val="20"/>
          <w:color w:val="auto"/>
        </w:rPr>
      </w:pPr>
    </w:p>
    <w:p>
      <w:pPr>
        <w:spacing w:after="0" w:line="25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760"/>
          </w:cols>
          <w:pgMar w:left="320" w:top="462" w:right="8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14" w:lineRule="exact"/>
        <w:rPr>
          <w:sz w:val="20"/>
          <w:szCs w:val="20"/>
          <w:color w:val="auto"/>
        </w:rPr>
      </w:pPr>
    </w:p>
    <w:p>
      <w:pPr>
        <w:ind w:left="460" w:right="20" w:firstLine="413"/>
        <w:spacing w:after="0" w:line="255"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and other of Xometry. For further information concerning our variable pay-for-performance philosophy and how we align executive compensation with our performance, refer to the “Compensation Discussion and Analysis” above. Our Chief Executive Officer is our principal executive officer, which we refer to as “PEO” in the tables below. The named executive officers are referred to as “NEOs” in the tables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4"/>
          </w:tcPr>
          <w:p>
            <w:pPr>
              <w:jc w:val="right"/>
              <w:ind w:right="520"/>
              <w:spacing w:after="0" w:line="139" w:lineRule="exact"/>
              <w:rPr>
                <w:sz w:val="20"/>
                <w:szCs w:val="20"/>
                <w:color w:val="auto"/>
              </w:rPr>
            </w:pPr>
            <w:r>
              <w:rPr>
                <w:rFonts w:ascii="Times New Roman" w:cs="Times New Roman" w:eastAsia="Times New Roman" w:hAnsi="Times New Roman"/>
                <w:sz w:val="13"/>
                <w:szCs w:val="13"/>
                <w:b w:val="1"/>
                <w:bCs w:val="1"/>
                <w:color w:val="auto"/>
              </w:rPr>
              <w:t>Investment Based on:</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80" w:type="dxa"/>
            <w:vAlign w:val="bottom"/>
            <w:gridSpan w:val="2"/>
            <w:vMerge w:val="restart"/>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Average</w:t>
            </w: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2"/>
            <w:vMerge w:val="restart"/>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Company</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Peer Group</w:t>
            </w: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1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70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Selected</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11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Measure –</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for Non-PEO</w:t>
            </w:r>
          </w:p>
        </w:tc>
        <w:tc>
          <w:tcPr>
            <w:tcW w:w="11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to Non-PEO</w:t>
            </w:r>
          </w:p>
        </w:tc>
        <w:tc>
          <w:tcPr>
            <w:tcW w:w="980" w:type="dxa"/>
            <w:vAlign w:val="bottom"/>
            <w:gridSpan w:val="2"/>
          </w:tcPr>
          <w:p>
            <w:pPr>
              <w:jc w:val="right"/>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10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100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(Loss)(7)</w:t>
            </w:r>
          </w:p>
        </w:tc>
        <w:tc>
          <w:tcPr>
            <w:tcW w:w="70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0" w:type="dxa"/>
            <w:vAlign w:val="bottom"/>
          </w:tcPr>
          <w:p>
            <w:pPr>
              <w:spacing w:after="0"/>
              <w:rPr>
                <w:sz w:val="1"/>
                <w:szCs w:val="1"/>
                <w:color w:val="auto"/>
              </w:rPr>
            </w:pPr>
          </w:p>
        </w:tc>
      </w:tr>
      <w:tr>
        <w:trPr>
          <w:trHeight w:val="139"/>
        </w:trPr>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880" w:type="dxa"/>
            <w:vAlign w:val="bottom"/>
            <w:vMerge w:val="restart"/>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to PEO(2)</w:t>
            </w:r>
          </w:p>
        </w:tc>
        <w:tc>
          <w:tcPr>
            <w:tcW w:w="11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NEOs(3)</w:t>
            </w:r>
          </w:p>
        </w:tc>
        <w:tc>
          <w:tcPr>
            <w:tcW w:w="118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b w:val="1"/>
                <w:bCs w:val="1"/>
                <w:color w:val="auto"/>
              </w:rPr>
              <w:t>NEOs(4)</w:t>
            </w: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Return(5)</w:t>
            </w:r>
          </w:p>
        </w:tc>
        <w:tc>
          <w:tcPr>
            <w:tcW w:w="102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Return(5)(6)</w:t>
            </w:r>
          </w:p>
        </w:tc>
        <w:tc>
          <w:tcPr>
            <w:tcW w:w="1000" w:type="dxa"/>
            <w:vAlign w:val="bottom"/>
            <w:gridSpan w:val="2"/>
          </w:tcPr>
          <w:p>
            <w:pPr>
              <w:jc w:val="right"/>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70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for PEO(1)</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1,384,063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1,746,043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1,771,298</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4"/>
              </w:rPr>
              <w:t>2,948,632</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41.09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54.55</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(67.5)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463.4</w:t>
            </w:r>
          </w:p>
        </w:tc>
        <w:tc>
          <w:tcPr>
            <w:tcW w:w="0" w:type="dxa"/>
            <w:vAlign w:val="bottom"/>
          </w:tcPr>
          <w:p>
            <w:pPr>
              <w:spacing w:after="0"/>
              <w:rPr>
                <w:sz w:val="1"/>
                <w:szCs w:val="1"/>
                <w:color w:val="auto"/>
              </w:rPr>
            </w:pPr>
          </w:p>
        </w:tc>
      </w:tr>
      <w:tr>
        <w:trPr>
          <w:trHeight w:val="218"/>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3,775,410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1,219,186</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1,552,235</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(85,068)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36.88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39.15</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(79.0)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381.1</w:t>
            </w:r>
          </w:p>
        </w:tc>
        <w:tc>
          <w:tcPr>
            <w:tcW w:w="0" w:type="dxa"/>
            <w:vAlign w:val="bottom"/>
          </w:tcPr>
          <w:p>
            <w:pPr>
              <w:spacing w:after="0"/>
              <w:rPr>
                <w:sz w:val="1"/>
                <w:szCs w:val="1"/>
                <w:color w:val="auto"/>
              </w:rPr>
            </w:pPr>
          </w:p>
        </w:tc>
      </w:tr>
      <w:tr>
        <w:trPr>
          <w:trHeight w:val="212"/>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3,303,032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15,921,535</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345,939</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4"/>
              </w:rPr>
              <w:t>4,696,970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58.65</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78.43</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(61.4)</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88265</wp:posOffset>
            </wp:positionV>
            <wp:extent cx="7239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54" w:lineRule="exact"/>
        <w:rPr>
          <w:sz w:val="20"/>
          <w:szCs w:val="20"/>
          <w:color w:val="auto"/>
        </w:rPr>
      </w:pPr>
    </w:p>
    <w:p>
      <w:pPr>
        <w:ind w:left="860" w:right="280" w:hanging="403"/>
        <w:spacing w:after="0" w:line="258" w:lineRule="auto"/>
        <w:tabs>
          <w:tab w:leader="none" w:pos="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amounts of total compensation reported for Mr. Altschuler (our Chief Executive Officer) for each corresponding year in the “Total” column of the Summary Compensation Table. Refer to “Executive Compensation—Summary Compensation Table.”</w:t>
      </w:r>
    </w:p>
    <w:p>
      <w:pPr>
        <w:ind w:left="860" w:right="20" w:hanging="403"/>
        <w:spacing w:after="0" w:line="251" w:lineRule="auto"/>
        <w:tabs>
          <w:tab w:leader="none" w:pos="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amount of “compensation actually paid” to Mr. Altschuler, as computed in accordance with Item 402(v) of Regulation S-K. The dollar amounts do not reflect the actual amount of compensation earned by or paid to Mr. Altschuler during the applicable year. In accordance with the requirements of Item 402(v) of Regulation S-K, the following adjustments were made to Mr. Altschuler’s total compensation for each year to determine the compensation actually paid:</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8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62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20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80" w:type="dxa"/>
            <w:vAlign w:val="bottom"/>
            <w:gridSpan w:val="2"/>
          </w:tcPr>
          <w:p>
            <w:pPr>
              <w:jc w:val="right"/>
              <w:ind w:right="740"/>
              <w:spacing w:after="0" w:line="139" w:lineRule="exact"/>
              <w:rPr>
                <w:sz w:val="20"/>
                <w:szCs w:val="20"/>
                <w:color w:val="auto"/>
              </w:rPr>
            </w:pPr>
            <w:r>
              <w:rPr>
                <w:rFonts w:ascii="Times New Roman" w:cs="Times New Roman" w:eastAsia="Times New Roman" w:hAnsi="Times New Roman"/>
                <w:sz w:val="13"/>
                <w:szCs w:val="13"/>
                <w:b w:val="1"/>
                <w:bCs w:val="1"/>
                <w:color w:val="auto"/>
              </w:rPr>
              <w:t>Summary Compensation</w:t>
            </w:r>
          </w:p>
        </w:tc>
        <w:tc>
          <w:tcPr>
            <w:tcW w:w="1620" w:type="dxa"/>
            <w:vAlign w:val="bottom"/>
            <w:gridSpan w:val="2"/>
          </w:tcPr>
          <w:p>
            <w:pPr>
              <w:jc w:val="right"/>
              <w:ind w:right="720"/>
              <w:spacing w:after="0" w:line="139" w:lineRule="exact"/>
              <w:rPr>
                <w:sz w:val="20"/>
                <w:szCs w:val="20"/>
                <w:color w:val="auto"/>
              </w:rPr>
            </w:pPr>
            <w:r>
              <w:rPr>
                <w:rFonts w:ascii="Times New Roman" w:cs="Times New Roman" w:eastAsia="Times New Roman" w:hAnsi="Times New Roman"/>
                <w:sz w:val="13"/>
                <w:szCs w:val="13"/>
                <w:b w:val="1"/>
                <w:bCs w:val="1"/>
                <w:color w:val="auto"/>
              </w:rPr>
              <w:t>Value of Equity</w:t>
            </w:r>
          </w:p>
        </w:tc>
        <w:tc>
          <w:tcPr>
            <w:tcW w:w="20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060" w:type="dxa"/>
            <w:vAlign w:val="bottom"/>
            <w:vMerge w:val="restart"/>
          </w:tcPr>
          <w:p>
            <w:pPr>
              <w:spacing w:after="0"/>
              <w:rPr>
                <w:sz w:val="12"/>
                <w:szCs w:val="12"/>
                <w:color w:val="auto"/>
              </w:rPr>
            </w:pPr>
          </w:p>
        </w:tc>
        <w:tc>
          <w:tcPr>
            <w:tcW w:w="2180" w:type="dxa"/>
            <w:vAlign w:val="bottom"/>
            <w:gridSpan w:val="2"/>
          </w:tcPr>
          <w:p>
            <w:pPr>
              <w:jc w:val="center"/>
              <w:ind w:right="740"/>
              <w:spacing w:after="0" w:line="139" w:lineRule="exact"/>
              <w:rPr>
                <w:sz w:val="20"/>
                <w:szCs w:val="20"/>
                <w:color w:val="auto"/>
              </w:rPr>
            </w:pPr>
            <w:r>
              <w:rPr>
                <w:rFonts w:ascii="Times New Roman" w:cs="Times New Roman" w:eastAsia="Times New Roman" w:hAnsi="Times New Roman"/>
                <w:sz w:val="13"/>
                <w:szCs w:val="13"/>
                <w:b w:val="1"/>
                <w:bCs w:val="1"/>
                <w:color w:val="auto"/>
              </w:rPr>
              <w:t>Table Total for PEO</w:t>
            </w:r>
          </w:p>
        </w:tc>
        <w:tc>
          <w:tcPr>
            <w:tcW w:w="1620" w:type="dxa"/>
            <w:vAlign w:val="bottom"/>
            <w:gridSpan w:val="2"/>
          </w:tcPr>
          <w:p>
            <w:pPr>
              <w:jc w:val="center"/>
              <w:ind w:right="740"/>
              <w:spacing w:after="0" w:line="139" w:lineRule="exact"/>
              <w:rPr>
                <w:sz w:val="20"/>
                <w:szCs w:val="20"/>
                <w:color w:val="auto"/>
              </w:rPr>
            </w:pPr>
            <w:r>
              <w:rPr>
                <w:rFonts w:ascii="Times New Roman" w:cs="Times New Roman" w:eastAsia="Times New Roman" w:hAnsi="Times New Roman"/>
                <w:sz w:val="13"/>
                <w:szCs w:val="13"/>
                <w:b w:val="1"/>
                <w:bCs w:val="1"/>
                <w:color w:val="auto"/>
              </w:rPr>
              <w:t>Awards(a)</w:t>
            </w:r>
          </w:p>
        </w:tc>
        <w:tc>
          <w:tcPr>
            <w:tcW w:w="2060" w:type="dxa"/>
            <w:vAlign w:val="bottom"/>
            <w:gridSpan w:val="2"/>
          </w:tcPr>
          <w:p>
            <w:pPr>
              <w:jc w:val="center"/>
              <w:ind w:right="720"/>
              <w:spacing w:after="0" w:line="139" w:lineRule="exact"/>
              <w:rPr>
                <w:sz w:val="20"/>
                <w:szCs w:val="20"/>
                <w:color w:val="auto"/>
              </w:rPr>
            </w:pPr>
            <w:r>
              <w:rPr>
                <w:rFonts w:ascii="Times New Roman" w:cs="Times New Roman" w:eastAsia="Times New Roman" w:hAnsi="Times New Roman"/>
                <w:sz w:val="13"/>
                <w:szCs w:val="13"/>
                <w:b w:val="1"/>
                <w:bCs w:val="1"/>
                <w:color w:val="auto"/>
              </w:rPr>
              <w:t>Award Adjustments(b)</w:t>
            </w:r>
          </w:p>
        </w:tc>
        <w:tc>
          <w:tcPr>
            <w:tcW w:w="13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 to PEO</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21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1,384,063</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2,778,161</w:t>
            </w:r>
          </w:p>
        </w:tc>
        <w:tc>
          <w:tcPr>
            <w:tcW w:w="2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1,008,267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1,746,043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218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3,775,410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3,313,002</w:t>
            </w:r>
          </w:p>
        </w:tc>
        <w:tc>
          <w:tcPr>
            <w:tcW w:w="206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756,778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21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3,303,032</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2,778,161</w:t>
            </w:r>
          </w:p>
        </w:tc>
        <w:tc>
          <w:tcPr>
            <w:tcW w:w="2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15,396,664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15,921,535</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360" w:right="480" w:hanging="498"/>
        <w:spacing w:after="0" w:line="255" w:lineRule="auto"/>
        <w:tabs>
          <w:tab w:leader="none" w:pos="1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fair value of equity awards represents the total of the amounts reported in the “Stock Awards” and “Option Awards” columns in the Summary Compensation Table for the applicable year. Refer to “Executive Compensation—Summary Compensation Table.”</w:t>
      </w:r>
    </w:p>
    <w:p>
      <w:pPr>
        <w:ind w:left="1360" w:right="60" w:hanging="498"/>
        <w:spacing w:after="0" w:line="267" w:lineRule="auto"/>
        <w:tabs>
          <w:tab w:leader="none" w:pos="13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w:t>
      </w:r>
    </w:p>
    <w:p>
      <w:pPr>
        <w:spacing w:after="0" w:line="1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800"/>
          </w:cols>
          <w:pgMar w:left="320" w:top="462"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of total compensation for the applicable year. The amounts deducted or added in calculating the equity award adjustments are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at the End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in Fair Value</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4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Fair Value on</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of the</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from End of</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the Vesting</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Prior Year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Prior Year to</w:t>
            </w: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as of</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Date</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of Equity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Year End</w:t>
            </w:r>
          </w:p>
        </w:tc>
        <w:tc>
          <w:tcPr>
            <w:tcW w:w="10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End of</w:t>
            </w: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24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of Equity</w:t>
            </w:r>
          </w:p>
        </w:tc>
        <w:tc>
          <w:tcPr>
            <w:tcW w:w="9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Covered Year</w:t>
            </w: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that Failed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0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of</w:t>
            </w: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9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to Meet</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of Equity</w:t>
            </w:r>
          </w:p>
        </w:tc>
        <w:tc>
          <w:tcPr>
            <w:tcW w:w="10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Prior</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Vesting</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0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3"/>
                <w:szCs w:val="13"/>
                <w:b w:val="1"/>
                <w:bCs w:val="1"/>
                <w:color w:val="auto"/>
              </w:rPr>
              <w:t>Granted</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Years that</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Conditions</w:t>
            </w:r>
          </w:p>
        </w:tc>
        <w:tc>
          <w:tcPr>
            <w:tcW w:w="9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04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20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and Vested</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Vested in</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in the</w:t>
            </w:r>
          </w:p>
        </w:tc>
        <w:tc>
          <w:tcPr>
            <w:tcW w:w="9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Award</w:t>
            </w:r>
          </w:p>
        </w:tc>
        <w:tc>
          <w:tcPr>
            <w:tcW w:w="0" w:type="dxa"/>
            <w:vAlign w:val="bottom"/>
          </w:tcPr>
          <w:p>
            <w:pPr>
              <w:spacing w:after="0"/>
              <w:rPr>
                <w:sz w:val="1"/>
                <w:szCs w:val="1"/>
                <w:color w:val="auto"/>
              </w:rPr>
            </w:pPr>
          </w:p>
        </w:tc>
      </w:tr>
      <w:tr>
        <w:trPr>
          <w:trHeight w:val="139"/>
        </w:trPr>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12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the Year</w:t>
            </w:r>
          </w:p>
        </w:tc>
        <w:tc>
          <w:tcPr>
            <w:tcW w:w="104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Prior Years</w:t>
            </w:r>
          </w:p>
        </w:tc>
        <w:tc>
          <w:tcPr>
            <w:tcW w:w="120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in the Year</w:t>
            </w:r>
          </w:p>
        </w:tc>
        <w:tc>
          <w:tcPr>
            <w:tcW w:w="12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the Year</w:t>
            </w: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Year</w:t>
            </w:r>
          </w:p>
        </w:tc>
        <w:tc>
          <w:tcPr>
            <w:tcW w:w="9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51"/>
        </w:trPr>
        <w:tc>
          <w:tcPr>
            <w:tcW w:w="2020" w:type="dxa"/>
            <w:vAlign w:val="bottom"/>
            <w:gridSpan w:val="3"/>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820" w:type="dxa"/>
            <w:vAlign w:val="bottom"/>
            <w:gridSpan w:val="2"/>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DBF3FF"/>
            </w:tcBorders>
            <w:shd w:val="clear" w:color="auto" w:fill="000000"/>
          </w:tcPr>
          <w:p>
            <w:pPr>
              <w:spacing w:after="0" w:line="20" w:lineRule="exact"/>
              <w:rPr>
                <w:sz w:val="1"/>
                <w:szCs w:val="1"/>
                <w:color w:val="auto"/>
              </w:rPr>
            </w:pPr>
          </w:p>
        </w:tc>
        <w:tc>
          <w:tcPr>
            <w:tcW w:w="1720" w:type="dxa"/>
            <w:vAlign w:val="bottom"/>
            <w:tcBorders>
              <w:bottom w:val="single" w:sz="8" w:color="DBF3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DBF3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DBF3FF"/>
            </w:tcBorders>
          </w:tcPr>
          <w:p>
            <w:pPr>
              <w:spacing w:after="0" w:line="20" w:lineRule="exact"/>
              <w:rPr>
                <w:sz w:val="1"/>
                <w:szCs w:val="1"/>
                <w:color w:val="auto"/>
              </w:rPr>
            </w:pPr>
          </w:p>
        </w:tc>
        <w:tc>
          <w:tcPr>
            <w:tcW w:w="200" w:type="dxa"/>
            <w:vAlign w:val="bottom"/>
            <w:tcBorders>
              <w:bottom w:val="single" w:sz="8" w:color="DBF3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DBF3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BF3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BF3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F3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gridSpan w:val="2"/>
            <w:shd w:val="clear" w:color="auto" w:fill="DBF3FF"/>
          </w:tcPr>
          <w:p>
            <w:pPr>
              <w:spacing w:after="0" w:line="188" w:lineRule="exact"/>
              <w:rPr>
                <w:sz w:val="20"/>
                <w:szCs w:val="20"/>
                <w:color w:val="auto"/>
              </w:rPr>
            </w:pPr>
            <w:r>
              <w:rPr>
                <w:rFonts w:ascii="Times New Roman" w:cs="Times New Roman" w:eastAsia="Times New Roman" w:hAnsi="Times New Roman"/>
                <w:sz w:val="17"/>
                <w:szCs w:val="17"/>
                <w:color w:val="auto"/>
              </w:rPr>
              <w:t>2023</w:t>
            </w:r>
          </w:p>
        </w:tc>
        <w:tc>
          <w:tcPr>
            <w:tcW w:w="740" w:type="dxa"/>
            <w:vAlign w:val="bottom"/>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1,495,384</w:t>
            </w:r>
          </w:p>
        </w:tc>
        <w:tc>
          <w:tcPr>
            <w:tcW w:w="380" w:type="dxa"/>
            <w:vAlign w:val="bottom"/>
            <w:shd w:val="clear" w:color="auto" w:fill="DBF3FF"/>
          </w:tcPr>
          <w:p>
            <w:pPr>
              <w:spacing w:after="0"/>
              <w:rPr>
                <w:sz w:val="16"/>
                <w:szCs w:val="16"/>
                <w:color w:val="auto"/>
              </w:rPr>
            </w:pPr>
          </w:p>
        </w:tc>
        <w:tc>
          <w:tcPr>
            <w:tcW w:w="800" w:type="dxa"/>
            <w:vAlign w:val="bottom"/>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313,083</w:t>
            </w:r>
          </w:p>
        </w:tc>
        <w:tc>
          <w:tcPr>
            <w:tcW w:w="240" w:type="dxa"/>
            <w:vAlign w:val="bottom"/>
            <w:shd w:val="clear" w:color="auto" w:fill="DBF3FF"/>
          </w:tcPr>
          <w:p>
            <w:pPr>
              <w:spacing w:after="0"/>
              <w:rPr>
                <w:sz w:val="16"/>
                <w:szCs w:val="16"/>
                <w:color w:val="auto"/>
              </w:rPr>
            </w:pPr>
          </w:p>
        </w:tc>
        <w:tc>
          <w:tcPr>
            <w:tcW w:w="200" w:type="dxa"/>
            <w:vAlign w:val="bottom"/>
            <w:shd w:val="clear" w:color="auto" w:fill="DBF3FF"/>
          </w:tcPr>
          <w:p>
            <w:pPr>
              <w:spacing w:after="0"/>
              <w:rPr>
                <w:sz w:val="16"/>
                <w:szCs w:val="16"/>
                <w:color w:val="auto"/>
              </w:rPr>
            </w:pPr>
          </w:p>
        </w:tc>
        <w:tc>
          <w:tcPr>
            <w:tcW w:w="620" w:type="dxa"/>
            <w:vAlign w:val="bottom"/>
            <w:shd w:val="clear" w:color="auto" w:fill="DBF3FF"/>
          </w:tcPr>
          <w:p>
            <w:pPr>
              <w:ind w:left="360"/>
              <w:spacing w:after="0" w:line="188" w:lineRule="exact"/>
              <w:rPr>
                <w:sz w:val="20"/>
                <w:szCs w:val="20"/>
                <w:color w:val="auto"/>
              </w:rPr>
            </w:pPr>
            <w:r>
              <w:rPr>
                <w:rFonts w:ascii="Times New Roman" w:cs="Times New Roman" w:eastAsia="Times New Roman" w:hAnsi="Times New Roman"/>
                <w:sz w:val="17"/>
                <w:szCs w:val="17"/>
                <w:color w:val="auto"/>
                <w:w w:val="93"/>
              </w:rPr>
              <w:t>— </w:t>
            </w:r>
          </w:p>
        </w:tc>
        <w:tc>
          <w:tcPr>
            <w:tcW w:w="380" w:type="dxa"/>
            <w:vAlign w:val="bottom"/>
            <w:shd w:val="clear" w:color="auto" w:fill="DBF3FF"/>
          </w:tcPr>
          <w:p>
            <w:pPr>
              <w:spacing w:after="0"/>
              <w:rPr>
                <w:sz w:val="16"/>
                <w:szCs w:val="16"/>
                <w:color w:val="auto"/>
              </w:rPr>
            </w:pPr>
          </w:p>
        </w:tc>
        <w:tc>
          <w:tcPr>
            <w:tcW w:w="800" w:type="dxa"/>
            <w:vAlign w:val="bottom"/>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(800,200)</w:t>
            </w:r>
          </w:p>
        </w:tc>
        <w:tc>
          <w:tcPr>
            <w:tcW w:w="440" w:type="dxa"/>
            <w:vAlign w:val="bottom"/>
            <w:shd w:val="clear" w:color="auto" w:fill="DBF3FF"/>
          </w:tcPr>
          <w:p>
            <w:pPr>
              <w:spacing w:after="0"/>
              <w:rPr>
                <w:sz w:val="16"/>
                <w:szCs w:val="16"/>
                <w:color w:val="auto"/>
              </w:rPr>
            </w:pPr>
          </w:p>
        </w:tc>
        <w:tc>
          <w:tcPr>
            <w:tcW w:w="640" w:type="dxa"/>
            <w:vAlign w:val="bottom"/>
            <w:shd w:val="clear" w:color="auto" w:fill="DBF3FF"/>
          </w:tcPr>
          <w:p>
            <w:pPr>
              <w:ind w:left="380"/>
              <w:spacing w:after="0" w:line="188" w:lineRule="exact"/>
              <w:rPr>
                <w:sz w:val="20"/>
                <w:szCs w:val="20"/>
                <w:color w:val="auto"/>
              </w:rPr>
            </w:pPr>
            <w:r>
              <w:rPr>
                <w:rFonts w:ascii="Times New Roman" w:cs="Times New Roman" w:eastAsia="Times New Roman" w:hAnsi="Times New Roman"/>
                <w:sz w:val="17"/>
                <w:szCs w:val="17"/>
                <w:color w:val="auto"/>
                <w:w w:val="93"/>
              </w:rPr>
              <w:t>— </w:t>
            </w:r>
          </w:p>
        </w:tc>
        <w:tc>
          <w:tcPr>
            <w:tcW w:w="300" w:type="dxa"/>
            <w:vAlign w:val="bottom"/>
            <w:shd w:val="clear" w:color="auto" w:fill="DBF3FF"/>
          </w:tcPr>
          <w:p>
            <w:pPr>
              <w:spacing w:after="0"/>
              <w:rPr>
                <w:sz w:val="16"/>
                <w:szCs w:val="16"/>
                <w:color w:val="auto"/>
              </w:rPr>
            </w:pPr>
          </w:p>
        </w:tc>
        <w:tc>
          <w:tcPr>
            <w:tcW w:w="860" w:type="dxa"/>
            <w:vAlign w:val="bottom"/>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1,008,267</w:t>
            </w:r>
          </w:p>
        </w:tc>
        <w:tc>
          <w:tcPr>
            <w:tcW w:w="6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3,240,998</w:t>
            </w:r>
          </w:p>
        </w:tc>
        <w:tc>
          <w:tcPr>
            <w:tcW w:w="3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(1,788,733)</w:t>
            </w:r>
          </w:p>
        </w:tc>
        <w:tc>
          <w:tcPr>
            <w:tcW w:w="200" w:type="dxa"/>
            <w:vAlign w:val="bottom"/>
          </w:tcPr>
          <w:p>
            <w:pPr>
              <w:spacing w:after="0"/>
              <w:rPr>
                <w:sz w:val="17"/>
                <w:szCs w:val="17"/>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(695,487)</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756,778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5,749,106</w:t>
            </w:r>
          </w:p>
        </w:tc>
        <w:tc>
          <w:tcPr>
            <w:tcW w:w="380" w:type="dxa"/>
            <w:vAlign w:val="bottom"/>
            <w:shd w:val="clear" w:color="auto" w:fill="DBF3FF"/>
          </w:tcPr>
          <w:p>
            <w:pPr>
              <w:spacing w:after="0"/>
              <w:rPr>
                <w:sz w:val="17"/>
                <w:szCs w:val="17"/>
                <w:color w:val="auto"/>
              </w:rPr>
            </w:pPr>
          </w:p>
        </w:tc>
        <w:tc>
          <w:tcPr>
            <w:tcW w:w="8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4,477,287</w:t>
            </w:r>
          </w:p>
        </w:tc>
        <w:tc>
          <w:tcPr>
            <w:tcW w:w="240" w:type="dxa"/>
            <w:vAlign w:val="bottom"/>
            <w:shd w:val="clear" w:color="auto" w:fill="DBF3FF"/>
          </w:tcPr>
          <w:p>
            <w:pPr>
              <w:spacing w:after="0"/>
              <w:rPr>
                <w:sz w:val="17"/>
                <w:szCs w:val="17"/>
                <w:color w:val="auto"/>
              </w:rPr>
            </w:pPr>
          </w:p>
        </w:tc>
        <w:tc>
          <w:tcPr>
            <w:tcW w:w="200" w:type="dxa"/>
            <w:vAlign w:val="bottom"/>
            <w:shd w:val="clear" w:color="auto" w:fill="DBF3FF"/>
          </w:tcPr>
          <w:p>
            <w:pPr>
              <w:spacing w:after="0"/>
              <w:rPr>
                <w:sz w:val="17"/>
                <w:szCs w:val="17"/>
                <w:color w:val="auto"/>
              </w:rPr>
            </w:pPr>
          </w:p>
        </w:tc>
        <w:tc>
          <w:tcPr>
            <w:tcW w:w="1000" w:type="dxa"/>
            <w:vAlign w:val="bottom"/>
            <w:gridSpan w:val="2"/>
            <w:shd w:val="clear" w:color="auto" w:fill="DBF3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5,170,271</w:t>
            </w:r>
          </w:p>
        </w:tc>
        <w:tc>
          <w:tcPr>
            <w:tcW w:w="440" w:type="dxa"/>
            <w:vAlign w:val="bottom"/>
            <w:shd w:val="clear" w:color="auto" w:fill="DBF3FF"/>
          </w:tcPr>
          <w:p>
            <w:pPr>
              <w:spacing w:after="0"/>
              <w:rPr>
                <w:sz w:val="17"/>
                <w:szCs w:val="17"/>
                <w:color w:val="auto"/>
              </w:rPr>
            </w:pPr>
          </w:p>
        </w:tc>
        <w:tc>
          <w:tcPr>
            <w:tcW w:w="940" w:type="dxa"/>
            <w:vAlign w:val="bottom"/>
            <w:gridSpan w:val="2"/>
            <w:shd w:val="clear" w:color="auto" w:fill="DBF3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15,396,664</w:t>
            </w:r>
          </w:p>
        </w:tc>
        <w:tc>
          <w:tcPr>
            <w:tcW w:w="6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860" w:right="80" w:hanging="403"/>
        <w:spacing w:after="0" w:line="268" w:lineRule="auto"/>
        <w:tabs>
          <w:tab w:leader="none" w:pos="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the average of the amounts reported for our named executive officers as a group (excluding Mr. Altschuler, who is our Chief Executive Officer) in the “Total” column of the Summary Compensation Table in each applicable year. Refer to “Executive Compensation—Summary Compensation Table.” The names of each of the named executive officers (excluding Mr. Altschuler) included for purposes of calculating the average amounts in each applicable year are as follows: (i) for 2023, Mr. Rallo, Mr. Goguen, Mr. Leibel and Ms. Mayerhofer; (ii) for 2022, Mr. Rallo, Mr. Goguen, Mr. Leibel and Bill Cronin, our former Chief Revenue Officer; and (iii) for 2021, Mr. Rallo and Mr. Goguen.</w:t>
      </w:r>
    </w:p>
    <w:p>
      <w:pPr>
        <w:spacing w:after="0" w:line="1" w:lineRule="exact"/>
        <w:rPr>
          <w:rFonts w:ascii="Times New Roman" w:cs="Times New Roman" w:eastAsia="Times New Roman" w:hAnsi="Times New Roman"/>
          <w:sz w:val="16"/>
          <w:szCs w:val="16"/>
          <w:color w:val="auto"/>
        </w:rPr>
      </w:pPr>
    </w:p>
    <w:p>
      <w:pPr>
        <w:ind w:left="860" w:hanging="403"/>
        <w:spacing w:after="0" w:line="270" w:lineRule="auto"/>
        <w:tabs>
          <w:tab w:leader="none" w:pos="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the average amount of “compensation actually paid” to the named executive officers as a group (excluding Mr. Altschuler), as computed in accordance with Item 402(v) of Regulation S-K. The dollar amounts do not reflect the actual average amount of compensation earned by or paid to the named executive officers as a group (excluding Mr. Altschuler) during the applicable year. In accordance with the requirements of Item 402(v) of Regulation S-K, the following adjustments were made to average total compensation for the named executive officers as a group (excluding Mr. Altschuler) for each year to determine the compensation actually paid, using the same methodology described above in footnote 2:</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8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Average Reported</w:t>
            </w: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80" w:type="dxa"/>
            <w:vAlign w:val="bottom"/>
            <w:gridSpan w:val="2"/>
          </w:tcPr>
          <w:p>
            <w:pPr>
              <w:jc w:val="center"/>
              <w:ind w:right="700"/>
              <w:spacing w:after="0" w:line="139"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7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6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Average Equity</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 Compensation</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80" w:type="dxa"/>
            <w:vAlign w:val="bottom"/>
            <w:gridSpan w:val="2"/>
          </w:tcPr>
          <w:p>
            <w:pPr>
              <w:jc w:val="center"/>
              <w:ind w:right="70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7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780" w:type="dxa"/>
            <w:vAlign w:val="bottom"/>
            <w:gridSpan w:val="2"/>
          </w:tcPr>
          <w:p>
            <w:pPr>
              <w:jc w:val="center"/>
              <w:ind w:right="720"/>
              <w:spacing w:after="0" w:line="139" w:lineRule="exact"/>
              <w:rPr>
                <w:sz w:val="20"/>
                <w:szCs w:val="20"/>
                <w:color w:val="auto"/>
              </w:rPr>
            </w:pPr>
            <w:r>
              <w:rPr>
                <w:rFonts w:ascii="Times New Roman" w:cs="Times New Roman" w:eastAsia="Times New Roman" w:hAnsi="Times New Roman"/>
                <w:sz w:val="13"/>
                <w:szCs w:val="13"/>
                <w:b w:val="1"/>
                <w:bCs w:val="1"/>
                <w:color w:val="auto"/>
              </w:rPr>
              <w:t>Table Total for</w:t>
            </w:r>
          </w:p>
        </w:tc>
        <w:tc>
          <w:tcPr>
            <w:tcW w:w="1740" w:type="dxa"/>
            <w:vAlign w:val="bottom"/>
            <w:gridSpan w:val="2"/>
          </w:tcPr>
          <w:p>
            <w:pPr>
              <w:jc w:val="center"/>
              <w:ind w:right="720"/>
              <w:spacing w:after="0" w:line="139" w:lineRule="exact"/>
              <w:rPr>
                <w:sz w:val="20"/>
                <w:szCs w:val="20"/>
                <w:color w:val="auto"/>
              </w:rPr>
            </w:pPr>
            <w:r>
              <w:rPr>
                <w:rFonts w:ascii="Times New Roman" w:cs="Times New Roman" w:eastAsia="Times New Roman" w:hAnsi="Times New Roman"/>
                <w:sz w:val="13"/>
                <w:szCs w:val="13"/>
                <w:b w:val="1"/>
                <w:bCs w:val="1"/>
                <w:color w:val="auto"/>
              </w:rPr>
              <w:t>Reported Value</w:t>
            </w:r>
          </w:p>
        </w:tc>
        <w:tc>
          <w:tcPr>
            <w:tcW w:w="1660" w:type="dxa"/>
            <w:vAlign w:val="bottom"/>
            <w:gridSpan w:val="2"/>
          </w:tcPr>
          <w:p>
            <w:pPr>
              <w:jc w:val="center"/>
              <w:ind w:right="760"/>
              <w:spacing w:after="0" w:line="139" w:lineRule="exact"/>
              <w:rPr>
                <w:sz w:val="20"/>
                <w:szCs w:val="20"/>
                <w:color w:val="auto"/>
              </w:rPr>
            </w:pPr>
            <w:r>
              <w:rPr>
                <w:rFonts w:ascii="Times New Roman" w:cs="Times New Roman" w:eastAsia="Times New Roman" w:hAnsi="Times New Roman"/>
                <w:sz w:val="13"/>
                <w:szCs w:val="13"/>
                <w:b w:val="1"/>
                <w:bCs w:val="1"/>
                <w:color w:val="auto"/>
                <w:w w:val="99"/>
              </w:rPr>
              <w:t>Award</w:t>
            </w:r>
          </w:p>
        </w:tc>
        <w:tc>
          <w:tcPr>
            <w:tcW w:w="14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Actually Paid to Non-</w:t>
            </w:r>
          </w:p>
        </w:tc>
        <w:tc>
          <w:tcPr>
            <w:tcW w:w="0" w:type="dxa"/>
            <w:vAlign w:val="bottom"/>
          </w:tcPr>
          <w:p>
            <w:pPr>
              <w:spacing w:after="0"/>
              <w:rPr>
                <w:sz w:val="1"/>
                <w:szCs w:val="1"/>
                <w:color w:val="auto"/>
              </w:rPr>
            </w:pPr>
          </w:p>
        </w:tc>
      </w:tr>
      <w:tr>
        <w:trPr>
          <w:trHeight w:val="139"/>
        </w:trPr>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580" w:type="dxa"/>
            <w:vAlign w:val="bottom"/>
            <w:vMerge w:val="restart"/>
          </w:tcPr>
          <w:p>
            <w:pPr>
              <w:spacing w:after="0"/>
              <w:rPr>
                <w:sz w:val="12"/>
                <w:szCs w:val="12"/>
                <w:color w:val="auto"/>
              </w:rPr>
            </w:pPr>
          </w:p>
        </w:tc>
        <w:tc>
          <w:tcPr>
            <w:tcW w:w="1780" w:type="dxa"/>
            <w:vAlign w:val="bottom"/>
            <w:gridSpan w:val="2"/>
          </w:tcPr>
          <w:p>
            <w:pPr>
              <w:jc w:val="center"/>
              <w:ind w:right="720"/>
              <w:spacing w:after="0" w:line="139" w:lineRule="exact"/>
              <w:rPr>
                <w:sz w:val="20"/>
                <w:szCs w:val="20"/>
                <w:color w:val="auto"/>
              </w:rPr>
            </w:pPr>
            <w:r>
              <w:rPr>
                <w:rFonts w:ascii="Times New Roman" w:cs="Times New Roman" w:eastAsia="Times New Roman" w:hAnsi="Times New Roman"/>
                <w:sz w:val="13"/>
                <w:szCs w:val="13"/>
                <w:b w:val="1"/>
                <w:bCs w:val="1"/>
                <w:color w:val="auto"/>
              </w:rPr>
              <w:t>Non-PEO NEOs</w:t>
            </w:r>
          </w:p>
        </w:tc>
        <w:tc>
          <w:tcPr>
            <w:tcW w:w="1740" w:type="dxa"/>
            <w:vAlign w:val="bottom"/>
            <w:gridSpan w:val="2"/>
          </w:tcPr>
          <w:p>
            <w:pPr>
              <w:jc w:val="right"/>
              <w:ind w:right="720"/>
              <w:spacing w:after="0" w:line="139" w:lineRule="exact"/>
              <w:rPr>
                <w:sz w:val="20"/>
                <w:szCs w:val="20"/>
                <w:color w:val="auto"/>
              </w:rPr>
            </w:pPr>
            <w:r>
              <w:rPr>
                <w:rFonts w:ascii="Times New Roman" w:cs="Times New Roman" w:eastAsia="Times New Roman" w:hAnsi="Times New Roman"/>
                <w:sz w:val="13"/>
                <w:szCs w:val="13"/>
                <w:b w:val="1"/>
                <w:bCs w:val="1"/>
                <w:color w:val="auto"/>
              </w:rPr>
              <w:t>of Equity Awards</w:t>
            </w:r>
          </w:p>
        </w:tc>
        <w:tc>
          <w:tcPr>
            <w:tcW w:w="1660" w:type="dxa"/>
            <w:vAlign w:val="bottom"/>
            <w:gridSpan w:val="2"/>
          </w:tcPr>
          <w:p>
            <w:pPr>
              <w:jc w:val="center"/>
              <w:ind w:right="760"/>
              <w:spacing w:after="0" w:line="139" w:lineRule="exact"/>
              <w:rPr>
                <w:sz w:val="20"/>
                <w:szCs w:val="20"/>
                <w:color w:val="auto"/>
              </w:rPr>
            </w:pPr>
            <w:r>
              <w:rPr>
                <w:rFonts w:ascii="Times New Roman" w:cs="Times New Roman" w:eastAsia="Times New Roman" w:hAnsi="Times New Roman"/>
                <w:sz w:val="13"/>
                <w:szCs w:val="13"/>
                <w:b w:val="1"/>
                <w:bCs w:val="1"/>
                <w:color w:val="auto"/>
              </w:rPr>
              <w:t>Adjustments(a)</w:t>
            </w:r>
          </w:p>
        </w:tc>
        <w:tc>
          <w:tcPr>
            <w:tcW w:w="14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PEO NEOs</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6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2023</w:t>
            </w:r>
          </w:p>
        </w:tc>
        <w:tc>
          <w:tcPr>
            <w:tcW w:w="10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1,771,298</w:t>
            </w:r>
          </w:p>
        </w:tc>
        <w:tc>
          <w:tcPr>
            <w:tcW w:w="7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1,222,119</w:t>
            </w:r>
          </w:p>
        </w:tc>
        <w:tc>
          <w:tcPr>
            <w:tcW w:w="7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2,399,454</w:t>
            </w:r>
          </w:p>
        </w:tc>
        <w:tc>
          <w:tcPr>
            <w:tcW w:w="7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2,948,632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1,552,235</w:t>
            </w:r>
          </w:p>
        </w:tc>
        <w:tc>
          <w:tcPr>
            <w:tcW w:w="720" w:type="dxa"/>
            <w:vAlign w:val="bottom"/>
          </w:tcPr>
          <w:p>
            <w:pPr>
              <w:spacing w:after="0"/>
              <w:rPr>
                <w:sz w:val="17"/>
                <w:szCs w:val="17"/>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1,163,000</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(474,303)</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(85,068)</w:t>
            </w: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345,939</w:t>
            </w: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1,244,171</w:t>
            </w:r>
          </w:p>
        </w:tc>
        <w:tc>
          <w:tcPr>
            <w:tcW w:w="16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10,292,173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4,696,970</w:t>
            </w:r>
          </w:p>
        </w:tc>
        <w:tc>
          <w:tcPr>
            <w:tcW w:w="0" w:type="dxa"/>
            <w:vAlign w:val="bottom"/>
          </w:tcPr>
          <w:p>
            <w:pPr>
              <w:spacing w:after="0"/>
              <w:rPr>
                <w:sz w:val="1"/>
                <w:szCs w:val="1"/>
                <w:color w:val="auto"/>
              </w:rPr>
            </w:pPr>
          </w:p>
        </w:tc>
      </w:tr>
      <w:tr>
        <w:trPr>
          <w:trHeight w:val="341"/>
        </w:trPr>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jc w:val="right"/>
              <w:ind w:right="764"/>
              <w:spacing w:after="0"/>
              <w:rPr>
                <w:sz w:val="20"/>
                <w:szCs w:val="20"/>
                <w:color w:val="auto"/>
              </w:rPr>
            </w:pPr>
            <w:r>
              <w:rPr>
                <w:rFonts w:ascii="Times New Roman" w:cs="Times New Roman" w:eastAsia="Times New Roman" w:hAnsi="Times New Roman"/>
                <w:sz w:val="17"/>
                <w:szCs w:val="17"/>
                <w:color w:val="auto"/>
                <w:w w:val="93"/>
              </w:rPr>
              <w:t>44</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62" w:right="7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1360" w:hanging="498"/>
        <w:spacing w:after="0"/>
        <w:tabs>
          <w:tab w:leader="none" w:pos="1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deducted or added in calculating the total average equity award adjustments are as follows:</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from End of</w:t>
            </w: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3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Average Fair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Prior Year to</w:t>
            </w:r>
          </w:p>
        </w:tc>
        <w:tc>
          <w:tcPr>
            <w:tcW w:w="1100" w:type="dxa"/>
            <w:vAlign w:val="bottom"/>
            <w:gridSpan w:val="2"/>
            <w:vMerge w:val="continue"/>
          </w:tcPr>
          <w:p>
            <w:pPr>
              <w:spacing w:after="0"/>
              <w:rPr>
                <w:sz w:val="12"/>
                <w:szCs w:val="12"/>
                <w:color w:val="auto"/>
              </w:rPr>
            </w:pPr>
          </w:p>
        </w:tc>
        <w:tc>
          <w:tcPr>
            <w:tcW w:w="13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1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End of</w:t>
            </w:r>
          </w:p>
        </w:tc>
        <w:tc>
          <w:tcPr>
            <w:tcW w:w="110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3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Fair Value on</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Value at the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Covered</w:t>
            </w:r>
          </w:p>
        </w:tc>
        <w:tc>
          <w:tcPr>
            <w:tcW w:w="11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as of</w:t>
            </w:r>
          </w:p>
        </w:tc>
        <w:tc>
          <w:tcPr>
            <w:tcW w:w="132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the Vesting</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End of the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Year of</w:t>
            </w:r>
          </w:p>
        </w:tc>
        <w:tc>
          <w:tcPr>
            <w:tcW w:w="11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Vesting</w:t>
            </w:r>
          </w:p>
        </w:tc>
        <w:tc>
          <w:tcPr>
            <w:tcW w:w="13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Prior Year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1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Date of</w:t>
            </w:r>
          </w:p>
        </w:tc>
        <w:tc>
          <w:tcPr>
            <w:tcW w:w="13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of Equity</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Year End Fair</w:t>
            </w: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and Unvested</w:t>
            </w:r>
          </w:p>
        </w:tc>
        <w:tc>
          <w:tcPr>
            <w:tcW w:w="110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32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Awards that</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Value of Equity</w:t>
            </w: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0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32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Failed to</w:t>
            </w: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3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10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Granted</w:t>
            </w:r>
          </w:p>
        </w:tc>
        <w:tc>
          <w:tcPr>
            <w:tcW w:w="13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Prior Years</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Meet Vesting</w:t>
            </w: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Granted in the</w:t>
            </w:r>
          </w:p>
        </w:tc>
        <w:tc>
          <w:tcPr>
            <w:tcW w:w="13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Granted in</w:t>
            </w:r>
          </w:p>
        </w:tc>
        <w:tc>
          <w:tcPr>
            <w:tcW w:w="11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and Vested</w:t>
            </w:r>
          </w:p>
        </w:tc>
        <w:tc>
          <w:tcPr>
            <w:tcW w:w="132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that Vested</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Conditions</w:t>
            </w: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Award</w:t>
            </w:r>
          </w:p>
        </w:tc>
        <w:tc>
          <w:tcPr>
            <w:tcW w:w="0" w:type="dxa"/>
            <w:vAlign w:val="bottom"/>
          </w:tcPr>
          <w:p>
            <w:pPr>
              <w:spacing w:after="0"/>
              <w:rPr>
                <w:sz w:val="1"/>
                <w:szCs w:val="1"/>
                <w:color w:val="auto"/>
              </w:rPr>
            </w:pPr>
          </w:p>
        </w:tc>
      </w:tr>
      <w:tr>
        <w:trPr>
          <w:trHeight w:val="139"/>
        </w:trPr>
        <w:tc>
          <w:tcPr>
            <w:tcW w:w="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000" w:type="dxa"/>
            <w:vAlign w:val="bottom"/>
            <w:vMerge w:val="restart"/>
          </w:tcPr>
          <w:p>
            <w:pPr>
              <w:spacing w:after="0"/>
              <w:rPr>
                <w:sz w:val="12"/>
                <w:szCs w:val="12"/>
                <w:color w:val="auto"/>
              </w:rPr>
            </w:pPr>
          </w:p>
        </w:tc>
        <w:tc>
          <w:tcPr>
            <w:tcW w:w="136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Year</w:t>
            </w:r>
          </w:p>
        </w:tc>
        <w:tc>
          <w:tcPr>
            <w:tcW w:w="130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rPr>
              <w:t>Prior Years</w:t>
            </w:r>
          </w:p>
        </w:tc>
        <w:tc>
          <w:tcPr>
            <w:tcW w:w="11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in the Year</w:t>
            </w:r>
          </w:p>
        </w:tc>
        <w:tc>
          <w:tcPr>
            <w:tcW w:w="13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w w:val="99"/>
              </w:rPr>
              <w:t>in the Year</w:t>
            </w:r>
          </w:p>
        </w:tc>
        <w:tc>
          <w:tcPr>
            <w:tcW w:w="11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in the Year</w:t>
            </w: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0" w:type="dxa"/>
            <w:vAlign w:val="bottom"/>
          </w:tcPr>
          <w:p>
            <w:pPr>
              <w:spacing w:after="0"/>
              <w:rPr>
                <w:sz w:val="1"/>
                <w:szCs w:val="1"/>
                <w:color w:val="auto"/>
              </w:rPr>
            </w:pPr>
          </w:p>
        </w:tc>
      </w:tr>
      <w:tr>
        <w:trPr>
          <w:trHeight w:val="171"/>
        </w:trPr>
        <w:tc>
          <w:tcPr>
            <w:tcW w:w="28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8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2,834,599</w:t>
            </w:r>
          </w:p>
        </w:tc>
        <w:tc>
          <w:tcPr>
            <w:tcW w:w="4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131,850</w:t>
            </w:r>
          </w:p>
        </w:tc>
        <w:tc>
          <w:tcPr>
            <w:tcW w:w="4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20"/>
              <w:spacing w:after="0" w:line="188" w:lineRule="exact"/>
              <w:rPr>
                <w:sz w:val="20"/>
                <w:szCs w:val="20"/>
                <w:color w:val="auto"/>
              </w:rPr>
            </w:pPr>
            <w:r>
              <w:rPr>
                <w:rFonts w:ascii="Times New Roman" w:cs="Times New Roman" w:eastAsia="Times New Roman" w:hAnsi="Times New Roman"/>
                <w:sz w:val="17"/>
                <w:szCs w:val="17"/>
                <w:color w:val="auto"/>
                <w:w w:val="86"/>
              </w:rPr>
              <w:t>— </w:t>
            </w:r>
          </w:p>
        </w:tc>
        <w:tc>
          <w:tcPr>
            <w:tcW w:w="4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(566,996)</w:t>
            </w:r>
          </w:p>
        </w:tc>
        <w:tc>
          <w:tcPr>
            <w:tcW w:w="4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560"/>
              <w:spacing w:after="0" w:line="188" w:lineRule="exact"/>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2,399,454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1,137,723</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(1,201,967)</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(410,059)</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(474,303)</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1,212,253</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6,814,273</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2,265,647</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10,292,173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860" w:right="40" w:hanging="403"/>
        <w:spacing w:after="0" w:line="271" w:lineRule="auto"/>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total stockholder return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Because our common stock commenced trading on the Nasdaq Global Select Market on</w:t>
      </w: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June 30, 2021, we have used this date as the beginning of the measurement period.</w:t>
      </w:r>
    </w:p>
    <w:p>
      <w:pPr>
        <w:spacing w:after="0" w:line="7" w:lineRule="exact"/>
        <w:rPr>
          <w:rFonts w:ascii="Times New Roman" w:cs="Times New Roman" w:eastAsia="Times New Roman" w:hAnsi="Times New Roman"/>
          <w:sz w:val="16"/>
          <w:szCs w:val="16"/>
          <w:color w:val="auto"/>
        </w:rPr>
      </w:pPr>
    </w:p>
    <w:p>
      <w:pPr>
        <w:ind w:left="860" w:hanging="403"/>
        <w:spacing w:after="0" w:line="248" w:lineRule="auto"/>
        <w:tabs>
          <w:tab w:leader="none" w:pos="8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peer group TSR, weighted according to the respective companies’ stock market capitalization at the beginning of each period for which a return is indicated. The peer group used for this purpose is the group of companies reported above under “Executive Compensation—Compensation Discussion and Analysis—How We Determine Executive Compensation—2023 Peer Group.” Using the 2022 Peer Group, Total Shareholder Return would be $73.48 for 2021 and $34.45 for 2022.</w:t>
      </w:r>
    </w:p>
    <w:p>
      <w:pPr>
        <w:spacing w:after="0" w:line="2" w:lineRule="exact"/>
        <w:rPr>
          <w:rFonts w:ascii="Times New Roman" w:cs="Times New Roman" w:eastAsia="Times New Roman" w:hAnsi="Times New Roman"/>
          <w:sz w:val="17"/>
          <w:szCs w:val="17"/>
          <w:color w:val="auto"/>
        </w:rPr>
      </w:pPr>
    </w:p>
    <w:p>
      <w:pPr>
        <w:ind w:left="860" w:hanging="403"/>
        <w:spacing w:after="0"/>
        <w:tabs>
          <w:tab w:leader="none" w:pos="8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net income (loss) reflected in our audited financial statements for the applicable year.</w:t>
      </w:r>
    </w:p>
    <w:p>
      <w:pPr>
        <w:spacing w:after="0" w:line="1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780"/>
          </w:cols>
          <w:pgMar w:left="320" w:top="462" w:right="7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Analysis of the Information Presented in the Pay Versus Performance Table</w:t>
      </w:r>
    </w:p>
    <w:p>
      <w:pPr>
        <w:spacing w:after="0" w:line="112" w:lineRule="exact"/>
        <w:rPr>
          <w:sz w:val="20"/>
          <w:szCs w:val="20"/>
          <w:color w:val="auto"/>
        </w:rPr>
      </w:pPr>
    </w:p>
    <w:p>
      <w:pPr>
        <w:ind w:left="460" w:firstLine="413"/>
        <w:spacing w:after="0" w:line="276" w:lineRule="auto"/>
        <w:rPr>
          <w:sz w:val="20"/>
          <w:szCs w:val="20"/>
          <w:color w:val="auto"/>
        </w:rPr>
      </w:pPr>
      <w:r>
        <w:rPr>
          <w:rFonts w:ascii="Times New Roman" w:cs="Times New Roman" w:eastAsia="Times New Roman" w:hAnsi="Times New Roman"/>
          <w:sz w:val="17"/>
          <w:szCs w:val="17"/>
          <w:color w:val="auto"/>
        </w:rPr>
        <w:t>In accordance with Item 402(v) of Regulation S-K, we are providing the following descriptions of the relationships between information presented in the Pay Versus Performance table.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Cumulative TSR of Xometry and Cumulative TSR of the Peer Group</w:t>
      </w:r>
    </w:p>
    <w:p>
      <w:pPr>
        <w:spacing w:after="0" w:line="112" w:lineRule="exact"/>
        <w:rPr>
          <w:sz w:val="20"/>
          <w:szCs w:val="20"/>
          <w:color w:val="auto"/>
        </w:rPr>
      </w:pPr>
    </w:p>
    <w:p>
      <w:pPr>
        <w:jc w:val="both"/>
        <w:ind w:left="460" w:right="160" w:firstLine="413"/>
        <w:spacing w:after="0" w:line="262" w:lineRule="auto"/>
        <w:rPr>
          <w:sz w:val="20"/>
          <w:szCs w:val="20"/>
          <w:color w:val="auto"/>
        </w:rPr>
      </w:pPr>
      <w:r>
        <w:rPr>
          <w:rFonts w:ascii="Times New Roman" w:cs="Times New Roman" w:eastAsia="Times New Roman" w:hAnsi="Times New Roman"/>
          <w:sz w:val="17"/>
          <w:szCs w:val="17"/>
          <w:color w:val="auto"/>
        </w:rPr>
        <w:t>The chart below shows the relationship between the compensation actually paid to Mr. Altschuler and the average compensation actually paid to our other named executive officers (besides Mr. Altschuler), on the one hand, to Xometry’s cumulative TSR and the cumulative TSR of the companies in the peer group over the three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134620</wp:posOffset>
            </wp:positionV>
            <wp:extent cx="4688205" cy="2420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8820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780"/>
          </w:cols>
          <w:pgMar w:left="320" w:top="462" w:right="7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and Net Income</w:t>
      </w:r>
    </w:p>
    <w:p>
      <w:pPr>
        <w:spacing w:after="0" w:line="112" w:lineRule="exact"/>
        <w:rPr>
          <w:sz w:val="20"/>
          <w:szCs w:val="20"/>
          <w:color w:val="auto"/>
        </w:rPr>
      </w:pPr>
    </w:p>
    <w:p>
      <w:pPr>
        <w:ind w:left="460" w:firstLine="413"/>
        <w:spacing w:after="0" w:line="309" w:lineRule="auto"/>
        <w:rPr>
          <w:sz w:val="20"/>
          <w:szCs w:val="20"/>
          <w:color w:val="auto"/>
        </w:rPr>
      </w:pPr>
      <w:r>
        <w:rPr>
          <w:rFonts w:ascii="Times New Roman" w:cs="Times New Roman" w:eastAsia="Times New Roman" w:hAnsi="Times New Roman"/>
          <w:sz w:val="16"/>
          <w:szCs w:val="16"/>
          <w:color w:val="auto"/>
        </w:rPr>
        <w:t>The chart below shows the relationship between the compensation actually paid to Mr. Altschuler and the average compensation actually paid to our other named executive officers (besides Mr. Altschuler), on the one hand, to our net income over the three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111760</wp:posOffset>
            </wp:positionV>
            <wp:extent cx="4639945" cy="2500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39945" cy="250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and Revenue</w:t>
      </w:r>
    </w:p>
    <w:p>
      <w:pPr>
        <w:spacing w:after="0" w:line="112" w:lineRule="exact"/>
        <w:rPr>
          <w:sz w:val="20"/>
          <w:szCs w:val="20"/>
          <w:color w:val="auto"/>
        </w:rPr>
      </w:pPr>
    </w:p>
    <w:p>
      <w:pPr>
        <w:ind w:left="460" w:right="60" w:firstLine="413"/>
        <w:spacing w:after="0" w:line="309" w:lineRule="auto"/>
        <w:rPr>
          <w:sz w:val="20"/>
          <w:szCs w:val="20"/>
          <w:color w:val="auto"/>
        </w:rPr>
      </w:pPr>
      <w:r>
        <w:rPr>
          <w:rFonts w:ascii="Times New Roman" w:cs="Times New Roman" w:eastAsia="Times New Roman" w:hAnsi="Times New Roman"/>
          <w:sz w:val="16"/>
          <w:szCs w:val="16"/>
          <w:color w:val="auto"/>
        </w:rPr>
        <w:t>The chart below shows the relationship between the compensation actually paid to Mr. Altschuler and the average compensation actually paid to our other named executive officers (besides Mr. Altschuler), on the one hand, to our revenue over the three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111760</wp:posOffset>
            </wp:positionV>
            <wp:extent cx="4639945" cy="2533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39945"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680"/>
          </w:cols>
          <w:pgMar w:left="320" w:top="462" w:right="8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Tabular List of Most Important Performance Measures</w:t>
      </w:r>
    </w:p>
    <w:p>
      <w:pPr>
        <w:spacing w:after="0" w:line="112" w:lineRule="exact"/>
        <w:rPr>
          <w:sz w:val="20"/>
          <w:szCs w:val="20"/>
          <w:color w:val="auto"/>
        </w:rPr>
      </w:pPr>
    </w:p>
    <w:p>
      <w:pPr>
        <w:ind w:left="460" w:right="20" w:firstLine="413"/>
        <w:spacing w:after="0" w:line="276" w:lineRule="auto"/>
        <w:rPr>
          <w:sz w:val="20"/>
          <w:szCs w:val="20"/>
          <w:color w:val="auto"/>
        </w:rPr>
      </w:pPr>
      <w:r>
        <w:rPr>
          <w:rFonts w:ascii="Times New Roman" w:cs="Times New Roman" w:eastAsia="Times New Roman" w:hAnsi="Times New Roman"/>
          <w:sz w:val="17"/>
          <w:szCs w:val="17"/>
          <w:color w:val="auto"/>
        </w:rPr>
        <w:t>The following presents the performance measures that we consider to be the most important in linking compensation actually paid to our named executive officers for 2023 to our performance:</w:t>
      </w:r>
    </w:p>
    <w:p>
      <w:pPr>
        <w:spacing w:after="0" w:line="1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 xml:space="preserve">  Performance Measure 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17780</wp:posOffset>
            </wp:positionV>
            <wp:extent cx="20427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42795"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Revenue (GAAP)</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Adjusted EBITDA</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Gross Margin</w:t>
      </w:r>
    </w:p>
    <w:p>
      <w:pPr>
        <w:spacing w:after="0" w:line="190" w:lineRule="exact"/>
        <w:rPr>
          <w:sz w:val="20"/>
          <w:szCs w:val="20"/>
          <w:color w:val="auto"/>
        </w:rPr>
      </w:pPr>
    </w:p>
    <w:p>
      <w:pPr>
        <w:ind w:left="460" w:firstLine="413"/>
        <w:spacing w:after="0" w:line="265"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into any filing of Xometry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620"/>
          </w:cols>
          <w:pgMar w:left="320" w:top="462"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Non-Employee Director Compensation Table</w:t>
      </w:r>
    </w:p>
    <w:p>
      <w:pPr>
        <w:spacing w:after="0" w:line="112" w:lineRule="exact"/>
        <w:rPr>
          <w:sz w:val="20"/>
          <w:szCs w:val="20"/>
          <w:color w:val="auto"/>
        </w:rPr>
      </w:pPr>
    </w:p>
    <w:p>
      <w:pPr>
        <w:ind w:left="460" w:right="40" w:firstLine="413"/>
        <w:spacing w:after="0" w:line="262" w:lineRule="auto"/>
        <w:rPr>
          <w:sz w:val="20"/>
          <w:szCs w:val="20"/>
          <w:color w:val="auto"/>
        </w:rPr>
      </w:pPr>
      <w:r>
        <w:rPr>
          <w:rFonts w:ascii="Times New Roman" w:cs="Times New Roman" w:eastAsia="Times New Roman" w:hAnsi="Times New Roman"/>
          <w:sz w:val="17"/>
          <w:szCs w:val="17"/>
          <w:color w:val="auto"/>
        </w:rPr>
        <w:t>The following table sets forth information regarding the compensation earned for service on the Board by our non-employee directors during 2023. Mr. Altschuler, our Co-Founder and Chief Executive Officer, and Mr. Zuriff, our Co-Founder and Managing Director of our Donor Advised Fund, also serve on our Board but receive no additional compensation in connection with such service.</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2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Paid in Cash</w:t>
            </w:r>
          </w:p>
        </w:tc>
        <w:tc>
          <w:tcPr>
            <w:tcW w:w="10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40" w:type="dxa"/>
            <w:vAlign w:val="bottom"/>
            <w:gridSpan w:val="3"/>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4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($)(2)(3)</w:t>
            </w:r>
          </w:p>
        </w:tc>
        <w:tc>
          <w:tcPr>
            <w:tcW w:w="400" w:type="dxa"/>
            <w:vAlign w:val="bottom"/>
          </w:tcPr>
          <w:p>
            <w:pPr>
              <w:spacing w:after="0"/>
              <w:rPr>
                <w:sz w:val="13"/>
                <w:szCs w:val="13"/>
                <w:color w:val="auto"/>
              </w:rPr>
            </w:pP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DBF3FF"/>
            </w:tcBorders>
            <w:shd w:val="clear" w:color="auto" w:fill="000000"/>
          </w:tcPr>
          <w:p>
            <w:pPr>
              <w:spacing w:after="0" w:line="20" w:lineRule="exact"/>
              <w:rPr>
                <w:sz w:val="1"/>
                <w:szCs w:val="1"/>
                <w:color w:val="auto"/>
              </w:rPr>
            </w:pPr>
          </w:p>
        </w:tc>
        <w:tc>
          <w:tcPr>
            <w:tcW w:w="5280" w:type="dxa"/>
            <w:vAlign w:val="bottom"/>
            <w:tcBorders>
              <w:bottom w:val="single" w:sz="8" w:color="DBF3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DBF3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DBF3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F3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20" w:type="dxa"/>
            <w:vAlign w:val="bottom"/>
            <w:gridSpan w:val="2"/>
            <w:shd w:val="clear" w:color="auto" w:fill="DBF3FF"/>
          </w:tcPr>
          <w:p>
            <w:pPr>
              <w:spacing w:after="0" w:line="188" w:lineRule="exact"/>
              <w:rPr>
                <w:sz w:val="20"/>
                <w:szCs w:val="20"/>
                <w:color w:val="auto"/>
              </w:rPr>
            </w:pPr>
            <w:r>
              <w:rPr>
                <w:rFonts w:ascii="Times New Roman" w:cs="Times New Roman" w:eastAsia="Times New Roman" w:hAnsi="Times New Roman"/>
                <w:sz w:val="17"/>
                <w:szCs w:val="17"/>
                <w:color w:val="auto"/>
              </w:rPr>
              <w:t>Deborah Bial</w:t>
            </w:r>
          </w:p>
        </w:tc>
        <w:tc>
          <w:tcPr>
            <w:tcW w:w="920" w:type="dxa"/>
            <w:vAlign w:val="bottom"/>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50,500</w:t>
            </w:r>
          </w:p>
        </w:tc>
        <w:tc>
          <w:tcPr>
            <w:tcW w:w="400" w:type="dxa"/>
            <w:vAlign w:val="bottom"/>
            <w:shd w:val="clear" w:color="auto" w:fill="DBF3FF"/>
          </w:tcPr>
          <w:p>
            <w:pPr>
              <w:spacing w:after="0"/>
              <w:rPr>
                <w:sz w:val="16"/>
                <w:szCs w:val="16"/>
                <w:color w:val="auto"/>
              </w:rPr>
            </w:pPr>
          </w:p>
        </w:tc>
        <w:tc>
          <w:tcPr>
            <w:tcW w:w="620" w:type="dxa"/>
            <w:vAlign w:val="bottom"/>
            <w:shd w:val="clear" w:color="auto" w:fill="DBF3FF"/>
          </w:tcPr>
          <w:p>
            <w:pPr>
              <w:ind w:left="80"/>
              <w:spacing w:after="0" w:line="188" w:lineRule="exact"/>
              <w:rPr>
                <w:sz w:val="20"/>
                <w:szCs w:val="20"/>
                <w:color w:val="auto"/>
              </w:rPr>
            </w:pPr>
            <w:r>
              <w:rPr>
                <w:rFonts w:ascii="Times New Roman" w:cs="Times New Roman" w:eastAsia="Times New Roman" w:hAnsi="Times New Roman"/>
                <w:sz w:val="17"/>
                <w:szCs w:val="17"/>
                <w:color w:val="auto"/>
                <w:w w:val="94"/>
              </w:rPr>
              <w:t>102,869</w:t>
            </w:r>
          </w:p>
        </w:tc>
        <w:tc>
          <w:tcPr>
            <w:tcW w:w="400" w:type="dxa"/>
            <w:vAlign w:val="bottom"/>
            <w:shd w:val="clear" w:color="auto" w:fill="DBF3FF"/>
          </w:tcPr>
          <w:p>
            <w:pPr>
              <w:spacing w:after="0"/>
              <w:rPr>
                <w:sz w:val="16"/>
                <w:szCs w:val="16"/>
                <w:color w:val="auto"/>
              </w:rPr>
            </w:pPr>
          </w:p>
        </w:tc>
        <w:tc>
          <w:tcPr>
            <w:tcW w:w="640" w:type="dxa"/>
            <w:vAlign w:val="bottom"/>
            <w:shd w:val="clear" w:color="auto" w:fill="DBF3FF"/>
          </w:tcPr>
          <w:p>
            <w:pPr>
              <w:jc w:val="right"/>
              <w:spacing w:after="0" w:line="188" w:lineRule="exact"/>
              <w:rPr>
                <w:sz w:val="20"/>
                <w:szCs w:val="20"/>
                <w:color w:val="auto"/>
              </w:rPr>
            </w:pPr>
            <w:r>
              <w:rPr>
                <w:rFonts w:ascii="Times New Roman" w:cs="Times New Roman" w:eastAsia="Times New Roman" w:hAnsi="Times New Roman"/>
                <w:sz w:val="17"/>
                <w:szCs w:val="17"/>
                <w:color w:val="auto"/>
              </w:rPr>
              <w:t>153,369</w:t>
            </w:r>
          </w:p>
        </w:tc>
        <w:tc>
          <w:tcPr>
            <w:tcW w:w="60" w:type="dxa"/>
            <w:vAlign w:val="bottom"/>
            <w:shd w:val="clear" w:color="auto" w:fill="DBF3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Ranjana Clark(5)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43,000</w:t>
            </w:r>
          </w:p>
        </w:tc>
        <w:tc>
          <w:tcPr>
            <w:tcW w:w="4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4"/>
              </w:rPr>
              <w:t>132,352</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George Hornig(4)</w:t>
            </w:r>
          </w:p>
        </w:tc>
        <w:tc>
          <w:tcPr>
            <w:tcW w:w="9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242,000</w:t>
            </w:r>
          </w:p>
        </w:tc>
        <w:tc>
          <w:tcPr>
            <w:tcW w:w="400" w:type="dxa"/>
            <w:vAlign w:val="bottom"/>
            <w:shd w:val="clear" w:color="auto" w:fill="DBF3FF"/>
          </w:tcPr>
          <w:p>
            <w:pPr>
              <w:spacing w:after="0"/>
              <w:rPr>
                <w:sz w:val="17"/>
                <w:szCs w:val="17"/>
                <w:color w:val="auto"/>
              </w:rPr>
            </w:pPr>
          </w:p>
        </w:tc>
        <w:tc>
          <w:tcPr>
            <w:tcW w:w="620" w:type="dxa"/>
            <w:vAlign w:val="bottom"/>
            <w:shd w:val="clear" w:color="auto" w:fill="DBF3FF"/>
          </w:tcPr>
          <w:p>
            <w:pPr>
              <w:ind w:left="80"/>
              <w:spacing w:after="0"/>
              <w:rPr>
                <w:sz w:val="20"/>
                <w:szCs w:val="20"/>
                <w:color w:val="auto"/>
              </w:rPr>
            </w:pPr>
            <w:r>
              <w:rPr>
                <w:rFonts w:ascii="Times New Roman" w:cs="Times New Roman" w:eastAsia="Times New Roman" w:hAnsi="Times New Roman"/>
                <w:sz w:val="17"/>
                <w:szCs w:val="17"/>
                <w:color w:val="auto"/>
                <w:w w:val="94"/>
              </w:rPr>
              <w:t>183,107</w:t>
            </w:r>
          </w:p>
        </w:tc>
        <w:tc>
          <w:tcPr>
            <w:tcW w:w="400" w:type="dxa"/>
            <w:vAlign w:val="bottom"/>
            <w:shd w:val="clear" w:color="auto" w:fill="DBF3FF"/>
          </w:tcPr>
          <w:p>
            <w:pPr>
              <w:spacing w:after="0"/>
              <w:rPr>
                <w:sz w:val="17"/>
                <w:szCs w:val="17"/>
                <w:color w:val="auto"/>
              </w:rPr>
            </w:pPr>
          </w:p>
        </w:tc>
        <w:tc>
          <w:tcPr>
            <w:tcW w:w="64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425,107</w:t>
            </w:r>
          </w:p>
        </w:tc>
        <w:tc>
          <w:tcPr>
            <w:tcW w:w="6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Emily Rollins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4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4"/>
              </w:rPr>
              <w:t>102,869</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shd w:val="clear" w:color="auto" w:fill="DBF3FF"/>
          </w:tcPr>
          <w:p>
            <w:pPr>
              <w:spacing w:after="0"/>
              <w:rPr>
                <w:sz w:val="20"/>
                <w:szCs w:val="20"/>
                <w:color w:val="auto"/>
              </w:rPr>
            </w:pPr>
            <w:r>
              <w:rPr>
                <w:rFonts w:ascii="Times New Roman" w:cs="Times New Roman" w:eastAsia="Times New Roman" w:hAnsi="Times New Roman"/>
                <w:sz w:val="17"/>
                <w:szCs w:val="17"/>
                <w:color w:val="auto"/>
              </w:rPr>
              <w:t>Fabio Rosati(5)</w:t>
            </w:r>
          </w:p>
        </w:tc>
        <w:tc>
          <w:tcPr>
            <w:tcW w:w="92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400" w:type="dxa"/>
            <w:vAlign w:val="bottom"/>
            <w:shd w:val="clear" w:color="auto" w:fill="DBF3FF"/>
          </w:tcPr>
          <w:p>
            <w:pPr>
              <w:spacing w:after="0"/>
              <w:rPr>
                <w:sz w:val="17"/>
                <w:szCs w:val="17"/>
                <w:color w:val="auto"/>
              </w:rPr>
            </w:pPr>
          </w:p>
        </w:tc>
        <w:tc>
          <w:tcPr>
            <w:tcW w:w="620" w:type="dxa"/>
            <w:vAlign w:val="bottom"/>
            <w:shd w:val="clear" w:color="auto" w:fill="DBF3FF"/>
          </w:tcPr>
          <w:p>
            <w:pPr>
              <w:ind w:left="80"/>
              <w:spacing w:after="0"/>
              <w:rPr>
                <w:sz w:val="20"/>
                <w:szCs w:val="20"/>
                <w:color w:val="auto"/>
              </w:rPr>
            </w:pPr>
            <w:r>
              <w:rPr>
                <w:rFonts w:ascii="Times New Roman" w:cs="Times New Roman" w:eastAsia="Times New Roman" w:hAnsi="Times New Roman"/>
                <w:sz w:val="17"/>
                <w:szCs w:val="17"/>
                <w:color w:val="auto"/>
                <w:w w:val="94"/>
              </w:rPr>
              <w:t>102,869</w:t>
            </w:r>
          </w:p>
        </w:tc>
        <w:tc>
          <w:tcPr>
            <w:tcW w:w="400" w:type="dxa"/>
            <w:vAlign w:val="bottom"/>
            <w:shd w:val="clear" w:color="auto" w:fill="DBF3FF"/>
          </w:tcPr>
          <w:p>
            <w:pPr>
              <w:spacing w:after="0"/>
              <w:rPr>
                <w:sz w:val="17"/>
                <w:szCs w:val="17"/>
                <w:color w:val="auto"/>
              </w:rPr>
            </w:pPr>
          </w:p>
        </w:tc>
        <w:tc>
          <w:tcPr>
            <w:tcW w:w="640" w:type="dxa"/>
            <w:vAlign w:val="bottom"/>
            <w:shd w:val="clear" w:color="auto" w:fill="DBF3FF"/>
          </w:tcPr>
          <w:p>
            <w:pPr>
              <w:jc w:val="right"/>
              <w:spacing w:after="0"/>
              <w:rPr>
                <w:sz w:val="20"/>
                <w:szCs w:val="20"/>
                <w:color w:val="auto"/>
              </w:rPr>
            </w:pPr>
            <w:r>
              <w:rPr>
                <w:rFonts w:ascii="Times New Roman" w:cs="Times New Roman" w:eastAsia="Times New Roman" w:hAnsi="Times New Roman"/>
                <w:sz w:val="17"/>
                <w:szCs w:val="17"/>
                <w:color w:val="auto"/>
              </w:rPr>
              <w:t>152,869</w:t>
            </w:r>
          </w:p>
        </w:tc>
        <w:tc>
          <w:tcPr>
            <w:tcW w:w="60" w:type="dxa"/>
            <w:vAlign w:val="bottom"/>
            <w:shd w:val="clear" w:color="auto" w:fill="DBF3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Katharine Weymouth</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51,500</w:t>
            </w:r>
          </w:p>
        </w:tc>
        <w:tc>
          <w:tcPr>
            <w:tcW w:w="4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4"/>
              </w:rPr>
              <w:t>138,181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78740</wp:posOffset>
            </wp:positionV>
            <wp:extent cx="7239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38" w:lineRule="exact"/>
        <w:rPr>
          <w:sz w:val="20"/>
          <w:szCs w:val="20"/>
          <w:color w:val="auto"/>
        </w:rPr>
      </w:pPr>
    </w:p>
    <w:p>
      <w:pPr>
        <w:ind w:left="860" w:hanging="403"/>
        <w:spacing w:after="0" w:line="255" w:lineRule="auto"/>
        <w:tabs>
          <w:tab w:leader="none" w:pos="8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represents the amount of all fees earned or paid in cash for services as a director. The table below shows the amount of cash compensation earned during 2023 that each director elected to receive in RSUs (rounded to the nearest whole dollar) and the number of RSUs received, excluding adjustments for dividend equivalents. The number of RSUs received in lieu of cash was calculated based on the average closing sales price per share of our Class A common stock over the 20 trading days prior to the grant date (which was March 21, 2023), rounded to the nearest whole share.</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Cash Fees Paid in</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Number of RSUs</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gridSpan w:val="2"/>
          </w:tcPr>
          <w:p>
            <w:pPr>
              <w:jc w:val="center"/>
              <w:ind w:right="940"/>
              <w:spacing w:after="0" w:line="139" w:lineRule="exact"/>
              <w:rPr>
                <w:sz w:val="20"/>
                <w:szCs w:val="20"/>
                <w:color w:val="auto"/>
              </w:rPr>
            </w:pPr>
            <w:r>
              <w:rPr>
                <w:rFonts w:ascii="Times New Roman" w:cs="Times New Roman" w:eastAsia="Times New Roman" w:hAnsi="Times New Roman"/>
                <w:sz w:val="13"/>
                <w:szCs w:val="13"/>
                <w:b w:val="1"/>
                <w:bCs w:val="1"/>
                <w:color w:val="auto"/>
              </w:rPr>
              <w:t>RSUs at Director’s</w:t>
            </w:r>
          </w:p>
        </w:tc>
        <w:tc>
          <w:tcPr>
            <w:tcW w:w="102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Received in</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4460" w:type="dxa"/>
            <w:vAlign w:val="bottom"/>
            <w:vMerge w:val="restart"/>
          </w:tcPr>
          <w:p>
            <w:pPr>
              <w:spacing w:after="0"/>
              <w:rPr>
                <w:sz w:val="12"/>
                <w:szCs w:val="12"/>
                <w:color w:val="auto"/>
              </w:rPr>
            </w:pPr>
          </w:p>
        </w:tc>
        <w:tc>
          <w:tcPr>
            <w:tcW w:w="2020" w:type="dxa"/>
            <w:vAlign w:val="bottom"/>
            <w:gridSpan w:val="2"/>
          </w:tcPr>
          <w:p>
            <w:pPr>
              <w:jc w:val="center"/>
              <w:ind w:right="940"/>
              <w:spacing w:after="0" w:line="139" w:lineRule="exact"/>
              <w:rPr>
                <w:sz w:val="20"/>
                <w:szCs w:val="20"/>
                <w:color w:val="auto"/>
              </w:rPr>
            </w:pPr>
            <w:r>
              <w:rPr>
                <w:rFonts w:ascii="Times New Roman" w:cs="Times New Roman" w:eastAsia="Times New Roman" w:hAnsi="Times New Roman"/>
                <w:sz w:val="13"/>
                <w:szCs w:val="13"/>
                <w:b w:val="1"/>
                <w:bCs w:val="1"/>
                <w:color w:val="auto"/>
              </w:rPr>
              <w:t>Election</w:t>
            </w:r>
          </w:p>
        </w:tc>
        <w:tc>
          <w:tcPr>
            <w:tcW w:w="102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rPr>
              <w:t>Lieu of Cash</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446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Deborah Bial</w:t>
            </w:r>
          </w:p>
        </w:tc>
        <w:tc>
          <w:tcPr>
            <w:tcW w:w="1080" w:type="dxa"/>
            <w:vAlign w:val="bottom"/>
            <w:tcBorders>
              <w:top w:val="single" w:sz="8" w:color="auto"/>
            </w:tcBorders>
            <w:shd w:val="clear" w:color="auto" w:fill="CCEEFF"/>
          </w:tcPr>
          <w:p>
            <w:pPr>
              <w:ind w:left="840"/>
              <w:spacing w:after="0" w:line="188" w:lineRule="exact"/>
              <w:rPr>
                <w:sz w:val="20"/>
                <w:szCs w:val="20"/>
                <w:color w:val="auto"/>
              </w:rPr>
            </w:pPr>
            <w:r>
              <w:rPr>
                <w:rFonts w:ascii="Times New Roman" w:cs="Times New Roman" w:eastAsia="Times New Roman" w:hAnsi="Times New Roman"/>
                <w:sz w:val="17"/>
                <w:szCs w:val="17"/>
                <w:color w:val="auto"/>
                <w:w w:val="86"/>
              </w:rPr>
              <w:t>— </w:t>
            </w:r>
          </w:p>
        </w:tc>
        <w:tc>
          <w:tcPr>
            <w:tcW w:w="9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— </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Ranjana Clark</w:t>
            </w: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43,000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Hornig</w:t>
            </w: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rPr>
              <w:t>117,000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5,492</w:t>
            </w: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Emily Rollins</w:t>
            </w:r>
          </w:p>
        </w:tc>
        <w:tc>
          <w:tcPr>
            <w:tcW w:w="20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Fabio Rosati</w:t>
            </w:r>
          </w:p>
        </w:tc>
        <w:tc>
          <w:tcPr>
            <w:tcW w:w="20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8"/>
        </w:trPr>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Katharine Weymouth</w:t>
            </w: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51,500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2,417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60" w:hanging="403"/>
        <w:spacing w:after="0" w:line="258" w:lineRule="auto"/>
        <w:tabs>
          <w:tab w:leader="none" w:pos="8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 upon the vesting of the awards, the exercise of the stock options or the sale of the Class A common stock underlying such awards.</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780"/>
          </w:cols>
          <w:pgMar w:left="320" w:top="462" w:right="7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860" w:right="140" w:hanging="403"/>
        <w:spacing w:after="0" w:line="276" w:lineRule="auto"/>
        <w:tabs>
          <w:tab w:leader="none" w:pos="8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provides information regarding the aggregate number of stock and option awards granted to our non-employee directors that were outstanding as of December 31, 2023:</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6000" w:type="dxa"/>
            <w:vAlign w:val="bottom"/>
            <w:vMerge w:val="restart"/>
          </w:tcPr>
          <w:p>
            <w:pPr>
              <w:spacing w:after="0"/>
              <w:rPr>
                <w:sz w:val="12"/>
                <w:szCs w:val="12"/>
                <w:color w:val="auto"/>
              </w:rPr>
            </w:pPr>
          </w:p>
        </w:tc>
        <w:tc>
          <w:tcPr>
            <w:tcW w:w="86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6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6000" w:type="dxa"/>
            <w:vAlign w:val="bottom"/>
            <w:vMerge w:val="continue"/>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40" w:type="dxa"/>
            <w:vAlign w:val="bottom"/>
            <w:tcBorders>
              <w:top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Deborah Bial</w:t>
            </w:r>
          </w:p>
        </w:tc>
        <w:tc>
          <w:tcPr>
            <w:tcW w:w="50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7,041</w:t>
            </w: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70,000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Ranjana Clark</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8,302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Hornig</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21,875</w:t>
            </w: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Emily Rollins</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7,041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46,000</w:t>
            </w:r>
          </w:p>
        </w:tc>
        <w:tc>
          <w:tcPr>
            <w:tcW w:w="0" w:type="dxa"/>
            <w:vAlign w:val="bottom"/>
          </w:tcPr>
          <w:p>
            <w:pPr>
              <w:spacing w:after="0"/>
              <w:rPr>
                <w:sz w:val="1"/>
                <w:szCs w:val="1"/>
                <w:color w:val="auto"/>
              </w:rPr>
            </w:pPr>
          </w:p>
        </w:tc>
      </w:tr>
      <w:tr>
        <w:trPr>
          <w:trHeight w:val="20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Fabio Rosati</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7,041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8"/>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Katharine Weymouth</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7,645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60" w:right="40" w:hanging="403"/>
        <w:spacing w:after="0" w:line="253" w:lineRule="auto"/>
        <w:tabs>
          <w:tab w:leader="none" w:pos="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Hornig resigned from our Board, the Audit Committee, the Compensation Committee and the Environmental and Social Governance Committee as of December 1, 2023. On the effective date of his resignation, 1,373 unvested RSUs granted to Mr. Hornig in lieu of cash and 7,041 unvested RSUs granted to Mr. Hornig as part of his director compensation for 2023 forfeited. Effective three months following his resignation, all of Mr. Hornig’s vested and unexercised options expired.</w:t>
      </w:r>
    </w:p>
    <w:p>
      <w:pPr>
        <w:spacing w:after="0" w:line="1" w:lineRule="exact"/>
        <w:rPr>
          <w:rFonts w:ascii="Times New Roman" w:cs="Times New Roman" w:eastAsia="Times New Roman" w:hAnsi="Times New Roman"/>
          <w:sz w:val="17"/>
          <w:szCs w:val="17"/>
          <w:color w:val="auto"/>
        </w:rPr>
      </w:pPr>
    </w:p>
    <w:p>
      <w:pPr>
        <w:ind w:left="860" w:right="220" w:hanging="403"/>
        <w:spacing w:after="0" w:line="253" w:lineRule="auto"/>
        <w:tabs>
          <w:tab w:leader="none" w:pos="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Rosati was appointed as our Chair of the Board and Ms. Clark was appointed as a member of the Audit Committee, each as of December 1, 2023, upon Mr. Hornig’s departure. Mr. Rosati and Ms. Clark did not receive any additional director compensation for 2023 for such appointments.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112" w:lineRule="exact"/>
        <w:rPr>
          <w:sz w:val="20"/>
          <w:szCs w:val="20"/>
          <w:color w:val="auto"/>
        </w:rPr>
      </w:pPr>
    </w:p>
    <w:p>
      <w:pPr>
        <w:ind w:left="460" w:right="420" w:firstLine="413"/>
        <w:spacing w:after="0" w:line="276" w:lineRule="auto"/>
        <w:rPr>
          <w:sz w:val="20"/>
          <w:szCs w:val="20"/>
          <w:color w:val="auto"/>
        </w:rPr>
      </w:pPr>
      <w:r>
        <w:rPr>
          <w:rFonts w:ascii="Times New Roman" w:cs="Times New Roman" w:eastAsia="Times New Roman" w:hAnsi="Times New Roman"/>
          <w:sz w:val="17"/>
          <w:szCs w:val="17"/>
          <w:color w:val="auto"/>
        </w:rPr>
        <w:t>Our Board annually determines the compensation of non-employee director for service to the Board. In March 2023, the Board approved the following compensation amounts for service on our Board for 2023:</w:t>
      </w:r>
    </w:p>
    <w:p>
      <w:pPr>
        <w:spacing w:after="0" w:line="70" w:lineRule="exact"/>
        <w:rPr>
          <w:sz w:val="20"/>
          <w:szCs w:val="20"/>
          <w:color w:val="auto"/>
        </w:rPr>
      </w:pPr>
    </w:p>
    <w:p>
      <w:pPr>
        <w:ind w:left="1360" w:hanging="396"/>
        <w:spacing w:after="0"/>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$35,000;</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$65,000 for service as independent chair of the Board;</w:t>
      </w:r>
    </w:p>
    <w:p>
      <w:pPr>
        <w:spacing w:after="0" w:line="121" w:lineRule="exact"/>
        <w:rPr>
          <w:rFonts w:ascii="Times New Roman" w:cs="Times New Roman" w:eastAsia="Times New Roman" w:hAnsi="Times New Roman"/>
          <w:sz w:val="17"/>
          <w:szCs w:val="17"/>
          <w:color w:val="auto"/>
        </w:rPr>
      </w:pPr>
    </w:p>
    <w:p>
      <w:pPr>
        <w:ind w:left="1360" w:right="220" w:hanging="396"/>
        <w:spacing w:after="0" w:line="262" w:lineRule="auto"/>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$9,000, $5,000, $3,000 and $3,000 for service as a non-employee member of the Audit Committee, Compensation Committee, Nominating and Corporate Governance Committee and Environmental and Social Governance Committee, respectively;</w:t>
      </w:r>
    </w:p>
    <w:p>
      <w:pPr>
        <w:spacing w:after="0" w:line="81" w:lineRule="exact"/>
        <w:rPr>
          <w:rFonts w:ascii="Times New Roman" w:cs="Times New Roman" w:eastAsia="Times New Roman" w:hAnsi="Times New Roman"/>
          <w:sz w:val="17"/>
          <w:szCs w:val="17"/>
          <w:color w:val="auto"/>
        </w:rPr>
      </w:pPr>
    </w:p>
    <w:p>
      <w:pPr>
        <w:ind w:left="1360" w:hanging="396"/>
        <w:spacing w:after="0" w:line="262" w:lineRule="auto"/>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$20,000, $12,000, $7,500 and $7,500 for service as non-employee chair of the Audit Committee, chair of the Compensation Committee, chair of the Nominating and Corporate Governance Committee and chair of the Environmental and Social Governance Committee, respectively (in lieu of the committee member retainer above);</w:t>
      </w:r>
    </w:p>
    <w:p>
      <w:pPr>
        <w:spacing w:after="0" w:line="81" w:lineRule="exact"/>
        <w:rPr>
          <w:rFonts w:ascii="Times New Roman" w:cs="Times New Roman" w:eastAsia="Times New Roman" w:hAnsi="Times New Roman"/>
          <w:sz w:val="17"/>
          <w:szCs w:val="17"/>
          <w:color w:val="auto"/>
        </w:rPr>
      </w:pPr>
    </w:p>
    <w:p>
      <w:pPr>
        <w:ind w:left="1360" w:right="60" w:hanging="396"/>
        <w:spacing w:after="0" w:line="276" w:lineRule="auto"/>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initial RSU award granted upon a director’s initial election or appointment to the Board with the value of such award determined by the Board, vesting in three equal annual installments;</w:t>
      </w:r>
    </w:p>
    <w:p>
      <w:pPr>
        <w:spacing w:after="0" w:line="69" w:lineRule="exact"/>
        <w:rPr>
          <w:rFonts w:ascii="Times New Roman" w:cs="Times New Roman" w:eastAsia="Times New Roman" w:hAnsi="Times New Roman"/>
          <w:sz w:val="17"/>
          <w:szCs w:val="17"/>
          <w:color w:val="auto"/>
        </w:rPr>
      </w:pPr>
    </w:p>
    <w:p>
      <w:pPr>
        <w:ind w:left="1360" w:right="260" w:hanging="396"/>
        <w:spacing w:after="0" w:line="262" w:lineRule="auto"/>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RSU award (each, a “refresher RSU award”) granted each year after the effective date to each non-employee director who continues to serve on such date. Such refresher RSU awards will have an aggregate grant date value equal to $150,000, and will vest on January 1 of the year after the after the refresher RSU award is granted; and</w:t>
      </w:r>
    </w:p>
    <w:p>
      <w:pPr>
        <w:spacing w:after="0" w:line="81" w:lineRule="exact"/>
        <w:rPr>
          <w:rFonts w:ascii="Times New Roman" w:cs="Times New Roman" w:eastAsia="Times New Roman" w:hAnsi="Times New Roman"/>
          <w:sz w:val="17"/>
          <w:szCs w:val="17"/>
          <w:color w:val="auto"/>
        </w:rPr>
      </w:pPr>
    </w:p>
    <w:p>
      <w:pPr>
        <w:ind w:left="1360" w:right="80" w:hanging="396"/>
        <w:spacing w:after="0" w:line="254" w:lineRule="auto"/>
        <w:tabs>
          <w:tab w:leader="none" w:pos="1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average closing sales price per share of our Class A common stock over the 20 trading days prior to the grant date, rounded to the nearest whole share. Each retainer RSU award will vest in four equal quarterly installments commencing on April 1 of the year the retainer RSU award is granted.</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780"/>
          </w:cols>
          <w:pgMar w:left="320" w:top="462" w:right="7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March 2024, the Board approved the following compensation amounts for service on our Board for 2024:</w:t>
      </w:r>
    </w:p>
    <w:p>
      <w:pPr>
        <w:spacing w:after="0" w:line="121" w:lineRule="exact"/>
        <w:rPr>
          <w:sz w:val="20"/>
          <w:szCs w:val="20"/>
          <w:color w:val="auto"/>
        </w:rPr>
      </w:pPr>
    </w:p>
    <w:p>
      <w:pPr>
        <w:ind w:left="1360" w:hanging="396"/>
        <w:spacing w:after="0"/>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$35,000;</w:t>
      </w:r>
    </w:p>
    <w:p>
      <w:pPr>
        <w:spacing w:after="0" w:line="121" w:lineRule="exact"/>
        <w:rPr>
          <w:rFonts w:ascii="Times New Roman" w:cs="Times New Roman" w:eastAsia="Times New Roman" w:hAnsi="Times New Roman"/>
          <w:sz w:val="17"/>
          <w:szCs w:val="17"/>
          <w:color w:val="auto"/>
        </w:rPr>
      </w:pPr>
    </w:p>
    <w:p>
      <w:pPr>
        <w:ind w:left="1360" w:hanging="396"/>
        <w:spacing w:after="0"/>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$90,000 for service as independent chair of the Board;</w:t>
      </w:r>
    </w:p>
    <w:p>
      <w:pPr>
        <w:spacing w:after="0" w:line="121" w:lineRule="exact"/>
        <w:rPr>
          <w:rFonts w:ascii="Times New Roman" w:cs="Times New Roman" w:eastAsia="Times New Roman" w:hAnsi="Times New Roman"/>
          <w:sz w:val="17"/>
          <w:szCs w:val="17"/>
          <w:color w:val="auto"/>
        </w:rPr>
      </w:pPr>
    </w:p>
    <w:p>
      <w:pPr>
        <w:ind w:left="1360" w:right="120" w:hanging="396"/>
        <w:spacing w:after="0" w:line="262" w:lineRule="auto"/>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$10,000, $7,500, $4,000 and $4,000 for service as a non-employee member of the Audit Committee, Compensation Committee, Nominating and Corporate Governance Committee and Environmental and Social Governance Committee, respectively;</w:t>
      </w:r>
    </w:p>
    <w:p>
      <w:pPr>
        <w:spacing w:after="0" w:line="81" w:lineRule="exact"/>
        <w:rPr>
          <w:rFonts w:ascii="Times New Roman" w:cs="Times New Roman" w:eastAsia="Times New Roman" w:hAnsi="Times New Roman"/>
          <w:sz w:val="17"/>
          <w:szCs w:val="17"/>
          <w:color w:val="auto"/>
        </w:rPr>
      </w:pPr>
    </w:p>
    <w:p>
      <w:pPr>
        <w:ind w:left="1360" w:hanging="396"/>
        <w:spacing w:after="0" w:line="262" w:lineRule="auto"/>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$20,000, $15,000, $8,500 and $8,500 for service as non-employee chair of the Audit Committee, chair of the Compensation Committee, chair of the Nominating and Corporate Governance Committee and chair of the Environmental and Social Governance Committee, respectively (in lieu of the committee member retainer above);</w:t>
      </w:r>
    </w:p>
    <w:p>
      <w:pPr>
        <w:spacing w:after="0" w:line="81" w:lineRule="exact"/>
        <w:rPr>
          <w:rFonts w:ascii="Times New Roman" w:cs="Times New Roman" w:eastAsia="Times New Roman" w:hAnsi="Times New Roman"/>
          <w:sz w:val="17"/>
          <w:szCs w:val="17"/>
          <w:color w:val="auto"/>
        </w:rPr>
      </w:pPr>
    </w:p>
    <w:p>
      <w:pPr>
        <w:ind w:left="1360" w:right="60" w:hanging="396"/>
        <w:spacing w:after="0" w:line="276" w:lineRule="auto"/>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initial RSU award granted upon a director’s initial election or appointment to the Board with the value of such award determined by the Board, vesting in three equal annual installments;</w:t>
      </w:r>
    </w:p>
    <w:p>
      <w:pPr>
        <w:spacing w:after="0" w:line="69" w:lineRule="exact"/>
        <w:rPr>
          <w:rFonts w:ascii="Times New Roman" w:cs="Times New Roman" w:eastAsia="Times New Roman" w:hAnsi="Times New Roman"/>
          <w:sz w:val="17"/>
          <w:szCs w:val="17"/>
          <w:color w:val="auto"/>
        </w:rPr>
      </w:pPr>
    </w:p>
    <w:p>
      <w:pPr>
        <w:ind w:left="1360" w:right="260" w:hanging="396"/>
        <w:spacing w:after="0" w:line="262" w:lineRule="auto"/>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RSU award (each, a “refresher RSU award”) granted each year after the effective date to each non-employee director who continues to serve on such date. Such refresher RSU awards will have an aggregate grant date value equal to $175,000, and will vest on January 1 of the year after the after the refresher RSU award is granted; and</w:t>
      </w:r>
    </w:p>
    <w:p>
      <w:pPr>
        <w:spacing w:after="0" w:line="81" w:lineRule="exact"/>
        <w:rPr>
          <w:rFonts w:ascii="Times New Roman" w:cs="Times New Roman" w:eastAsia="Times New Roman" w:hAnsi="Times New Roman"/>
          <w:sz w:val="17"/>
          <w:szCs w:val="17"/>
          <w:color w:val="auto"/>
        </w:rPr>
      </w:pPr>
    </w:p>
    <w:p>
      <w:pPr>
        <w:ind w:left="1360" w:right="80" w:hanging="396"/>
        <w:spacing w:after="0" w:line="254" w:lineRule="auto"/>
        <w:tabs>
          <w:tab w:leader="none" w:pos="13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average closing sales price per share of our Class A common stock over the 20 trading days prior to the grant date, rounded to the nearest whole share. Each retainer RSU award will vest in four equal quarterly installments commencing on April 1 of the year the retainer RSU award is granted.</w:t>
      </w:r>
    </w:p>
    <w:p>
      <w:pPr>
        <w:spacing w:after="0" w:line="177" w:lineRule="exact"/>
        <w:rPr>
          <w:sz w:val="20"/>
          <w:szCs w:val="20"/>
          <w:color w:val="auto"/>
        </w:rPr>
      </w:pPr>
    </w:p>
    <w:p>
      <w:pPr>
        <w:ind w:left="460" w:right="20" w:firstLine="413"/>
        <w:spacing w:after="0" w:line="276" w:lineRule="auto"/>
        <w:rPr>
          <w:sz w:val="20"/>
          <w:szCs w:val="20"/>
          <w:color w:val="auto"/>
        </w:rPr>
      </w:pPr>
      <w:r>
        <w:rPr>
          <w:rFonts w:ascii="Times New Roman" w:cs="Times New Roman" w:eastAsia="Times New Roman" w:hAnsi="Times New Roman"/>
          <w:sz w:val="17"/>
          <w:szCs w:val="17"/>
          <w:color w:val="auto"/>
        </w:rPr>
        <w:t>Each of the RSU awards described above will be granted under our 2021 Plan. Each such RSU award will vest subject to the director’s continuous service with us.</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780"/>
          </w:cols>
          <w:pgMar w:left="320" w:top="462" w:right="7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PROPOSAL 3: RATIFICATION OF THE SELECTION OF KPMG AS OUR INDEPENDENT</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REGISTERED PUBLIC ACCOUNTING FIRM</w:t>
      </w:r>
    </w:p>
    <w:p>
      <w:pPr>
        <w:spacing w:after="0" w:line="194" w:lineRule="exact"/>
        <w:rPr>
          <w:sz w:val="20"/>
          <w:szCs w:val="20"/>
          <w:color w:val="auto"/>
        </w:rPr>
      </w:pPr>
    </w:p>
    <w:p>
      <w:pPr>
        <w:ind w:left="460" w:firstLine="413"/>
        <w:spacing w:after="0" w:line="279" w:lineRule="auto"/>
        <w:rPr>
          <w:sz w:val="20"/>
          <w:szCs w:val="20"/>
          <w:color w:val="auto"/>
        </w:rPr>
      </w:pPr>
      <w:r>
        <w:rPr>
          <w:rFonts w:ascii="Times New Roman" w:cs="Times New Roman" w:eastAsia="Times New Roman" w:hAnsi="Times New Roman"/>
          <w:sz w:val="16"/>
          <w:szCs w:val="16"/>
          <w:color w:val="auto"/>
        </w:rPr>
        <w:t>The Audit Committee of the Board has selected KPMG LLP as our independent registered public accounting firm for the fiscal year ending December 31, 2024 and has further directed that management submit the selection of its independent registered public accounting firm for ratification by the stockholders at the Annual Meeting. KPMG LLP has audited our financial statements since 2015. Representatives of KPMG LLP are expected to be available during the Annual Meeting with the opportunity to make a statement if they so desire and will be available to respond to appropriate questions.</w:t>
      </w:r>
    </w:p>
    <w:p>
      <w:pPr>
        <w:spacing w:after="0" w:line="158" w:lineRule="exact"/>
        <w:rPr>
          <w:sz w:val="20"/>
          <w:szCs w:val="20"/>
          <w:color w:val="auto"/>
        </w:rPr>
      </w:pPr>
    </w:p>
    <w:p>
      <w:pPr>
        <w:ind w:left="460" w:firstLine="413"/>
        <w:spacing w:after="0" w:line="255" w:lineRule="auto"/>
        <w:rPr>
          <w:sz w:val="20"/>
          <w:szCs w:val="20"/>
          <w:color w:val="auto"/>
        </w:rPr>
      </w:pPr>
      <w:r>
        <w:rPr>
          <w:rFonts w:ascii="Times New Roman" w:cs="Times New Roman" w:eastAsia="Times New Roman" w:hAnsi="Times New Roman"/>
          <w:sz w:val="17"/>
          <w:szCs w:val="17"/>
          <w:color w:val="auto"/>
        </w:rPr>
        <w:t>Our organizational documents do not require that the stockholders ratify the selection of KPMG LLP as our independent registered public accounting firm. However, the Audit Committee of the Board is submitting the selection of KPMG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Xometry and our stockholders.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12" w:lineRule="exact"/>
        <w:rPr>
          <w:sz w:val="20"/>
          <w:szCs w:val="20"/>
          <w:color w:val="auto"/>
        </w:rPr>
      </w:pPr>
    </w:p>
    <w:p>
      <w:pPr>
        <w:ind w:left="460" w:right="60" w:firstLine="413"/>
        <w:spacing w:after="0" w:line="262"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at the Annual Meeting will be required to ratify the selection of KPMG LLP.</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represents the aggregate fees billed to us by KPMG for the periods set forth below.</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6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55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220"/>
              <w:spacing w:after="0" w:line="13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8"/>
              <w:spacing w:after="0" w:line="132" w:lineRule="exact"/>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CCEEFF"/>
            </w:tcBorders>
          </w:tcPr>
          <w:p>
            <w:pPr>
              <w:spacing w:after="0"/>
              <w:rPr>
                <w:sz w:val="11"/>
                <w:szCs w:val="11"/>
                <w:color w:val="auto"/>
              </w:rPr>
            </w:pPr>
          </w:p>
        </w:tc>
      </w:tr>
      <w:tr>
        <w:trPr>
          <w:trHeight w:val="195"/>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$1,984,028</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$2,100,000</w:t>
            </w:r>
          </w:p>
        </w:tc>
        <w:tc>
          <w:tcPr>
            <w:tcW w:w="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88,232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103,201</w:t>
            </w:r>
          </w:p>
        </w:tc>
      </w:tr>
      <w:tr>
        <w:trPr>
          <w:trHeight w:val="208"/>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$ 2,072,260</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2,203,201</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96520</wp:posOffset>
            </wp:positionV>
            <wp:extent cx="7239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166" w:lineRule="exact"/>
        <w:rPr>
          <w:sz w:val="20"/>
          <w:szCs w:val="20"/>
          <w:color w:val="auto"/>
        </w:rPr>
      </w:pPr>
    </w:p>
    <w:p>
      <w:pPr>
        <w:ind w:left="860" w:right="260" w:hanging="403"/>
        <w:spacing w:after="0" w:line="258" w:lineRule="auto"/>
        <w:tabs>
          <w:tab w:leader="none" w:pos="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relate to the audit of our annual financial statements, review of interim financial statements, consents and review of documents filed with the SEC.</w:t>
      </w:r>
    </w:p>
    <w:p>
      <w:pPr>
        <w:ind w:left="880" w:right="3540" w:hanging="423"/>
        <w:spacing w:after="0" w:line="506" w:lineRule="auto"/>
        <w:tabs>
          <w:tab w:leader="none" w:pos="87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relate to professional services for corporate tax compliance and tax advisory services. All fees described above were pre-approved by the Audit Committee.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112" w:lineRule="exact"/>
        <w:rPr>
          <w:sz w:val="20"/>
          <w:szCs w:val="20"/>
          <w:color w:val="auto"/>
        </w:rPr>
      </w:pPr>
    </w:p>
    <w:p>
      <w:pPr>
        <w:ind w:left="460" w:right="40" w:firstLine="413"/>
        <w:spacing w:after="0" w:line="254" w:lineRule="auto"/>
        <w:rPr>
          <w:sz w:val="20"/>
          <w:szCs w:val="20"/>
          <w:color w:val="auto"/>
        </w:rPr>
      </w:pPr>
      <w:r>
        <w:rPr>
          <w:rFonts w:ascii="Times New Roman" w:cs="Times New Roman" w:eastAsia="Times New Roman" w:hAnsi="Times New Roman"/>
          <w:sz w:val="17"/>
          <w:szCs w:val="17"/>
          <w:color w:val="auto"/>
        </w:rPr>
        <w:t>Our Audit Committee has adopted a policy and procedures for the pre-approval of audit and non-audit services provided by KPMG LLP. The policy generally permits pre-approval of specified services in the defined categories of audit services, audit-related services, tax services and permitted non-audit services.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780"/>
          </w:cols>
          <w:pgMar w:left="320" w:top="462" w:right="7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460" w:right="120" w:firstLine="413"/>
        <w:spacing w:after="0" w:line="276" w:lineRule="auto"/>
        <w:rPr>
          <w:sz w:val="20"/>
          <w:szCs w:val="20"/>
          <w:color w:val="auto"/>
        </w:rPr>
      </w:pPr>
      <w:r>
        <w:rPr>
          <w:rFonts w:ascii="Times New Roman" w:cs="Times New Roman" w:eastAsia="Times New Roman" w:hAnsi="Times New Roman"/>
          <w:sz w:val="17"/>
          <w:szCs w:val="17"/>
          <w:color w:val="auto"/>
        </w:rPr>
        <w:t>The Audit Committee has determined that the rendering of services other than audit services by KPMG LLP is compatible with maintaining the principal accountant’s independence.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Our Recommendation</w:t>
      </w:r>
    </w:p>
    <w:p>
      <w:pPr>
        <w:spacing w:after="0" w:line="210" w:lineRule="exact"/>
        <w:rPr>
          <w:sz w:val="20"/>
          <w:szCs w:val="20"/>
          <w:color w:val="auto"/>
        </w:rPr>
      </w:pPr>
    </w:p>
    <w:p>
      <w:pPr>
        <w:jc w:val="center"/>
        <w:ind w:left="860"/>
        <w:spacing w:after="0" w:line="281"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RATIFICATION OF THE SELECTION OF KPMG LLP AS OUR INDEPENDENT REGISTERED PUBLIC ACCOUNTING FIRM.</w:t>
      </w:r>
    </w:p>
    <w:p>
      <w:pPr>
        <w:spacing w:after="0" w:line="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700"/>
          </w:cols>
          <w:pgMar w:left="320" w:top="462"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Below we describe transactions since January 1, 2023 to which we were a party or will be a party, in which:</w:t>
      </w:r>
    </w:p>
    <w:p>
      <w:pPr>
        <w:spacing w:after="0" w:line="121" w:lineRule="exact"/>
        <w:rPr>
          <w:sz w:val="20"/>
          <w:szCs w:val="20"/>
          <w:color w:val="auto"/>
        </w:rPr>
      </w:pPr>
    </w:p>
    <w:p>
      <w:pPr>
        <w:ind w:left="1360" w:hanging="396"/>
        <w:spacing w:after="0"/>
        <w:tabs>
          <w:tab w:leader="none" w:pos="13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exceeded or will exceed $120,000; and</w:t>
      </w:r>
    </w:p>
    <w:p>
      <w:pPr>
        <w:spacing w:after="0" w:line="121" w:lineRule="exact"/>
        <w:rPr>
          <w:rFonts w:ascii="Times New Roman" w:cs="Times New Roman" w:eastAsia="Times New Roman" w:hAnsi="Times New Roman"/>
          <w:sz w:val="17"/>
          <w:szCs w:val="17"/>
          <w:color w:val="auto"/>
        </w:rPr>
      </w:pPr>
    </w:p>
    <w:p>
      <w:pPr>
        <w:ind w:left="1360" w:right="260" w:hanging="396"/>
        <w:spacing w:after="0" w:line="262" w:lineRule="auto"/>
        <w:tabs>
          <w:tab w:leader="none" w:pos="13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nominees for election as a director, or beneficial owners of more than 5% of any class of our Class A common stock, or any member of the immediate family of, or person sharing the household with, the foregoing persons, had or will have a direct or indirect interest.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Employment of Director</w:t>
      </w:r>
    </w:p>
    <w:p>
      <w:pPr>
        <w:spacing w:after="0" w:line="112" w:lineRule="exact"/>
        <w:rPr>
          <w:sz w:val="20"/>
          <w:szCs w:val="20"/>
          <w:color w:val="auto"/>
        </w:rPr>
      </w:pPr>
    </w:p>
    <w:p>
      <w:pPr>
        <w:ind w:left="460" w:firstLine="413"/>
        <w:spacing w:after="0" w:line="254" w:lineRule="auto"/>
        <w:rPr>
          <w:sz w:val="20"/>
          <w:szCs w:val="20"/>
          <w:color w:val="auto"/>
        </w:rPr>
      </w:pPr>
      <w:r>
        <w:rPr>
          <w:rFonts w:ascii="Times New Roman" w:cs="Times New Roman" w:eastAsia="Times New Roman" w:hAnsi="Times New Roman"/>
          <w:sz w:val="17"/>
          <w:szCs w:val="17"/>
          <w:color w:val="auto"/>
        </w:rPr>
        <w:t>Laurence Zuriff, our Co-Founder and a member of our board of directors, is currently employed as Managing Director of our Donor Advised Fund. For the year ended December 31, 2023, Mr. Zuriff earned $247,047 in aggregate compensation, consisting of base salary and equity compensation. In April 2024, Mr. Zuriff notified the Board that he will not stand for reelection as a director of Xometry upon expiration of his current term at the Annual Meeting and will resign from the Board and any and all other positions he holds as an officer or director (but not as an employee) with Xometry effective at the Annual Meeting. While he remains employed by Xometry, Mr. Zuriff will be eligible to receive equity awards and benefits on the same general terms and conditions as applicable to employees in similar positions.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12" w:lineRule="exact"/>
        <w:rPr>
          <w:sz w:val="20"/>
          <w:szCs w:val="20"/>
          <w:color w:val="auto"/>
        </w:rPr>
      </w:pPr>
    </w:p>
    <w:p>
      <w:pPr>
        <w:ind w:left="460" w:right="320" w:firstLine="413"/>
        <w:spacing w:after="0" w:line="276" w:lineRule="auto"/>
        <w:rPr>
          <w:sz w:val="20"/>
          <w:szCs w:val="20"/>
          <w:color w:val="auto"/>
        </w:rPr>
      </w:pPr>
      <w:r>
        <w:rPr>
          <w:rFonts w:ascii="Times New Roman" w:cs="Times New Roman" w:eastAsia="Times New Roman" w:hAnsi="Times New Roman"/>
          <w:sz w:val="17"/>
          <w:szCs w:val="17"/>
          <w:color w:val="auto"/>
        </w:rPr>
        <w:t>We have entered into employment agreements with certain of our executive officers. For more information regarding employment agreements with our named executive officers, see the section titled “Executive Compensation.”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Equity Grants to Directors and Executive Officers</w:t>
      </w:r>
    </w:p>
    <w:p>
      <w:pPr>
        <w:spacing w:after="0" w:line="112" w:lineRule="exact"/>
        <w:rPr>
          <w:sz w:val="20"/>
          <w:szCs w:val="20"/>
          <w:color w:val="auto"/>
        </w:rPr>
      </w:pPr>
    </w:p>
    <w:p>
      <w:pPr>
        <w:ind w:left="460" w:right="340" w:firstLine="413"/>
        <w:spacing w:after="0" w:line="262" w:lineRule="auto"/>
        <w:rPr>
          <w:sz w:val="20"/>
          <w:szCs w:val="20"/>
          <w:color w:val="auto"/>
        </w:rPr>
      </w:pPr>
      <w:r>
        <w:rPr>
          <w:rFonts w:ascii="Times New Roman" w:cs="Times New Roman" w:eastAsia="Times New Roman" w:hAnsi="Times New Roman"/>
          <w:sz w:val="17"/>
          <w:szCs w:val="17"/>
          <w:color w:val="auto"/>
        </w:rPr>
        <w:t>We have granted stock options and restricted stock units to certain of our directors and executive officers. For more information regarding the stock options and stock awards granted to our directors and named executive officers, see the sections titled “Executive Compensation” and “Non-Employee Director Compensation.”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12" w:lineRule="exact"/>
        <w:rPr>
          <w:sz w:val="20"/>
          <w:szCs w:val="20"/>
          <w:color w:val="auto"/>
        </w:rPr>
      </w:pPr>
    </w:p>
    <w:p>
      <w:pPr>
        <w:ind w:left="460" w:firstLine="413"/>
        <w:spacing w:after="0" w:line="254"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provides our Board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Policies and Procedures Regarding Transactions with Related Persons</w:t>
      </w:r>
    </w:p>
    <w:p>
      <w:pPr>
        <w:spacing w:after="0" w:line="112" w:lineRule="exact"/>
        <w:rPr>
          <w:sz w:val="20"/>
          <w:szCs w:val="20"/>
          <w:color w:val="auto"/>
        </w:rPr>
      </w:pPr>
    </w:p>
    <w:p>
      <w:pPr>
        <w:ind w:left="460" w:firstLine="413"/>
        <w:spacing w:after="0" w:line="252" w:lineRule="auto"/>
        <w:rPr>
          <w:sz w:val="20"/>
          <w:szCs w:val="20"/>
          <w:color w:val="auto"/>
        </w:rPr>
      </w:pPr>
      <w:r>
        <w:rPr>
          <w:rFonts w:ascii="Times New Roman" w:cs="Times New Roman" w:eastAsia="Times New Roman" w:hAnsi="Times New Roman"/>
          <w:sz w:val="17"/>
          <w:szCs w:val="17"/>
          <w:color w:val="auto"/>
        </w:rPr>
        <w:t>We have adopted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class of our Class A common stock or any member of the immediate family of any of the foregoing persons, in which the amount involved exceeds $120,000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780"/>
          </w:cols>
          <w:pgMar w:left="320" w:top="462" w:right="7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4" w:lineRule="exact"/>
        <w:rPr>
          <w:sz w:val="20"/>
          <w:szCs w:val="20"/>
          <w:color w:val="auto"/>
        </w:rPr>
      </w:pPr>
    </w:p>
    <w:p>
      <w:pPr>
        <w:ind w:left="460" w:right="120" w:firstLine="413"/>
        <w:spacing w:after="0" w:line="262" w:lineRule="auto"/>
        <w:rPr>
          <w:sz w:val="20"/>
          <w:szCs w:val="20"/>
          <w:color w:val="auto"/>
        </w:rPr>
      </w:pPr>
      <w:r>
        <w:rPr>
          <w:rFonts w:ascii="Times New Roman" w:cs="Times New Roman" w:eastAsia="Times New Roman" w:hAnsi="Times New Roman"/>
          <w:sz w:val="17"/>
          <w:szCs w:val="17"/>
          <w:color w:val="auto"/>
        </w:rPr>
        <w:t>The following table sets forth information known to us regarding the beneficial ownership of shares of our Class A common stock as of April 15, 2024, by: (i) each of our named executive officers; (ii) each of our directors; (iii) all of our executive officers and directors as a group; and (iv) each person, or group of affiliated persons, known by us to beneficially own more than 5% of any class of our voting securities.</w:t>
      </w:r>
    </w:p>
    <w:p>
      <w:pPr>
        <w:spacing w:after="0" w:line="170" w:lineRule="exact"/>
        <w:rPr>
          <w:sz w:val="20"/>
          <w:szCs w:val="20"/>
          <w:color w:val="auto"/>
        </w:rPr>
      </w:pPr>
    </w:p>
    <w:p>
      <w:pPr>
        <w:ind w:left="460" w:right="20" w:firstLine="413"/>
        <w:spacing w:after="0" w:line="252" w:lineRule="auto"/>
        <w:rPr>
          <w:sz w:val="20"/>
          <w:szCs w:val="20"/>
          <w:color w:val="auto"/>
        </w:rPr>
      </w:pPr>
      <w:r>
        <w:rPr>
          <w:rFonts w:ascii="Times New Roman" w:cs="Times New Roman" w:eastAsia="Times New Roman" w:hAnsi="Times New Roman"/>
          <w:sz w:val="17"/>
          <w:szCs w:val="17"/>
          <w:color w:val="auto"/>
        </w:rPr>
        <w:t>Information with respect to beneficial ownership is based on information furnished to us by each director, executive officer or stockholder who holds more than 5% of our outstanding Class A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April 15, 2024. Options to purchase shares of our Class A common stock that are exercisable within 60 days of April 15, 2024,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79" w:lineRule="exact"/>
        <w:rPr>
          <w:sz w:val="20"/>
          <w:szCs w:val="20"/>
          <w:color w:val="auto"/>
        </w:rPr>
      </w:pPr>
    </w:p>
    <w:p>
      <w:pPr>
        <w:jc w:val="both"/>
        <w:ind w:left="460" w:right="260" w:firstLine="413"/>
        <w:spacing w:after="0" w:line="262" w:lineRule="auto"/>
        <w:rPr>
          <w:sz w:val="20"/>
          <w:szCs w:val="20"/>
          <w:color w:val="auto"/>
        </w:rPr>
      </w:pPr>
      <w:r>
        <w:rPr>
          <w:rFonts w:ascii="Times New Roman" w:cs="Times New Roman" w:eastAsia="Times New Roman" w:hAnsi="Times New Roman"/>
          <w:sz w:val="17"/>
          <w:szCs w:val="17"/>
          <w:color w:val="auto"/>
        </w:rPr>
        <w:t>We have based our calculation of beneficial ownership on (1) 46,110,467 shares of our Class A common stock and (2) 2,676,154 shares of our Class B common stock outstanding as of April 15, 2024. Unless otherwise indicated, the address for each of the stockholders in the table below is c/o Xometry, Inc., 6116 Executive Boulevard, Suite 800, North Bethesda, Maryland 20852.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80" w:type="dxa"/>
            <w:vAlign w:val="bottom"/>
            <w:gridSpan w:val="4"/>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0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980" w:type="dxa"/>
            <w:vAlign w:val="bottom"/>
            <w:tcBorders>
              <w:top w:val="single" w:sz="8" w:color="auto"/>
            </w:tcBorders>
            <w:gridSpan w:val="2"/>
          </w:tcPr>
          <w:p>
            <w:pPr>
              <w:jc w:val="center"/>
              <w:ind w:right="300"/>
              <w:spacing w:after="0" w:line="10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420" w:type="dxa"/>
            <w:vAlign w:val="bottom"/>
          </w:tcPr>
          <w:p>
            <w:pPr>
              <w:spacing w:after="0"/>
              <w:rPr>
                <w:sz w:val="9"/>
                <w:szCs w:val="9"/>
                <w:color w:val="auto"/>
              </w:rPr>
            </w:pPr>
          </w:p>
        </w:tc>
        <w:tc>
          <w:tcPr>
            <w:tcW w:w="960" w:type="dxa"/>
            <w:vAlign w:val="bottom"/>
            <w:tcBorders>
              <w:top w:val="single" w:sz="8" w:color="auto"/>
            </w:tcBorders>
            <w:gridSpan w:val="2"/>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4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2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22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3140" w:type="dxa"/>
            <w:vAlign w:val="bottom"/>
            <w:vMerge w:val="restart"/>
          </w:tcPr>
          <w:p>
            <w:pPr>
              <w:spacing w:after="0"/>
              <w:rPr>
                <w:sz w:val="12"/>
                <w:szCs w:val="12"/>
                <w:color w:val="auto"/>
              </w:rPr>
            </w:pPr>
          </w:p>
        </w:tc>
        <w:tc>
          <w:tcPr>
            <w:tcW w:w="9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10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960" w:type="dxa"/>
            <w:vAlign w:val="bottom"/>
            <w:gridSpan w:val="2"/>
          </w:tcPr>
          <w:p>
            <w:pPr>
              <w:jc w:val="right"/>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120" w:type="dxa"/>
            <w:vAlign w:val="bottom"/>
            <w:gridSpan w:val="2"/>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7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Power†</w:t>
            </w:r>
          </w:p>
        </w:tc>
        <w:tc>
          <w:tcPr>
            <w:tcW w:w="0" w:type="dxa"/>
            <w:vAlign w:val="bottom"/>
          </w:tcPr>
          <w:p>
            <w:pPr>
              <w:spacing w:after="0"/>
              <w:rPr>
                <w:sz w:val="1"/>
                <w:szCs w:val="1"/>
                <w:color w:val="auto"/>
              </w:rPr>
            </w:pPr>
          </w:p>
        </w:tc>
      </w:tr>
      <w:tr>
        <w:trPr>
          <w:trHeight w:val="163"/>
        </w:trPr>
        <w:tc>
          <w:tcPr>
            <w:tcW w:w="5420" w:type="dxa"/>
            <w:vAlign w:val="bottom"/>
            <w:tcBorders>
              <w:top w:val="single" w:sz="8" w:color="CCEEFF"/>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5% Stockholders:</w:t>
            </w:r>
          </w:p>
        </w:tc>
        <w:tc>
          <w:tcPr>
            <w:tcW w:w="6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Randolph Altschuler(1)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2,705,346</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5.8%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1,475,311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55.1%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32.2%</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Laurence Zuriff(2)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1,981,368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1,200,843</w:t>
            </w:r>
          </w:p>
        </w:tc>
        <w:tc>
          <w:tcPr>
            <w:tcW w:w="7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rPr>
              <w:t>44.9</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26.1</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Entities associated with Brown Capital Management(3)</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8,944,617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PRIMECAP Management Company(4)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6,652,858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Eventide Asset Management, LLC(5)</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5,727,770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Vanguard Group(6)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3,800,370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Entities associated with T. Rowe Price Associates, Inc.(7)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2,711,668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Blackrock, Inc.(8)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2,689,682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FMR LLC(9)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2,479,041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Randolph Altschuler(1)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2,705,346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1,475,311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55.1%</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32.2</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James Rallo(10)</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296,573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Peter Goguen(11)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174,929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Matthew Leibel(12)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181,078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Kathy Mayerhofer(13)</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128,659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Deborah Bial(14)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74,936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Ranjana Clark(15)</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16,105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Emily Rollins(16)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42,645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Fabio Rosati(17)</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127,308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Katharine Weymouth(18)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82,463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8"/>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Laurence Zuriff(2)</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1,981,368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4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1,200,843</w:t>
            </w:r>
          </w:p>
        </w:tc>
        <w:tc>
          <w:tcPr>
            <w:tcW w:w="70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44.9</w:t>
            </w:r>
          </w:p>
        </w:tc>
        <w:tc>
          <w:tcPr>
            <w:tcW w:w="4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26.1</w:t>
            </w: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executive officers and directors as a group (11 persons)(19)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5,514,837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11.7%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2,676,154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100.0%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58.6%</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800"/>
          </w:cols>
          <w:pgMar w:left="320" w:top="462" w:right="7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282575</wp:posOffset>
            </wp:positionV>
            <wp:extent cx="7239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60" w:hanging="403"/>
        <w:spacing w:after="0"/>
        <w:tabs>
          <w:tab w:leader="none" w:pos="8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w:t>
      </w:r>
    </w:p>
    <w:p>
      <w:pPr>
        <w:spacing w:after="0" w:line="23" w:lineRule="exact"/>
        <w:rPr>
          <w:sz w:val="20"/>
          <w:szCs w:val="20"/>
          <w:color w:val="auto"/>
        </w:rPr>
      </w:pPr>
    </w:p>
    <w:p>
      <w:pPr>
        <w:ind w:left="860" w:right="60" w:hanging="403"/>
        <w:spacing w:after="0" w:line="248" w:lineRule="auto"/>
        <w:tabs>
          <w:tab w:leader="none" w:pos="86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Percentage of total voting power represents voting power with respect to all shares of our Class A common stock and Class B common stock, as a single class. The holders of our Class B common stock are entitled to twenty votes per share, and holders of our Class A common stock are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entitled to one vote per share</w:t>
      </w:r>
    </w:p>
    <w:p>
      <w:pPr>
        <w:spacing w:after="0" w:line="7" w:lineRule="exact"/>
        <w:rPr>
          <w:sz w:val="20"/>
          <w:szCs w:val="20"/>
          <w:color w:val="auto"/>
        </w:rPr>
      </w:pPr>
    </w:p>
    <w:p>
      <w:pPr>
        <w:ind w:left="860" w:right="80" w:hanging="403"/>
        <w:spacing w:after="0" w:line="264" w:lineRule="auto"/>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(a)(i) 85,446 shares of Class A common stock held by Mr. Altschuler, (ii) 454,201 shares of Class A common stock underlying vested and outstanding options held by Mr. Altschuler that are or will be exercisable within 60 days of April 15, 2023, (iii) 85,582 shares of Class A common stock held by the 2021 Tigers Trust; (iv) 324,533 shares of Class A common stock held by the Matthew Sladkin Altschuler 2012 Trust;</w:t>
      </w:r>
    </w:p>
    <w:p>
      <w:pPr>
        <w:ind w:left="860" w:right="10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(v) 324,533 shares of Class A common stock held by the Noah Sladkin Altschuler 2012 Trust; (vi) 324,533 shares of Class A common stock held Sasha Sladkin Altschuler 2012 Trust, (vii) 475,248 shares of Class A common stock held by The Altschuler Family Trust (2020) and (viii)</w:t>
      </w:r>
    </w:p>
    <w:p>
      <w:pPr>
        <w:spacing w:after="0" w:line="1" w:lineRule="exact"/>
        <w:rPr>
          <w:rFonts w:ascii="Times New Roman" w:cs="Times New Roman" w:eastAsia="Times New Roman" w:hAnsi="Times New Roman"/>
          <w:sz w:val="16"/>
          <w:szCs w:val="16"/>
          <w:color w:val="auto"/>
        </w:rPr>
      </w:pPr>
    </w:p>
    <w:p>
      <w:pPr>
        <w:ind w:left="860" w:right="86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631,270 shares of Class A common stock held by Mr. Altschuler’s spouse; and (b) 1,475,311 shares of Class B common stock held by Mr. Altschuler.</w:t>
      </w:r>
    </w:p>
    <w:p>
      <w:pPr>
        <w:spacing w:after="0" w:line="1" w:lineRule="exact"/>
        <w:rPr>
          <w:rFonts w:ascii="Times New Roman" w:cs="Times New Roman" w:eastAsia="Times New Roman" w:hAnsi="Times New Roman"/>
          <w:sz w:val="16"/>
          <w:szCs w:val="16"/>
          <w:color w:val="auto"/>
        </w:rPr>
      </w:pPr>
    </w:p>
    <w:p>
      <w:pPr>
        <w:ind w:left="860" w:right="120" w:hanging="403"/>
        <w:spacing w:after="0" w:line="264" w:lineRule="auto"/>
        <w:tabs>
          <w:tab w:leader="none" w:pos="8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(a)(i) 815,394 shares of Class A common stock held directly by Mr. Zuriff, (ii) 137,056 shares of Class A common stock underlying vested and outstanding options held by Mr. Zuriff that are or will be exercisable within 60 days of April 15, 2023, (iii) 288,091 shares of Class A common stock held by the Jason Eric Zuriff Trust; (iv) 288,091 shares of Class A common stock held by the Sophie Anna Zuriff Trust; (vi)</w:t>
      </w:r>
    </w:p>
    <w:p>
      <w:pPr>
        <w:ind w:left="860" w:right="14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287,712 shares of Class A common stock held by the Zuriff Family 2020 Trust; and (v) 165,024 shares of Class A common stock held by ZFI Capital, LP, over which Mr. Zuriff may be deemed to exercise voting and dispositive control; and (b) 1,200,843 shares of Class B common stock held by Mr. Zuriff.</w:t>
      </w:r>
    </w:p>
    <w:p>
      <w:pPr>
        <w:spacing w:after="0" w:line="1" w:lineRule="exact"/>
        <w:rPr>
          <w:rFonts w:ascii="Times New Roman" w:cs="Times New Roman" w:eastAsia="Times New Roman" w:hAnsi="Times New Roman"/>
          <w:sz w:val="16"/>
          <w:szCs w:val="16"/>
          <w:color w:val="auto"/>
        </w:rPr>
      </w:pPr>
    </w:p>
    <w:p>
      <w:pPr>
        <w:ind w:left="860" w:hanging="403"/>
        <w:spacing w:after="0" w:line="248" w:lineRule="auto"/>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13G/A filed on February 14, 2024. Consists of 8,944,617 shares of Class A common stock owned by various investment advisory clients of Brown Capital Management, LLC. Brown Capital Management, LLC and The Brown Capital Management Small Company Fund had sole voting power with respect to 3,684,051 and 2,975,201 shares of our Class A common stock, respectively, and Brown Capital Management, LLC and The Brown Capital Management Small Company Fund had sole dispositive power with respect to 5,969,016 and 2,975,201 shares of our Class A common stock, respectively. The address of the principal business office of the foregoing entities is 1201 N. Calvert Street, Baltimore, Maryland 21202.</w:t>
      </w:r>
    </w:p>
    <w:p>
      <w:pPr>
        <w:spacing w:after="0" w:line="3" w:lineRule="exact"/>
        <w:rPr>
          <w:rFonts w:ascii="Times New Roman" w:cs="Times New Roman" w:eastAsia="Times New Roman" w:hAnsi="Times New Roman"/>
          <w:sz w:val="17"/>
          <w:szCs w:val="17"/>
          <w:color w:val="auto"/>
        </w:rPr>
      </w:pPr>
    </w:p>
    <w:p>
      <w:pPr>
        <w:ind w:left="860" w:right="120" w:hanging="403"/>
        <w:spacing w:after="0" w:line="248" w:lineRule="auto"/>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13G/A filed on February 12, 2024. Consists of 6,652,858 shares of Class A common stock owned by PRIMECAP Management Company. PRIMECAP Management Company had sole voting power with respect to 5,931,843 shares of our Class A common stock and sole dispositive power with respect to 6,652,858 shares of our Class A common stock. The address of PRIMECAP Management Company is 177 E. Colorado Blvd., 11th Floor, Pasadena, California 91105.</w:t>
      </w:r>
    </w:p>
    <w:p>
      <w:pPr>
        <w:spacing w:after="0" w:line="2" w:lineRule="exact"/>
        <w:rPr>
          <w:rFonts w:ascii="Times New Roman" w:cs="Times New Roman" w:eastAsia="Times New Roman" w:hAnsi="Times New Roman"/>
          <w:sz w:val="17"/>
          <w:szCs w:val="17"/>
          <w:color w:val="auto"/>
        </w:rPr>
      </w:pPr>
    </w:p>
    <w:p>
      <w:pPr>
        <w:ind w:left="860" w:right="20" w:hanging="403"/>
        <w:spacing w:after="0" w:line="248" w:lineRule="auto"/>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13G/A filed on February 14, 2024. Consists of 5,727,770 shares of Class A common stock owned by certain registered investment companies and managed accounts for which Eventide Asset Management, LLC acts as investment advisor. Finny Kuruvilla, M.D. Ph. D. and Robin C. John share voting and dispositive power over the shares beneficially owned by Eventide Asset Management, LLC. The address of the principal business office of the foregoing entity and persons is One International Place, Suite 4210, Boston, Massachusetts 02110.</w:t>
      </w:r>
    </w:p>
    <w:p>
      <w:pPr>
        <w:spacing w:after="0" w:line="3" w:lineRule="exact"/>
        <w:rPr>
          <w:rFonts w:ascii="Times New Roman" w:cs="Times New Roman" w:eastAsia="Times New Roman" w:hAnsi="Times New Roman"/>
          <w:sz w:val="17"/>
          <w:szCs w:val="17"/>
          <w:color w:val="auto"/>
        </w:rPr>
      </w:pPr>
    </w:p>
    <w:p>
      <w:pPr>
        <w:ind w:left="860" w:right="120" w:hanging="403"/>
        <w:spacing w:after="0" w:line="248" w:lineRule="auto"/>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13G/A filed on February 13, 2023. Consists of 3,800,370 shares of Class A common stock owned by the Vanguard Group. The Vanguard Group had shared voting power with respect to 26,651 shares of Class A common stock, sole dispositive power with respect to 3,738,464 shares of Class A common stock and shared dispositive power with respect to 61,906 shares of Class A common stock. The address of the principal business office of The Vanguard Group is 100 Vanguard Blvd., Malvern, Pennsylvania 19355.</w:t>
      </w:r>
    </w:p>
    <w:p>
      <w:pPr>
        <w:spacing w:after="0" w:line="2" w:lineRule="exact"/>
        <w:rPr>
          <w:rFonts w:ascii="Times New Roman" w:cs="Times New Roman" w:eastAsia="Times New Roman" w:hAnsi="Times New Roman"/>
          <w:sz w:val="17"/>
          <w:szCs w:val="17"/>
          <w:color w:val="auto"/>
        </w:rPr>
      </w:pPr>
    </w:p>
    <w:p>
      <w:pPr>
        <w:ind w:left="860" w:right="160" w:hanging="403"/>
        <w:spacing w:after="0" w:line="248" w:lineRule="auto"/>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13G/A filed on February 14, 2024. Consists of 2,711,668 shares of Class A common stock owned by T. Rowe Price Associates, Inc. had sole voting power with respect to 568,420 shares of our Class A common stock and sole dispositive power with respect to 2,711,668 shares of our Class A common stock. The address of the principal business office of the foregoing entities is 100 E. Pratt Street, Baltimore, Maryland 21202.</w:t>
      </w:r>
    </w:p>
    <w:p>
      <w:pPr>
        <w:spacing w:after="0" w:line="2" w:lineRule="exact"/>
        <w:rPr>
          <w:rFonts w:ascii="Times New Roman" w:cs="Times New Roman" w:eastAsia="Times New Roman" w:hAnsi="Times New Roman"/>
          <w:sz w:val="17"/>
          <w:szCs w:val="17"/>
          <w:color w:val="auto"/>
        </w:rPr>
      </w:pPr>
    </w:p>
    <w:p>
      <w:pPr>
        <w:ind w:left="860" w:right="160" w:hanging="403"/>
        <w:spacing w:after="0" w:line="257" w:lineRule="auto"/>
        <w:tabs>
          <w:tab w:leader="none" w:pos="8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 filed on January 29, 2024. Consists of 2,689,682 shares of Class A common stock. BlackRock, Inc. had shared voting power with respect to 2,619,596 shares of</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760"/>
          </w:cols>
          <w:pgMar w:left="320" w:top="462" w:right="8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ind w:left="860" w:right="100"/>
        <w:spacing w:after="0" w:line="258" w:lineRule="auto"/>
        <w:rPr>
          <w:sz w:val="20"/>
          <w:szCs w:val="20"/>
          <w:color w:val="auto"/>
        </w:rPr>
      </w:pPr>
      <w:r>
        <w:rPr>
          <w:rFonts w:ascii="Times New Roman" w:cs="Times New Roman" w:eastAsia="Times New Roman" w:hAnsi="Times New Roman"/>
          <w:sz w:val="17"/>
          <w:szCs w:val="17"/>
          <w:color w:val="auto"/>
        </w:rPr>
        <w:t>Class A common stock, sole dispositive power with respect to 2,689,682 shares of Class A common stock of Class A common stock. The address of the principal business office of BlackRock, Inc. is 50 Hudson Yards, New York, New York 10001.</w:t>
      </w:r>
    </w:p>
    <w:p>
      <w:pPr>
        <w:spacing w:after="0" w:line="1" w:lineRule="exact"/>
        <w:rPr>
          <w:sz w:val="20"/>
          <w:szCs w:val="20"/>
          <w:color w:val="auto"/>
        </w:rPr>
      </w:pPr>
    </w:p>
    <w:p>
      <w:pPr>
        <w:ind w:left="86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13G filed on February 8, 2024. Consists of 2,479,041 shares of Class A common stock held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 principal business office of FMR LLC is 245 Summer Street, Boston, Massachusetts 02210.</w:t>
      </w:r>
    </w:p>
    <w:p>
      <w:pPr>
        <w:spacing w:after="0" w:line="5" w:lineRule="exact"/>
        <w:rPr>
          <w:rFonts w:ascii="Times New Roman" w:cs="Times New Roman" w:eastAsia="Times New Roman" w:hAnsi="Times New Roman"/>
          <w:sz w:val="17"/>
          <w:szCs w:val="17"/>
          <w:color w:val="auto"/>
        </w:rPr>
      </w:pPr>
    </w:p>
    <w:p>
      <w:pPr>
        <w:ind w:left="860" w:right="6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12,789 shares of Class A common stock held by Mr. Rallo and (b) 283,784 shares of Class A common stock underlying vested and outstanding options held by Mr. Rallo that are or will be exercisable within 60 days of April 15, 2024. Mr. Rallo retired as our Chief Financial Officer, effective as of March 1, 2024. He is included in this table because he is a named executive officer for the year ended December 31, 2023, but he is not counted for purposes of aggregating beneficial ownership of our executive officers and directors as a group.</w:t>
      </w:r>
    </w:p>
    <w:p>
      <w:pPr>
        <w:spacing w:after="0" w:line="2" w:lineRule="exact"/>
        <w:rPr>
          <w:rFonts w:ascii="Times New Roman" w:cs="Times New Roman" w:eastAsia="Times New Roman" w:hAnsi="Times New Roman"/>
          <w:sz w:val="17"/>
          <w:szCs w:val="17"/>
          <w:color w:val="auto"/>
        </w:rPr>
      </w:pPr>
    </w:p>
    <w:p>
      <w:pPr>
        <w:ind w:left="860" w:right="18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107,719 shares of Class A common stock held by Mr. Goguen and (b) 67,210 shares of Class A common stock underlying vested and outstanding options held by Mr. Goguen that are or will be exercisable within 60 days of April 15, 2024.</w:t>
      </w:r>
    </w:p>
    <w:p>
      <w:pPr>
        <w:spacing w:after="0" w:line="1" w:lineRule="exact"/>
        <w:rPr>
          <w:rFonts w:ascii="Times New Roman" w:cs="Times New Roman" w:eastAsia="Times New Roman" w:hAnsi="Times New Roman"/>
          <w:sz w:val="17"/>
          <w:szCs w:val="17"/>
          <w:color w:val="auto"/>
        </w:rPr>
      </w:pPr>
    </w:p>
    <w:p>
      <w:pPr>
        <w:ind w:left="86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50,542 shares of Class A common stock held by Mr. Leibel and (b) 130,536 shares of Class A common stock underlying vested and outstanding options held by Mr. Leibel that are or will be exercisable within 60 days of April 15, 2024.</w:t>
      </w:r>
    </w:p>
    <w:p>
      <w:pPr>
        <w:spacing w:after="0" w:line="1" w:lineRule="exact"/>
        <w:rPr>
          <w:rFonts w:ascii="Times New Roman" w:cs="Times New Roman" w:eastAsia="Times New Roman" w:hAnsi="Times New Roman"/>
          <w:sz w:val="17"/>
          <w:szCs w:val="17"/>
          <w:color w:val="auto"/>
        </w:rPr>
      </w:pPr>
    </w:p>
    <w:p>
      <w:pPr>
        <w:ind w:left="86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33,544 shares of Class A common stock held by Ms. Mayerhofer and (b) 95,115 shares of Class A common stock underlying vested and outstanding options held by Ms. Mayerhofer that are or will be exercisable within 60 days of April 15, 2024.</w:t>
      </w:r>
    </w:p>
    <w:p>
      <w:pPr>
        <w:spacing w:after="0" w:line="1" w:lineRule="exact"/>
        <w:rPr>
          <w:rFonts w:ascii="Times New Roman" w:cs="Times New Roman" w:eastAsia="Times New Roman" w:hAnsi="Times New Roman"/>
          <w:sz w:val="17"/>
          <w:szCs w:val="17"/>
          <w:color w:val="auto"/>
        </w:rPr>
      </w:pPr>
    </w:p>
    <w:p>
      <w:pPr>
        <w:ind w:left="860" w:right="22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10,770 shares of Class A common stock held by Ms. Bial and (b) 64,166 shares of Class A common stock underlying vested and outstanding options held by Ms. Bial that are or will be exercisable within 60 days of April 15, 2024.</w:t>
      </w:r>
    </w:p>
    <w:p>
      <w:pPr>
        <w:spacing w:after="0" w:line="1" w:lineRule="exact"/>
        <w:rPr>
          <w:rFonts w:ascii="Times New Roman" w:cs="Times New Roman" w:eastAsia="Times New Roman" w:hAnsi="Times New Roman"/>
          <w:sz w:val="17"/>
          <w:szCs w:val="17"/>
          <w:color w:val="auto"/>
        </w:rPr>
      </w:pPr>
    </w:p>
    <w:p>
      <w:pPr>
        <w:ind w:left="860" w:hanging="403"/>
        <w:spacing w:after="0"/>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16,105 shares of Class A common stock held by Ms. Clark.</w:t>
      </w:r>
    </w:p>
    <w:p>
      <w:pPr>
        <w:spacing w:after="0" w:line="7" w:lineRule="exact"/>
        <w:rPr>
          <w:rFonts w:ascii="Times New Roman" w:cs="Times New Roman" w:eastAsia="Times New Roman" w:hAnsi="Times New Roman"/>
          <w:sz w:val="17"/>
          <w:szCs w:val="17"/>
          <w:color w:val="auto"/>
        </w:rPr>
      </w:pPr>
    </w:p>
    <w:p>
      <w:pPr>
        <w:ind w:left="86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10,770 shares of Class A common stock held by Ms. Rollins and (b) 31,875 shares of Class A common stock underlying vested and outstanding options held by Ms. Rollins that are or will be exercisable within 60 days of April 15, 2024.</w:t>
      </w:r>
    </w:p>
    <w:p>
      <w:pPr>
        <w:spacing w:after="0" w:line="1" w:lineRule="exact"/>
        <w:rPr>
          <w:rFonts w:ascii="Times New Roman" w:cs="Times New Roman" w:eastAsia="Times New Roman" w:hAnsi="Times New Roman"/>
          <w:sz w:val="17"/>
          <w:szCs w:val="17"/>
          <w:color w:val="auto"/>
        </w:rPr>
      </w:pPr>
    </w:p>
    <w:p>
      <w:pPr>
        <w:ind w:left="860" w:hanging="403"/>
        <w:spacing w:after="0"/>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127,308 shares of Class A common stock held by Mr. Rosati.</w:t>
      </w:r>
    </w:p>
    <w:p>
      <w:pPr>
        <w:spacing w:after="0" w:line="7" w:lineRule="exact"/>
        <w:rPr>
          <w:rFonts w:ascii="Times New Roman" w:cs="Times New Roman" w:eastAsia="Times New Roman" w:hAnsi="Times New Roman"/>
          <w:sz w:val="17"/>
          <w:szCs w:val="17"/>
          <w:color w:val="auto"/>
        </w:rPr>
      </w:pPr>
    </w:p>
    <w:p>
      <w:pPr>
        <w:ind w:left="860" w:right="40" w:hanging="403"/>
        <w:spacing w:after="0" w:line="248" w:lineRule="auto"/>
        <w:tabs>
          <w:tab w:leader="none" w:pos="8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18,297 shares of Class A common stock held by Ms. Weymouth and (b) 64,166 shares of Class A common stock underlying vested and outstanding options held by Ms. Weymouth that are or will be exercisable within 60 days of April 15, 2024.</w:t>
      </w:r>
    </w:p>
    <w:p>
      <w:pPr>
        <w:spacing w:after="0" w:line="1" w:lineRule="exact"/>
        <w:rPr>
          <w:rFonts w:ascii="Times New Roman" w:cs="Times New Roman" w:eastAsia="Times New Roman" w:hAnsi="Times New Roman"/>
          <w:sz w:val="17"/>
          <w:szCs w:val="17"/>
          <w:color w:val="auto"/>
        </w:rPr>
      </w:pPr>
    </w:p>
    <w:p>
      <w:pPr>
        <w:jc w:val="both"/>
        <w:ind w:left="860" w:right="740" w:hanging="403"/>
        <w:spacing w:after="0" w:line="288" w:lineRule="auto"/>
        <w:tabs>
          <w:tab w:leader="none" w:pos="8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(a)(i) 4,470,512 shares of Class A common stock and (ii) 1,044,325 shares of Class A common stock underlying vested and outstanding options that are or will be exercisable within 60 days of April 15, 2024, and (b) 2,676,154 shares of Class B common stock.</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Delinquent Section 16(a) Reports</w:t>
      </w:r>
    </w:p>
    <w:p>
      <w:pPr>
        <w:spacing w:after="0" w:line="112" w:lineRule="exact"/>
        <w:rPr>
          <w:sz w:val="20"/>
          <w:szCs w:val="20"/>
          <w:color w:val="auto"/>
        </w:rPr>
      </w:pPr>
    </w:p>
    <w:p>
      <w:pPr>
        <w:ind w:left="460" w:right="120" w:firstLine="413"/>
        <w:spacing w:after="0" w:line="258"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executive officers, and persons who own more than 10% of a registered class of our equity securities, to file with the SEC initial reports of ownership and reports of changes in ownership of our Class A common stock and other equity securities. Officers, directors and greater than 10% stockholders are required by SEC regulations to furnish us with copies of all Section 16(a) forms they file.</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780"/>
          </w:cols>
          <w:pgMar w:left="320" w:top="462" w:right="7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9" w:lineRule="exact"/>
        <w:rPr>
          <w:sz w:val="20"/>
          <w:szCs w:val="20"/>
          <w:color w:val="auto"/>
        </w:rPr>
      </w:pPr>
    </w:p>
    <w:p>
      <w:pPr>
        <w:jc w:val="both"/>
        <w:ind w:left="460" w:firstLine="413"/>
        <w:spacing w:after="0" w:line="258" w:lineRule="auto"/>
        <w:rPr>
          <w:sz w:val="20"/>
          <w:szCs w:val="20"/>
          <w:color w:val="auto"/>
        </w:rPr>
      </w:pPr>
      <w:r>
        <w:rPr>
          <w:rFonts w:ascii="Times New Roman" w:cs="Times New Roman" w:eastAsia="Times New Roman" w:hAnsi="Times New Roman"/>
          <w:sz w:val="17"/>
          <w:szCs w:val="17"/>
          <w:color w:val="auto"/>
        </w:rPr>
        <w:t>To our knowledge, based solely on a review of the copies of such reports furnished to us or written representations from certain reporting persons received by us during the year ended December 31, 2023, we believe that our executive officers, directors and greater than 10% beneficial owners have complied with all applicable filing requirements, except for the following: Mr. Goguen filed a Form 4 one day late on March 6, 2023 with respect to two transactions.</w:t>
      </w:r>
    </w:p>
    <w:p>
      <w:pPr>
        <w:spacing w:after="0" w:line="1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760"/>
          </w:cols>
          <w:pgMar w:left="320" w:top="462" w:right="8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14" w:lineRule="exact"/>
        <w:rPr>
          <w:sz w:val="20"/>
          <w:szCs w:val="20"/>
          <w:color w:val="auto"/>
        </w:rPr>
      </w:pPr>
    </w:p>
    <w:p>
      <w:pPr>
        <w:ind w:left="460" w:right="100" w:firstLine="413"/>
        <w:spacing w:after="0" w:line="258"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is commonly referred to as “householding.”</w:t>
      </w:r>
    </w:p>
    <w:p>
      <w:pPr>
        <w:spacing w:after="0" w:line="173" w:lineRule="exact"/>
        <w:rPr>
          <w:sz w:val="20"/>
          <w:szCs w:val="20"/>
          <w:color w:val="auto"/>
        </w:rPr>
      </w:pPr>
    </w:p>
    <w:p>
      <w:pPr>
        <w:ind w:left="460" w:firstLine="413"/>
        <w:spacing w:after="0" w:line="252" w:lineRule="auto"/>
        <w:rPr>
          <w:sz w:val="20"/>
          <w:szCs w:val="20"/>
          <w:color w:val="auto"/>
        </w:rPr>
      </w:pPr>
      <w:r>
        <w:rPr>
          <w:rFonts w:ascii="Times New Roman" w:cs="Times New Roman" w:eastAsia="Times New Roman" w:hAnsi="Times New Roman"/>
          <w:sz w:val="17"/>
          <w:szCs w:val="17"/>
          <w:color w:val="auto"/>
        </w:rPr>
        <w:t>While we do not household mailings to our stockholders of record, a number of brokers with account holders who are our stockholders will likely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We will deliver promptly a separate copy of the proxy statement and annual report to any stockholder who sends a written or oral request to us at c/o Secretary, Xometry, Inc., 6116 Executive Boulevard, Suite 800, North Bethesda, Maryland 20852. Stockholders who currently receive multiple copies of the Notices of Internet Availability of Proxy Materials at their addresses and would like to request “householding” of their communications should contact their brokers.</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740"/>
          </w:cols>
          <w:pgMar w:left="320" w:top="462" w:right="8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8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4" w:lineRule="exact"/>
        <w:rPr>
          <w:sz w:val="20"/>
          <w:szCs w:val="20"/>
          <w:color w:val="auto"/>
        </w:rPr>
      </w:pPr>
    </w:p>
    <w:p>
      <w:pPr>
        <w:ind w:left="460" w:right="40" w:firstLine="413"/>
        <w:spacing w:after="0" w:line="258" w:lineRule="auto"/>
        <w:rPr>
          <w:sz w:val="20"/>
          <w:szCs w:val="20"/>
          <w:color w:val="auto"/>
        </w:rPr>
      </w:pPr>
      <w:r>
        <w:rPr>
          <w:rFonts w:ascii="Times New Roman" w:cs="Times New Roman" w:eastAsia="Times New Roman" w:hAnsi="Times New Roman"/>
          <w:sz w:val="17"/>
          <w:szCs w:val="17"/>
          <w:color w:val="auto"/>
        </w:rPr>
        <w:t>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7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159385</wp:posOffset>
            </wp:positionV>
            <wp:extent cx="1736725" cy="3295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36725" cy="32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Kristie Scott</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i w:val="1"/>
          <w:iCs w:val="1"/>
          <w:color w:val="auto"/>
        </w:rPr>
        <w:t>General Counsel and Secretary</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April 29, 2024</w:t>
      </w:r>
    </w:p>
    <w:p>
      <w:pPr>
        <w:spacing w:after="0" w:line="206" w:lineRule="exact"/>
        <w:rPr>
          <w:sz w:val="20"/>
          <w:szCs w:val="20"/>
          <w:color w:val="auto"/>
        </w:rPr>
      </w:pPr>
    </w:p>
    <w:p>
      <w:pPr>
        <w:ind w:left="46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A copy of our Annual Report on Form 10-K for the fiscal year ended December 31, 2023 is available free of charge at the SEC’s web site at www.sec.gov. Stockholders can also access this proxy statement and our Annual Report on Form 10-K at </w:t>
      </w:r>
      <w:r>
        <w:rPr>
          <w:rFonts w:ascii="Times New Roman" w:cs="Times New Roman" w:eastAsia="Times New Roman" w:hAnsi="Times New Roman"/>
          <w:sz w:val="17"/>
          <w:szCs w:val="17"/>
          <w:b w:val="1"/>
          <w:bCs w:val="1"/>
          <w:i w:val="1"/>
          <w:iCs w:val="1"/>
          <w:color w:val="auto"/>
        </w:rPr>
        <w:t>www.investors.xometry.com</w:t>
      </w:r>
      <w:r>
        <w:rPr>
          <w:rFonts w:ascii="Times New Roman" w:cs="Times New Roman" w:eastAsia="Times New Roman" w:hAnsi="Times New Roman"/>
          <w:sz w:val="17"/>
          <w:szCs w:val="17"/>
          <w:b w:val="1"/>
          <w:bCs w:val="1"/>
          <w:color w:val="auto"/>
        </w:rPr>
        <w:t xml:space="preserve">. A copy of our Annual Report on Form 10-K for the fiscal year ended December 31, 2023 is also available without charge upon written request to our Secretary via email at </w:t>
      </w:r>
      <w:r>
        <w:rPr>
          <w:rFonts w:ascii="Times New Roman" w:cs="Times New Roman" w:eastAsia="Times New Roman" w:hAnsi="Times New Roman"/>
          <w:sz w:val="17"/>
          <w:szCs w:val="17"/>
          <w:b w:val="1"/>
          <w:bCs w:val="1"/>
          <w:i w:val="1"/>
          <w:iCs w:val="1"/>
          <w:color w:val="auto"/>
        </w:rPr>
        <w:t>legal@xometry.com</w:t>
      </w:r>
      <w:r>
        <w:rPr>
          <w:rFonts w:ascii="Times New Roman" w:cs="Times New Roman" w:eastAsia="Times New Roman" w:hAnsi="Times New Roman"/>
          <w:sz w:val="17"/>
          <w:szCs w:val="17"/>
          <w:b w:val="1"/>
          <w:bCs w:val="1"/>
          <w:color w:val="auto"/>
        </w:rPr>
        <w:t>.</w:t>
      </w:r>
    </w:p>
    <w:p>
      <w:pPr>
        <w:spacing w:after="0" w:line="11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700"/>
          </w:cols>
          <w:pgMar w:left="320" w:top="462" w:right="8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201295</wp:posOffset>
            </wp:positionV>
            <wp:extent cx="6910705" cy="9070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10705" cy="907097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201295</wp:posOffset>
            </wp:positionV>
            <wp:extent cx="5966460" cy="7719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6460" cy="771969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201295</wp:posOffset>
            </wp:positionV>
            <wp:extent cx="5966460" cy="77196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6460" cy="771969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201295</wp:posOffset>
            </wp:positionV>
            <wp:extent cx="5966460" cy="7719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771969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52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2485" cy="52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201295</wp:posOffset>
            </wp:positionV>
            <wp:extent cx="5966460" cy="7719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7719695"/>
                    </a:xfrm>
                    <a:prstGeom prst="rect">
                      <a:avLst/>
                    </a:prstGeom>
                    <a:noFill/>
                  </pic:spPr>
                </pic:pic>
              </a:graphicData>
            </a:graphic>
          </wp:anchor>
        </w:drawing>
      </w:r>
    </w:p>
    <w:sectPr>
      <w:pgSz w:w="11900" w:h="16838" w:orient="portrait"/>
      <w:cols w:equalWidth="0" w:num="1">
        <w:col w:w="10139"/>
      </w:cols>
      <w:pgMar w:left="320" w:top="4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lowerRoman"/>
      <w:start w:val="2"/>
    </w:lvl>
    <w:lvl w:ilvl="1">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3"/>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4"/>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decimal"/>
      <w:start w:val="3"/>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decimal"/>
      <w:start w:val="5"/>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2"/>
    </w:lvl>
  </w:abstractNum>
  <w:abstractNum w:abstractNumId="45">
    <w:nsid w:val="3DC240FB"/>
    <w:multiLevelType w:val="hybridMultilevel"/>
    <w:lvl w:ilvl="0">
      <w:lvlJc w:val="left"/>
      <w:lvlText w:val="(%1)"/>
      <w:numFmt w:val="decimal"/>
      <w:start w:val="3"/>
    </w:lvl>
  </w:abstractNum>
  <w:abstractNum w:abstractNumId="46">
    <w:nsid w:val="1BA026FA"/>
    <w:multiLevelType w:val="hybridMultilevel"/>
    <w:lvl w:ilvl="0">
      <w:lvlJc w:val="left"/>
      <w:lvlText w:val="(%1)"/>
      <w:numFmt w:val="decimal"/>
      <w:start w:val="4"/>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2024-04-29T15:26:35Z</dcterms:created>
  <dcterms:modified xsi:type="dcterms:W3CDTF">2024-04-29T15:26:35Z</dcterms:modified>
</cp:coreProperties>
</file>