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Clark Ranjana B</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Xometry,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XMTR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XOMETRY, INC.</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03/15/2022</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7529 STANDISH PLACE, SUITE 200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DERWOOD</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03/15/2022</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2"/>
              </w:rPr>
              <w:t>3,729</w:t>
            </w:r>
            <w:r>
              <w:rPr>
                <w:rFonts w:ascii="Arial" w:cs="Arial" w:eastAsia="Arial" w:hAnsi="Arial"/>
                <w:sz w:val="22"/>
                <w:szCs w:val="22"/>
                <w:color w:val="008000"/>
                <w:w w:val="92"/>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0.00</w:t>
            </w:r>
            <w:r>
              <w:rPr>
                <w:rFonts w:ascii="Arial" w:cs="Arial" w:eastAsia="Arial" w:hAnsi="Arial"/>
                <w:sz w:val="22"/>
                <w:szCs w:val="22"/>
                <w:color w:val="008000"/>
                <w:w w:val="95"/>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6,276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03/15/2022</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2"/>
              </w:rPr>
              <w:t>1,090</w:t>
            </w:r>
            <w:r>
              <w:rPr>
                <w:rFonts w:ascii="Arial" w:cs="Arial" w:eastAsia="Arial" w:hAnsi="Arial"/>
                <w:sz w:val="22"/>
                <w:szCs w:val="22"/>
                <w:color w:val="008000"/>
                <w:w w:val="92"/>
                <w:vertAlign w:val="superscript"/>
              </w:rPr>
              <w:t>(3)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0.00</w:t>
            </w:r>
            <w:r>
              <w:rPr>
                <w:rFonts w:ascii="Arial" w:cs="Arial" w:eastAsia="Arial" w:hAnsi="Arial"/>
                <w:sz w:val="22"/>
                <w:szCs w:val="22"/>
                <w:color w:val="008000"/>
                <w:w w:val="95"/>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7,366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restricted stock unit ("RSU") grant. All of the shares underlying the RSUs will vest on January 1, 2023, subject to the Reporting Person's continuous service.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share of the Class A Common Stock of the Issuer.</w:t>
      </w:r>
    </w:p>
    <w:p>
      <w:pPr>
        <w:spacing w:after="0" w:line="50" w:lineRule="exact"/>
        <w:rPr>
          <w:rFonts w:ascii="Arial" w:cs="Arial" w:eastAsia="Arial" w:hAnsi="Arial"/>
          <w:sz w:val="13"/>
          <w:szCs w:val="13"/>
          <w:color w:val="008000"/>
        </w:rPr>
      </w:pPr>
    </w:p>
    <w:p>
      <w:pPr>
        <w:ind w:left="40" w:right="7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restricted stock unit ("RSU") grant. The shares underlying the RSUs will vest in four equal quarterly installments with the first installment vesting on April 1, 2022, subject to the Reporting Person's continuous service.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4051"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2022-03-17T19:34:57Z</dcterms:created>
  <dcterms:modified xsi:type="dcterms:W3CDTF">2022-03-17T19:34:57Z</dcterms:modified>
</cp:coreProperties>
</file>