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ind w:left="36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-232410</wp:posOffset>
            </wp:positionV>
            <wp:extent cx="128905" cy="128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8"/>
        </w:trPr>
        <w:tc>
          <w:tcPr>
            <w:tcW w:w="624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5243195</wp:posOffset>
            </wp:positionH>
            <wp:positionV relativeFrom="paragraph">
              <wp:posOffset>-615950</wp:posOffset>
            </wp:positionV>
            <wp:extent cx="57785" cy="629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3955415</wp:posOffset>
            </wp:positionH>
            <wp:positionV relativeFrom="paragraph">
              <wp:posOffset>-615950</wp:posOffset>
            </wp:positionV>
            <wp:extent cx="57785" cy="6292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-1662430</wp:posOffset>
            </wp:positionH>
            <wp:positionV relativeFrom="paragraph">
              <wp:posOffset>13335</wp:posOffset>
            </wp:positionV>
            <wp:extent cx="6995795" cy="53536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795" cy="5353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>Rosati Fabio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</w:tcPr>
          <w:p>
            <w:pPr>
              <w:spacing w:after="0" w:line="102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Xometry, Inc.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XMTR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7529 STANDISH PLACE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07/02/2021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SUITE 200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DERWOOD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MD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20855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jc w:val="center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jc w:val="center"/>
              <w:ind w:left="6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center"/>
              <w:ind w:lef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07/02/2021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101,667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442"/>
              <w:spacing w:after="0" w:line="3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center"/>
              <w:ind w:lef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07/02/2021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101,667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101,667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86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81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1.65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07/02/2021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center"/>
              <w:ind w:right="4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  <w:w w:val="71"/>
              </w:rPr>
              <w:t>J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14,524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11/12/2027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14,524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8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  <w:w w:val="94"/>
              </w:rPr>
              <w:t>Stock</w:t>
            </w:r>
            <w:r>
              <w:rPr>
                <w:rFonts w:ascii="Arial" w:cs="Arial" w:eastAsia="Arial" w:hAnsi="Arial"/>
                <w:sz w:val="18"/>
                <w:szCs w:val="18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14,524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1.65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97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07/02/2021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center"/>
              <w:ind w:right="4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  <w:w w:val="71"/>
              </w:rPr>
              <w:t>J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14,524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11/12/2027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right"/>
              <w:ind w:right="223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14,524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-2338070</wp:posOffset>
            </wp:positionV>
            <wp:extent cx="28575" cy="23437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343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Immediately prior to the closing of the Issuer's initial public offering, each share of Common Stock was reclassified into one share of Class A Common Stock in an exempt transaction pursuant to Rule 16b-7.</w:t>
      </w:r>
    </w:p>
    <w:p>
      <w:pPr>
        <w:spacing w:after="0" w:line="52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Vests in 48 equal monthly installments, commencing on November 13, 2017, subject to the Reporting Person's continuous service.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ind w:left="660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/s/ Dorothy Vinsky, Attorney-in- </w:t>
      </w:r>
      <w:r>
        <w:rPr>
          <w:rFonts w:ascii="Arial" w:cs="Arial" w:eastAsia="Arial" w:hAnsi="Arial"/>
          <w:sz w:val="32"/>
          <w:szCs w:val="32"/>
          <w:color w:val="0000FF"/>
          <w:vertAlign w:val="subscript"/>
        </w:rPr>
        <w:t>07/07/2021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-26670</wp:posOffset>
            </wp:positionV>
            <wp:extent cx="13646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6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-14605</wp:posOffset>
            </wp:positionV>
            <wp:extent cx="1803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3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-79375</wp:posOffset>
            </wp:positionV>
            <wp:extent cx="4768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20" w:hanging="1"/>
        <w:spacing w:after="0" w:line="327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69994" TargetMode="External"/><Relationship Id="rId13" Type="http://schemas.openxmlformats.org/officeDocument/2006/relationships/hyperlink" Target="http://www.sec.gov/cgi-bin/browse-edgar?action=getcompany&amp;CIK=00016575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2021-07-07T17:59:51Z</dcterms:created>
  <dcterms:modified xsi:type="dcterms:W3CDTF">2021-07-07T17:59:51Z</dcterms:modified>
</cp:coreProperties>
</file>