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0001870220</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Xometry,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001-40546</w:t>
            </w: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6116 Executive Blvd</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800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North Bethesda</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20852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1-240-335-7914</w:t>
            </w: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Laurence Zuriff</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27000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697680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46888079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Acquired from</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w w:val="99"/>
              </w:rPr>
              <w:t>09/03/2013 issuer in private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27000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09/03/2013 Cash</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transaction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-321945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8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3/4/2024 that is intended to comply with Rule 10b5-1(c). All shares to be sold by ZFI CAPITAL, 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11/06/2024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03/04/2024</w:t>
      </w:r>
    </w:p>
    <w:p>
      <w:pPr>
        <w:spacing w:after="0" w:line="734" w:lineRule="exact"/>
        <w:rPr>
          <w:sz w:val="20"/>
          <w:szCs w:val="20"/>
          <w:color w:val="auto"/>
        </w:rPr>
      </w:pPr>
    </w:p>
    <w:p>
      <w:pPr>
        <w:sectPr>
          <w:pgSz w:w="11900" w:h="16838" w:orient="portrait"/>
          <w:cols w:equalWidth="0" w:num="2">
            <w:col w:w="3120" w:space="140"/>
            <w:col w:w="79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Laurence Zuriff</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2024-11-06T16:08:48Z</dcterms:created>
  <dcterms:modified xsi:type="dcterms:W3CDTF">2024-11-06T16:08:48Z</dcterms:modified>
</cp:coreProperties>
</file>