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18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00" w:lineRule="exact"/>
        <w:rPr>
          <w:sz w:val="24"/>
          <w:szCs w:val="24"/>
          <w:color w:val="auto"/>
        </w:rPr>
      </w:pPr>
    </w:p>
    <w:p>
      <w:pPr>
        <w:spacing w:after="0" w:line="213"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400"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Xometry, Inc.</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COM</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98423F109</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April 30, 2023</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(Date of Event which Requires Filing of this Statement)</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360" w:lineRule="exact"/>
        <w:rPr>
          <w:sz w:val="24"/>
          <w:szCs w:val="24"/>
          <w:color w:val="auto"/>
        </w:rPr>
      </w:pPr>
    </w:p>
    <w:p>
      <w:pPr>
        <w:jc w:val="both"/>
        <w:ind w:left="4660" w:right="4520" w:firstLine="4"/>
        <w:spacing w:after="0" w:line="311" w:lineRule="auto"/>
        <w:tabs>
          <w:tab w:leader="none" w:pos="4955"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297" w:lineRule="exact"/>
        <w:rPr>
          <w:rFonts w:ascii="Arial" w:cs="Arial" w:eastAsia="Arial" w:hAnsi="Arial"/>
          <w:sz w:val="16"/>
          <w:szCs w:val="16"/>
          <w:color w:val="auto"/>
        </w:rPr>
      </w:pPr>
    </w:p>
    <w:p>
      <w:pPr>
        <w:ind w:right="620"/>
        <w:spacing w:after="0" w:line="342" w:lineRule="auto"/>
        <w:rPr>
          <w:rFonts w:ascii="Arial" w:cs="Arial" w:eastAsia="Arial" w:hAnsi="Arial"/>
          <w:sz w:val="16"/>
          <w:szCs w:val="16"/>
          <w:color w:val="auto"/>
        </w:rPr>
      </w:pPr>
      <w:r>
        <w:rPr>
          <w:rFonts w:ascii="Arial" w:cs="Arial" w:eastAsia="Arial" w:hAnsi="Arial"/>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72"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00"/>
          </w:cols>
          <w:pgMar w:left="320" w:top="220" w:right="1079" w:bottom="1440" w:gutter="0" w:footer="0" w:header="0"/>
        </w:sectPr>
      </w:pPr>
    </w:p>
    <w:bookmarkStart w:id="1" w:name="page2"/>
    <w:bookmarkEnd w:id="1"/>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98423F109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5130" cy="4817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48177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7260" w:hanging="380"/>
        <w:spacing w:after="0" w:line="312" w:lineRule="auto"/>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NAME OF REPORTING PERSON </w:t>
      </w:r>
      <w:r>
        <w:rPr>
          <w:rFonts w:ascii="Arial" w:cs="Arial" w:eastAsia="Arial" w:hAnsi="Arial"/>
          <w:sz w:val="17"/>
          <w:szCs w:val="17"/>
          <w:color w:val="auto"/>
        </w:rPr>
        <w:t>PRIMECAP Management Company</w:t>
      </w:r>
    </w:p>
    <w:p>
      <w:pPr>
        <w:spacing w:after="0" w:line="99"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95-3868081</w:t>
      </w:r>
    </w:p>
    <w:p>
      <w:pPr>
        <w:spacing w:after="0" w:line="139" w:lineRule="exact"/>
        <w:rPr>
          <w:sz w:val="20"/>
          <w:szCs w:val="20"/>
          <w:color w:val="auto"/>
        </w:rPr>
      </w:pPr>
    </w:p>
    <w:p>
      <w:pPr>
        <w:ind w:left="620" w:hanging="380"/>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139" w:lineRule="exact"/>
        <w:rPr>
          <w:sz w:val="20"/>
          <w:szCs w:val="20"/>
          <w:color w:val="auto"/>
        </w:rPr>
      </w:pPr>
    </w:p>
    <w:p>
      <w:pPr>
        <w:ind w:left="620" w:hanging="380"/>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5960" w:hanging="380"/>
        <w:spacing w:after="0" w:line="312"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CITIZENSHIP OR PLACE OF ORGANIZATION </w:t>
      </w:r>
      <w:r>
        <w:rPr>
          <w:rFonts w:ascii="Arial" w:cs="Arial" w:eastAsia="Arial" w:hAnsi="Arial"/>
          <w:sz w:val="17"/>
          <w:szCs w:val="17"/>
          <w:color w:val="auto"/>
        </w:rPr>
        <w:t>177 E. Colorado Blvd., 11th Floor, Pasadena, CA 91105</w:t>
      </w:r>
    </w:p>
    <w:tbl>
      <w:tblPr>
        <w:tblLayout w:type="fixed"/>
        <w:tblInd w:w="0" w:type="dxa"/>
        <w:tblCellMar>
          <w:top w:w="0" w:type="dxa"/>
          <w:left w:w="0" w:type="dxa"/>
          <w:bottom w:w="0" w:type="dxa"/>
          <w:right w:w="0" w:type="dxa"/>
        </w:tblCellMar>
      </w:tblPr>
      <w:tr>
        <w:trPr>
          <w:trHeight w:val="272"/>
        </w:trPr>
        <w:tc>
          <w:tcPr>
            <w:tcW w:w="1640" w:type="dxa"/>
            <w:vAlign w:val="bottom"/>
            <w:tcBorders>
              <w:top w:val="single" w:sz="8" w:color="auto"/>
              <w:right w:val="single" w:sz="8" w:color="auto"/>
            </w:tcBorders>
          </w:tcPr>
          <w:p>
            <w:pPr>
              <w:spacing w:after="0"/>
              <w:rPr>
                <w:sz w:val="23"/>
                <w:szCs w:val="23"/>
                <w:color w:val="auto"/>
              </w:rPr>
            </w:pPr>
          </w:p>
        </w:tc>
        <w:tc>
          <w:tcPr>
            <w:tcW w:w="52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right w:val="single" w:sz="8" w:color="auto"/>
            </w:tcBorders>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5,385,330</w:t>
            </w: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6</w:t>
            </w:r>
          </w:p>
        </w:tc>
        <w:tc>
          <w:tcPr>
            <w:tcW w:w="848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spacing w:after="0"/>
              <w:rPr>
                <w:sz w:val="18"/>
                <w:szCs w:val="18"/>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7</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93"/>
        </w:trPr>
        <w:tc>
          <w:tcPr>
            <w:tcW w:w="16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6"/>
                <w:szCs w:val="16"/>
                <w:color w:val="auto"/>
              </w:rPr>
            </w:pPr>
          </w:p>
        </w:tc>
        <w:tc>
          <w:tcPr>
            <w:tcW w:w="8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right w:val="single" w:sz="8" w:color="auto"/>
            </w:tcBorders>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6,111,045</w:t>
            </w: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auto"/>
            </w:tcBorders>
            <w:vMerge w:val="continue"/>
          </w:tcPr>
          <w:p>
            <w:pPr>
              <w:spacing w:after="0"/>
              <w:rPr>
                <w:sz w:val="13"/>
                <w:szCs w:val="13"/>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8</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07"/>
        </w:trPr>
        <w:tc>
          <w:tcPr>
            <w:tcW w:w="164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vMerge w:val="continue"/>
          </w:tcPr>
          <w:p>
            <w:pPr>
              <w:spacing w:after="0"/>
              <w:rPr>
                <w:sz w:val="9"/>
                <w:szCs w:val="9"/>
                <w:color w:val="auto"/>
              </w:rPr>
            </w:pPr>
          </w:p>
        </w:tc>
        <w:tc>
          <w:tcPr>
            <w:tcW w:w="8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080" w:hanging="380"/>
        <w:spacing w:after="0" w:line="282"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6,111,045</w:t>
      </w:r>
    </w:p>
    <w:p>
      <w:pPr>
        <w:spacing w:after="0" w:line="94" w:lineRule="exact"/>
        <w:rPr>
          <w:sz w:val="20"/>
          <w:szCs w:val="20"/>
          <w:color w:val="auto"/>
        </w:rPr>
      </w:pPr>
    </w:p>
    <w:p>
      <w:pPr>
        <w:ind w:left="620" w:right="256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00" w:hanging="422"/>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13.56%</w:t>
      </w:r>
    </w:p>
    <w:p>
      <w:pPr>
        <w:spacing w:after="0" w:line="94" w:lineRule="exact"/>
        <w:rPr>
          <w:rFonts w:ascii="Arial" w:cs="Arial" w:eastAsia="Arial" w:hAnsi="Arial"/>
          <w:sz w:val="18"/>
          <w:szCs w:val="18"/>
          <w:color w:val="auto"/>
        </w:rPr>
      </w:pPr>
    </w:p>
    <w:p>
      <w:pPr>
        <w:ind w:left="620" w:right="734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IA</w:t>
      </w:r>
    </w:p>
    <w:p>
      <w:pPr>
        <w:sectPr>
          <w:pgSz w:w="11900" w:h="16838" w:orient="portrait"/>
          <w:cols w:equalWidth="0" w:num="1">
            <w:col w:w="10640"/>
          </w:cols>
          <w:pgMar w:left="320" w:top="931" w:right="939" w:bottom="1440" w:gutter="0" w:footer="0" w:header="0"/>
        </w:sectPr>
      </w:pPr>
    </w:p>
    <w:bookmarkStart w:id="2" w:name="page3"/>
    <w:bookmarkEnd w:id="2"/>
    <w:p>
      <w:pPr>
        <w:ind w:left="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98423F109</w:t>
      </w:r>
    </w:p>
    <w:p>
      <w:pPr>
        <w:spacing w:after="0" w:line="200" w:lineRule="exact"/>
        <w:rPr>
          <w:sz w:val="20"/>
          <w:szCs w:val="20"/>
          <w:color w:val="auto"/>
        </w:rPr>
      </w:pPr>
    </w:p>
    <w:p>
      <w:pPr>
        <w:spacing w:after="0" w:line="3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NAME OF ISSUER: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Xometry,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6116 Executive Blvd, Suite 800, North Bethesda, MD 20852</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2(a).</w:t>
        <w:tab/>
        <w:t>NAME OF PERSON FILING:</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PRIMECAP Management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177 E. Colorado Blvd., 11th Floor, Pasadena, CA 91105</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2(c).</w:t>
        <w:tab/>
        <w:t>CITIZENSHIP: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U.S.A.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94" w:lineRule="exact"/>
        <w:rPr>
          <w:sz w:val="20"/>
          <w:szCs w:val="20"/>
          <w:color w:val="auto"/>
        </w:rPr>
      </w:pPr>
    </w:p>
    <w:p>
      <w:pPr>
        <w:jc w:val="center"/>
        <w:ind w:right="7900"/>
        <w:spacing w:after="0"/>
        <w:rPr>
          <w:sz w:val="20"/>
          <w:szCs w:val="20"/>
          <w:color w:val="auto"/>
        </w:rPr>
      </w:pPr>
      <w:r>
        <w:rPr>
          <w:rFonts w:ascii="Arial" w:cs="Arial" w:eastAsia="Arial" w:hAnsi="Arial"/>
          <w:sz w:val="18"/>
          <w:szCs w:val="18"/>
          <w:color w:val="auto"/>
        </w:rPr>
        <w:t>COM</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98423F109</w:t>
      </w:r>
    </w:p>
    <w:p>
      <w:pPr>
        <w:spacing w:after="0" w:line="221" w:lineRule="exact"/>
        <w:rPr>
          <w:sz w:val="20"/>
          <w:szCs w:val="20"/>
          <w:color w:val="auto"/>
        </w:rPr>
      </w:pPr>
    </w:p>
    <w:p>
      <w:pPr>
        <w:ind w:left="102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SECTION 240.13d-1(b), or 13d-2(b) or (c) CHECK WHETHER THE PERSON FILING IS A:</w:t>
      </w:r>
    </w:p>
    <w:p>
      <w:pPr>
        <w:spacing w:after="0" w:line="85" w:lineRule="exact"/>
        <w:rPr>
          <w:sz w:val="20"/>
          <w:szCs w:val="20"/>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Broker or dealer registered under Section 15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employee benefit plan or endowment fund in accordance with 240.13d-1(b)(1)(ii)(F);</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parent holding company or control person in accordance with 240.13d-1(b)(1)(ii)(G);</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associations as defined in Section 3(b) of the Federal Deposit Insurance Act (12 U.S.C. 1813);</w:t>
      </w:r>
    </w:p>
    <w:p>
      <w:pPr>
        <w:spacing w:after="0" w:line="144" w:lineRule="exact"/>
        <w:rPr>
          <w:rFonts w:ascii="Arial" w:cs="Arial" w:eastAsia="Arial" w:hAnsi="Arial"/>
          <w:sz w:val="18"/>
          <w:szCs w:val="18"/>
          <w:color w:val="auto"/>
        </w:rPr>
      </w:pPr>
    </w:p>
    <w:p>
      <w:pPr>
        <w:ind w:left="2180" w:right="500" w:hanging="1157"/>
        <w:spacing w:after="0" w:line="277" w:lineRule="auto"/>
        <w:tabs>
          <w:tab w:leader="none" w:pos="1469" w:val="left"/>
        </w:tabs>
        <w:numPr>
          <w:ilvl w:val="0"/>
          <w:numId w:val="8"/>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 of 1940 (15 U.S.C. 80a-3);</w:t>
      </w:r>
    </w:p>
    <w:p>
      <w:pPr>
        <w:spacing w:after="0" w:line="89"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non-U.S. institution in accordance with 240.13d-1(b)(1)(ii)(J);</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240.13d-1(b)(1)(ii)(K). If filing as a non-U.S. institution in accordance with</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240.13d1(b)(1)(ii)(J), please specify the type of institution:</w:t>
      </w:r>
    </w:p>
    <w:p>
      <w:pPr>
        <w:spacing w:after="0" w:line="200" w:lineRule="exact"/>
        <w:rPr>
          <w:sz w:val="20"/>
          <w:szCs w:val="20"/>
          <w:color w:val="auto"/>
        </w:rPr>
      </w:pPr>
    </w:p>
    <w:p>
      <w:pPr>
        <w:spacing w:after="0" w:line="2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279"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(a) Amount beneficially owned:</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6,111,045</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(b) Percent of class:</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13.56%</w:t>
      </w:r>
    </w:p>
    <w:p>
      <w:pPr>
        <w:spacing w:after="0" w:line="140" w:lineRule="exact"/>
        <w:rPr>
          <w:sz w:val="20"/>
          <w:szCs w:val="20"/>
          <w:color w:val="auto"/>
        </w:rPr>
      </w:pPr>
    </w:p>
    <w:p>
      <w:pPr>
        <w:ind w:left="1260" w:hanging="237"/>
        <w:spacing w:after="0"/>
        <w:tabs>
          <w:tab w:leader="none" w:pos="1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148" w:lineRule="exact"/>
        <w:rPr>
          <w:rFonts w:ascii="Arial" w:cs="Arial" w:eastAsia="Arial" w:hAnsi="Arial"/>
          <w:sz w:val="18"/>
          <w:szCs w:val="18"/>
          <w:b w:val="1"/>
          <w:bCs w:val="1"/>
          <w:color w:val="auto"/>
        </w:rPr>
      </w:pPr>
    </w:p>
    <w:p>
      <w:pPr>
        <w:ind w:left="1340" w:right="5980" w:hanging="7"/>
        <w:spacing w:after="0" w:line="406" w:lineRule="auto"/>
        <w:tabs>
          <w:tab w:leader="none" w:pos="1555"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5,385,330</w:t>
      </w:r>
    </w:p>
    <w:p>
      <w:pPr>
        <w:spacing w:after="0" w:line="1" w:lineRule="exact"/>
        <w:rPr>
          <w:rFonts w:ascii="Arial" w:cs="Arial" w:eastAsia="Arial" w:hAnsi="Arial"/>
          <w:sz w:val="18"/>
          <w:szCs w:val="18"/>
          <w:color w:val="auto"/>
        </w:rPr>
      </w:pPr>
    </w:p>
    <w:p>
      <w:pPr>
        <w:ind w:left="1600" w:hanging="267"/>
        <w:spacing w:after="0"/>
        <w:tabs>
          <w:tab w:leader="none" w:pos="160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44"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144" w:lineRule="exact"/>
        <w:rPr>
          <w:rFonts w:ascii="Arial" w:cs="Arial" w:eastAsia="Arial" w:hAnsi="Arial"/>
          <w:sz w:val="18"/>
          <w:szCs w:val="18"/>
          <w:color w:val="auto"/>
        </w:rPr>
      </w:pPr>
    </w:p>
    <w:p>
      <w:pPr>
        <w:ind w:left="1340" w:right="5160" w:hanging="7"/>
        <w:spacing w:after="0" w:line="406" w:lineRule="auto"/>
        <w:tabs>
          <w:tab w:leader="none" w:pos="1655"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direct the disposition of: 6,111,045</w:t>
      </w:r>
    </w:p>
    <w:p>
      <w:pPr>
        <w:spacing w:after="0" w:line="1" w:lineRule="exact"/>
        <w:rPr>
          <w:rFonts w:ascii="Arial" w:cs="Arial" w:eastAsia="Arial" w:hAnsi="Arial"/>
          <w:sz w:val="18"/>
          <w:szCs w:val="18"/>
          <w:color w:val="auto"/>
        </w:rPr>
      </w:pPr>
    </w:p>
    <w:p>
      <w:pPr>
        <w:ind w:left="1640" w:hanging="307"/>
        <w:spacing w:after="0"/>
        <w:tabs>
          <w:tab w:leader="none" w:pos="164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ectPr>
          <w:pgSz w:w="11900" w:h="16838" w:orient="portrait"/>
          <w:cols w:equalWidth="0" w:num="1">
            <w:col w:w="10360"/>
          </w:cols>
          <w:pgMar w:left="400" w:top="931" w:right="1139" w:bottom="0" w:gutter="0" w:footer="0" w:header="0"/>
        </w:sectPr>
      </w:pPr>
    </w:p>
    <w:bookmarkStart w:id="3" w:name="page4"/>
    <w:bookmarkEnd w:id="3"/>
    <w:p>
      <w:pPr>
        <w:ind w:left="1340"/>
        <w:spacing w:after="0"/>
        <w:rPr>
          <w:sz w:val="20"/>
          <w:szCs w:val="20"/>
          <w:color w:val="auto"/>
        </w:rPr>
      </w:pPr>
      <w:r>
        <w:rPr>
          <w:rFonts w:ascii="Arial" w:cs="Arial" w:eastAsia="Arial" w:hAnsi="Arial"/>
          <w:sz w:val="18"/>
          <w:szCs w:val="18"/>
          <w:color w:val="auto"/>
        </w:rPr>
        <w:t>0</w:t>
      </w:r>
    </w:p>
    <w:p>
      <w:pPr>
        <w:spacing w:after="0" w:line="14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94"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94" w:lineRule="exact"/>
        <w:rPr>
          <w:sz w:val="20"/>
          <w:szCs w:val="20"/>
          <w:color w:val="auto"/>
        </w:rPr>
      </w:pPr>
    </w:p>
    <w:p>
      <w:pPr>
        <w:ind w:left="1020"/>
        <w:spacing w:after="0" w:line="259" w:lineRule="auto"/>
        <w:rPr>
          <w:sz w:val="20"/>
          <w:szCs w:val="20"/>
          <w:color w:val="auto"/>
        </w:rPr>
      </w:pPr>
      <w:r>
        <w:rPr>
          <w:rFonts w:ascii="Arial" w:cs="Arial" w:eastAsia="Arial" w:hAnsi="Arial"/>
          <w:sz w:val="18"/>
          <w:szCs w:val="18"/>
          <w:color w:val="auto"/>
        </w:rPr>
        <w:t>Various Persons have the right to receive, or the power to direct the receipt of, dividends from, or proceeds from the sale of, with respect to the securities as to which this Schedule is filed. No one Person here has an interest more than five present of this class of securities except as follows: PRIMECAP Odyssey Growth Fund has an interest of more than five percent of the total outstanding common stock of Xometry, Inc.</w:t>
      </w:r>
    </w:p>
    <w:p>
      <w:pPr>
        <w:spacing w:after="0" w:line="183" w:lineRule="exact"/>
        <w:rPr>
          <w:sz w:val="20"/>
          <w:szCs w:val="20"/>
          <w:color w:val="auto"/>
        </w:rPr>
      </w:pPr>
    </w:p>
    <w:p>
      <w:pPr>
        <w:ind w:left="1020" w:right="26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tab/>
        <w:t>CERTIFICATION:</w:t>
      </w:r>
    </w:p>
    <w:p>
      <w:pPr>
        <w:spacing w:after="0" w:line="94" w:lineRule="exact"/>
        <w:rPr>
          <w:sz w:val="20"/>
          <w:szCs w:val="20"/>
          <w:color w:val="auto"/>
        </w:rPr>
      </w:pPr>
    </w:p>
    <w:p>
      <w:pPr>
        <w:ind w:left="1020" w:right="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440"/>
          </w:cols>
          <w:pgMar w:left="400" w:top="125" w:right="1059" w:bottom="1440" w:gutter="0" w:footer="0" w:header="0"/>
        </w:sectPr>
      </w:pPr>
    </w:p>
    <w:bookmarkStart w:id="4" w:name="page5"/>
    <w:bookmarkEnd w:id="4"/>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98423F109</w:t>
      </w:r>
    </w:p>
    <w:p>
      <w:pPr>
        <w:spacing w:after="0" w:line="200" w:lineRule="exact"/>
        <w:rPr>
          <w:sz w:val="20"/>
          <w:szCs w:val="20"/>
          <w:color w:val="auto"/>
        </w:rPr>
      </w:pPr>
    </w:p>
    <w:p>
      <w:pPr>
        <w:spacing w:after="0" w:line="205"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SIGNATURE</w:t>
      </w:r>
    </w:p>
    <w:p>
      <w:pPr>
        <w:spacing w:after="0" w:line="35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40" w:type="dxa"/>
            <w:vAlign w:val="bottom"/>
          </w:tcPr>
          <w:p>
            <w:pPr>
              <w:spacing w:after="0"/>
              <w:rPr>
                <w:sz w:val="20"/>
                <w:szCs w:val="20"/>
                <w:color w:val="auto"/>
              </w:rPr>
            </w:pPr>
            <w:r>
              <w:rPr>
                <w:rFonts w:ascii="Arial" w:cs="Arial" w:eastAsia="Arial" w:hAnsi="Arial"/>
                <w:sz w:val="16"/>
                <w:szCs w:val="16"/>
                <w:color w:val="auto"/>
              </w:rPr>
              <w:t>May 09 2023</w:t>
            </w:r>
          </w:p>
        </w:tc>
        <w:tc>
          <w:tcPr>
            <w:tcW w:w="6300" w:type="dxa"/>
            <w:vAlign w:val="bottom"/>
            <w:gridSpan w:val="2"/>
          </w:tcPr>
          <w:p>
            <w:pPr>
              <w:ind w:left="1160"/>
              <w:spacing w:after="0"/>
              <w:rPr>
                <w:sz w:val="20"/>
                <w:szCs w:val="20"/>
                <w:color w:val="auto"/>
              </w:rPr>
            </w:pPr>
            <w:r>
              <w:rPr>
                <w:rFonts w:ascii="Arial" w:cs="Arial" w:eastAsia="Arial" w:hAnsi="Arial"/>
                <w:sz w:val="16"/>
                <w:szCs w:val="16"/>
                <w:color w:val="auto"/>
              </w:rPr>
              <w:t>PRIMECAP Management Company</w:t>
            </w:r>
          </w:p>
        </w:tc>
      </w:tr>
      <w:tr>
        <w:trPr>
          <w:trHeight w:val="283"/>
        </w:trPr>
        <w:tc>
          <w:tcPr>
            <w:tcW w:w="2040" w:type="dxa"/>
            <w:vAlign w:val="bottom"/>
          </w:tcPr>
          <w:p>
            <w:pPr>
              <w:spacing w:after="0"/>
              <w:rPr>
                <w:sz w:val="24"/>
                <w:szCs w:val="24"/>
                <w:color w:val="auto"/>
              </w:rPr>
            </w:pPr>
          </w:p>
        </w:tc>
        <w:tc>
          <w:tcPr>
            <w:tcW w:w="1820" w:type="dxa"/>
            <w:vAlign w:val="bottom"/>
          </w:tcPr>
          <w:p>
            <w:pPr>
              <w:ind w:left="1160"/>
              <w:spacing w:after="0"/>
              <w:rPr>
                <w:sz w:val="20"/>
                <w:szCs w:val="20"/>
                <w:color w:val="auto"/>
              </w:rPr>
            </w:pPr>
            <w:r>
              <w:rPr>
                <w:rFonts w:ascii="Arial" w:cs="Arial" w:eastAsia="Arial" w:hAnsi="Arial"/>
                <w:sz w:val="16"/>
                <w:szCs w:val="16"/>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Julietta Martikyan</w:t>
            </w:r>
          </w:p>
        </w:tc>
      </w:tr>
      <w:tr>
        <w:trPr>
          <w:trHeight w:val="278"/>
        </w:trPr>
        <w:tc>
          <w:tcPr>
            <w:tcW w:w="2040" w:type="dxa"/>
            <w:vAlign w:val="bottom"/>
          </w:tcPr>
          <w:p>
            <w:pPr>
              <w:spacing w:after="0"/>
              <w:rPr>
                <w:sz w:val="24"/>
                <w:szCs w:val="24"/>
                <w:color w:val="auto"/>
              </w:rPr>
            </w:pPr>
          </w:p>
        </w:tc>
        <w:tc>
          <w:tcPr>
            <w:tcW w:w="1820" w:type="dxa"/>
            <w:vAlign w:val="bottom"/>
          </w:tcPr>
          <w:p>
            <w:pPr>
              <w:ind w:left="1160"/>
              <w:spacing w:after="0"/>
              <w:rPr>
                <w:sz w:val="20"/>
                <w:szCs w:val="20"/>
                <w:color w:val="auto"/>
              </w:rPr>
            </w:pPr>
            <w:r>
              <w:rPr>
                <w:rFonts w:ascii="Arial" w:cs="Arial" w:eastAsia="Arial" w:hAnsi="Arial"/>
                <w:sz w:val="16"/>
                <w:szCs w:val="16"/>
                <w:color w:val="auto"/>
              </w:rPr>
              <w:t>Name:</w:t>
            </w:r>
          </w:p>
        </w:tc>
        <w:tc>
          <w:tcPr>
            <w:tcW w:w="4480" w:type="dxa"/>
            <w:vAlign w:val="bottom"/>
          </w:tcPr>
          <w:p>
            <w:pPr>
              <w:spacing w:after="0"/>
              <w:rPr>
                <w:sz w:val="20"/>
                <w:szCs w:val="20"/>
                <w:color w:val="auto"/>
              </w:rPr>
            </w:pPr>
            <w:r>
              <w:rPr>
                <w:rFonts w:ascii="Arial" w:cs="Arial" w:eastAsia="Arial" w:hAnsi="Arial"/>
                <w:sz w:val="16"/>
                <w:szCs w:val="16"/>
                <w:color w:val="auto"/>
              </w:rPr>
              <w:t>Julietta Martikyan</w:t>
            </w:r>
          </w:p>
        </w:tc>
      </w:tr>
      <w:tr>
        <w:trPr>
          <w:trHeight w:val="270"/>
        </w:trPr>
        <w:tc>
          <w:tcPr>
            <w:tcW w:w="2040" w:type="dxa"/>
            <w:vAlign w:val="bottom"/>
          </w:tcPr>
          <w:p>
            <w:pPr>
              <w:spacing w:after="0"/>
              <w:rPr>
                <w:sz w:val="23"/>
                <w:szCs w:val="23"/>
                <w:color w:val="auto"/>
              </w:rPr>
            </w:pPr>
          </w:p>
        </w:tc>
        <w:tc>
          <w:tcPr>
            <w:tcW w:w="1820" w:type="dxa"/>
            <w:vAlign w:val="bottom"/>
          </w:tcPr>
          <w:p>
            <w:pPr>
              <w:ind w:left="1160"/>
              <w:spacing w:after="0"/>
              <w:rPr>
                <w:sz w:val="20"/>
                <w:szCs w:val="20"/>
                <w:color w:val="auto"/>
              </w:rPr>
            </w:pPr>
            <w:r>
              <w:rPr>
                <w:rFonts w:ascii="Arial" w:cs="Arial" w:eastAsia="Arial" w:hAnsi="Arial"/>
                <w:sz w:val="16"/>
                <w:szCs w:val="16"/>
                <w:color w:val="auto"/>
              </w:rPr>
              <w:t>Title:</w:t>
            </w:r>
          </w:p>
        </w:tc>
        <w:tc>
          <w:tcPr>
            <w:tcW w:w="4480" w:type="dxa"/>
            <w:vAlign w:val="bottom"/>
          </w:tcPr>
          <w:p>
            <w:pPr>
              <w:spacing w:after="0"/>
              <w:rPr>
                <w:sz w:val="20"/>
                <w:szCs w:val="20"/>
                <w:color w:val="auto"/>
              </w:rPr>
            </w:pPr>
            <w:r>
              <w:rPr>
                <w:rFonts w:ascii="Arial" w:cs="Arial" w:eastAsia="Arial" w:hAnsi="Arial"/>
                <w:sz w:val="16"/>
                <w:szCs w:val="16"/>
                <w:color w:val="auto"/>
              </w:rPr>
              <w:t>Director of Compliance and Administration</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Attention — Intentional misstatements or omissions of fact constitute Federal criminal violations (See 18 U.S.C. 1001).</w:t>
      </w:r>
    </w:p>
    <w:sectPr>
      <w:pgSz w:w="11900" w:h="16838" w:orient="portrait"/>
      <w:cols w:equalWidth="0" w:num="1">
        <w:col w:w="10139"/>
      </w:cols>
      <w:pgMar w:left="32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2]"/>
      <w:numFmt w:val="upperLetter"/>
      <w:start w:val="24"/>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2"/>
      <w:numFmt w:val="bullet"/>
      <w:start w:val="1"/>
    </w:lvl>
    <w:lvl w:ilvl="1">
      <w:lvlJc w:val="left"/>
      <w:lvlText w:val="(%2)"/>
      <w:numFmt w:val="lowerLetter"/>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4"/>
      <w:numFmt w:val="bullet"/>
      <w:start w:val="1"/>
    </w:lvl>
  </w:abstractNum>
  <w:abstractNum w:abstractNumId="5">
    <w:nsid w:val="79E2A9E3"/>
    <w:multiLevelType w:val="hybridMultilevel"/>
    <w:lvl w:ilvl="0">
      <w:lvlJc w:val="left"/>
      <w:lvlText w:val="9"/>
      <w:numFmt w:val="bullet"/>
      <w:start w:val="1"/>
    </w:lvl>
  </w:abstractNum>
  <w:abstractNum w:abstractNumId="6">
    <w:nsid w:val="7545E146"/>
    <w:multiLevelType w:val="hybridMultilevel"/>
    <w:lvl w:ilvl="0">
      <w:lvlJc w:val="left"/>
      <w:lvlText w:val="%1"/>
      <w:numFmt w:val="decimal"/>
      <w:start w:val="10"/>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2023-05-09T15:37:36Z</dcterms:created>
  <dcterms:modified xsi:type="dcterms:W3CDTF">2023-05-09T15:37:36Z</dcterms:modified>
</cp:coreProperties>
</file>