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9"/>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6116 Executive Blvd, Suite 800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As previously reported, on April 8, 2024, Laurence Zuriff notified the Board of Directors (the “Board”) of Xometry, Inc. (the “Company”) that he would not stand for reelection as a director of the Company upon the expiration of his term, which expired at the Company’s 2024 Annual Meeting of Stockholders on June 18, 2024.</w:t>
      </w:r>
    </w:p>
    <w:p>
      <w:pPr>
        <w:spacing w:after="0" w:line="176"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Pursuant to Article IV, Section D, Subsection 7(c) of the Company’s Amended and Restated Certificate of Incorporation (the “Certificate”), 1,200,843 shares of the Company’s Class B common stock, par value $0.000001 per share (“Class B Common Stock”) held by Mr. Zuriff automatically converted (the “Conversion”) into 1,200,843 fully paid and nonassessable shares of the Company’s Class A Common Stock, par value $0.000001 (“Class A Common Stock”) on December 12, 2024, which date was fixed by the Board pursuant to the Certificate. The Conversion occurred automatically and without any action on the part of Mr. Zuriff. The Company does not expect the Conversion to have any material effect on its operations.</w:t>
      </w:r>
    </w:p>
    <w:p>
      <w:pPr>
        <w:spacing w:after="0" w:line="183" w:lineRule="exact"/>
        <w:rPr>
          <w:sz w:val="20"/>
          <w:szCs w:val="20"/>
          <w:color w:val="auto"/>
        </w:rPr>
      </w:pPr>
    </w:p>
    <w:p>
      <w:pPr>
        <w:jc w:val="both"/>
        <w:ind w:firstLine="644"/>
        <w:spacing w:after="0" w:line="282" w:lineRule="auto"/>
        <w:rPr>
          <w:sz w:val="20"/>
          <w:szCs w:val="20"/>
          <w:color w:val="auto"/>
        </w:rPr>
      </w:pPr>
      <w:r>
        <w:rPr>
          <w:rFonts w:ascii="Times New Roman" w:cs="Times New Roman" w:eastAsia="Times New Roman" w:hAnsi="Times New Roman"/>
          <w:sz w:val="18"/>
          <w:szCs w:val="18"/>
          <w:color w:val="auto"/>
        </w:rPr>
        <w:t>Immediately following the Conversion, the remaining 1,475,311 shares of the Company’s Class B Common Stock outstanding were held by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2024-12-12T15:30:53Z</dcterms:created>
  <dcterms:modified xsi:type="dcterms:W3CDTF">2024-12-12T15:30:53Z</dcterms:modified>
</cp:coreProperties>
</file>