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225425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249555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North Bethesda, Maryland</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255905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2"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6"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On February 29, 2024, Xometry, Inc. (the “Company”) issued a press release announcing its fourth quarter and full year ended December 31, 2023 financial results. A copy of the press release is furnished as Exhibit 99.1 to this report.</w:t>
      </w:r>
    </w:p>
    <w:p>
      <w:pPr>
        <w:spacing w:after="0" w:line="15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8" w:lineRule="exact"/>
        <w:rPr>
          <w:sz w:val="20"/>
          <w:szCs w:val="20"/>
          <w:color w:val="auto"/>
        </w:rPr>
      </w:pPr>
    </w:p>
    <w:p>
      <w:pPr>
        <w:ind w:right="60" w:firstLine="644"/>
        <w:spacing w:after="0" w:line="280" w:lineRule="auto"/>
        <w:rPr>
          <w:sz w:val="20"/>
          <w:szCs w:val="20"/>
          <w:color w:val="auto"/>
        </w:rPr>
      </w:pPr>
      <w:r>
        <w:rPr>
          <w:rFonts w:ascii="Times New Roman" w:cs="Times New Roman" w:eastAsia="Times New Roman" w:hAnsi="Times New Roman"/>
          <w:sz w:val="17"/>
          <w:szCs w:val="17"/>
          <w:color w:val="auto"/>
        </w:rPr>
        <w:t>On February 29, 2024, the Company announced that James Miln has been appointed to serve as the Company’s Chief Financial Officer, principal financial officer and principal accounting officer, effective as of March 1, 2024 (the “Effective Date”). Mr. Miln will succeed James Rallo, who notified the Company of his decision to retire from his position as the Company’s Chief Financial Officer on February 26, 2024, effective as of the Effective Date. To assist in the transition to Mr. Miln, Mr. Rallo will continue serving as an employee of the Company for a period of up to 60 days from the Effective Date.</w:t>
      </w:r>
    </w:p>
    <w:p>
      <w:pPr>
        <w:spacing w:after="0" w:line="166"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Mr. Miln, age 50, served in various roles at Yelp Inc. (“Yelp”) from February 2019 to February 2024, including most recently as its Senior Vice President, Finance and Investor Relations from January 2021 to February 2024. Mr. Miln also served as Yelp’s Vice President, Financial Planning and Analysis, from February 2019 to January 2021, and as Yelp’s Interim Chief Financial Officer from September 2019 to February 2020. Prior to joining Yelp, Mr. Miln served as Senior Director, Investor Relations at eBay Inc. from August 2017 to January 2019. From May 2011 to July 2017, Mr. Miln held various positions at Yahoo Inc., including Senior Finance Director, Global Product Group (May 2011 to May 2012); Senior Finance Director, Global Revenue Planning, Reporting &amp; Analysis (June 2012 to June 2014); and Senior Director, Investor Relations (July 2014 to July 2017, serving as department head from October 2016 to July 2017). Mr. Miln also served in various roles in Yahoo Inc.’s European business from 2007 until April 2011. Mr. Miln is a Chartered Management Accountant (ACMA, CGMA), holds the Investor Relations Charter and earned a B.A. in Classics from Cambridge University, England.</w:t>
      </w:r>
    </w:p>
    <w:p>
      <w:pPr>
        <w:spacing w:after="0" w:line="186"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In connection with his appointment as our Chief Financial Officer, Mr. Miln has entered into an employment agreement with the Company, dated December 14, 2023 (the “Employment Agreement”). Pursuant to the Employment Agreement, Mr. Miln will receive an initial base salary of $425,000, a one-time sign-on bonus of $125,000 and an annual discretionary bonus with a target amount equal to 65% of his annual base salary. Within 30 days of the Effective Date, Mr. Miln will be granted an initial equity award of restricted stock units (“RSUs”) under the Company’s 2021 Equity Incentive Plan (the “Plan”) with an aggregate value of $1,750,000 (the “Initial RSU Award”) on the date of grant (the “Grant Date”), based on the trading-day average share price on the Nasdaq Global Select Market (“Nasdaq”) for the 20-trading-day period ending on the day prior to the Grant Date. The Initial RSU Award will vest over three years with 60% of the total shares subject to the award vesting on the first anniversary of the Effective Date, 30% of the total shares subject to the award vesting on the second anniversary of the Effective Date, and 10% of the total shares subject to the award vesting on the third anniversary of the Effective Date, in each case subject to Mr. Miln’s continued service with the Company through such vesting date. Mr. Miln will also be granted equity in a combination of RSUs and/or performance stock units under the Plan with an aggregate value of $1,750,000 (the “Refresh Award”) on the Grant Date, based on the trading-day average share price on Nasdaq for the 20-trading-day period ending on the day prior to the Grant Date. The vesting and other terms for the Refresh Award will be substantively consistent with such terms as applicable to the annual equity grants made to the Company’s other executive officers.</w:t>
      </w:r>
    </w:p>
    <w:p>
      <w:pPr>
        <w:spacing w:after="0" w:line="195"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Pursuant to the Employment Agreement, Mr. Miln is also entitled to certain payments and benefits upon a qualifying termination of employment or a Change in Control (as defined in the Plan). If we terminate Mr. Miln’s employment without Cause or Mr. Miln resigns for Good Reason (each as defined in the Employment Agreement), in either case outside of the period beginning three months prior to and ending twelve months after a Change in Control (such period, the “Change In Control Measurement Period”), then he will be eligible to receive the following severance benefits: (1) twelve months of base salary, less applicable tax withholdings and paid in accordance with our regular payroll practices; (2) an amount equal to Mr. Miln’s prorated annual performance bonus for the calendar year in which the termination occurs, calculated based on the number of days Mr. Miln was employed during the applicable calendar year, less applicable tax withholdings; and (3) up to twelve months of the employer portion of COBRA premiums paid by us. In addition, if we terminate Mr. Miln’s employment without Cause or Mr. Miln resigns for Good Reason within the Change In Control Measurement Period, then, in addition to the foregoing benefits, (1) Mr. Miln will also be eligible to receive an amount equal to 100% of his target annual performance bonus for the calendar year in which the termination occurs, less applicable tax withholdings; (2) all of the outstanding and unvested time-based equity awards held by Mr. Miln immediately prior to the termination date will become fully vested and immediately exercisable; and (3) all of the outstanding and unvested performance-based equity awards held by Mr. Miln immediately prior to the termination date will become fully vested and immediately exercisable as if the performance metrics were achieved at 100%. As a condition to receiving the severance benefits set forth above, Mr. Miln must sign and comply with a separation agreement in a form presented by us, containing among other terms a general release of claims.</w:t>
      </w:r>
    </w:p>
    <w:p>
      <w:pPr>
        <w:spacing w:after="0" w:line="194" w:lineRule="exact"/>
        <w:rPr>
          <w:sz w:val="20"/>
          <w:szCs w:val="20"/>
          <w:color w:val="auto"/>
        </w:rPr>
      </w:pPr>
    </w:p>
    <w:p>
      <w:pPr>
        <w:ind w:right="440" w:firstLine="644"/>
        <w:spacing w:after="0" w:line="281" w:lineRule="auto"/>
        <w:rPr>
          <w:sz w:val="20"/>
          <w:szCs w:val="20"/>
          <w:color w:val="auto"/>
        </w:rPr>
      </w:pPr>
      <w:r>
        <w:rPr>
          <w:rFonts w:ascii="Times New Roman" w:cs="Times New Roman" w:eastAsia="Times New Roman" w:hAnsi="Times New Roman"/>
          <w:sz w:val="18"/>
          <w:szCs w:val="18"/>
          <w:color w:val="auto"/>
        </w:rPr>
        <w:t>There is no arrangement or understanding between Mr. Miln and any other person pursuant to which he was selected as the Company’s Chief Financial Officer, and there is no family relationship between Mr. Miln and any of the Company’s other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ind w:right="260"/>
        <w:spacing w:after="0" w:line="281" w:lineRule="auto"/>
        <w:rPr>
          <w:sz w:val="20"/>
          <w:szCs w:val="20"/>
          <w:color w:val="auto"/>
        </w:rPr>
      </w:pPr>
      <w:r>
        <w:rPr>
          <w:rFonts w:ascii="Times New Roman" w:cs="Times New Roman" w:eastAsia="Times New Roman" w:hAnsi="Times New Roman"/>
          <w:sz w:val="18"/>
          <w:szCs w:val="18"/>
          <w:color w:val="auto"/>
        </w:rPr>
        <w:t>officers or directors. Other than with respect to the Employment Agreement, there are no transactions between Mr. Miln and the Company that would be required to be reported under Item 404(a) of Regulation S-K.</w:t>
      </w:r>
    </w:p>
    <w:p>
      <w:pPr>
        <w:spacing w:after="0" w:line="163" w:lineRule="exact"/>
        <w:rPr>
          <w:sz w:val="20"/>
          <w:szCs w:val="20"/>
          <w:color w:val="auto"/>
        </w:rPr>
      </w:pPr>
    </w:p>
    <w:p>
      <w:pPr>
        <w:ind w:right="100" w:firstLine="644"/>
        <w:spacing w:after="0" w:line="260" w:lineRule="auto"/>
        <w:rPr>
          <w:sz w:val="20"/>
          <w:szCs w:val="20"/>
          <w:color w:val="auto"/>
        </w:rPr>
      </w:pPr>
      <w:r>
        <w:rPr>
          <w:rFonts w:ascii="Times New Roman" w:cs="Times New Roman" w:eastAsia="Times New Roman" w:hAnsi="Times New Roman"/>
          <w:sz w:val="18"/>
          <w:szCs w:val="18"/>
          <w:color w:val="auto"/>
        </w:rPr>
        <w:t>In connection with his appointment as Chief Financial Officer, Mr. Miln and the Company will enter into the Company’s standard form of indemnification agreement, a copy of which was filed as Exhibit 10.15 to the Company’s Registration Statement on Form S-1 (File No. 333-256769), which requires the Company to indemnify Mr. Miln, to the fullest extent permitted by Delaware law, for certain liabilities to which he may become subject as a result of his affiliation with the Company.</w:t>
      </w:r>
    </w:p>
    <w:p>
      <w:pPr>
        <w:spacing w:after="0" w:line="182" w:lineRule="exact"/>
        <w:rPr>
          <w:sz w:val="20"/>
          <w:szCs w:val="20"/>
          <w:color w:val="auto"/>
        </w:rPr>
      </w:pPr>
    </w:p>
    <w:p>
      <w:pPr>
        <w:ind w:right="160" w:firstLine="644"/>
        <w:spacing w:after="0" w:line="265" w:lineRule="auto"/>
        <w:rPr>
          <w:sz w:val="20"/>
          <w:szCs w:val="20"/>
          <w:color w:val="auto"/>
        </w:rPr>
      </w:pPr>
      <w:r>
        <w:rPr>
          <w:rFonts w:ascii="Times New Roman" w:cs="Times New Roman" w:eastAsia="Times New Roman" w:hAnsi="Times New Roman"/>
          <w:sz w:val="18"/>
          <w:szCs w:val="18"/>
          <w:color w:val="auto"/>
        </w:rPr>
        <w:t>The foregoing description of the Employment Agreement does not purport to be complete and is subject to, and qualified in its entirety by, the complete text of the Employment Agreement, a copy of which the Company expects to file with its Quarterly Report on Form 10-Q for the quarter ending March 31, 2024, and upon filing will be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40" w:firstLine="644"/>
        <w:spacing w:after="0" w:line="281" w:lineRule="auto"/>
        <w:rPr>
          <w:sz w:val="20"/>
          <w:szCs w:val="20"/>
          <w:color w:val="auto"/>
        </w:rPr>
      </w:pPr>
      <w:r>
        <w:rPr>
          <w:rFonts w:ascii="Times New Roman" w:cs="Times New Roman" w:eastAsia="Times New Roman" w:hAnsi="Times New Roman"/>
          <w:sz w:val="18"/>
          <w:szCs w:val="18"/>
          <w:color w:val="auto"/>
        </w:rPr>
        <w:t>On February 29, 2024, the Company issued a press release announcing the appointment of Mr. Miln as the Company’s Chief Financial Officer. A copy of the press release is furnished as Exhibit 99.2 to this Current Report on Form 8-K.</w:t>
      </w:r>
    </w:p>
    <w:p>
      <w:pPr>
        <w:spacing w:after="0" w:line="163" w:lineRule="exact"/>
        <w:rPr>
          <w:sz w:val="20"/>
          <w:szCs w:val="20"/>
          <w:color w:val="auto"/>
        </w:rPr>
      </w:pPr>
    </w:p>
    <w:p>
      <w:pPr>
        <w:ind w:right="40" w:firstLine="644"/>
        <w:spacing w:after="0" w:line="260" w:lineRule="auto"/>
        <w:rPr>
          <w:sz w:val="20"/>
          <w:szCs w:val="20"/>
          <w:color w:val="auto"/>
        </w:rPr>
      </w:pPr>
      <w:r>
        <w:rPr>
          <w:rFonts w:ascii="Times New Roman" w:cs="Times New Roman" w:eastAsia="Times New Roman" w:hAnsi="Times New Roman"/>
          <w:sz w:val="18"/>
          <w:szCs w:val="18"/>
          <w:color w:val="auto"/>
        </w:rPr>
        <w:t>The information set forth under Items 2.02 and 7.01 and in the accompanying Exhibits 99.1 and 99.2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319"/>
        </w:trPr>
        <w:tc>
          <w:tcPr>
            <w:tcW w:w="180" w:type="dxa"/>
            <w:vAlign w:val="bottom"/>
          </w:tcPr>
          <w:p>
            <w:pPr>
              <w:spacing w:after="0"/>
              <w:rPr>
                <w:sz w:val="24"/>
                <w:szCs w:val="24"/>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0" w:type="dxa"/>
            <w:vAlign w:val="bottom"/>
          </w:tcPr>
          <w:p>
            <w:pPr>
              <w:spacing w:after="0"/>
              <w:rPr>
                <w:sz w:val="16"/>
                <w:szCs w:val="16"/>
                <w:color w:val="auto"/>
              </w:rPr>
            </w:pPr>
          </w:p>
        </w:tc>
        <w:tc>
          <w:tcPr>
            <w:tcW w:w="3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82"/>
              </w:rPr>
              <w:t>99.</w:t>
            </w:r>
            <w:r>
              <w:rPr>
                <w:rFonts w:ascii="Times New Roman" w:cs="Times New Roman" w:eastAsia="Times New Roman" w:hAnsi="Times New Roman"/>
                <w:sz w:val="18"/>
                <w:szCs w:val="18"/>
                <w:u w:val="single" w:color="auto"/>
                <w:color w:val="0000FF"/>
                <w:w w:val="82"/>
              </w:rPr>
              <w:t>1</w:t>
            </w:r>
          </w:p>
        </w:tc>
        <w:tc>
          <w:tcPr>
            <w:tcW w:w="3180" w:type="dxa"/>
            <w:vAlign w:val="bottom"/>
          </w:tcPr>
          <w:p>
            <w:pPr>
              <w:spacing w:after="0"/>
              <w:rPr>
                <w:sz w:val="16"/>
                <w:szCs w:val="16"/>
                <w:color w:val="auto"/>
              </w:rPr>
            </w:pPr>
          </w:p>
        </w:tc>
        <w:tc>
          <w:tcPr>
            <w:tcW w:w="756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February 29, 2024.</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2"/>
              </w:rPr>
              <w:t>99.</w:t>
            </w:r>
            <w:r>
              <w:rPr>
                <w:rFonts w:ascii="Times New Roman" w:cs="Times New Roman" w:eastAsia="Times New Roman" w:hAnsi="Times New Roman"/>
                <w:sz w:val="18"/>
                <w:szCs w:val="18"/>
                <w:u w:val="single" w:color="auto"/>
                <w:color w:val="0000FF"/>
                <w:w w:val="82"/>
              </w:rPr>
              <w:t>2</w:t>
            </w:r>
          </w:p>
        </w:tc>
        <w:tc>
          <w:tcPr>
            <w:tcW w:w="3180" w:type="dxa"/>
            <w:vAlign w:val="bottom"/>
          </w:tcPr>
          <w:p>
            <w:pPr>
              <w:spacing w:after="0"/>
              <w:rPr>
                <w:sz w:val="18"/>
                <w:szCs w:val="18"/>
                <w:color w:val="auto"/>
              </w:rPr>
            </w:pP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Press Release of Xometry, Inc. issued on February 29, 2024.</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104</w:t>
            </w:r>
          </w:p>
        </w:tc>
        <w:tc>
          <w:tcPr>
            <w:tcW w:w="3180" w:type="dxa"/>
            <w:vAlign w:val="bottom"/>
          </w:tcPr>
          <w:p>
            <w:pPr>
              <w:spacing w:after="0"/>
              <w:rPr>
                <w:sz w:val="21"/>
                <w:szCs w:val="21"/>
                <w:color w:val="auto"/>
              </w:rPr>
            </w:pP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1"/>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February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26035</wp:posOffset>
            </wp:positionV>
            <wp:extent cx="327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Fourth Quarter and Full Year 2023 Results</w:t>
      </w:r>
    </w:p>
    <w:p>
      <w:pPr>
        <w:spacing w:after="0" w:line="197" w:lineRule="exact"/>
        <w:rPr>
          <w:sz w:val="20"/>
          <w:szCs w:val="20"/>
          <w:color w:val="auto"/>
        </w:rPr>
      </w:pPr>
    </w:p>
    <w:p>
      <w:pPr>
        <w:ind w:left="1020" w:right="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revenue increased 31% year-over-year to $128 million driven by strong, accelerated marketplace growth of 42% year-over-year. Supplier services revenue decreased 15% year-over-year primarily due to the approximate $2 million year-over-year impact from the discontinuation of the sale of tools and materials.</w:t>
      </w:r>
    </w:p>
    <w:p>
      <w:pPr>
        <w:spacing w:after="0" w:line="64" w:lineRule="exact"/>
        <w:rPr>
          <w:rFonts w:ascii="Times New Roman" w:cs="Times New Roman" w:eastAsia="Times New Roman" w:hAnsi="Times New Roman"/>
          <w:sz w:val="20"/>
          <w:szCs w:val="20"/>
          <w:color w:val="auto"/>
        </w:rPr>
      </w:pPr>
    </w:p>
    <w:p>
      <w:pPr>
        <w:ind w:left="1020" w:right="38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gross profit increased 39% year-over-year driven by 68% growth in marketplace gross profit. Q4 marketplace gross margin increased 500 basis points year-over-year to 31.3%.</w:t>
      </w:r>
    </w:p>
    <w:p>
      <w:pPr>
        <w:spacing w:after="0" w:line="47" w:lineRule="exact"/>
        <w:rPr>
          <w:rFonts w:ascii="Times New Roman" w:cs="Times New Roman" w:eastAsia="Times New Roman" w:hAnsi="Times New Roman"/>
          <w:sz w:val="20"/>
          <w:szCs w:val="20"/>
          <w:color w:val="auto"/>
        </w:rPr>
      </w:pPr>
    </w:p>
    <w:p>
      <w:pPr>
        <w:ind w:left="1020" w:right="48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Adjusted EBITDA loss of $2.9 million, a $12.8 million year-over-year improvement driven by higher revenue, gross profit, operating efficiencies and further expense savings partly offset by investments in sales and international.</w:t>
      </w:r>
    </w:p>
    <w:p>
      <w:pPr>
        <w:spacing w:after="0" w:line="64" w:lineRule="exact"/>
        <w:rPr>
          <w:rFonts w:ascii="Times New Roman" w:cs="Times New Roman" w:eastAsia="Times New Roman" w:hAnsi="Times New Roman"/>
          <w:sz w:val="20"/>
          <w:szCs w:val="20"/>
          <w:color w:val="auto"/>
        </w:rPr>
      </w:pPr>
    </w:p>
    <w:p>
      <w:pPr>
        <w:ind w:left="1020" w:right="520" w:hanging="504"/>
        <w:spacing w:after="0" w:line="282" w:lineRule="auto"/>
        <w:tabs>
          <w:tab w:leader="none" w:pos="102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2024 growth initiatives include: expanding buyer and supplier networks; driving deeper enterprise engagement; further expanding the marketplace menu; growing internationally and enhancing supplier services.</w:t>
      </w:r>
    </w:p>
    <w:p>
      <w:pPr>
        <w:spacing w:after="0" w:line="24" w:lineRule="exact"/>
        <w:rPr>
          <w:rFonts w:ascii="Times New Roman" w:cs="Times New Roman" w:eastAsia="Times New Roman" w:hAnsi="Times New Roman"/>
          <w:sz w:val="19"/>
          <w:szCs w:val="19"/>
          <w:color w:val="auto"/>
        </w:rPr>
      </w:pPr>
    </w:p>
    <w:p>
      <w:pPr>
        <w:ind w:left="1020" w:right="56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Announced appointment of James Miln as Chief Financial Officer to help drive Xometry's long-term growth and profitability.</w:t>
      </w:r>
    </w:p>
    <w:p>
      <w:pPr>
        <w:spacing w:after="0" w:line="32"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b w:val="1"/>
          <w:bCs w:val="1"/>
          <w:color w:val="auto"/>
        </w:rPr>
        <w:t>NORTH BETHESDA, MD., February 29, 2024 /Globe Newswire/</w:t>
      </w:r>
      <w:r>
        <w:rPr>
          <w:rFonts w:ascii="Arial" w:cs="Arial" w:eastAsia="Arial" w:hAnsi="Arial"/>
          <w:sz w:val="20"/>
          <w:szCs w:val="20"/>
          <w:color w:val="auto"/>
        </w:rPr>
        <w:t>-- Xometry, Inc. (NASDAQ:XMTR), the global AI-powered</w:t>
      </w:r>
      <w:r>
        <w:rPr>
          <w:rFonts w:ascii="Arial" w:cs="Arial" w:eastAsia="Arial" w:hAnsi="Arial"/>
          <w:sz w:val="20"/>
          <w:szCs w:val="20"/>
          <w:b w:val="1"/>
          <w:bCs w:val="1"/>
          <w:color w:val="auto"/>
        </w:rPr>
        <w:t xml:space="preserve"> </w:t>
      </w:r>
      <w:r>
        <w:rPr>
          <w:rFonts w:ascii="Arial" w:cs="Arial" w:eastAsia="Arial" w:hAnsi="Arial"/>
          <w:sz w:val="20"/>
          <w:szCs w:val="20"/>
          <w:color w:val="auto"/>
        </w:rPr>
        <w:t>marketplace connecting enterprise buyers with suppliers of manufacturing services, today reported financial results for the fourth quarter and full year ended December 31, 2023.</w:t>
      </w:r>
    </w:p>
    <w:p>
      <w:pPr>
        <w:spacing w:after="0" w:line="169"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color w:val="auto"/>
        </w:rPr>
        <w:t xml:space="preserve">“In Q4 2023, we delivered record financial results including our highest revenue and gross profit in Xometry history,“ said Randy Altschuler, Xometry’s CEO. ”Xometry's strong 31% revenue growth was driven by accelerated 42% marketplace growth. We improved operating leverage, reducing Q4 Adjusted EBITDA loss by 32% quarter-over-quarter. Powered by AI, our marketplace continues to gain significant market share as buyers and suppliers realize the value, convenience and resiliency of our platform. </w:t>
      </w:r>
      <w:r>
        <w:rPr>
          <w:rFonts w:ascii="Arial" w:cs="Arial" w:eastAsia="Arial" w:hAnsi="Arial"/>
          <w:sz w:val="20"/>
          <w:szCs w:val="20"/>
          <w:color w:val="1D1C1D"/>
        </w:rPr>
        <w:t>While we have seen a softer start to the year as reflected in our outlook, we remain confident in our initiatives to drive long term profitable growth.”</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2023 Financial Highlights</w:t>
      </w:r>
    </w:p>
    <w:p>
      <w:pPr>
        <w:spacing w:after="0" w:line="96"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fourth quarter 2023 was $128 million, an increase of 31%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fourth quarter of 2023 was $112 million, an increase of 42% year-over-year.</w:t>
      </w:r>
    </w:p>
    <w:p>
      <w:pPr>
        <w:spacing w:after="0" w:line="106" w:lineRule="exact"/>
        <w:rPr>
          <w:rFonts w:ascii="Times New Roman" w:cs="Times New Roman" w:eastAsia="Times New Roman" w:hAnsi="Times New Roman"/>
          <w:sz w:val="20"/>
          <w:szCs w:val="20"/>
          <w:color w:val="auto"/>
        </w:rPr>
      </w:pPr>
    </w:p>
    <w:p>
      <w:pPr>
        <w:ind w:left="1020" w:right="10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fourth quarter of 2023 was $16.1 million, a decrease of 15% year-over-year driven primarily by the exit of the tools and materials business, which reduced revenue by approximately $2 million year-over-year.</w:t>
      </w:r>
    </w:p>
    <w:p>
      <w:pPr>
        <w:spacing w:after="0" w:line="6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fourth quarter 2023 was $49.1 million, an increase of 39% year-over-year.</w:t>
      </w:r>
    </w:p>
    <w:p>
      <w:pPr>
        <w:spacing w:after="0" w:line="106" w:lineRule="exact"/>
        <w:rPr>
          <w:rFonts w:ascii="Times New Roman" w:cs="Times New Roman" w:eastAsia="Times New Roman" w:hAnsi="Times New Roman"/>
          <w:sz w:val="20"/>
          <w:szCs w:val="20"/>
          <w:color w:val="auto"/>
        </w:rPr>
      </w:pPr>
    </w:p>
    <w:p>
      <w:pPr>
        <w:ind w:left="1020" w:right="48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36% from 40,664 as of December 31, 2022 to 55,458 as of December 31, 2023.</w:t>
      </w:r>
    </w:p>
    <w:p>
      <w:pPr>
        <w:spacing w:after="0" w:line="47" w:lineRule="exact"/>
        <w:rPr>
          <w:rFonts w:ascii="Times New Roman" w:cs="Times New Roman" w:eastAsia="Times New Roman" w:hAnsi="Times New Roman"/>
          <w:sz w:val="20"/>
          <w:szCs w:val="20"/>
          <w:color w:val="auto"/>
        </w:rPr>
      </w:pPr>
    </w:p>
    <w:p>
      <w:pPr>
        <w:ind w:left="1020" w:right="90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30% from 1,027 as of December 31, 2022 to 1,331 as of December 31, 2023.</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Percentage of Revenue from Existing Accounts was 96%.</w:t>
      </w:r>
    </w:p>
    <w:p>
      <w:pPr>
        <w:spacing w:after="0" w:line="106" w:lineRule="exact"/>
        <w:rPr>
          <w:rFonts w:ascii="Times New Roman" w:cs="Times New Roman" w:eastAsia="Times New Roman" w:hAnsi="Times New Roman"/>
          <w:sz w:val="20"/>
          <w:szCs w:val="20"/>
          <w:color w:val="auto"/>
        </w:rPr>
      </w:pPr>
    </w:p>
    <w:p>
      <w:pPr>
        <w:ind w:left="1020" w:right="44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Active Paying Suppliers decreased 6% from 7,715 as of December 31, 2022 to 7,271 as of December 31, 2023. Excluding the exited tools and materials business, Active Paying Suppliers was flat year-over-year.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 w:name="page6"/>
    <w:bookmarkEnd w:id="5"/>
    <w:p>
      <w:pPr>
        <w:ind w:left="1020" w:right="180" w:hanging="504"/>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$10.6 million for the quarter, a decrease of $15.3 million year-over-year. Net loss for Q4 2023 included $5.9 million of stock-based compensation and $2.8 million of depreciation and amortization expense.</w:t>
      </w:r>
    </w:p>
    <w:p>
      <w:pPr>
        <w:spacing w:after="0" w:line="64" w:lineRule="exact"/>
        <w:rPr>
          <w:rFonts w:ascii="Times New Roman" w:cs="Times New Roman" w:eastAsia="Times New Roman" w:hAnsi="Times New Roman"/>
          <w:sz w:val="20"/>
          <w:szCs w:val="20"/>
          <w:color w:val="auto"/>
        </w:rPr>
      </w:pPr>
    </w:p>
    <w:p>
      <w:pPr>
        <w:ind w:left="1020" w:right="120" w:hanging="504"/>
        <w:spacing w:after="0" w:line="282"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U.S. segment net loss to common stockholders was $5.9 million, a decrease of $16.0 million year-over-year. International segment net loss to common stockholders was $4.6 million, an increase of $0.7 million year-over-year.</w:t>
      </w:r>
    </w:p>
    <w:p>
      <w:pPr>
        <w:spacing w:after="0" w:line="24" w:lineRule="exact"/>
        <w:rPr>
          <w:rFonts w:ascii="Times New Roman" w:cs="Times New Roman" w:eastAsia="Times New Roman" w:hAnsi="Times New Roman"/>
          <w:sz w:val="19"/>
          <w:szCs w:val="19"/>
          <w:color w:val="auto"/>
        </w:rPr>
      </w:pPr>
    </w:p>
    <w:p>
      <w:pPr>
        <w:ind w:left="1020" w:right="380" w:hanging="504"/>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was negative $2.9 million for the quarter, reflecting an improvement of $12.8 million year-over-year.</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Cash, cash equivalents and marketable securities were $268.8 million as of December 31, 2023.</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2023 Business Highlights</w:t>
      </w:r>
    </w:p>
    <w:p>
      <w:pPr>
        <w:spacing w:after="0" w:line="96" w:lineRule="exact"/>
        <w:rPr>
          <w:sz w:val="20"/>
          <w:szCs w:val="20"/>
          <w:color w:val="auto"/>
        </w:rPr>
      </w:pPr>
    </w:p>
    <w:p>
      <w:pPr>
        <w:ind w:left="1020" w:right="180" w:hanging="504"/>
        <w:spacing w:after="0" w:line="23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Launched Xometry Teamspace in October after a successful beta test with several large customers in Q3. The cloud-based collaboration tool enables the customer’s employees to manage projects within Xometry’s AI-powered platform, streamlining order management, increasing efficiency and driving data-based decision-making. Since the launch, over 1,500 teams have been created.</w:t>
      </w:r>
    </w:p>
    <w:p>
      <w:pPr>
        <w:spacing w:after="0" w:line="65" w:lineRule="exact"/>
        <w:rPr>
          <w:rFonts w:ascii="Times New Roman" w:cs="Times New Roman" w:eastAsia="Times New Roman" w:hAnsi="Times New Roman"/>
          <w:sz w:val="20"/>
          <w:szCs w:val="20"/>
          <w:color w:val="auto"/>
        </w:rPr>
      </w:pPr>
    </w:p>
    <w:p>
      <w:pPr>
        <w:ind w:left="1020" w:right="320" w:hanging="504"/>
        <w:spacing w:after="0" w:line="282"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Added IATF 16949 Automotive standard to the marketplace for our automotive buyers. IATF (“International Automotive Task Force”) is the international standard for quality management systems in the automotive industry.</w:t>
      </w:r>
    </w:p>
    <w:p>
      <w:pPr>
        <w:spacing w:after="0" w:line="24" w:lineRule="exact"/>
        <w:rPr>
          <w:rFonts w:ascii="Times New Roman" w:cs="Times New Roman" w:eastAsia="Times New Roman" w:hAnsi="Times New Roman"/>
          <w:sz w:val="19"/>
          <w:szCs w:val="19"/>
          <w:color w:val="auto"/>
        </w:rPr>
      </w:pPr>
    </w:p>
    <w:p>
      <w:pPr>
        <w:ind w:left="1020" w:right="120" w:hanging="504"/>
        <w:spacing w:after="0" w:line="23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Updated process recommender to the AI-powered Xometry Instant Quoting Engine®, expanding coverage of manufacturing processes and improving accuracy. As computer-aided design (“CAD”) files are uploaded to the Xometry marketplace, the new process recommender instantly analyzes the geometric features of the file, identifies the most appropriate manufacturing process for the customer, and configures their quote.</w:t>
      </w:r>
    </w:p>
    <w:p>
      <w:pPr>
        <w:spacing w:after="0" w:line="65" w:lineRule="exact"/>
        <w:rPr>
          <w:rFonts w:ascii="Times New Roman" w:cs="Times New Roman" w:eastAsia="Times New Roman" w:hAnsi="Times New Roman"/>
          <w:sz w:val="20"/>
          <w:szCs w:val="20"/>
          <w:color w:val="auto"/>
        </w:rPr>
      </w:pPr>
    </w:p>
    <w:p>
      <w:pPr>
        <w:ind w:left="1020" w:right="40" w:hanging="504"/>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Launched add-in for SOLIDWORKS in Europe, the U.K. and Türkiye. Buyers can now get instant quotes, lead times, and design-for-manufacturability feedback from Xometry directly in the CAD software.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Financial Highlights</w:t>
      </w:r>
    </w:p>
    <w:p>
      <w:pPr>
        <w:spacing w:after="0" w:line="96"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full year 2023 was $463 million, an increase of 22%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full year of 2023 was $395 million, an increase of 30% year-over-year.</w:t>
      </w:r>
    </w:p>
    <w:p>
      <w:pPr>
        <w:spacing w:after="0" w:line="106" w:lineRule="exact"/>
        <w:rPr>
          <w:rFonts w:ascii="Times New Roman" w:cs="Times New Roman" w:eastAsia="Times New Roman" w:hAnsi="Times New Roman"/>
          <w:sz w:val="20"/>
          <w:szCs w:val="20"/>
          <w:color w:val="auto"/>
        </w:rPr>
      </w:pPr>
    </w:p>
    <w:p>
      <w:pPr>
        <w:ind w:left="1020" w:right="30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full year of 2023 was $68.7 million, a decrease of 12% year-over-year driven primarily by the exit of the tools and materials business, which reduced revenue by approximately $6 million year-over-year.</w:t>
      </w:r>
    </w:p>
    <w:p>
      <w:pPr>
        <w:spacing w:after="0" w:line="6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full year of 2023 was $178 million, an increase of 22% year-over-year.</w:t>
      </w:r>
    </w:p>
    <w:p>
      <w:pPr>
        <w:spacing w:after="0" w:line="106" w:lineRule="exact"/>
        <w:rPr>
          <w:rFonts w:ascii="Times New Roman" w:cs="Times New Roman" w:eastAsia="Times New Roman" w:hAnsi="Times New Roman"/>
          <w:sz w:val="20"/>
          <w:szCs w:val="20"/>
          <w:color w:val="auto"/>
        </w:rPr>
      </w:pPr>
    </w:p>
    <w:p>
      <w:pPr>
        <w:ind w:left="1020" w:right="160" w:hanging="504"/>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gross profit margin improved to 30.8% for the year ended December 31, 2023 from 28.2% for the year ended December 31, 2022.</w:t>
      </w:r>
    </w:p>
    <w:p>
      <w:pPr>
        <w:spacing w:after="0" w:line="47" w:lineRule="exact"/>
        <w:rPr>
          <w:rFonts w:ascii="Times New Roman" w:cs="Times New Roman" w:eastAsia="Times New Roman" w:hAnsi="Times New Roman"/>
          <w:sz w:val="20"/>
          <w:szCs w:val="20"/>
          <w:color w:val="auto"/>
        </w:rPr>
      </w:pPr>
    </w:p>
    <w:p>
      <w:pPr>
        <w:ind w:left="1020" w:right="2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$67 million for the full year of 2023, a decrease of $12 million year-over-year. Net loss for the full year of 2023 included $22 million of stock-based compensation and $11 million of depreciation and amortization expense.</w:t>
      </w:r>
    </w:p>
    <w:p>
      <w:pPr>
        <w:spacing w:after="0" w:line="64" w:lineRule="exact"/>
        <w:rPr>
          <w:rFonts w:ascii="Times New Roman" w:cs="Times New Roman" w:eastAsia="Times New Roman" w:hAnsi="Times New Roman"/>
          <w:sz w:val="20"/>
          <w:szCs w:val="20"/>
          <w:color w:val="auto"/>
        </w:rPr>
      </w:pPr>
    </w:p>
    <w:p>
      <w:pPr>
        <w:ind w:left="1020" w:hanging="504"/>
        <w:spacing w:after="0" w:line="282" w:lineRule="auto"/>
        <w:tabs>
          <w:tab w:leader="none" w:pos="102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color w:val="auto"/>
        </w:rPr>
        <w:t>U.S. segment net loss to common stockholders was $49.7 million, a decrease of $12.1 million year-over-year. International segment net loss to common stockholders was $17.8 million, an increase of $0.5 million year-over-year.</w:t>
      </w:r>
    </w:p>
    <w:p>
      <w:pPr>
        <w:spacing w:after="0" w:line="24" w:lineRule="exact"/>
        <w:rPr>
          <w:rFonts w:ascii="Times New Roman" w:cs="Times New Roman" w:eastAsia="Times New Roman" w:hAnsi="Times New Roman"/>
          <w:sz w:val="19"/>
          <w:szCs w:val="19"/>
          <w:color w:val="auto"/>
        </w:rPr>
      </w:pPr>
    </w:p>
    <w:p>
      <w:pPr>
        <w:ind w:left="102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was negative $27.5 million for the full year 2023, reflecting an improvement of $17.3 million.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Full Year Business Highlights</w:t>
      </w:r>
    </w:p>
    <w:p>
      <w:pPr>
        <w:spacing w:after="0" w:line="96"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Grew the number of Active Suppliers 36% year-over-year from 2,529 to 3,429.</w:t>
      </w:r>
    </w:p>
    <w:p>
      <w:pPr>
        <w:spacing w:after="0" w:line="106" w:lineRule="exact"/>
        <w:rPr>
          <w:rFonts w:ascii="Times New Roman" w:cs="Times New Roman" w:eastAsia="Times New Roman" w:hAnsi="Times New Roman"/>
          <w:sz w:val="20"/>
          <w:szCs w:val="20"/>
          <w:color w:val="auto"/>
        </w:rPr>
      </w:pPr>
    </w:p>
    <w:p>
      <w:pPr>
        <w:ind w:left="1020" w:right="440" w:hanging="504"/>
        <w:spacing w:after="0" w:line="282"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Expanded further in Europe with the launch of xometry.uk, a localized marketplace for UK customers. Xometry’s localized marketplaces allow regional customers to get quotes and purchase parts directly in local currency.</w:t>
      </w:r>
    </w:p>
    <w:p>
      <w:pPr>
        <w:spacing w:after="0" w:line="24" w:lineRule="exact"/>
        <w:rPr>
          <w:rFonts w:ascii="Times New Roman" w:cs="Times New Roman" w:eastAsia="Times New Roman" w:hAnsi="Times New Roman"/>
          <w:sz w:val="19"/>
          <w:szCs w:val="19"/>
          <w:color w:val="auto"/>
        </w:rPr>
      </w:pPr>
    </w:p>
    <w:p>
      <w:pPr>
        <w:ind w:left="1020" w:hanging="504"/>
        <w:spacing w:after="0" w:line="282"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Introduced instant quoting for parts with multiple finishes. Buyers can identify parts requiring multiple finishes and the instant quoting engine will automatically price them. This instant feedback helps buyers make decisions in real-time.</w:t>
      </w:r>
    </w:p>
    <w:p>
      <w:pPr>
        <w:spacing w:after="0" w:line="24" w:lineRule="exact"/>
        <w:rPr>
          <w:rFonts w:ascii="Times New Roman" w:cs="Times New Roman" w:eastAsia="Times New Roman" w:hAnsi="Times New Roman"/>
          <w:sz w:val="19"/>
          <w:szCs w:val="19"/>
          <w:color w:val="auto"/>
        </w:rPr>
      </w:pPr>
    </w:p>
    <w:p>
      <w:pPr>
        <w:ind w:left="1020" w:right="200" w:hanging="504"/>
        <w:spacing w:after="0" w:line="25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a new quick-turn injection molding service for quotes in as fast as two hours and parts in as little as five business days.</w:t>
      </w:r>
    </w:p>
    <w:p>
      <w:pPr>
        <w:spacing w:after="0" w:line="47" w:lineRule="exact"/>
        <w:rPr>
          <w:rFonts w:ascii="Times New Roman" w:cs="Times New Roman" w:eastAsia="Times New Roman" w:hAnsi="Times New Roman"/>
          <w:sz w:val="20"/>
          <w:szCs w:val="20"/>
          <w:color w:val="auto"/>
        </w:rPr>
      </w:pPr>
    </w:p>
    <w:p>
      <w:pPr>
        <w:ind w:left="1020" w:right="26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Acquired Tridi Teknoloj A.S. (“Tridi”) located in Istanbul, Türkiye. The acquisition of Tridi extends our marketplace capabilities in Europe by opening an array of affordable suppliers and the ability to serve all of Europe within a 24-hour turnaround period.</w:t>
      </w:r>
    </w:p>
    <w:p>
      <w:pPr>
        <w:spacing w:after="0" w:line="64" w:lineRule="exact"/>
        <w:rPr>
          <w:rFonts w:ascii="Times New Roman" w:cs="Times New Roman" w:eastAsia="Times New Roman" w:hAnsi="Times New Roman"/>
          <w:sz w:val="20"/>
          <w:szCs w:val="20"/>
          <w:color w:val="auto"/>
        </w:rPr>
      </w:pPr>
    </w:p>
    <w:p>
      <w:pPr>
        <w:jc w:val="both"/>
        <w:ind w:left="1020" w:right="200" w:hanging="504"/>
        <w:spacing w:after="0" w:line="23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Expanded AI-powered Xometry Instant Quoting Engine to include instant-quoting of inserts, multi-part assemblies, and expanded sheet-cutting processes. The enhanced features allow buyers to instantly get pricing and lead times on CNC, sheet metal and sheet-cut parts with standard inserts while also analyzing multi-party assemblies, further accelerating Xometry’s assembly production work.</w:t>
      </w:r>
    </w:p>
    <w:p>
      <w:pPr>
        <w:spacing w:after="0" w:line="65" w:lineRule="exact"/>
        <w:rPr>
          <w:rFonts w:ascii="Times New Roman" w:cs="Times New Roman" w:eastAsia="Times New Roman" w:hAnsi="Times New Roman"/>
          <w:sz w:val="20"/>
          <w:szCs w:val="20"/>
          <w:color w:val="auto"/>
        </w:rPr>
      </w:pPr>
    </w:p>
    <w:p>
      <w:pPr>
        <w:ind w:left="1020" w:right="20" w:hanging="504"/>
        <w:spacing w:after="0" w:line="282"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Introduced expanded sheet-cutting options to include a wider array of metal, composite and rubber materials. Xometry’s sheet-cutting service can cut a variety of materials using the latest laser and waterjet-cutting technologies.</w:t>
      </w:r>
    </w:p>
    <w:p>
      <w:pPr>
        <w:spacing w:after="0" w:line="24" w:lineRule="exact"/>
        <w:rPr>
          <w:rFonts w:ascii="Times New Roman" w:cs="Times New Roman" w:eastAsia="Times New Roman" w:hAnsi="Times New Roman"/>
          <w:sz w:val="19"/>
          <w:szCs w:val="19"/>
          <w:color w:val="auto"/>
        </w:rPr>
      </w:pPr>
    </w:p>
    <w:p>
      <w:pPr>
        <w:ind w:left="1020" w:right="440" w:hanging="504"/>
        <w:spacing w:after="0" w:line="23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Launched Instant Quoting for Alibaba Group’s 1688.com on-demand manufacturing services through Xometry APAC. The collaboration gives buyers in China the ability to receive instant quotes and lead times from Chinese suppliers, data that is fueled by Xometry’s AI-powered Instant Quoting Engine. Xometry is the only partner specialized in the structural parts on 1688.com that will provide real-time pricing and lead times.</w:t>
      </w:r>
    </w:p>
    <w:p>
      <w:pPr>
        <w:spacing w:after="0" w:line="65" w:lineRule="exact"/>
        <w:rPr>
          <w:rFonts w:ascii="Times New Roman" w:cs="Times New Roman" w:eastAsia="Times New Roman" w:hAnsi="Times New Roman"/>
          <w:sz w:val="20"/>
          <w:szCs w:val="20"/>
          <w:color w:val="auto"/>
        </w:rPr>
      </w:pPr>
    </w:p>
    <w:p>
      <w:pPr>
        <w:ind w:left="1020" w:right="200" w:hanging="504"/>
        <w:spacing w:after="0" w:line="234"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Announced a partnership with Google Cloud to help accelerate new auto-quote methods and models within the AI-powered Xometry Instant Quoting Engine. Using Vertex AI, Xometry will accelerate the deployment of its instant-quoting to encompass the broadest and most comprehensive set of manufacturing technologies. The Vertex AI platform will enable us to get to market faster with new offerings in entirely new categories, allowing us to become more indispensable to our customers and to our suppliers globally.</w:t>
      </w:r>
    </w:p>
    <w:p>
      <w:pPr>
        <w:spacing w:after="0" w:line="64" w:lineRule="exact"/>
        <w:rPr>
          <w:rFonts w:ascii="Times New Roman" w:cs="Times New Roman" w:eastAsia="Times New Roman" w:hAnsi="Times New Roman"/>
          <w:sz w:val="20"/>
          <w:szCs w:val="20"/>
          <w:color w:val="auto"/>
        </w:rPr>
      </w:pPr>
    </w:p>
    <w:p>
      <w:pPr>
        <w:ind w:left="1020" w:right="320" w:hanging="504"/>
        <w:spacing w:after="0" w:line="23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Expanded Thomas Marketing Services’ self-serve offering to include bundles with advertising and video services. Added two additional self-serve profile options for the more than 500,000 suppliers on Thomasnet.com. “Thomas Verified” and “Thomas Verified + Video” offer manufacturers enhanced visibility and targeting to prospects from preferred industries, as well as custom video options.</w:t>
      </w:r>
    </w:p>
    <w:p>
      <w:pPr>
        <w:spacing w:after="0" w:line="65" w:lineRule="exact"/>
        <w:rPr>
          <w:rFonts w:ascii="Times New Roman" w:cs="Times New Roman" w:eastAsia="Times New Roman" w:hAnsi="Times New Roman"/>
          <w:sz w:val="20"/>
          <w:szCs w:val="20"/>
          <w:color w:val="auto"/>
        </w:rPr>
      </w:pPr>
    </w:p>
    <w:p>
      <w:pPr>
        <w:ind w:left="1020" w:right="80" w:hanging="504"/>
        <w:spacing w:after="0" w:line="259"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Added AS9100 Certified to the Instant Quoting Engine for our aerospace and defense buyers in October. AS9100 is a certification defining the design and manufacturing standard for aerospace and defense products including parts, components, and assemblies. This is particularly relevant for customers doing production work including flight parts.</w:t>
      </w:r>
    </w:p>
    <w:p>
      <w:pPr>
        <w:spacing w:after="0" w:line="46" w:lineRule="exact"/>
        <w:rPr>
          <w:rFonts w:ascii="Times New Roman" w:cs="Times New Roman" w:eastAsia="Times New Roman" w:hAnsi="Times New Roman"/>
          <w:sz w:val="19"/>
          <w:szCs w:val="19"/>
          <w:color w:val="auto"/>
        </w:rPr>
      </w:pPr>
    </w:p>
    <w:p>
      <w:pPr>
        <w:ind w:left="1020" w:right="100" w:hanging="504"/>
        <w:spacing w:after="0" w:line="23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Expanded International offerings including Portuguese language capability and new automated inspection reports in Europe. Buyers now can conveniently pick from multiple report options on the Xometry Europe marketplace including First Article Inspection Report and Measurement Report. Xometry Asia added Fused Deposition Modeling auto-quoting capabilities.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636905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Financial Summary</w:t>
      </w:r>
      <w:r>
        <w:rPr>
          <w:rFonts w:ascii="Arial" w:cs="Arial" w:eastAsia="Arial" w:hAnsi="Arial"/>
          <w:sz w:val="26"/>
          <w:szCs w:val="26"/>
          <w:b w:val="1"/>
          <w:bCs w:val="1"/>
          <w:color w:val="auto"/>
          <w:vertAlign w:val="superscript"/>
        </w:rPr>
        <w:t>(1)</w:t>
      </w:r>
    </w:p>
    <w:p>
      <w:pPr>
        <w:jc w:val="center"/>
        <w:ind w:right="100"/>
        <w:spacing w:after="0" w:line="225" w:lineRule="auto"/>
        <w:rPr>
          <w:sz w:val="20"/>
          <w:szCs w:val="20"/>
          <w:color w:val="auto"/>
        </w:rPr>
      </w:pPr>
      <w:r>
        <w:rPr>
          <w:rFonts w:ascii="Arial" w:cs="Arial" w:eastAsia="Arial" w:hAnsi="Arial"/>
          <w:sz w:val="20"/>
          <w:szCs w:val="20"/>
          <w:b w:val="1"/>
          <w:bCs w:val="1"/>
          <w:color w:val="auto"/>
        </w:rPr>
        <w:t>(In thousands, except per share amounts)</w:t>
      </w:r>
    </w:p>
    <w:p>
      <w:pPr>
        <w:jc w:val="center"/>
        <w:ind w:right="100"/>
        <w:spacing w:after="0"/>
        <w:rPr>
          <w:sz w:val="20"/>
          <w:szCs w:val="20"/>
          <w:color w:val="auto"/>
        </w:rPr>
      </w:pPr>
      <w:r>
        <w:rPr>
          <w:rFonts w:ascii="Arial" w:cs="Arial" w:eastAsia="Arial" w:hAnsi="Arial"/>
          <w:sz w:val="20"/>
          <w:szCs w:val="20"/>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For the Three Months</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the Year</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Ended December 31,</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Ended December 31,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21"/>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39"/>
              <w:spacing w:after="0" w:line="18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8"/>
              </w:rPr>
              <w:t>Change</w:t>
            </w: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2022</w:t>
            </w:r>
          </w:p>
        </w:tc>
        <w:tc>
          <w:tcPr>
            <w:tcW w:w="220" w:type="dxa"/>
            <w:vAlign w:val="bottom"/>
          </w:tcPr>
          <w:p>
            <w:pPr>
              <w:spacing w:after="0"/>
              <w:rPr>
                <w:sz w:val="18"/>
                <w:szCs w:val="18"/>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Consolidated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128,145</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98,061</w:t>
            </w:r>
          </w:p>
        </w:tc>
        <w:tc>
          <w:tcPr>
            <w:tcW w:w="24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31 % $</w:t>
            </w:r>
          </w:p>
        </w:tc>
        <w:tc>
          <w:tcPr>
            <w:tcW w:w="880" w:type="dxa"/>
            <w:vAlign w:val="bottom"/>
          </w:tcPr>
          <w:p>
            <w:pPr>
              <w:jc w:val="right"/>
              <w:spacing w:after="0"/>
              <w:rPr>
                <w:sz w:val="20"/>
                <w:szCs w:val="20"/>
                <w:color w:val="auto"/>
              </w:rPr>
            </w:pPr>
            <w:r>
              <w:rPr>
                <w:rFonts w:ascii="Arial" w:cs="Arial" w:eastAsia="Arial" w:hAnsi="Arial"/>
                <w:sz w:val="16"/>
                <w:szCs w:val="16"/>
                <w:color w:val="auto"/>
              </w:rPr>
              <w:t>463,406</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380,921</w:t>
            </w: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49,085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35,202</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39 %</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178,259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145,991</w:t>
            </w: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(10,551 )</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(25,813 )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59 %</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(67,472 )</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(79,059 )</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6"/>
                <w:szCs w:val="16"/>
                <w:color w:val="auto"/>
              </w:rPr>
              <w:t>EPS, basic and diluted, of Class A and Class B</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(0.22 )</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(0.54 )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59 %</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(1.41 )</w:t>
            </w:r>
          </w:p>
        </w:tc>
        <w:tc>
          <w:tcPr>
            <w:tcW w:w="3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(1.68 )</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(2,850 )</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(15,639 )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82 %</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(27,490 )</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(44,799 )</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Non-GAAP net loss</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(400 )</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(15,119 )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97 %</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(19,355 )</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(43,131 )</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line="202" w:lineRule="exact"/>
              <w:rPr>
                <w:sz w:val="20"/>
                <w:szCs w:val="20"/>
                <w:color w:val="auto"/>
              </w:rPr>
            </w:pPr>
            <w:r>
              <w:rPr>
                <w:rFonts w:ascii="Arial" w:cs="Arial" w:eastAsia="Arial" w:hAnsi="Arial"/>
                <w:sz w:val="16"/>
                <w:szCs w:val="16"/>
                <w:color w:val="auto"/>
              </w:rPr>
              <w:t>Non-GAAP EPS, basic and diluted</w:t>
            </w:r>
            <w:r>
              <w:rPr>
                <w:rFonts w:ascii="Arial" w:cs="Arial" w:eastAsia="Arial" w:hAnsi="Arial"/>
                <w:sz w:val="21"/>
                <w:szCs w:val="21"/>
                <w:color w:val="auto"/>
                <w:vertAlign w:val="superscript"/>
              </w:rPr>
              <w:t>(2)</w:t>
            </w:r>
            <w:r>
              <w:rPr>
                <w:rFonts w:ascii="Arial" w:cs="Arial" w:eastAsia="Arial" w:hAnsi="Arial"/>
                <w:sz w:val="16"/>
                <w:szCs w:val="16"/>
                <w:color w:val="auto"/>
              </w:rPr>
              <w:t>, of Class A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Class B common stock</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(0.01 )</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(0.32 )</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97 %</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(0.40 )</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(0.91 )</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8"/>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Marketplace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112,090</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79,148</w:t>
            </w:r>
          </w:p>
        </w:tc>
        <w:tc>
          <w:tcPr>
            <w:tcW w:w="24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42 % $</w:t>
            </w:r>
          </w:p>
        </w:tc>
        <w:tc>
          <w:tcPr>
            <w:tcW w:w="880" w:type="dxa"/>
            <w:vAlign w:val="bottom"/>
          </w:tcPr>
          <w:p>
            <w:pPr>
              <w:jc w:val="right"/>
              <w:spacing w:after="0"/>
              <w:rPr>
                <w:sz w:val="20"/>
                <w:szCs w:val="20"/>
                <w:color w:val="auto"/>
              </w:rPr>
            </w:pPr>
            <w:r>
              <w:rPr>
                <w:rFonts w:ascii="Arial" w:cs="Arial" w:eastAsia="Arial" w:hAnsi="Arial"/>
                <w:sz w:val="16"/>
                <w:szCs w:val="16"/>
                <w:color w:val="auto"/>
              </w:rPr>
              <w:t>394,754</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303,223</w:t>
            </w: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58,323</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273,264</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217,779</w:t>
            </w: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35,066</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20,825</w:t>
            </w:r>
          </w:p>
        </w:tc>
        <w:tc>
          <w:tcPr>
            <w:tcW w:w="240" w:type="dxa"/>
            <w:vAlign w:val="bottom"/>
          </w:tcPr>
          <w:p>
            <w:pPr>
              <w:spacing w:after="0"/>
              <w:rPr>
                <w:sz w:val="18"/>
                <w:szCs w:val="18"/>
                <w:color w:val="auto"/>
              </w:rPr>
            </w:pPr>
          </w:p>
        </w:tc>
        <w:tc>
          <w:tcPr>
            <w:tcW w:w="1160" w:type="dxa"/>
            <w:vAlign w:val="bottom"/>
            <w:gridSpan w:val="3"/>
          </w:tcPr>
          <w:p>
            <w:pPr>
              <w:jc w:val="right"/>
              <w:ind w:right="140"/>
              <w:spacing w:after="0" w:line="209" w:lineRule="exact"/>
              <w:rPr>
                <w:sz w:val="20"/>
                <w:szCs w:val="20"/>
                <w:color w:val="auto"/>
              </w:rPr>
            </w:pPr>
            <w:r>
              <w:rPr>
                <w:rFonts w:ascii="Arial" w:cs="Arial" w:eastAsia="Arial" w:hAnsi="Arial"/>
                <w:sz w:val="13"/>
                <w:szCs w:val="13"/>
                <w:color w:val="auto"/>
              </w:rPr>
              <w:t xml:space="preserve">68 % </w:t>
            </w:r>
            <w:r>
              <w:rPr>
                <w:rFonts w:ascii="Arial" w:cs="Arial" w:eastAsia="Arial" w:hAnsi="Arial"/>
                <w:sz w:val="24"/>
                <w:szCs w:val="24"/>
                <w:color w:val="auto"/>
                <w:vertAlign w:val="superscript"/>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121,490</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85,444</w:t>
            </w: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5.0 %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2.6 %</w:t>
            </w:r>
          </w:p>
        </w:tc>
        <w:tc>
          <w:tcPr>
            <w:tcW w:w="0" w:type="dxa"/>
            <w:vAlign w:val="bottom"/>
          </w:tcPr>
          <w:p>
            <w:pPr>
              <w:spacing w:after="0" w:line="20" w:lineRule="exact"/>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31.3 %</w:t>
            </w: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26.3 %</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30.8 %</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28.2 %</w:t>
            </w:r>
          </w:p>
        </w:tc>
        <w:tc>
          <w:tcPr>
            <w:tcW w:w="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Supplier services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16,055</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18,913</w:t>
            </w:r>
          </w:p>
        </w:tc>
        <w:tc>
          <w:tcPr>
            <w:tcW w:w="24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(15 )% $</w:t>
            </w:r>
          </w:p>
        </w:tc>
        <w:tc>
          <w:tcPr>
            <w:tcW w:w="880" w:type="dxa"/>
            <w:vAlign w:val="bottom"/>
          </w:tcPr>
          <w:p>
            <w:pPr>
              <w:jc w:val="right"/>
              <w:spacing w:after="0"/>
              <w:rPr>
                <w:sz w:val="20"/>
                <w:szCs w:val="20"/>
                <w:color w:val="auto"/>
              </w:rPr>
            </w:pPr>
            <w:r>
              <w:rPr>
                <w:rFonts w:ascii="Arial" w:cs="Arial" w:eastAsia="Arial" w:hAnsi="Arial"/>
                <w:sz w:val="16"/>
                <w:szCs w:val="16"/>
                <w:color w:val="auto"/>
              </w:rPr>
              <w:t>68,652</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77,698</w:t>
            </w: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4,536</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55 %</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11,883</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17,151</w:t>
            </w:r>
          </w:p>
        </w:tc>
        <w:tc>
          <w:tcPr>
            <w:tcW w:w="2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14,019</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14,377</w:t>
            </w:r>
          </w:p>
        </w:tc>
        <w:tc>
          <w:tcPr>
            <w:tcW w:w="240" w:type="dxa"/>
            <w:vAlign w:val="bottom"/>
          </w:tcPr>
          <w:p>
            <w:pPr>
              <w:spacing w:after="0"/>
              <w:rPr>
                <w:sz w:val="18"/>
                <w:szCs w:val="18"/>
                <w:color w:val="auto"/>
              </w:rPr>
            </w:pPr>
          </w:p>
        </w:tc>
        <w:tc>
          <w:tcPr>
            <w:tcW w:w="1160" w:type="dxa"/>
            <w:vAlign w:val="bottom"/>
            <w:gridSpan w:val="3"/>
          </w:tcPr>
          <w:p>
            <w:pPr>
              <w:jc w:val="right"/>
              <w:ind w:right="140"/>
              <w:spacing w:after="0" w:line="209" w:lineRule="exact"/>
              <w:rPr>
                <w:sz w:val="20"/>
                <w:szCs w:val="20"/>
                <w:color w:val="auto"/>
              </w:rPr>
            </w:pPr>
            <w:r>
              <w:rPr>
                <w:rFonts w:ascii="Arial" w:cs="Arial" w:eastAsia="Arial" w:hAnsi="Arial"/>
                <w:sz w:val="13"/>
                <w:szCs w:val="13"/>
                <w:color w:val="auto"/>
              </w:rPr>
              <w:t xml:space="preserve">(2 )% </w:t>
            </w:r>
            <w:r>
              <w:rPr>
                <w:rFonts w:ascii="Arial" w:cs="Arial" w:eastAsia="Arial" w:hAnsi="Arial"/>
                <w:sz w:val="24"/>
                <w:szCs w:val="24"/>
                <w:color w:val="auto"/>
                <w:vertAlign w:val="superscript"/>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56,769</w:t>
            </w:r>
          </w:p>
        </w:tc>
        <w:tc>
          <w:tcPr>
            <w:tcW w:w="2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60,547</w:t>
            </w: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11.3 %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4.8 %</w:t>
            </w:r>
          </w:p>
        </w:tc>
        <w:tc>
          <w:tcPr>
            <w:tcW w:w="0" w:type="dxa"/>
            <w:vAlign w:val="bottom"/>
          </w:tcPr>
          <w:p>
            <w:pPr>
              <w:spacing w:after="0" w:line="20" w:lineRule="exact"/>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87.3 %</w:t>
            </w: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76.0 %</w:t>
            </w: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82.7 %</w:t>
            </w:r>
          </w:p>
        </w:tc>
        <w:tc>
          <w:tcPr>
            <w:tcW w:w="3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77.9 %</w:t>
            </w:r>
          </w:p>
        </w:tc>
        <w:tc>
          <w:tcPr>
            <w:tcW w:w="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-2773045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-2498725</wp:posOffset>
            </wp:positionV>
            <wp:extent cx="713232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-2105025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-1299845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380" w:right="680" w:hanging="372"/>
        <w:spacing w:after="0" w:line="245"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2022 results have been revised to reflect immaterial corrections related to certain captions within the Consolidated Balance Sheet, Consolidated Statement of Operations and Comprehensive Loss and Consolidated Statement of Cash Flows. See tables below for additional details with respect to the line items impacted.</w:t>
      </w:r>
    </w:p>
    <w:p>
      <w:pPr>
        <w:ind w:left="380" w:right="280" w:hanging="372"/>
        <w:spacing w:after="0" w:line="263"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(3)</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As of December 31,</w:t>
            </w:r>
          </w:p>
        </w:tc>
        <w:tc>
          <w:tcPr>
            <w:tcW w:w="1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0"/>
        </w:trPr>
        <w:tc>
          <w:tcPr>
            <w:tcW w:w="6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30"/>
              <w:spacing w:after="0" w:line="190"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r>
      <w:tr>
        <w:trPr>
          <w:trHeight w:val="235"/>
        </w:trPr>
        <w:tc>
          <w:tcPr>
            <w:tcW w:w="648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Pr>
          <w:p>
            <w:pPr>
              <w:spacing w:after="0"/>
              <w:rPr>
                <w:sz w:val="20"/>
                <w:szCs w:val="20"/>
                <w:color w:val="auto"/>
              </w:rPr>
            </w:pPr>
          </w:p>
        </w:tc>
      </w:tr>
      <w:tr>
        <w:trPr>
          <w:trHeight w:val="425"/>
        </w:trPr>
        <w:tc>
          <w:tcPr>
            <w:tcW w:w="6480" w:type="dxa"/>
            <w:vAlign w:val="bottom"/>
          </w:tcPr>
          <w:p>
            <w:pPr>
              <w:ind w:left="20"/>
              <w:spacing w:after="0"/>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55,458</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40,664</w:t>
            </w:r>
          </w:p>
        </w:tc>
        <w:tc>
          <w:tcPr>
            <w:tcW w:w="22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r>
      <w:tr>
        <w:trPr>
          <w:trHeight w:val="229"/>
        </w:trPr>
        <w:tc>
          <w:tcPr>
            <w:tcW w:w="6480" w:type="dxa"/>
            <w:vAlign w:val="bottom"/>
          </w:tcPr>
          <w:p>
            <w:pPr>
              <w:ind w:left="20"/>
              <w:spacing w:after="0" w:line="229"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96 %</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480" w:type="dxa"/>
            <w:vAlign w:val="bottom"/>
          </w:tcPr>
          <w:p>
            <w:pPr>
              <w:ind w:left="20"/>
              <w:spacing w:after="0" w:line="229"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1,331</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30 %</w:t>
            </w:r>
          </w:p>
        </w:tc>
      </w:tr>
      <w:tr>
        <w:trPr>
          <w:trHeight w:val="274"/>
        </w:trPr>
        <w:tc>
          <w:tcPr>
            <w:tcW w:w="6480" w:type="dxa"/>
            <w:vAlign w:val="bottom"/>
          </w:tcPr>
          <w:p>
            <w:pPr>
              <w:ind w:left="20"/>
              <w:spacing w:after="0" w:line="274" w:lineRule="exact"/>
              <w:rPr>
                <w:sz w:val="20"/>
                <w:szCs w:val="20"/>
                <w:color w:val="auto"/>
              </w:rPr>
            </w:pPr>
            <w:r>
              <w:rPr>
                <w:rFonts w:ascii="Arial" w:cs="Arial" w:eastAsia="Arial" w:hAnsi="Arial"/>
                <w:sz w:val="18"/>
                <w:szCs w:val="18"/>
                <w:color w:val="auto"/>
              </w:rPr>
              <w:t>Active Paying Suppliers</w:t>
            </w:r>
            <w:r>
              <w:rPr>
                <w:rFonts w:ascii="Arial" w:cs="Arial" w:eastAsia="Arial" w:hAnsi="Arial"/>
                <w:sz w:val="24"/>
                <w:szCs w:val="24"/>
                <w:color w:val="auto"/>
                <w:vertAlign w:val="superscript"/>
              </w:rPr>
              <w:t>(4)(5)</w:t>
            </w:r>
          </w:p>
        </w:tc>
        <w:tc>
          <w:tcPr>
            <w:tcW w:w="1360" w:type="dxa"/>
            <w:vAlign w:val="bottom"/>
          </w:tcPr>
          <w:p>
            <w:pPr>
              <w:jc w:val="right"/>
              <w:spacing w:after="0"/>
              <w:rPr>
                <w:sz w:val="20"/>
                <w:szCs w:val="20"/>
                <w:color w:val="auto"/>
              </w:rPr>
            </w:pPr>
            <w:r>
              <w:rPr>
                <w:rFonts w:ascii="Arial" w:cs="Arial" w:eastAsia="Arial" w:hAnsi="Arial"/>
                <w:sz w:val="18"/>
                <w:szCs w:val="18"/>
                <w:color w:val="auto"/>
              </w:rPr>
              <w:t>7,271</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7,715</w:t>
            </w:r>
          </w:p>
        </w:tc>
        <w:tc>
          <w:tcPr>
            <w:tcW w:w="22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80" w:right="260" w:hanging="372"/>
        <w:spacing w:after="0" w:line="241"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key operating metrics are for Marketplace and Supplier Services. See “Key Terms for our Key Metrics and Non-GAAP Financial Measures” below for definitions of these metrics.</w:t>
      </w:r>
    </w:p>
    <w:p>
      <w:pPr>
        <w:ind w:left="380" w:right="360" w:hanging="372"/>
        <w:spacing w:after="0" w:line="260"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shown for Active Buyers, Accounts with Last Twelve-Months Spend of at Least $50,000, and Active Paying Suppliers are as of December 31, 2023 and 2022, and Percentage of Revenue from Existing Accounts is presented for the quarters ended December 31, 2023 and 2022.</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Excluding the impact of the exit of the supplies business, Active Paying Suppliers was flat year-over-year.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Q1 2024</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(in millions)</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Low</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118</w:t>
            </w:r>
          </w:p>
        </w:tc>
        <w:tc>
          <w:tcPr>
            <w:tcW w:w="5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(9 )</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r>
    </w:tbl>
    <w:p>
      <w:pPr>
        <w:spacing w:after="0" w:line="400"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Expect Q1 2024 revenue growth of 12%-14% year-over-year to $118-$120 million.</w:t>
      </w:r>
    </w:p>
    <w:p>
      <w:pPr>
        <w:spacing w:after="0" w:line="217"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56" w:right="239" w:bottom="1440" w:gutter="0" w:footer="0" w:header="0"/>
        </w:sectPr>
      </w:pPr>
    </w:p>
    <w:bookmarkStart w:id="8" w:name="page9"/>
    <w:bookmarkEnd w:id="8"/>
    <w:p>
      <w:pPr>
        <w:ind w:left="1020" w:hanging="504"/>
        <w:spacing w:after="0"/>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Expect Q1 2024 Adjusted EBITDA loss of $7.0-$9.0 million.</w:t>
      </w:r>
    </w:p>
    <w:p>
      <w:pPr>
        <w:spacing w:after="0" w:line="106" w:lineRule="exact"/>
        <w:rPr>
          <w:rFonts w:ascii="Times New Roman" w:cs="Times New Roman" w:eastAsia="Times New Roman" w:hAnsi="Times New Roman"/>
          <w:sz w:val="20"/>
          <w:szCs w:val="20"/>
          <w:color w:val="auto"/>
        </w:rPr>
      </w:pPr>
    </w:p>
    <w:p>
      <w:pPr>
        <w:ind w:left="1020" w:right="40" w:hanging="504"/>
        <w:spacing w:after="0"/>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Expect fiscal 2024 marketplace revenue growth of at least 20% year-over-year and expect supplier services revenue to be down approximately 10% year-over-year driven by the discontinuation of the sale of tools and materials and the wind down of non-core services.</w:t>
      </w:r>
    </w:p>
    <w:p>
      <w:pPr>
        <w:spacing w:after="0" w:line="64" w:lineRule="exact"/>
        <w:rPr>
          <w:rFonts w:ascii="Times New Roman" w:cs="Times New Roman" w:eastAsia="Times New Roman" w:hAnsi="Times New Roman"/>
          <w:sz w:val="20"/>
          <w:szCs w:val="20"/>
          <w:color w:val="auto"/>
        </w:rPr>
      </w:pPr>
    </w:p>
    <w:p>
      <w:pPr>
        <w:ind w:left="1020" w:right="120" w:hanging="504"/>
        <w:spacing w:after="0" w:line="256" w:lineRule="auto"/>
        <w:tabs>
          <w:tab w:leader="none" w:pos="102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Expect to be Adjusted EBITDA profitable in the third quarter of 2024. For fiscal 2024, we expect improved operating leverage partly offset by international and enterprise growth investments.</w:t>
      </w:r>
    </w:p>
    <w:p>
      <w:pPr>
        <w:spacing w:after="0" w:line="156" w:lineRule="exact"/>
        <w:rPr>
          <w:sz w:val="20"/>
          <w:szCs w:val="20"/>
          <w:color w:val="auto"/>
        </w:rPr>
      </w:pPr>
    </w:p>
    <w:p>
      <w:pPr>
        <w:jc w:val="both"/>
        <w:ind w:right="40"/>
        <w:spacing w:after="0" w:line="241" w:lineRule="auto"/>
        <w:rPr>
          <w:sz w:val="20"/>
          <w:szCs w:val="20"/>
          <w:color w:val="auto"/>
        </w:rPr>
      </w:pPr>
      <w:r>
        <w:rPr>
          <w:rFonts w:ascii="Arial" w:cs="Arial" w:eastAsia="Arial" w:hAnsi="Arial"/>
          <w:sz w:val="20"/>
          <w:szCs w:val="20"/>
          <w:color w:val="auto"/>
        </w:rPr>
        <w:t>Xometry’s first quarter 2024 and full year 2024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70" w:lineRule="exact"/>
        <w:rPr>
          <w:sz w:val="20"/>
          <w:szCs w:val="20"/>
          <w:color w:val="auto"/>
        </w:rPr>
      </w:pPr>
    </w:p>
    <w:p>
      <w:pPr>
        <w:ind w:right="220"/>
        <w:spacing w:after="0" w:line="248" w:lineRule="auto"/>
        <w:rPr>
          <w:sz w:val="20"/>
          <w:szCs w:val="20"/>
          <w:color w:val="auto"/>
        </w:rPr>
      </w:pPr>
      <w:r>
        <w:rPr>
          <w:rFonts w:ascii="Arial" w:cs="Arial" w:eastAsia="Arial" w:hAnsi="Arial"/>
          <w:sz w:val="19"/>
          <w:szCs w:val="19"/>
          <w:color w:val="auto"/>
        </w:rPr>
        <w:t>Reconciliation of Adjusted EBITDA on a forward-looking basis to net loss, the most directly comparable GAAP measure, is not available without unreasonable efforts due to the high variability and complexity and low visibility with respect to the charges excluded from this non-GAAP measure; in particular, the effects of stock-based compensation expense specific to equity compensation awards that are directly impacted by unpredictable fluctuations in Xometry’s stock price. Xometry expects the variability of the above charges to have a significant, and potentially unpredictable, impact on its future GAAP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loss and non-GAAP Earnings Per Share,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83"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ind w:right="4080"/>
        <w:spacing w:after="0" w:line="325"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spacing w:after="0" w:line="2" w:lineRule="exact"/>
        <w:rPr>
          <w:sz w:val="20"/>
          <w:szCs w:val="20"/>
          <w:color w:val="auto"/>
        </w:rPr>
      </w:pPr>
    </w:p>
    <w:p>
      <w:pPr>
        <w:ind w:right="340"/>
        <w:spacing w:after="0" w:line="281" w:lineRule="auto"/>
        <w:rPr>
          <w:sz w:val="20"/>
          <w:szCs w:val="20"/>
          <w:color w:val="auto"/>
        </w:rPr>
      </w:pPr>
      <w:r>
        <w:rPr>
          <w:rFonts w:ascii="Arial" w:cs="Arial" w:eastAsia="Arial" w:hAnsi="Arial"/>
          <w:sz w:val="19"/>
          <w:szCs w:val="19"/>
          <w:b w:val="1"/>
          <w:bCs w:val="1"/>
          <w:color w:val="auto"/>
        </w:rPr>
        <w:t xml:space="preserve">Supplier service revenue: </w:t>
      </w:r>
      <w:r>
        <w:rPr>
          <w:rFonts w:ascii="Arial" w:cs="Arial" w:eastAsia="Arial" w:hAnsi="Arial"/>
          <w:sz w:val="19"/>
          <w:szCs w:val="19"/>
          <w:color w:val="auto"/>
        </w:rPr>
        <w:t>includes the sales of marketing and advertising services and, to a lesser extent, financial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SaaS-based solutions and the sale of supplies, which was discontinued during the second quarter of 2023.</w:t>
      </w:r>
    </w:p>
    <w:p>
      <w:pPr>
        <w:spacing w:after="0" w:line="1" w:lineRule="exact"/>
        <w:rPr>
          <w:sz w:val="20"/>
          <w:szCs w:val="20"/>
          <w:color w:val="auto"/>
        </w:rPr>
      </w:pPr>
    </w:p>
    <w:p>
      <w:pPr>
        <w:ind w:right="460"/>
        <w:spacing w:after="0" w:line="242"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32"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supplies. The Company defines Active Suppliers as suppliers that have used our platform at least once during the last twelve months to manufacture a product or buy tools or supplies. We adjusted the number of our 2022 active suppliers in 2023 to reflect an immaterial correction.</w:t>
      </w:r>
    </w:p>
    <w:p>
      <w:pPr>
        <w:spacing w:after="0" w:line="38" w:lineRule="exact"/>
        <w:rPr>
          <w:sz w:val="20"/>
          <w:szCs w:val="20"/>
          <w:color w:val="auto"/>
        </w:rPr>
      </w:pPr>
    </w:p>
    <w:p>
      <w:pPr>
        <w:jc w:val="both"/>
        <w:ind w:right="14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5"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32"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Active Paying Suppliers: </w:t>
      </w:r>
      <w:r>
        <w:rPr>
          <w:rFonts w:ascii="Arial" w:cs="Arial" w:eastAsia="Arial" w:hAnsi="Arial"/>
          <w:sz w:val="20"/>
          <w:szCs w:val="20"/>
          <w:color w:val="auto"/>
        </w:rPr>
        <w:t>The Company defines Active Paying Suppliers as individuals or businesses who have purchased one</w:t>
      </w:r>
      <w:r>
        <w:rPr>
          <w:rFonts w:ascii="Arial" w:cs="Arial" w:eastAsia="Arial" w:hAnsi="Arial"/>
          <w:sz w:val="20"/>
          <w:szCs w:val="20"/>
          <w:b w:val="1"/>
          <w:bCs w:val="1"/>
          <w:color w:val="auto"/>
        </w:rPr>
        <w:t xml:space="preserve"> </w:t>
      </w:r>
      <w:r>
        <w:rPr>
          <w:rFonts w:ascii="Arial" w:cs="Arial" w:eastAsia="Arial" w:hAnsi="Arial"/>
          <w:sz w:val="20"/>
          <w:szCs w:val="20"/>
          <w:color w:val="auto"/>
        </w:rPr>
        <w:t>or more of our supplier services, including digital marketing services, data services, financial services or supplies on our platforms, during the last twelve months.</w:t>
      </w:r>
    </w:p>
    <w:p>
      <w:pPr>
        <w:spacing w:after="0" w:line="32"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b w:val="1"/>
          <w:bCs w:val="1"/>
          <w:color w:val="auto"/>
        </w:rPr>
        <w:t>Adjusted earnings before interest, taxes, depreciation and amortization (Adjusted EBITDA)</w:t>
      </w:r>
      <w:r>
        <w:rPr>
          <w:rFonts w:ascii="Arial" w:cs="Arial" w:eastAsia="Arial" w:hAnsi="Arial"/>
          <w:sz w:val="19"/>
          <w:szCs w:val="19"/>
          <w:color w:val="auto"/>
        </w:rPr>
        <w:t>: The Company defines</w:t>
      </w:r>
      <w:r>
        <w:rPr>
          <w:rFonts w:ascii="Arial" w:cs="Arial" w:eastAsia="Arial" w:hAnsi="Arial"/>
          <w:sz w:val="19"/>
          <w:szCs w:val="19"/>
          <w:b w:val="1"/>
          <w:bCs w:val="1"/>
          <w:color w:val="auto"/>
        </w:rPr>
        <w:t xml:space="preserve"> </w:t>
      </w:r>
      <w:r>
        <w:rPr>
          <w:rFonts w:ascii="Arial" w:cs="Arial" w:eastAsia="Arial" w:hAnsi="Arial"/>
          <w:sz w:val="19"/>
          <w:szCs w:val="19"/>
          <w:color w:val="auto"/>
        </w:rPr>
        <w:t>Adjusted EBITDA as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unconsolidated joint venture, impairment of assets, lease abandonment, restructuring charges, costs to exit the supplies business and acquisition and other adjustments not reflective of the Company’s ongoing business, such as adjustments related to purchase accounting, the revaluation of contingent consideration and transaction costs.</w:t>
      </w:r>
    </w:p>
    <w:p>
      <w:pPr>
        <w:spacing w:after="0" w:line="30" w:lineRule="exact"/>
        <w:rPr>
          <w:sz w:val="20"/>
          <w:szCs w:val="20"/>
          <w:color w:val="auto"/>
        </w:rPr>
      </w:pPr>
    </w:p>
    <w:p>
      <w:pPr>
        <w:ind w:right="220"/>
        <w:spacing w:after="0" w:line="233"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defines non-GAAP net loss as net loss adjusted for depreciation and amortization, stock-based compensation, amortization of lease intangible, amortization of deferred costs on convertible notes, loss on marketable securities, loss on sale of property and equipment, charitable contributions of common stock, impairment of assets, lease abandonment and termination costs, restructuring charges, costs to exit the supplies business and acquisition and other adjustments not reflective of the Company’s ongoing business, such as adjustments related to purchase accounting, the revaluation of contingent consideration and transaction costs.</w:t>
      </w:r>
    </w:p>
    <w:p>
      <w:pPr>
        <w:spacing w:after="0" w:line="36" w:lineRule="exact"/>
        <w:rPr>
          <w:sz w:val="20"/>
          <w:szCs w:val="20"/>
          <w:color w:val="auto"/>
        </w:rPr>
      </w:pPr>
    </w:p>
    <w:p>
      <w:pPr>
        <w:jc w:val="both"/>
        <w:ind w:right="46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loss divided by weighted average number of common stock outstanding.</w:t>
      </w:r>
    </w:p>
    <w:p>
      <w:pPr>
        <w:spacing w:after="0" w:line="34"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Xometry’s (NASDAQ:XMTR) AI-powered marketplace, popular Thomasnet® industrial sourcing platform and suite of cloud-based services are rapidly digitizing the $2 trillion manufacturing industry. Xometry provides manufacturers the critical resources they need to grow their business and makes it easy for buyers to create locally resilient supply chains. The Xometry Instant Quoting Engine® leverages millions of pieces of data to analyze complex parts in real-time, matches buyers with the right suppliers globally, and provides accurate pricing and lead times. Learn more at www.xometry.com or follow @xometry.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44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February 29, 2024. In addition to issuing a press release, the Company will post an earnings presentation to its investor website at investors.xometry.com.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Xometry, Inc. Fourth Quarter and Full Year 2023 Earnings Presentation and Conference Call</w:t>
      </w:r>
    </w:p>
    <w:p>
      <w:pPr>
        <w:spacing w:after="0" w:line="2"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 on Thursday, February 29, 2024</w:t>
      </w:r>
    </w:p>
    <w:p>
      <w:pPr>
        <w:ind w:left="1020" w:hanging="504"/>
        <w:spacing w:after="0"/>
        <w:tabs>
          <w:tab w:leader="none" w:pos="1020" w:val="left"/>
        </w:tabs>
        <w:numPr>
          <w:ilvl w:val="0"/>
          <w:numId w:val="12"/>
        </w:numPr>
        <w:rPr>
          <w:rFonts w:ascii="Times New Roman" w:cs="Times New Roman" w:eastAsia="Times New Roman" w:hAnsi="Times New Roman"/>
          <w:sz w:val="19"/>
          <w:szCs w:val="19"/>
          <w:color w:val="auto"/>
        </w:rPr>
      </w:pPr>
      <w:r>
        <w:rPr>
          <w:rFonts w:ascii="Arial" w:cs="Arial" w:eastAsia="Arial" w:hAnsi="Arial"/>
          <w:sz w:val="19"/>
          <w:szCs w:val="19"/>
          <w:color w:val="auto"/>
        </w:rPr>
        <w:t>To register please use the following link: https://register.vevent.com/register/BIe8fa0a130127401593eefccfb6625781</w:t>
      </w:r>
    </w:p>
    <w:p>
      <w:pPr>
        <w:spacing w:after="0" w:line="9" w:lineRule="exact"/>
        <w:rPr>
          <w:rFonts w:ascii="Times New Roman" w:cs="Times New Roman" w:eastAsia="Times New Roman" w:hAnsi="Times New Roman"/>
          <w:sz w:val="19"/>
          <w:szCs w:val="19"/>
          <w:color w:val="auto"/>
        </w:rPr>
      </w:pPr>
    </w:p>
    <w:p>
      <w:pPr>
        <w:ind w:left="1020" w:right="160" w:hanging="504"/>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first quarter 2024, our expectations regarding our full year marketplace and supplier services revenue and our ability to achieve Adjusted EBITDA profitability in the third quarter of 2024; our initiatives for growth; the impact of the appointment of James Miln on our long-term growth and profitability; and statements regarding our strategy,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the current inflationary environment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2023,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40"/>
          </w:cols>
          <w:pgMar w:left="320" w:top="1087" w:right="339" w:bottom="1440" w:gutter="0" w:footer="0" w:header="0"/>
        </w:sectPr>
      </w:pP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Shawn Milne</w:t>
      </w:r>
    </w:p>
    <w:p>
      <w:pPr>
        <w:ind w:left="20"/>
        <w:spacing w:after="0" w:line="231" w:lineRule="auto"/>
        <w:rPr>
          <w:sz w:val="20"/>
          <w:szCs w:val="20"/>
          <w:color w:val="auto"/>
        </w:rPr>
      </w:pPr>
      <w:r>
        <w:rPr>
          <w:rFonts w:ascii="Arial" w:cs="Arial" w:eastAsia="Arial" w:hAnsi="Arial"/>
          <w:sz w:val="17"/>
          <w:szCs w:val="17"/>
          <w:color w:val="auto"/>
        </w:rPr>
        <w:t>VP Investor Relations</w:t>
      </w:r>
    </w:p>
    <w:p>
      <w:pPr>
        <w:ind w:left="20"/>
        <w:spacing w:after="0" w:line="232" w:lineRule="auto"/>
        <w:rPr>
          <w:sz w:val="20"/>
          <w:szCs w:val="20"/>
          <w:color w:val="auto"/>
        </w:rPr>
      </w:pPr>
      <w:r>
        <w:rPr>
          <w:rFonts w:ascii="Arial" w:cs="Arial" w:eastAsia="Arial" w:hAnsi="Arial"/>
          <w:sz w:val="17"/>
          <w:szCs w:val="17"/>
          <w:color w:val="auto"/>
        </w:rPr>
        <w:t>240-335-8132</w:t>
      </w:r>
    </w:p>
    <w:p>
      <w:pPr>
        <w:ind w:left="20"/>
        <w:spacing w:after="0"/>
        <w:rPr>
          <w:sz w:val="20"/>
          <w:szCs w:val="20"/>
          <w:color w:val="auto"/>
        </w:rPr>
      </w:pPr>
      <w:r>
        <w:rPr>
          <w:rFonts w:ascii="Arial" w:cs="Arial" w:eastAsia="Arial" w:hAnsi="Arial"/>
          <w:sz w:val="16"/>
          <w:szCs w:val="16"/>
          <w:color w:val="auto"/>
        </w:rPr>
        <w:t>shawn.milne@xometry.com</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Matthew Hutchison</w:t>
      </w:r>
    </w:p>
    <w:p>
      <w:pPr>
        <w:spacing w:after="0" w:line="231" w:lineRule="auto"/>
        <w:rPr>
          <w:sz w:val="20"/>
          <w:szCs w:val="20"/>
          <w:color w:val="auto"/>
        </w:rPr>
      </w:pPr>
      <w:r>
        <w:rPr>
          <w:rFonts w:ascii="Arial" w:cs="Arial" w:eastAsia="Arial" w:hAnsi="Arial"/>
          <w:sz w:val="17"/>
          <w:szCs w:val="17"/>
          <w:color w:val="auto"/>
        </w:rPr>
        <w:t>Corporate Communications for Xometry</w:t>
      </w:r>
    </w:p>
    <w:p>
      <w:pPr>
        <w:spacing w:after="0" w:line="232" w:lineRule="auto"/>
        <w:rPr>
          <w:sz w:val="20"/>
          <w:szCs w:val="20"/>
          <w:color w:val="auto"/>
        </w:rPr>
      </w:pPr>
      <w:r>
        <w:rPr>
          <w:rFonts w:ascii="Arial" w:cs="Arial" w:eastAsia="Arial" w:hAnsi="Arial"/>
          <w:sz w:val="17"/>
          <w:szCs w:val="17"/>
          <w:color w:val="auto"/>
        </w:rPr>
        <w:t>415-583-2119</w:t>
      </w:r>
    </w:p>
    <w:p>
      <w:pPr>
        <w:spacing w:after="0"/>
        <w:rPr>
          <w:sz w:val="20"/>
          <w:szCs w:val="20"/>
          <w:color w:val="auto"/>
        </w:rPr>
      </w:pPr>
      <w:r>
        <w:rPr>
          <w:rFonts w:ascii="Arial" w:cs="Arial" w:eastAsia="Arial" w:hAnsi="Arial"/>
          <w:sz w:val="17"/>
          <w:szCs w:val="17"/>
          <w:color w:val="auto"/>
        </w:rPr>
        <w:t>matthew.hutchison@xometry.com</w:t>
      </w:r>
    </w:p>
    <w:p>
      <w:pPr>
        <w:spacing w:after="0" w:line="200" w:lineRule="exact"/>
        <w:rPr>
          <w:sz w:val="20"/>
          <w:szCs w:val="20"/>
          <w:color w:val="auto"/>
        </w:rPr>
      </w:pPr>
    </w:p>
    <w:p>
      <w:pPr>
        <w:sectPr>
          <w:pgSz w:w="11900" w:h="16838" w:orient="portrait"/>
          <w:cols w:equalWidth="0" w:num="2">
            <w:col w:w="4920" w:space="720"/>
            <w:col w:w="5600"/>
          </w:cols>
          <w:pgMar w:left="320" w:top="1087" w:right="3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11" w:name="page12"/>
    <w:bookmarkEnd w:id="11"/>
    <w:p>
      <w:pPr>
        <w:jc w:val="center"/>
        <w:ind w:right="40"/>
        <w:spacing w:after="0"/>
        <w:rPr>
          <w:sz w:val="20"/>
          <w:szCs w:val="20"/>
          <w:color w:val="auto"/>
        </w:rPr>
      </w:pPr>
      <w:r>
        <w:rPr>
          <w:rFonts w:ascii="Arial" w:cs="Arial" w:eastAsia="Arial" w:hAnsi="Arial"/>
          <w:sz w:val="20"/>
          <w:szCs w:val="20"/>
          <w:b w:val="1"/>
          <w:bCs w:val="1"/>
          <w:color w:val="auto"/>
        </w:rPr>
        <w:t>Xometry, Inc. and Subsidiaries</w:t>
      </w:r>
      <w:r>
        <w:rPr>
          <w:rFonts w:ascii="Arial" w:cs="Arial" w:eastAsia="Arial" w:hAnsi="Arial"/>
          <w:sz w:val="26"/>
          <w:szCs w:val="26"/>
          <w:b w:val="1"/>
          <w:bCs w:val="1"/>
          <w:color w:val="auto"/>
          <w:vertAlign w:val="superscript"/>
        </w:rPr>
        <w:t>(1)</w:t>
      </w:r>
    </w:p>
    <w:p>
      <w:pPr>
        <w:jc w:val="center"/>
        <w:ind w:right="100"/>
        <w:spacing w:after="0" w:line="225" w:lineRule="auto"/>
        <w:rPr>
          <w:sz w:val="20"/>
          <w:szCs w:val="20"/>
          <w:color w:val="auto"/>
        </w:rPr>
      </w:pPr>
      <w:r>
        <w:rPr>
          <w:rFonts w:ascii="Arial" w:cs="Arial" w:eastAsia="Arial" w:hAnsi="Arial"/>
          <w:sz w:val="20"/>
          <w:szCs w:val="20"/>
          <w:color w:val="auto"/>
        </w:rPr>
        <w:t>Consolidated Balance Sheets</w:t>
      </w:r>
    </w:p>
    <w:p>
      <w:pPr>
        <w:jc w:val="center"/>
        <w:spacing w:after="0" w:line="225" w:lineRule="auto"/>
        <w:rPr>
          <w:sz w:val="20"/>
          <w:szCs w:val="20"/>
          <w:color w:val="auto"/>
        </w:rPr>
      </w:pPr>
      <w:r>
        <w:rPr>
          <w:rFonts w:ascii="Arial" w:cs="Arial" w:eastAsia="Arial" w:hAnsi="Arial"/>
          <w:sz w:val="20"/>
          <w:szCs w:val="20"/>
          <w:color w:val="auto"/>
        </w:rPr>
        <w:t>(In thousands, except share and per share data)</w:t>
      </w:r>
    </w:p>
    <w:p>
      <w:pPr>
        <w:jc w:val="center"/>
        <w:spacing w:after="0"/>
        <w:rPr>
          <w:sz w:val="20"/>
          <w:szCs w:val="20"/>
          <w:color w:val="auto"/>
        </w:rPr>
      </w:pPr>
      <w:r>
        <w:rPr>
          <w:rFonts w:ascii="Arial" w:cs="Arial" w:eastAsia="Arial" w:hAnsi="Arial"/>
          <w:sz w:val="20"/>
          <w:szCs w:val="20"/>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53,424</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65,662</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215,352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253,770</w:t>
            </w:r>
          </w:p>
        </w:tc>
        <w:tc>
          <w:tcPr>
            <w:tcW w:w="100" w:type="dxa"/>
            <w:vAlign w:val="bottom"/>
          </w:tcPr>
          <w:p>
            <w:pPr>
              <w:spacing w:after="0"/>
              <w:rPr>
                <w:sz w:val="19"/>
                <w:szCs w:val="19"/>
                <w:color w:val="auto"/>
              </w:rPr>
            </w:pP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Accounts receivable, less allowance for credit losses of $2.4 million and $2.0 million as of</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December 31, 2023 and 2022</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49,277</w:t>
            </w:r>
          </w:p>
        </w:tc>
        <w:tc>
          <w:tcPr>
            <w:tcW w:w="100" w:type="dxa"/>
            <w:vAlign w:val="bottom"/>
            <w:shd w:val="clear" w:color="auto" w:fill="CFF0FC"/>
          </w:tcPr>
          <w:p>
            <w:pPr>
              <w:spacing w:after="0"/>
              <w:rPr>
                <w:sz w:val="20"/>
                <w:szCs w:val="20"/>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387,244</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19,079</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Investment in unconsolidated joint venture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262,915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258,036</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707,387</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734,114</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24,710</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33,433</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6,799</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64,026</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Convertible notes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281,769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279,909</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r>
      <w:tr>
        <w:trPr>
          <w:trHeight w:val="223"/>
        </w:trPr>
        <w:tc>
          <w:tcPr>
            <w:tcW w:w="79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376,968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$0.000001 par value. Authorized; 50,000,000 shares; zero shares issued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280"/>
              <w:spacing w:after="0"/>
              <w:rPr>
                <w:sz w:val="20"/>
                <w:szCs w:val="20"/>
                <w:color w:val="auto"/>
              </w:rPr>
            </w:pPr>
            <w:r>
              <w:rPr>
                <w:rFonts w:ascii="Arial" w:cs="Arial" w:eastAsia="Arial" w:hAnsi="Arial"/>
                <w:sz w:val="18"/>
                <w:szCs w:val="18"/>
                <w:color w:val="auto"/>
              </w:rPr>
              <w:t>outstanding as of December 31, 2023 and 2022, respectively</w:t>
            </w: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Class A Common stock, $0.000001 par value. Authorized; 750,000,000 shares; 45,489,379</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shares and 44,822,264 shares issued and outstanding as of December 31, 2023 and 2022,</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Class B Common stock, $0.000001 par value. Authorized; 5,000,000 shares; 2,676,154</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280"/>
              <w:spacing w:after="0"/>
              <w:rPr>
                <w:sz w:val="20"/>
                <w:szCs w:val="20"/>
                <w:color w:val="auto"/>
              </w:rPr>
            </w:pPr>
            <w:r>
              <w:rPr>
                <w:rFonts w:ascii="Arial" w:cs="Arial" w:eastAsia="Arial" w:hAnsi="Arial"/>
                <w:sz w:val="18"/>
                <w:szCs w:val="18"/>
                <w:color w:val="auto"/>
              </w:rPr>
              <w:t>shares issued and outstanding as of December 31, 2023 and 2022, respectively</w:t>
            </w: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648,317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623,081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(319,872 )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(252,400 )</w:t>
            </w:r>
          </w:p>
        </w:tc>
      </w:tr>
      <w:tr>
        <w:trPr>
          <w:trHeight w:val="223"/>
        </w:trPr>
        <w:tc>
          <w:tcPr>
            <w:tcW w:w="7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329,300</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370,709</w:t>
            </w:r>
          </w:p>
        </w:tc>
        <w:tc>
          <w:tcPr>
            <w:tcW w:w="100" w:type="dxa"/>
            <w:vAlign w:val="bottom"/>
            <w:tcBorders>
              <w:top w:val="single" w:sz="8" w:color="CFF0FC"/>
            </w:tcBorders>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Noncontrolling interest</w:t>
            </w: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371,799</w:t>
            </w:r>
          </w:p>
        </w:tc>
        <w:tc>
          <w:tcPr>
            <w:tcW w:w="100" w:type="dxa"/>
            <w:vAlign w:val="bottom"/>
          </w:tcPr>
          <w:p>
            <w:pPr>
              <w:spacing w:after="0"/>
              <w:rPr>
                <w:sz w:val="19"/>
                <w:szCs w:val="19"/>
                <w:color w:val="auto"/>
              </w:rPr>
            </w:pPr>
          </w:p>
        </w:tc>
      </w:tr>
      <w:tr>
        <w:trPr>
          <w:trHeight w:val="263"/>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707,387</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734,114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-4408805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-3210560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-3210560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-2319655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-633095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-333375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right"/>
        <w:ind w:left="380" w:right="640" w:hanging="372"/>
        <w:spacing w:after="0" w:line="284" w:lineRule="auto"/>
        <w:tabs>
          <w:tab w:leader="none" w:pos="325"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2022 results have been revised to reflect immaterial corrections related to certain captions within the Consolidated Balance Sheet, Consolidated Statement of Operations and Comprehensive Loss and Consolidated Statement of Cash Flows. See tables below for additional details with respect to the line items impacted.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2" w:name="page13"/>
    <w:bookmarkEnd w:id="12"/>
    <w:p>
      <w:pPr>
        <w:jc w:val="center"/>
        <w:ind w:left="340" w:right="2740"/>
        <w:spacing w:after="0"/>
        <w:rPr>
          <w:sz w:val="20"/>
          <w:szCs w:val="20"/>
          <w:color w:val="auto"/>
        </w:rPr>
      </w:pPr>
      <w:r>
        <w:rPr>
          <w:rFonts w:ascii="Arial" w:cs="Arial" w:eastAsia="Arial" w:hAnsi="Arial"/>
          <w:sz w:val="20"/>
          <w:szCs w:val="20"/>
          <w:b w:val="1"/>
          <w:bCs w:val="1"/>
          <w:color w:val="auto"/>
        </w:rPr>
        <w:t>Xometry, Inc. and Subsidiaries</w:t>
      </w:r>
      <w:r>
        <w:rPr>
          <w:rFonts w:ascii="Arial" w:cs="Arial" w:eastAsia="Arial" w:hAnsi="Arial"/>
          <w:sz w:val="26"/>
          <w:szCs w:val="26"/>
          <w:b w:val="1"/>
          <w:bCs w:val="1"/>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Consolidated Statements of Operations and Comprehensive Loss (In thousands, except share and per share amounts) (Unaudited)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128,145</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98,061</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463,406</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380,921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79,060</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62,859</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285,147</w:t>
            </w: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234,930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49,085</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35,202</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178,259</w:t>
            </w:r>
          </w:p>
        </w:tc>
        <w:tc>
          <w:tcPr>
            <w:tcW w:w="2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145,991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25,373</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24,664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93,688</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84,371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12,922</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12,434</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52,372</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8,892</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8,315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34,462</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14,437</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15,103</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70,916</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58,246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Impairment of assets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61,624</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60,896</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251,835</w:t>
            </w:r>
          </w:p>
        </w:tc>
        <w:tc>
          <w:tcPr>
            <w:tcW w:w="26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223,082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(12,539 )</w:t>
            </w:r>
          </w:p>
        </w:tc>
        <w:tc>
          <w:tcPr>
            <w:tcW w:w="4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(25,694 )</w:t>
            </w: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(73,576 )</w:t>
            </w:r>
          </w:p>
        </w:tc>
        <w:tc>
          <w:tcPr>
            <w:tcW w:w="4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(77,091 )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(1,188 )</w:t>
            </w:r>
          </w:p>
        </w:tc>
        <w:tc>
          <w:tcPr>
            <w:tcW w:w="4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(1,246 )</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(4,784 )</w:t>
            </w:r>
          </w:p>
        </w:tc>
        <w:tc>
          <w:tcPr>
            <w:tcW w:w="4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(4,418 )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2,959</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2,201</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11,607</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(355 )</w:t>
            </w:r>
          </w:p>
        </w:tc>
        <w:tc>
          <w:tcPr>
            <w:tcW w:w="4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(450 )</w:t>
            </w:r>
          </w:p>
        </w:tc>
        <w:tc>
          <w:tcPr>
            <w:tcW w:w="3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(1,511 )</w:t>
            </w:r>
          </w:p>
        </w:tc>
        <w:tc>
          <w:tcPr>
            <w:tcW w:w="4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(2,183 )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(loss) from unconsolidated joint venture</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(30 )</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color w:val="auto"/>
              </w:rPr>
              <w:t>Total other income (expenses)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1,425</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5,758</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(1,916 )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Loss before income taxes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(11,114 )</w:t>
            </w:r>
          </w:p>
        </w:tc>
        <w:tc>
          <w:tcPr>
            <w:tcW w:w="4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(25,219 )</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(67,818 )</w:t>
            </w:r>
          </w:p>
        </w:tc>
        <w:tc>
          <w:tcPr>
            <w:tcW w:w="4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(79,007 )</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Benefit (provision) for income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(595 )</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353</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(10,553 )</w:t>
            </w:r>
          </w:p>
        </w:tc>
        <w:tc>
          <w:tcPr>
            <w:tcW w:w="4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(25,814 )</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(67,465 )</w:t>
            </w:r>
          </w:p>
        </w:tc>
        <w:tc>
          <w:tcPr>
            <w:tcW w:w="4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(79,043 )</w:t>
            </w:r>
          </w:p>
        </w:tc>
        <w:tc>
          <w:tcPr>
            <w:tcW w:w="0" w:type="dxa"/>
            <w:vAlign w:val="bottom"/>
          </w:tcPr>
          <w:p>
            <w:pPr>
              <w:spacing w:after="0"/>
              <w:rPr>
                <w:sz w:val="1"/>
                <w:szCs w:val="1"/>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4"/>
                <w:szCs w:val="14"/>
                <w:color w:val="auto"/>
              </w:rPr>
              <w:t>Net (loss) income attributable to noncontrolling interest</w:t>
            </w:r>
          </w:p>
        </w:tc>
        <w:tc>
          <w:tcPr>
            <w:tcW w:w="30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(2 )</w:t>
            </w:r>
          </w:p>
        </w:tc>
        <w:tc>
          <w:tcPr>
            <w:tcW w:w="4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(1 )</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(10,551 )</w:t>
            </w: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(25,813 )</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(67,472 )</w:t>
            </w: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(79,059 )</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80" w:type="dxa"/>
            <w:vAlign w:val="bottom"/>
          </w:tcPr>
          <w:p>
            <w:pPr>
              <w:ind w:left="20"/>
              <w:spacing w:after="0" w:line="147" w:lineRule="exact"/>
              <w:rPr>
                <w:sz w:val="20"/>
                <w:szCs w:val="20"/>
                <w:color w:val="auto"/>
              </w:rPr>
            </w:pPr>
            <w:r>
              <w:rPr>
                <w:rFonts w:ascii="Arial" w:cs="Arial" w:eastAsia="Arial" w:hAnsi="Arial"/>
                <w:sz w:val="14"/>
                <w:szCs w:val="14"/>
                <w:color w:val="auto"/>
              </w:rPr>
              <w:t>Net loss per share, basic and diluted, of Class A and Class B common</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(0.22 )</w:t>
            </w: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(0.54 )</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(1.41 )</w:t>
            </w:r>
          </w:p>
        </w:tc>
        <w:tc>
          <w:tcPr>
            <w:tcW w:w="400" w:type="dxa"/>
            <w:vAlign w:val="bottom"/>
            <w:vMerge w:val="restart"/>
          </w:tcPr>
          <w:p>
            <w:pPr>
              <w:jc w:val="right"/>
              <w:ind w:right="248"/>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44"/>
        </w:trPr>
        <w:tc>
          <w:tcPr>
            <w:tcW w:w="5180" w:type="dxa"/>
            <w:vAlign w:val="bottom"/>
          </w:tcPr>
          <w:p>
            <w:pPr>
              <w:ind w:left="140"/>
              <w:spacing w:after="0" w:line="124" w:lineRule="exact"/>
              <w:rPr>
                <w:sz w:val="20"/>
                <w:szCs w:val="20"/>
                <w:color w:val="auto"/>
              </w:rPr>
            </w:pPr>
            <w:r>
              <w:rPr>
                <w:rFonts w:ascii="Arial" w:cs="Arial" w:eastAsia="Arial" w:hAnsi="Arial"/>
                <w:sz w:val="14"/>
                <w:szCs w:val="14"/>
                <w:color w:val="auto"/>
              </w:rPr>
              <w:t>stock</w:t>
            </w:r>
          </w:p>
        </w:tc>
        <w:tc>
          <w:tcPr>
            <w:tcW w:w="30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8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Weighted-average number of shares outstanding used to compute</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loss per share, basic and diluted, of Class A and Class B</w:t>
            </w:r>
          </w:p>
        </w:tc>
        <w:tc>
          <w:tcPr>
            <w:tcW w:w="3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48,096,142</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47,457,139</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47,914,039</w:t>
            </w: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47,158,247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CFF0FC"/>
            </w:tcBorders>
            <w:shd w:val="clear" w:color="auto" w:fill="CFF0FC"/>
          </w:tcPr>
          <w:p>
            <w:pPr>
              <w:ind w:left="140"/>
              <w:spacing w:after="0" w:line="124" w:lineRule="exact"/>
              <w:rPr>
                <w:sz w:val="20"/>
                <w:szCs w:val="20"/>
                <w:color w:val="auto"/>
              </w:rPr>
            </w:pPr>
            <w:r>
              <w:rPr>
                <w:rFonts w:ascii="Arial" w:cs="Arial" w:eastAsia="Arial" w:hAnsi="Arial"/>
                <w:sz w:val="14"/>
                <w:szCs w:val="14"/>
                <w:color w:val="auto"/>
              </w:rPr>
              <w:t>common stock</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518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849</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tcPr>
          <w:p>
            <w:pPr>
              <w:ind w:left="380"/>
              <w:spacing w:after="0"/>
              <w:rPr>
                <w:sz w:val="20"/>
                <w:szCs w:val="20"/>
                <w:color w:val="auto"/>
              </w:rPr>
            </w:pPr>
            <w:r>
              <w:rPr>
                <w:rFonts w:ascii="Arial" w:cs="Arial" w:eastAsia="Arial" w:hAnsi="Arial"/>
                <w:sz w:val="14"/>
                <w:szCs w:val="14"/>
                <w:color w:val="auto"/>
              </w:rPr>
              <w:t>Total other comprehensive income (loss)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849</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loss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(10,553 )</w:t>
            </w:r>
          </w:p>
        </w:tc>
        <w:tc>
          <w:tcPr>
            <w:tcW w:w="4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(25,814 )</w:t>
            </w: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(67,465 )</w:t>
            </w:r>
          </w:p>
        </w:tc>
        <w:tc>
          <w:tcPr>
            <w:tcW w:w="4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(79,043 )</w:t>
            </w: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(10,462 )</w:t>
            </w:r>
          </w:p>
        </w:tc>
        <w:tc>
          <w:tcPr>
            <w:tcW w:w="4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(25,322 )</w:t>
            </w:r>
          </w:p>
        </w:tc>
        <w:tc>
          <w:tcPr>
            <w:tcW w:w="3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(66,616 )</w:t>
            </w:r>
          </w:p>
        </w:tc>
        <w:tc>
          <w:tcPr>
            <w:tcW w:w="4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(79,124 )</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(16 )</w:t>
            </w:r>
          </w:p>
        </w:tc>
        <w:tc>
          <w:tcPr>
            <w:tcW w:w="4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(29 )</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(10,446 )</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(25,293 )</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(66,645 )</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(79,180 )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-3809365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-3809365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-3809365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-3809365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-3073400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-3073400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-3073400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-2345690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-2345690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-2345690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-1591945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-1574800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-1591945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-1574800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-1591945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-1574800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-1043940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-1026795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-1043940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-1026795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-1043940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-1026795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-658495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-658495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-658495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-401955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-401955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-401955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-153670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-153670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6101715</wp:posOffset>
            </wp:positionH>
            <wp:positionV relativeFrom="paragraph">
              <wp:posOffset>-153670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right"/>
        <w:ind w:left="380" w:right="640" w:hanging="372"/>
        <w:spacing w:after="0" w:line="284" w:lineRule="auto"/>
        <w:tabs>
          <w:tab w:leader="none" w:pos="325"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2022 results have been revised to reflect immaterial corrections related to certain captions within the Consolidated Balance Sheet, Consolidated Statement of Operations and Comprehensive Loss and Consolidated Statement of Cash Flows. See tables below for additional details with respect to the line items impacted.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3" w:name="page14"/>
    <w:bookmarkEnd w:id="13"/>
    <w:p>
      <w:pPr>
        <w:ind w:left="4120"/>
        <w:spacing w:after="0"/>
        <w:rPr>
          <w:sz w:val="20"/>
          <w:szCs w:val="20"/>
          <w:color w:val="auto"/>
        </w:rPr>
      </w:pPr>
      <w:r>
        <w:rPr>
          <w:rFonts w:ascii="Arial" w:cs="Arial" w:eastAsia="Arial" w:hAnsi="Arial"/>
          <w:sz w:val="20"/>
          <w:szCs w:val="20"/>
          <w:b w:val="1"/>
          <w:bCs w:val="1"/>
          <w:color w:val="auto"/>
        </w:rPr>
        <w:t>Xometry, Inc. and Subsidiaries</w:t>
      </w:r>
      <w:r>
        <w:rPr>
          <w:rFonts w:ascii="Arial" w:cs="Arial" w:eastAsia="Arial" w:hAnsi="Arial"/>
          <w:sz w:val="26"/>
          <w:szCs w:val="26"/>
          <w:b w:val="1"/>
          <w:bCs w:val="1"/>
          <w:color w:val="auto"/>
          <w:vertAlign w:val="superscript"/>
        </w:rPr>
        <w:t>(1)</w:t>
      </w:r>
    </w:p>
    <w:p>
      <w:pPr>
        <w:ind w:left="3900"/>
        <w:spacing w:after="0" w:line="225" w:lineRule="auto"/>
        <w:rPr>
          <w:sz w:val="20"/>
          <w:szCs w:val="20"/>
          <w:color w:val="auto"/>
        </w:rPr>
      </w:pPr>
      <w:r>
        <w:rPr>
          <w:rFonts w:ascii="Arial" w:cs="Arial" w:eastAsia="Arial" w:hAnsi="Arial"/>
          <w:sz w:val="20"/>
          <w:szCs w:val="20"/>
          <w:color w:val="auto"/>
        </w:rPr>
        <w:t>Consolidated Statements of Cash Flows</w:t>
      </w:r>
    </w:p>
    <w:p>
      <w:pPr>
        <w:ind w:left="5000"/>
        <w:spacing w:after="0" w:line="225" w:lineRule="auto"/>
        <w:rPr>
          <w:sz w:val="20"/>
          <w:szCs w:val="20"/>
          <w:color w:val="auto"/>
        </w:rPr>
      </w:pPr>
      <w:r>
        <w:rPr>
          <w:rFonts w:ascii="Arial" w:cs="Arial" w:eastAsia="Arial" w:hAnsi="Arial"/>
          <w:sz w:val="20"/>
          <w:szCs w:val="20"/>
          <w:color w:val="auto"/>
        </w:rPr>
        <w:t>(In thousands)</w:t>
      </w:r>
    </w:p>
    <w:p>
      <w:pPr>
        <w:ind w:left="5100"/>
        <w:spacing w:after="0"/>
        <w:rPr>
          <w:sz w:val="20"/>
          <w:szCs w:val="20"/>
          <w:color w:val="auto"/>
        </w:rPr>
      </w:pPr>
      <w:r>
        <w:rPr>
          <w:rFonts w:ascii="Arial" w:cs="Arial" w:eastAsia="Arial" w:hAnsi="Arial"/>
          <w:sz w:val="20"/>
          <w:szCs w:val="20"/>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66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82"/>
        </w:trPr>
        <w:tc>
          <w:tcPr>
            <w:tcW w:w="6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6"/>
              </w:rPr>
              <w:t>(67,465 )</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(79,043 )</w:t>
            </w:r>
          </w:p>
        </w:tc>
        <w:tc>
          <w:tcPr>
            <w:tcW w:w="14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(61,381 )</w:t>
            </w: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10,738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3,596</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assets</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14,355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based compensation</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22,118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19,172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7,395</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4"/>
                <w:szCs w:val="14"/>
                <w:color w:val="auto"/>
              </w:rPr>
              <w:t>Non-cash interest expense</w:t>
            </w:r>
          </w:p>
        </w:tc>
        <w:tc>
          <w:tcPr>
            <w:tcW w:w="8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debt extinguishment</w:t>
            </w:r>
          </w:p>
        </w:tc>
        <w:tc>
          <w:tcPr>
            <w:tcW w:w="84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4"/>
                <w:szCs w:val="14"/>
                <w:color w:val="auto"/>
              </w:rPr>
              <w:t>Revaluation of contingent consideration</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loss from unconsolidated joint venture</w:t>
            </w:r>
          </w:p>
        </w:tc>
        <w:tc>
          <w:tcPr>
            <w:tcW w:w="8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(41 )</w:t>
            </w:r>
          </w:p>
        </w:tc>
      </w:tr>
      <w:tr>
        <w:trPr>
          <w:trHeight w:val="189"/>
        </w:trPr>
        <w:tc>
          <w:tcPr>
            <w:tcW w:w="6660" w:type="dxa"/>
            <w:vAlign w:val="bottom"/>
          </w:tcPr>
          <w:p>
            <w:pPr>
              <w:ind w:left="380"/>
              <w:spacing w:after="0"/>
              <w:rPr>
                <w:sz w:val="20"/>
                <w:szCs w:val="20"/>
                <w:color w:val="auto"/>
              </w:rPr>
            </w:pPr>
            <w:r>
              <w:rPr>
                <w:rFonts w:ascii="Arial" w:cs="Arial" w:eastAsia="Arial" w:hAnsi="Arial"/>
                <w:sz w:val="14"/>
                <w:szCs w:val="14"/>
                <w:color w:val="auto"/>
              </w:rPr>
              <w:t>Donation of common stock</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Losses on marketable securities</w:t>
            </w:r>
          </w:p>
        </w:tc>
        <w:tc>
          <w:tcPr>
            <w:tcW w:w="84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4"/>
                <w:szCs w:val="14"/>
                <w:color w:val="auto"/>
              </w:rPr>
              <w:t>Loss on sale of property and equipment</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Inventory write-off</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tcPr>
          <w:p>
            <w:pPr>
              <w:ind w:left="380"/>
              <w:spacing w:after="0"/>
              <w:rPr>
                <w:sz w:val="20"/>
                <w:szCs w:val="20"/>
                <w:color w:val="auto"/>
              </w:rPr>
            </w:pPr>
            <w:r>
              <w:rPr>
                <w:rFonts w:ascii="Arial" w:cs="Arial" w:eastAsia="Arial" w:hAnsi="Arial"/>
                <w:sz w:val="14"/>
                <w:szCs w:val="14"/>
                <w:color w:val="auto"/>
              </w:rPr>
              <w:t>Amortization of deferred costs on convertible notes</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taxes benefit</w:t>
            </w:r>
          </w:p>
        </w:tc>
        <w:tc>
          <w:tcPr>
            <w:tcW w:w="8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(154 )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(653 )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(179 )</w:t>
            </w:r>
          </w:p>
        </w:tc>
      </w:tr>
      <w:tr>
        <w:trPr>
          <w:trHeight w:val="189"/>
        </w:trPr>
        <w:tc>
          <w:tcPr>
            <w:tcW w:w="6660" w:type="dxa"/>
            <w:vAlign w:val="bottom"/>
          </w:tcPr>
          <w:p>
            <w:pPr>
              <w:ind w:left="380"/>
              <w:spacing w:after="0"/>
              <w:rPr>
                <w:sz w:val="20"/>
                <w:szCs w:val="20"/>
                <w:color w:val="auto"/>
              </w:rPr>
            </w:pPr>
            <w:r>
              <w:rPr>
                <w:rFonts w:ascii="Arial" w:cs="Arial" w:eastAsia="Arial" w:hAnsi="Arial"/>
                <w:sz w:val="14"/>
                <w:szCs w:val="14"/>
                <w:color w:val="auto"/>
              </w:rPr>
              <w:t>Restructuring charge</w:t>
            </w:r>
          </w:p>
        </w:tc>
        <w:tc>
          <w:tcPr>
            <w:tcW w:w="8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560"/>
              <w:spacing w:after="0"/>
              <w:rPr>
                <w:sz w:val="20"/>
                <w:szCs w:val="20"/>
                <w:color w:val="auto"/>
              </w:rPr>
            </w:pPr>
            <w:r>
              <w:rPr>
                <w:rFonts w:ascii="Arial" w:cs="Arial" w:eastAsia="Arial" w:hAnsi="Arial"/>
                <w:sz w:val="14"/>
                <w:szCs w:val="14"/>
                <w:color w:val="auto"/>
              </w:rPr>
              <w:t>Accounts receivable, net</w:t>
            </w:r>
          </w:p>
        </w:tc>
        <w:tc>
          <w:tcPr>
            <w:tcW w:w="8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6"/>
              </w:rPr>
              <w:t>(20,594 )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(17,012 )</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(11,117 )</w:t>
            </w:r>
          </w:p>
        </w:tc>
      </w:tr>
      <w:tr>
        <w:trPr>
          <w:trHeight w:val="189"/>
        </w:trPr>
        <w:tc>
          <w:tcPr>
            <w:tcW w:w="66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Inventory</w:t>
            </w:r>
          </w:p>
        </w:tc>
        <w:tc>
          <w:tcPr>
            <w:tcW w:w="8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(1,550 )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560"/>
              <w:spacing w:after="0"/>
              <w:rPr>
                <w:sz w:val="20"/>
                <w:szCs w:val="20"/>
                <w:color w:val="auto"/>
              </w:rPr>
            </w:pPr>
            <w:r>
              <w:rPr>
                <w:rFonts w:ascii="Arial" w:cs="Arial" w:eastAsia="Arial" w:hAnsi="Arial"/>
                <w:sz w:val="14"/>
                <w:szCs w:val="14"/>
                <w:color w:val="auto"/>
              </w:rPr>
              <w:t>Prepaid expenses</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(1,616 )</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(4,025 )</w:t>
            </w:r>
          </w:p>
        </w:tc>
      </w:tr>
      <w:tr>
        <w:trPr>
          <w:trHeight w:val="189"/>
        </w:trPr>
        <w:tc>
          <w:tcPr>
            <w:tcW w:w="66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Other assets</w:t>
            </w:r>
          </w:p>
        </w:tc>
        <w:tc>
          <w:tcPr>
            <w:tcW w:w="8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(80 )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(4,116 )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(215 )</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5,215</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expenses</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(12,008 )</w:t>
            </w:r>
          </w:p>
        </w:tc>
      </w:tr>
      <w:tr>
        <w:trPr>
          <w:trHeight w:val="189"/>
        </w:trPr>
        <w:tc>
          <w:tcPr>
            <w:tcW w:w="6660" w:type="dxa"/>
            <w:vAlign w:val="bottom"/>
          </w:tcPr>
          <w:p>
            <w:pPr>
              <w:ind w:left="560"/>
              <w:spacing w:after="0"/>
              <w:rPr>
                <w:sz w:val="20"/>
                <w:szCs w:val="20"/>
                <w:color w:val="auto"/>
              </w:rPr>
            </w:pPr>
            <w:r>
              <w:rPr>
                <w:rFonts w:ascii="Arial" w:cs="Arial" w:eastAsia="Arial" w:hAnsi="Arial"/>
                <w:sz w:val="14"/>
                <w:szCs w:val="14"/>
                <w:color w:val="auto"/>
              </w:rPr>
              <w:t>Contract liabilities</w:t>
            </w:r>
          </w:p>
        </w:tc>
        <w:tc>
          <w:tcPr>
            <w:tcW w:w="8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(1,404 )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(1,625 )</w:t>
            </w:r>
          </w:p>
        </w:tc>
      </w:tr>
      <w:tr>
        <w:trPr>
          <w:trHeight w:val="189"/>
        </w:trPr>
        <w:tc>
          <w:tcPr>
            <w:tcW w:w="66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Lease liabilities</w:t>
            </w:r>
          </w:p>
        </w:tc>
        <w:tc>
          <w:tcPr>
            <w:tcW w:w="8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(5,520 )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(5,727 )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(845 )</w:t>
            </w:r>
          </w:p>
        </w:tc>
      </w:tr>
      <w:tr>
        <w:trPr>
          <w:trHeight w:val="189"/>
        </w:trPr>
        <w:tc>
          <w:tcPr>
            <w:tcW w:w="6660" w:type="dxa"/>
            <w:vAlign w:val="bottom"/>
          </w:tcPr>
          <w:p>
            <w:pPr>
              <w:ind w:left="560"/>
              <w:spacing w:after="0"/>
              <w:rPr>
                <w:sz w:val="20"/>
                <w:szCs w:val="20"/>
                <w:color w:val="auto"/>
              </w:rPr>
            </w:pPr>
            <w:r>
              <w:rPr>
                <w:rFonts w:ascii="Arial" w:cs="Arial" w:eastAsia="Arial" w:hAnsi="Arial"/>
                <w:sz w:val="14"/>
                <w:szCs w:val="14"/>
                <w:color w:val="auto"/>
              </w:rPr>
              <w:t>Income taxes payable</w:t>
            </w:r>
          </w:p>
        </w:tc>
        <w:tc>
          <w:tcPr>
            <w:tcW w:w="8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(312 )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6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6"/>
              </w:rPr>
              <w:t>(29,877 )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(62,575 )</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(68,571 )</w:t>
            </w:r>
          </w:p>
        </w:tc>
      </w:tr>
      <w:tr>
        <w:trPr>
          <w:trHeight w:val="182"/>
        </w:trPr>
        <w:tc>
          <w:tcPr>
            <w:tcW w:w="66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marketable securities</w:t>
            </w:r>
          </w:p>
        </w:tc>
        <w:tc>
          <w:tcPr>
            <w:tcW w:w="8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6"/>
              </w:rPr>
              <w:t>(11,582 )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(284,096 )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(267,467 )</w:t>
            </w:r>
          </w:p>
        </w:tc>
      </w:tr>
      <w:tr>
        <w:trPr>
          <w:trHeight w:val="189"/>
        </w:trPr>
        <w:tc>
          <w:tcPr>
            <w:tcW w:w="6660" w:type="dxa"/>
            <w:vAlign w:val="bottom"/>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58,927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235,000</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84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6"/>
              </w:rPr>
              <w:t>(18,486 )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(13,650 )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(6,262 )</w:t>
            </w:r>
          </w:p>
        </w:tc>
      </w:tr>
      <w:tr>
        <w:trPr>
          <w:trHeight w:val="189"/>
        </w:trPr>
        <w:tc>
          <w:tcPr>
            <w:tcW w:w="6660" w:type="dxa"/>
            <w:vAlign w:val="bottom"/>
          </w:tcPr>
          <w:p>
            <w:pPr>
              <w:ind w:left="200"/>
              <w:spacing w:after="0"/>
              <w:rPr>
                <w:sz w:val="20"/>
                <w:szCs w:val="20"/>
                <w:color w:val="auto"/>
              </w:rPr>
            </w:pPr>
            <w:r>
              <w:rPr>
                <w:rFonts w:ascii="Arial" w:cs="Arial" w:eastAsia="Arial" w:hAnsi="Arial"/>
                <w:sz w:val="14"/>
                <w:szCs w:val="14"/>
                <w:color w:val="auto"/>
              </w:rPr>
              <w:t>Proceeds from life insurance</w:t>
            </w:r>
          </w:p>
        </w:tc>
        <w:tc>
          <w:tcPr>
            <w:tcW w:w="8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tcPr>
          <w:p>
            <w:pPr>
              <w:ind w:left="200"/>
              <w:spacing w:after="0"/>
              <w:rPr>
                <w:sz w:val="20"/>
                <w:szCs w:val="20"/>
                <w:color w:val="auto"/>
              </w:rPr>
            </w:pPr>
            <w:r>
              <w:rPr>
                <w:rFonts w:ascii="Arial" w:cs="Arial" w:eastAsia="Arial" w:hAnsi="Arial"/>
                <w:sz w:val="14"/>
                <w:szCs w:val="14"/>
                <w:color w:val="auto"/>
              </w:rPr>
              <w:t>Cash paid for business combination, net of cash acquired</w:t>
            </w:r>
          </w:p>
        </w:tc>
        <w:tc>
          <w:tcPr>
            <w:tcW w:w="8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(3,349 )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(174,646 )</w:t>
            </w:r>
          </w:p>
        </w:tc>
      </w:tr>
      <w:tr>
        <w:trPr>
          <w:trHeight w:val="20"/>
        </w:trPr>
        <w:tc>
          <w:tcPr>
            <w:tcW w:w="6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66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16,806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(238,630 )</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(212,748 )</w:t>
            </w:r>
          </w:p>
        </w:tc>
      </w:tr>
      <w:tr>
        <w:trPr>
          <w:trHeight w:val="182"/>
        </w:trPr>
        <w:tc>
          <w:tcPr>
            <w:tcW w:w="66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initial public offering, net of underwriters' discount</w:t>
            </w:r>
          </w:p>
        </w:tc>
        <w:tc>
          <w:tcPr>
            <w:tcW w:w="84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325,263</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4"/>
                <w:szCs w:val="14"/>
                <w:color w:val="auto"/>
              </w:rPr>
              <w:t>Payments in connection with initial public offering</w:t>
            </w:r>
          </w:p>
        </w:tc>
        <w:tc>
          <w:tcPr>
            <w:tcW w:w="8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(3,678 )</w:t>
            </w: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2,291</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4"/>
                <w:szCs w:val="14"/>
                <w:color w:val="auto"/>
              </w:rPr>
              <w:t>Repayment of term loan</w:t>
            </w:r>
          </w:p>
        </w:tc>
        <w:tc>
          <w:tcPr>
            <w:tcW w:w="8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(16,136 )</w:t>
            </w: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the exercise of warrants</w:t>
            </w:r>
          </w:p>
        </w:tc>
        <w:tc>
          <w:tcPr>
            <w:tcW w:w="84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4"/>
                <w:szCs w:val="14"/>
                <w:color w:val="auto"/>
              </w:rPr>
              <w:t>Proceeds from issuance of convertible notes</w:t>
            </w:r>
          </w:p>
        </w:tc>
        <w:tc>
          <w:tcPr>
            <w:tcW w:w="8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287,500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Costs incurred in connection with issuance of convertible notes</w:t>
            </w:r>
          </w:p>
        </w:tc>
        <w:tc>
          <w:tcPr>
            <w:tcW w:w="84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(9,309 )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tcPr>
          <w:p>
            <w:pPr>
              <w:ind w:left="200"/>
              <w:spacing w:after="0"/>
              <w:rPr>
                <w:sz w:val="20"/>
                <w:szCs w:val="20"/>
                <w:color w:val="auto"/>
              </w:rPr>
            </w:pPr>
            <w:r>
              <w:rPr>
                <w:rFonts w:ascii="Arial" w:cs="Arial" w:eastAsia="Arial" w:hAnsi="Arial"/>
                <w:sz w:val="14"/>
                <w:szCs w:val="14"/>
                <w:color w:val="auto"/>
              </w:rPr>
              <w:t>Payment of contingent consideration</w:t>
            </w:r>
          </w:p>
        </w:tc>
        <w:tc>
          <w:tcPr>
            <w:tcW w:w="8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(842 )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(932 )</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finance lease obligations</w:t>
            </w:r>
          </w:p>
        </w:tc>
        <w:tc>
          <w:tcPr>
            <w:tcW w:w="84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(12 )</w:t>
            </w:r>
          </w:p>
        </w:tc>
      </w:tr>
      <w:tr>
        <w:trPr>
          <w:trHeight w:val="182"/>
        </w:trPr>
        <w:tc>
          <w:tcPr>
            <w:tcW w:w="666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8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280,972</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307,768</w:t>
            </w:r>
          </w:p>
        </w:tc>
        <w:tc>
          <w:tcPr>
            <w:tcW w:w="100" w:type="dxa"/>
            <w:vAlign w:val="bottom"/>
            <w:tcBorders>
              <w:top w:val="single" w:sz="8" w:color="CFF0FC"/>
            </w:tcBorders>
          </w:tcPr>
          <w:p>
            <w:pPr>
              <w:spacing w:after="0"/>
              <w:rPr>
                <w:sz w:val="15"/>
                <w:szCs w:val="15"/>
                <w:color w:val="auto"/>
              </w:rPr>
            </w:pPr>
          </w:p>
        </w:tc>
      </w:tr>
      <w:tr>
        <w:trPr>
          <w:trHeight w:val="182"/>
        </w:trPr>
        <w:tc>
          <w:tcPr>
            <w:tcW w:w="6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(234 )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(367 )</w:t>
            </w: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(61 )</w:t>
            </w:r>
          </w:p>
        </w:tc>
      </w:tr>
      <w:tr>
        <w:trPr>
          <w:trHeight w:val="20"/>
        </w:trPr>
        <w:tc>
          <w:tcPr>
            <w:tcW w:w="66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6660" w:type="dxa"/>
            <w:vAlign w:val="bottom"/>
          </w:tcPr>
          <w:p>
            <w:pPr>
              <w:ind w:left="38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84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6"/>
              </w:rPr>
              <w:t>(12,238 )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(20,600 )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26,388</w:t>
            </w:r>
          </w:p>
        </w:tc>
        <w:tc>
          <w:tcPr>
            <w:tcW w:w="100" w:type="dxa"/>
            <w:vAlign w:val="bottom"/>
          </w:tcPr>
          <w:p>
            <w:pPr>
              <w:spacing w:after="0"/>
              <w:rPr>
                <w:sz w:val="15"/>
                <w:szCs w:val="15"/>
                <w:color w:val="auto"/>
              </w:rPr>
            </w:pPr>
          </w:p>
        </w:tc>
      </w:tr>
      <w:tr>
        <w:trPr>
          <w:trHeight w:val="189"/>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8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65,662</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86,262</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59,874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year</w:t>
            </w: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86,262</w:t>
            </w:r>
          </w:p>
        </w:tc>
        <w:tc>
          <w:tcPr>
            <w:tcW w:w="10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2,875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20"/>
              <w:spacing w:after="0"/>
              <w:rPr>
                <w:sz w:val="20"/>
                <w:szCs w:val="20"/>
                <w:color w:val="auto"/>
              </w:rPr>
            </w:pPr>
            <w:r>
              <w:rPr>
                <w:rFonts w:ascii="Arial" w:cs="Arial" w:eastAsia="Arial" w:hAnsi="Arial"/>
                <w:sz w:val="14"/>
                <w:szCs w:val="14"/>
                <w:color w:val="auto"/>
              </w:rPr>
              <w:t>Non-cash purchase of property and equipment</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6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(518 )</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2,339</w:t>
            </w:r>
          </w:p>
        </w:tc>
        <w:tc>
          <w:tcPr>
            <w:tcW w:w="100" w:type="dxa"/>
            <w:vAlign w:val="bottom"/>
            <w:shd w:val="clear" w:color="auto" w:fill="CFF0FC"/>
          </w:tcPr>
          <w:p>
            <w:pPr>
              <w:spacing w:after="0"/>
              <w:rPr>
                <w:sz w:val="16"/>
                <w:szCs w:val="16"/>
                <w:color w:val="auto"/>
              </w:rPr>
            </w:pPr>
          </w:p>
        </w:tc>
      </w:tr>
      <w:tr>
        <w:trPr>
          <w:trHeight w:val="194"/>
        </w:trPr>
        <w:tc>
          <w:tcPr>
            <w:tcW w:w="6660" w:type="dxa"/>
            <w:vAlign w:val="bottom"/>
          </w:tcPr>
          <w:p>
            <w:pPr>
              <w:ind w:left="20"/>
              <w:spacing w:after="0"/>
              <w:rPr>
                <w:sz w:val="20"/>
                <w:szCs w:val="20"/>
                <w:color w:val="auto"/>
              </w:rPr>
            </w:pPr>
            <w:r>
              <w:rPr>
                <w:rFonts w:ascii="Arial" w:cs="Arial" w:eastAsia="Arial" w:hAnsi="Arial"/>
                <w:sz w:val="14"/>
                <w:szCs w:val="14"/>
                <w:color w:val="auto"/>
              </w:rPr>
              <w:t>Shares issued in business combinations</w:t>
            </w:r>
          </w:p>
        </w:tc>
        <w:tc>
          <w:tcPr>
            <w:tcW w:w="8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102,888</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-3564890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-3564890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-3564890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-2588895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-2588895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-2588895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-1381125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-1381125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-1381125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-1124585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-1124585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-1124585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-876300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-876300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-876300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right"/>
        <w:ind w:left="380" w:right="640" w:hanging="372"/>
        <w:spacing w:after="0" w:line="282" w:lineRule="auto"/>
        <w:tabs>
          <w:tab w:leader="none" w:pos="325"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2022 results have been revised to reflect immaterial corrections related to certain captions within the Consolidated Balance Sheet, Consolidated Statement of Operations and Comprehensive Loss and Consolidated Statement of Cash Flows. See tables below for additional details with respect to the line items impacted.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5"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tbl>
      <w:tblPr>
        <w:tblLayout w:type="fixed"/>
        <w:tblInd w:w="8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5"/>
          </w:tcPr>
          <w:p>
            <w:pPr>
              <w:jc w:val="right"/>
              <w:ind w:right="700"/>
              <w:spacing w:after="0" w:line="178" w:lineRule="exact"/>
              <w:rPr>
                <w:sz w:val="20"/>
                <w:szCs w:val="20"/>
                <w:color w:val="auto"/>
              </w:rPr>
            </w:pPr>
            <w:r>
              <w:rPr>
                <w:rFonts w:ascii="Arial" w:cs="Arial" w:eastAsia="Arial" w:hAnsi="Arial"/>
                <w:sz w:val="16"/>
                <w:szCs w:val="16"/>
                <w:b w:val="1"/>
                <w:bCs w:val="1"/>
                <w:color w:val="auto"/>
              </w:rPr>
              <w:t>For the Three Months</w:t>
            </w:r>
          </w:p>
        </w:tc>
        <w:tc>
          <w:tcPr>
            <w:tcW w:w="260" w:type="dxa"/>
            <w:vAlign w:val="bottom"/>
          </w:tcPr>
          <w:p>
            <w:pPr>
              <w:spacing w:after="0"/>
              <w:rPr>
                <w:sz w:val="15"/>
                <w:szCs w:val="15"/>
                <w:color w:val="auto"/>
              </w:rPr>
            </w:pPr>
          </w:p>
        </w:tc>
        <w:tc>
          <w:tcPr>
            <w:tcW w:w="1520" w:type="dxa"/>
            <w:vAlign w:val="bottom"/>
            <w:gridSpan w:val="3"/>
          </w:tcPr>
          <w:p>
            <w:pPr>
              <w:jc w:val="right"/>
              <w:spacing w:after="0" w:line="178" w:lineRule="exact"/>
              <w:rPr>
                <w:sz w:val="20"/>
                <w:szCs w:val="20"/>
                <w:color w:val="auto"/>
              </w:rPr>
            </w:pPr>
            <w:r>
              <w:rPr>
                <w:rFonts w:ascii="Arial" w:cs="Arial" w:eastAsia="Arial" w:hAnsi="Arial"/>
                <w:sz w:val="16"/>
                <w:szCs w:val="16"/>
                <w:b w:val="1"/>
                <w:bCs w:val="1"/>
                <w:color w:val="auto"/>
              </w:rPr>
              <w:t>For the Year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4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Ended December 31,</w:t>
            </w:r>
          </w:p>
        </w:tc>
        <w:tc>
          <w:tcPr>
            <w:tcW w:w="260" w:type="dxa"/>
            <w:vAlign w:val="bottom"/>
          </w:tcPr>
          <w:p>
            <w:pPr>
              <w:spacing w:after="0"/>
              <w:rPr>
                <w:sz w:val="18"/>
                <w:szCs w:val="18"/>
                <w:color w:val="auto"/>
              </w:rPr>
            </w:pPr>
          </w:p>
        </w:tc>
        <w:tc>
          <w:tcPr>
            <w:tcW w:w="242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Ended December 31,</w:t>
            </w:r>
          </w:p>
        </w:tc>
      </w:tr>
      <w:tr>
        <w:trPr>
          <w:trHeight w:val="209"/>
        </w:trPr>
        <w:tc>
          <w:tcPr>
            <w:tcW w:w="14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r>
      <w:tr>
        <w:trPr>
          <w:trHeight w:val="189"/>
        </w:trPr>
        <w:tc>
          <w:tcPr>
            <w:tcW w:w="140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Adjusted EBITDA:</w:t>
            </w:r>
          </w:p>
        </w:tc>
        <w:tc>
          <w:tcPr>
            <w:tcW w:w="4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5600" w:type="dxa"/>
            <w:vAlign w:val="bottom"/>
            <w:gridSpan w:val="2"/>
          </w:tcPr>
          <w:p>
            <w:pPr>
              <w:spacing w:after="0" w:line="216" w:lineRule="exact"/>
              <w:rPr>
                <w:sz w:val="20"/>
                <w:szCs w:val="20"/>
                <w:color w:val="auto"/>
              </w:rPr>
            </w:pPr>
            <w:r>
              <w:rPr>
                <w:rFonts w:ascii="Arial" w:cs="Arial" w:eastAsia="Arial" w:hAnsi="Arial"/>
                <w:sz w:val="16"/>
                <w:szCs w:val="16"/>
                <w:color w:val="auto"/>
              </w:rPr>
              <w:t>Net loss</w:t>
            </w:r>
            <w:r>
              <w:rPr>
                <w:rFonts w:ascii="Arial" w:cs="Arial" w:eastAsia="Arial" w:hAnsi="Arial"/>
                <w:sz w:val="21"/>
                <w:szCs w:val="21"/>
                <w:color w:val="auto"/>
                <w:vertAlign w:val="superscript"/>
              </w:rPr>
              <w:t>(1)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(10,553 )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(25,814 )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(67,465 )</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(79,043 )</w:t>
            </w:r>
          </w:p>
        </w:tc>
      </w:tr>
      <w:tr>
        <w:trPr>
          <w:trHeight w:val="216"/>
        </w:trPr>
        <w:tc>
          <w:tcPr>
            <w:tcW w:w="5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(deduct):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600" w:type="dxa"/>
            <w:vAlign w:val="bottom"/>
            <w:gridSpan w:val="2"/>
          </w:tcPr>
          <w:p>
            <w:pPr>
              <w:spacing w:after="0"/>
              <w:rPr>
                <w:sz w:val="20"/>
                <w:szCs w:val="20"/>
                <w:color w:val="auto"/>
              </w:rPr>
            </w:pPr>
            <w:r>
              <w:rPr>
                <w:rFonts w:ascii="Arial" w:cs="Arial" w:eastAsia="Arial" w:hAnsi="Arial"/>
                <w:sz w:val="16"/>
                <w:szCs w:val="16"/>
                <w:color w:val="auto"/>
              </w:rPr>
              <w:t>Interest expense, interest and dividend income and other expenses</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(1,416 )</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(505 )</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(5,312 )</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18"/>
                <w:szCs w:val="18"/>
                <w:color w:val="auto"/>
              </w:rPr>
            </w:pPr>
          </w:p>
        </w:tc>
      </w:tr>
      <w:tr>
        <w:trPr>
          <w:trHeight w:val="216"/>
        </w:trPr>
        <w:tc>
          <w:tcPr>
            <w:tcW w:w="5600" w:type="dxa"/>
            <w:vAlign w:val="bottom"/>
            <w:gridSpan w:val="2"/>
            <w:shd w:val="clear" w:color="auto" w:fill="CFF0FC"/>
          </w:tcPr>
          <w:p>
            <w:pPr>
              <w:spacing w:after="0" w:line="217"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7,819</w:t>
            </w:r>
          </w:p>
        </w:tc>
        <w:tc>
          <w:tcPr>
            <w:tcW w:w="100" w:type="dxa"/>
            <w:vAlign w:val="bottom"/>
            <w:shd w:val="clear" w:color="auto" w:fill="CFF0FC"/>
          </w:tcPr>
          <w:p>
            <w:pPr>
              <w:spacing w:after="0"/>
              <w:rPr>
                <w:sz w:val="18"/>
                <w:szCs w:val="18"/>
                <w:color w:val="auto"/>
              </w:rPr>
            </w:pPr>
          </w:p>
        </w:tc>
      </w:tr>
      <w:tr>
        <w:trPr>
          <w:trHeight w:val="215"/>
        </w:trPr>
        <w:tc>
          <w:tcPr>
            <w:tcW w:w="5600" w:type="dxa"/>
            <w:vAlign w:val="bottom"/>
            <w:gridSpan w:val="2"/>
          </w:tcPr>
          <w:p>
            <w:pPr>
              <w:spacing w:after="0"/>
              <w:rPr>
                <w:sz w:val="20"/>
                <w:szCs w:val="20"/>
                <w:color w:val="auto"/>
              </w:rPr>
            </w:pPr>
            <w:r>
              <w:rPr>
                <w:rFonts w:ascii="Arial" w:cs="Arial" w:eastAsia="Arial" w:hAnsi="Arial"/>
                <w:sz w:val="16"/>
                <w:szCs w:val="16"/>
                <w:color w:val="auto"/>
              </w:rPr>
              <w:t>Amortization of lease intangible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Pr>
          <w:p>
            <w:pPr>
              <w:spacing w:after="0"/>
              <w:rPr>
                <w:sz w:val="18"/>
                <w:szCs w:val="18"/>
                <w:color w:val="auto"/>
              </w:rPr>
            </w:pPr>
          </w:p>
        </w:tc>
      </w:tr>
      <w:tr>
        <w:trPr>
          <w:trHeight w:val="216"/>
        </w:trPr>
        <w:tc>
          <w:tcPr>
            <w:tcW w:w="5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(561 )</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(353 )</w:t>
            </w: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gridSpan w:val="2"/>
          </w:tcPr>
          <w:p>
            <w:pPr>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22,118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19,172</w:t>
            </w:r>
          </w:p>
        </w:tc>
        <w:tc>
          <w:tcPr>
            <w:tcW w:w="100" w:type="dxa"/>
            <w:vAlign w:val="bottom"/>
          </w:tcPr>
          <w:p>
            <w:pPr>
              <w:spacing w:after="0"/>
              <w:rPr>
                <w:sz w:val="18"/>
                <w:szCs w:val="18"/>
                <w:color w:val="auto"/>
              </w:rPr>
            </w:pPr>
          </w:p>
        </w:tc>
      </w:tr>
      <w:tr>
        <w:trPr>
          <w:trHeight w:val="216"/>
        </w:trPr>
        <w:tc>
          <w:tcPr>
            <w:tcW w:w="560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Lease abandonment</w:t>
            </w:r>
            <w:r>
              <w:rPr>
                <w:rFonts w:ascii="Arial" w:cs="Arial" w:eastAsia="Arial" w:hAnsi="Arial"/>
                <w:sz w:val="21"/>
                <w:szCs w:val="21"/>
                <w:color w:val="auto"/>
                <w:vertAlign w:val="superscript"/>
              </w:rPr>
              <w:t>(4)</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600" w:type="dxa"/>
            <w:vAlign w:val="bottom"/>
            <w:gridSpan w:val="2"/>
          </w:tcPr>
          <w:p>
            <w:pPr>
              <w:spacing w:after="0" w:line="216" w:lineRule="exact"/>
              <w:rPr>
                <w:sz w:val="20"/>
                <w:szCs w:val="20"/>
                <w:color w:val="auto"/>
              </w:rPr>
            </w:pPr>
            <w:r>
              <w:rPr>
                <w:rFonts w:ascii="Arial" w:cs="Arial" w:eastAsia="Arial" w:hAnsi="Arial"/>
                <w:sz w:val="16"/>
                <w:szCs w:val="16"/>
                <w:color w:val="auto"/>
              </w:rPr>
              <w:t>Acquisition and other</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(676 )</w:t>
            </w:r>
          </w:p>
        </w:tc>
      </w:tr>
      <w:tr>
        <w:trPr>
          <w:trHeight w:val="216"/>
        </w:trPr>
        <w:tc>
          <w:tcPr>
            <w:tcW w:w="5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Charitable contribution of common stock</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FF0FC"/>
          </w:tcPr>
          <w:p>
            <w:pPr>
              <w:spacing w:after="0"/>
              <w:rPr>
                <w:sz w:val="18"/>
                <w:szCs w:val="18"/>
                <w:color w:val="auto"/>
              </w:rPr>
            </w:pPr>
          </w:p>
        </w:tc>
      </w:tr>
      <w:tr>
        <w:trPr>
          <w:trHeight w:val="215"/>
        </w:trPr>
        <w:tc>
          <w:tcPr>
            <w:tcW w:w="5600" w:type="dxa"/>
            <w:vAlign w:val="bottom"/>
            <w:gridSpan w:val="2"/>
          </w:tcPr>
          <w:p>
            <w:pPr>
              <w:spacing w:after="0"/>
              <w:rPr>
                <w:sz w:val="20"/>
                <w:szCs w:val="20"/>
                <w:color w:val="auto"/>
              </w:rPr>
            </w:pPr>
            <w:r>
              <w:rPr>
                <w:rFonts w:ascii="Arial" w:cs="Arial" w:eastAsia="Arial" w:hAnsi="Arial"/>
                <w:sz w:val="16"/>
                <w:szCs w:val="16"/>
                <w:color w:val="auto"/>
              </w:rPr>
              <w:t>Income (loss) from unconsolidated joint venture</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(9 )</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(446 )</w:t>
            </w:r>
          </w:p>
        </w:tc>
        <w:tc>
          <w:tcPr>
            <w:tcW w:w="3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(570 )</w:t>
            </w:r>
          </w:p>
        </w:tc>
      </w:tr>
      <w:tr>
        <w:trPr>
          <w:trHeight w:val="216"/>
        </w:trPr>
        <w:tc>
          <w:tcPr>
            <w:tcW w:w="5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gridSpan w:val="2"/>
          </w:tcPr>
          <w:p>
            <w:pPr>
              <w:spacing w:after="0" w:line="216"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(6)</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8"/>
                <w:szCs w:val="18"/>
                <w:color w:val="auto"/>
              </w:rPr>
            </w:pPr>
          </w:p>
        </w:tc>
      </w:tr>
      <w:tr>
        <w:trPr>
          <w:trHeight w:val="215"/>
        </w:trPr>
        <w:tc>
          <w:tcPr>
            <w:tcW w:w="5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Costs to exit the supplies business</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(2,850 )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(15,639 )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(27,490 )</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(44,799 )</w:t>
            </w:r>
          </w:p>
        </w:tc>
      </w:tr>
      <w:tr>
        <w:trPr>
          <w:trHeight w:val="20"/>
        </w:trPr>
        <w:tc>
          <w:tcPr>
            <w:tcW w:w="1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For the Three Months</w:t>
            </w:r>
          </w:p>
        </w:tc>
        <w:tc>
          <w:tcPr>
            <w:tcW w:w="2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the Year</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Ended December 31,</w:t>
            </w:r>
          </w:p>
        </w:tc>
        <w:tc>
          <w:tcPr>
            <w:tcW w:w="240" w:type="dxa"/>
            <w:vAlign w:val="bottom"/>
          </w:tcPr>
          <w:p>
            <w:pPr>
              <w:spacing w:after="0"/>
              <w:rPr>
                <w:sz w:val="18"/>
                <w:szCs w:val="18"/>
                <w:color w:val="auto"/>
              </w:rPr>
            </w:pPr>
          </w:p>
        </w:tc>
        <w:tc>
          <w:tcPr>
            <w:tcW w:w="250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Non-GAAP Net Loss:</w:t>
            </w:r>
          </w:p>
        </w:tc>
        <w:tc>
          <w:tcPr>
            <w:tcW w:w="40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line="216" w:lineRule="exact"/>
              <w:rPr>
                <w:sz w:val="20"/>
                <w:szCs w:val="20"/>
                <w:color w:val="auto"/>
              </w:rPr>
            </w:pPr>
            <w:r>
              <w:rPr>
                <w:rFonts w:ascii="Arial" w:cs="Arial" w:eastAsia="Arial" w:hAnsi="Arial"/>
                <w:sz w:val="16"/>
                <w:szCs w:val="16"/>
                <w:color w:val="auto"/>
              </w:rPr>
              <w:t>Net loss</w:t>
            </w:r>
            <w:r>
              <w:rPr>
                <w:rFonts w:ascii="Arial" w:cs="Arial" w:eastAsia="Arial" w:hAnsi="Arial"/>
                <w:sz w:val="21"/>
                <w:szCs w:val="21"/>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(10,553 )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(25,814 )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(67,465 )</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(79,043 )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(deduct):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line="216"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10,738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(3)</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22,118</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Amortization of lease intangible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deferred costs on convertible notes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Loss on marketable securities</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spacing w:after="0" w:line="217" w:lineRule="exact"/>
              <w:rPr>
                <w:sz w:val="20"/>
                <w:szCs w:val="20"/>
                <w:color w:val="auto"/>
              </w:rPr>
            </w:pPr>
            <w:r>
              <w:rPr>
                <w:rFonts w:ascii="Arial" w:cs="Arial" w:eastAsia="Arial" w:hAnsi="Arial"/>
                <w:sz w:val="16"/>
                <w:szCs w:val="16"/>
                <w:color w:val="auto"/>
              </w:rPr>
              <w:t>Acquisition and other</w:t>
            </w:r>
            <w:r>
              <w:rPr>
                <w:rFonts w:ascii="Arial" w:cs="Arial" w:eastAsia="Arial" w:hAnsi="Arial"/>
                <w:sz w:val="21"/>
                <w:szCs w:val="21"/>
                <w:color w:val="auto"/>
                <w:vertAlign w:val="superscript"/>
              </w:rPr>
              <w:t>(5)</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(676 )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Loss on sale of property and equipment</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(24 )</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Charitable contribution of common stock</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line="216" w:lineRule="exact"/>
              <w:rPr>
                <w:sz w:val="20"/>
                <w:szCs w:val="20"/>
                <w:color w:val="auto"/>
              </w:rPr>
            </w:pPr>
            <w:r>
              <w:rPr>
                <w:rFonts w:ascii="Arial" w:cs="Arial" w:eastAsia="Arial" w:hAnsi="Arial"/>
                <w:sz w:val="16"/>
                <w:szCs w:val="16"/>
                <w:color w:val="auto"/>
              </w:rPr>
              <w:t>Lease abandonment and termination</w:t>
            </w:r>
            <w:r>
              <w:rPr>
                <w:rFonts w:ascii="Arial" w:cs="Arial" w:eastAsia="Arial" w:hAnsi="Arial"/>
                <w:sz w:val="21"/>
                <w:szCs w:val="21"/>
                <w:color w:val="auto"/>
                <w:vertAlign w:val="superscript"/>
              </w:rPr>
              <w:t>(4)</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8,778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line="216"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(6)</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FF0FC"/>
            </w:tcBorders>
            <w:shd w:val="clear" w:color="auto" w:fill="CFF0FC"/>
          </w:tcPr>
          <w:p>
            <w:pPr>
              <w:spacing w:after="0"/>
              <w:rPr>
                <w:sz w:val="18"/>
                <w:szCs w:val="18"/>
                <w:color w:val="auto"/>
              </w:rPr>
            </w:pPr>
          </w:p>
        </w:tc>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Costs to exit the supplies business</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Non-GAAP 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(400 )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(15,119 )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(19,355 )</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(43,131 )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5620" w:type="dxa"/>
            <w:vAlign w:val="bottom"/>
            <w:gridSpan w:val="2"/>
            <w:shd w:val="clear" w:color="auto" w:fill="CFF0FC"/>
          </w:tcPr>
          <w:p>
            <w:pPr>
              <w:spacing w:after="0" w:line="168" w:lineRule="exact"/>
              <w:rPr>
                <w:sz w:val="20"/>
                <w:szCs w:val="20"/>
                <w:color w:val="auto"/>
              </w:rPr>
            </w:pPr>
            <w:r>
              <w:rPr>
                <w:rFonts w:ascii="Arial" w:cs="Arial" w:eastAsia="Arial" w:hAnsi="Arial"/>
                <w:sz w:val="16"/>
                <w:szCs w:val="16"/>
                <w:color w:val="auto"/>
              </w:rPr>
              <w:t>Weighted-average number of shares outstanding used to compute Non-</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5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GAAP Net Loss per share, basic and diluted, of Class A and Class B</w:t>
            </w:r>
          </w:p>
        </w:tc>
        <w:tc>
          <w:tcPr>
            <w:tcW w:w="2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48,096,142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47,457,139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47,914,039</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9"/>
              </w:rPr>
              <w:t>47,158,247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6"/>
                <w:szCs w:val="16"/>
                <w:color w:val="auto"/>
              </w:rPr>
              <w:t>EPS, basic and diluted, of Class A and Class B common stock</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(0.22 )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(0.54 )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(1.41 )</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(1.68 )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FF0FC"/>
          </w:tcPr>
          <w:p>
            <w:pPr>
              <w:spacing w:after="0"/>
              <w:rPr>
                <w:sz w:val="18"/>
                <w:szCs w:val="18"/>
                <w:color w:val="auto"/>
              </w:rPr>
            </w:pPr>
          </w:p>
        </w:tc>
        <w:tc>
          <w:tcPr>
            <w:tcW w:w="5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Non-GAAP EPS, basic and diluted, of Class A and Class B common stock</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(0.01 )</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(0.32 )</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(0.40 )</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(0.91 )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4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-1009650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-1009650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-1009650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-470535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-470535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-470535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580" w:hanging="372"/>
        <w:spacing w:after="0" w:line="251"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2022 results have been revised to reflect immaterial corrections related to certain captions within the Consolidated Balance Sheet, Consolidated Statement of Operations and Comprehensive Loss and Consolidated Statement of Cash Flows. See tables below for additional details with respect to the line items impacted.</w:t>
      </w:r>
    </w:p>
    <w:p>
      <w:pPr>
        <w:ind w:left="380" w:right="120" w:hanging="372"/>
        <w:spacing w:after="0" w:line="241"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ind w:left="380" w:hanging="372"/>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ind w:left="380" w:hanging="372"/>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 is recorded in general and administrative and/or other expenses.</w:t>
      </w:r>
    </w:p>
    <w:p>
      <w:pPr>
        <w:ind w:left="380" w:hanging="372"/>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and transaction costs.</w:t>
      </w:r>
    </w:p>
    <w:p>
      <w:pPr>
        <w:ind w:left="380" w:hanging="372"/>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associated with the a reduction in workforce.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20"/>
          <w:szCs w:val="20"/>
          <w:b w:val="1"/>
          <w:bCs w:val="1"/>
          <w:color w:val="auto"/>
        </w:rPr>
        <w:t>Xometry, Inc. and Subsidiaries</w:t>
      </w:r>
      <w:r>
        <w:rPr>
          <w:rFonts w:ascii="Arial" w:cs="Arial" w:eastAsia="Arial" w:hAnsi="Arial"/>
          <w:sz w:val="26"/>
          <w:szCs w:val="26"/>
          <w:b w:val="1"/>
          <w:bCs w:val="1"/>
          <w:color w:val="auto"/>
          <w:vertAlign w:val="superscript"/>
        </w:rPr>
        <w:t>(1)</w:t>
      </w:r>
    </w:p>
    <w:p>
      <w:pPr>
        <w:jc w:val="center"/>
        <w:spacing w:after="0" w:line="225" w:lineRule="auto"/>
        <w:rPr>
          <w:sz w:val="20"/>
          <w:szCs w:val="20"/>
          <w:color w:val="auto"/>
        </w:rPr>
      </w:pPr>
      <w:r>
        <w:rPr>
          <w:rFonts w:ascii="Arial" w:cs="Arial" w:eastAsia="Arial" w:hAnsi="Arial"/>
          <w:sz w:val="20"/>
          <w:szCs w:val="20"/>
          <w:color w:val="auto"/>
        </w:rPr>
        <w:t>Segment Results</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9"/>
              </w:rPr>
              <w:t>For the Year Ended December 31,</w:t>
            </w:r>
          </w:p>
        </w:tc>
      </w:tr>
      <w:tr>
        <w:trPr>
          <w:trHeight w:val="223"/>
        </w:trPr>
        <w:tc>
          <w:tcPr>
            <w:tcW w:w="4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110,574</w:t>
            </w:r>
          </w:p>
        </w:tc>
        <w:tc>
          <w:tcPr>
            <w:tcW w:w="2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87,995</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403,289</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347,710</w:t>
            </w:r>
          </w:p>
        </w:tc>
        <w:tc>
          <w:tcPr>
            <w:tcW w:w="100" w:type="dxa"/>
            <w:vAlign w:val="bottom"/>
          </w:tcPr>
          <w:p>
            <w:pPr>
              <w:spacing w:after="0"/>
              <w:rPr>
                <w:sz w:val="19"/>
                <w:szCs w:val="19"/>
                <w:color w:val="auto"/>
              </w:rPr>
            </w:pPr>
          </w:p>
        </w:tc>
      </w:tr>
      <w:tr>
        <w:trPr>
          <w:trHeight w:val="22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17,571</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10,066</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60,117</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4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128,145</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98,061</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463,406</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380,921</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(5,947 )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(21,899 )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(49,689 )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(61,792 )</w:t>
            </w: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(4,604 )</w:t>
            </w:r>
          </w:p>
        </w:tc>
        <w:tc>
          <w:tcPr>
            <w:tcW w:w="5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(3,914 )</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(17,783 )</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(17,267 )</w:t>
            </w:r>
          </w:p>
        </w:tc>
      </w:tr>
      <w:tr>
        <w:trPr>
          <w:trHeight w:val="20"/>
        </w:trPr>
        <w:tc>
          <w:tcPr>
            <w:tcW w:w="44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480" w:type="dxa"/>
            <w:vAlign w:val="bottom"/>
          </w:tcPr>
          <w:p>
            <w:pPr>
              <w:ind w:left="280"/>
              <w:spacing w:after="0"/>
              <w:rPr>
                <w:sz w:val="20"/>
                <w:szCs w:val="20"/>
                <w:color w:val="auto"/>
              </w:rPr>
            </w:pPr>
            <w:r>
              <w:rPr>
                <w:rFonts w:ascii="Arial" w:cs="Arial" w:eastAsia="Arial" w:hAnsi="Arial"/>
                <w:sz w:val="18"/>
                <w:szCs w:val="18"/>
                <w:color w:val="auto"/>
              </w:rPr>
              <w:t>Total net loss attributable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(10,551 )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(25,813 )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(67,472 )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(79,059 )</w:t>
            </w:r>
          </w:p>
        </w:tc>
      </w:tr>
      <w:tr>
        <w:trPr>
          <w:trHeight w:val="20"/>
        </w:trPr>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-941070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-941070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-941070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-179070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-179070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-179070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580" w:hanging="372"/>
        <w:spacing w:after="0" w:line="284"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2022 results have been revised to reflect immaterial corrections related to certain captions within the Consolidated Balance Sheet, Consolidated Statement of Operations and Comprehensive Loss and Consolidated Statement of Cash Flows. See tables below for additional details with respect to the line items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4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8"/>
              </w:rPr>
              <w:t>For the Year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5100" w:type="dxa"/>
            <w:vAlign w:val="bottom"/>
          </w:tcPr>
          <w:p>
            <w:pPr>
              <w:spacing w:after="0"/>
              <w:rPr>
                <w:sz w:val="20"/>
                <w:szCs w:val="20"/>
                <w:color w:val="auto"/>
              </w:rPr>
            </w:pPr>
          </w:p>
        </w:tc>
        <w:tc>
          <w:tcPr>
            <w:tcW w:w="24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Ended December 31,</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Ended December 31,</w:t>
            </w:r>
          </w:p>
        </w:tc>
      </w:tr>
      <w:tr>
        <w:trPr>
          <w:trHeight w:val="223"/>
        </w:trPr>
        <w:tc>
          <w:tcPr>
            <w:tcW w:w="5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1,456</w:t>
            </w:r>
          </w:p>
        </w:tc>
        <w:tc>
          <w:tcPr>
            <w:tcW w:w="26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4,909</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2,029</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2,007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1,455</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9"/>
                <w:szCs w:val="19"/>
                <w:color w:val="auto"/>
              </w:rPr>
            </w:pPr>
          </w:p>
        </w:tc>
      </w:tr>
      <w:tr>
        <w:trPr>
          <w:trHeight w:val="22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2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1,132</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5,896</w:t>
            </w:r>
          </w:p>
        </w:tc>
        <w:tc>
          <w:tcPr>
            <w:tcW w:w="26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5,124</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22,118</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1,976</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(43 )</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r>
      <w:tr>
        <w:trPr>
          <w:trHeight w:val="263"/>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2,799</w:t>
            </w: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2,103</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10,738</w:t>
            </w:r>
          </w:p>
        </w:tc>
        <w:tc>
          <w:tcPr>
            <w:tcW w:w="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66"/>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Restructuring Charge</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6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21"/>
                <w:szCs w:val="2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r>
      <w:tr>
        <w:trPr>
          <w:trHeight w:val="26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restructuring charge</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1,549</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6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FF0FC"/>
          </w:tcPr>
          <w:p>
            <w:pPr>
              <w:spacing w:after="0"/>
              <w:rPr>
                <w:sz w:val="22"/>
                <w:szCs w:val="22"/>
                <w:color w:val="auto"/>
              </w:rPr>
            </w:pPr>
          </w:p>
        </w:tc>
      </w:tr>
      <w:tr>
        <w:trPr>
          <w:trHeight w:val="843"/>
        </w:trPr>
        <w:tc>
          <w:tcPr>
            <w:tcW w:w="51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5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-3518535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-3518535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-3518535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-3518535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-2165350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-2148840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-2165350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-2148840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-2165350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-2148840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-1069975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-1052830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-1069975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-1052830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-1069975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-1052830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Immaterial Corrections To Previously Issued Consolidated Financial Statements</w:t>
      </w:r>
    </w:p>
    <w:p>
      <w:pPr>
        <w:jc w:val="center"/>
        <w:spacing w:after="0" w:line="225" w:lineRule="auto"/>
        <w:rPr>
          <w:sz w:val="20"/>
          <w:szCs w:val="20"/>
          <w:color w:val="auto"/>
        </w:rPr>
      </w:pPr>
      <w:r>
        <w:rPr>
          <w:rFonts w:ascii="Arial" w:cs="Arial" w:eastAsia="Arial" w:hAnsi="Arial"/>
          <w:sz w:val="20"/>
          <w:szCs w:val="20"/>
          <w:color w:val="auto"/>
        </w:rPr>
        <w:t>(In thousands, except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Consolidated Balance Sheet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Corrections</w:t>
            </w:r>
          </w:p>
        </w:tc>
        <w:tc>
          <w:tcPr>
            <w:tcW w:w="120" w:type="dxa"/>
            <w:vAlign w:val="bottom"/>
          </w:tcPr>
          <w:p>
            <w:pPr>
              <w:spacing w:after="0"/>
              <w:rPr>
                <w:sz w:val="18"/>
                <w:szCs w:val="18"/>
                <w:color w:val="auto"/>
              </w:rPr>
            </w:pPr>
          </w:p>
        </w:tc>
        <w:tc>
          <w:tcPr>
            <w:tcW w:w="15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As Adjusted</w:t>
            </w:r>
          </w:p>
        </w:tc>
        <w:tc>
          <w:tcPr>
            <w:tcW w:w="100" w:type="dxa"/>
            <w:vAlign w:val="bottom"/>
          </w:tcPr>
          <w:p>
            <w:pPr>
              <w:spacing w:after="0"/>
              <w:rPr>
                <w:sz w:val="18"/>
                <w:szCs w:val="18"/>
                <w:color w:val="auto"/>
              </w:rPr>
            </w:pPr>
          </w:p>
        </w:tc>
      </w:tr>
      <w:tr>
        <w:trPr>
          <w:trHeight w:val="209"/>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10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49,188</w:t>
            </w:r>
          </w:p>
        </w:tc>
        <w:tc>
          <w:tcPr>
            <w:tcW w:w="16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49,277</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12,273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(2,900 )</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9,373</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390,055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6"/>
                <w:szCs w:val="16"/>
                <w:color w:val="auto"/>
              </w:rPr>
              <w:t>(2,811 )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387,244</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736,925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(2,811 )</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734,114</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33,430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33,433</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12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8,729</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63,803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64,026</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362,092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362,315</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(249,366 )</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(3,034 )</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(252,400 )</w:t>
            </w:r>
          </w:p>
        </w:tc>
      </w:tr>
      <w:tr>
        <w:trPr>
          <w:trHeight w:val="214"/>
        </w:trPr>
        <w:tc>
          <w:tcPr>
            <w:tcW w:w="43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736,925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6"/>
                <w:szCs w:val="16"/>
                <w:color w:val="auto"/>
              </w:rPr>
              <w:t>(2,811 )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734,114</w:t>
            </w:r>
          </w:p>
        </w:tc>
        <w:tc>
          <w:tcPr>
            <w:tcW w:w="100" w:type="dxa"/>
            <w:vAlign w:val="bottom"/>
          </w:tcPr>
          <w:p>
            <w:pPr>
              <w:spacing w:after="0"/>
              <w:rPr>
                <w:sz w:val="18"/>
                <w:szCs w:val="18"/>
                <w:color w:val="auto"/>
              </w:rPr>
            </w:pPr>
          </w:p>
        </w:tc>
      </w:tr>
      <w:tr>
        <w:trPr>
          <w:trHeight w:val="433"/>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8"/>
          </w:tcPr>
          <w:p>
            <w:pPr>
              <w:jc w:val="right"/>
              <w:ind w:right="60"/>
              <w:spacing w:after="0"/>
              <w:rPr>
                <w:sz w:val="20"/>
                <w:szCs w:val="20"/>
                <w:color w:val="auto"/>
              </w:rPr>
            </w:pPr>
            <w:r>
              <w:rPr>
                <w:rFonts w:ascii="Arial" w:cs="Arial" w:eastAsia="Arial" w:hAnsi="Arial"/>
                <w:sz w:val="16"/>
                <w:szCs w:val="16"/>
                <w:b w:val="1"/>
                <w:bCs w:val="1"/>
                <w:color w:val="auto"/>
              </w:rPr>
              <w:t>Three Months Ended December 31, 2022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8"/>
          </w:tcPr>
          <w:p>
            <w:pPr>
              <w:jc w:val="right"/>
              <w:ind w:right="340"/>
              <w:spacing w:after="0"/>
              <w:rPr>
                <w:sz w:val="20"/>
                <w:szCs w:val="20"/>
                <w:color w:val="auto"/>
              </w:rPr>
            </w:pPr>
            <w:r>
              <w:rPr>
                <w:rFonts w:ascii="Arial" w:cs="Arial" w:eastAsia="Arial" w:hAnsi="Arial"/>
                <w:sz w:val="16"/>
                <w:szCs w:val="16"/>
                <w:b w:val="1"/>
                <w:bCs w:val="1"/>
                <w:color w:val="auto"/>
              </w:rPr>
              <w:t>Year Ended December 31, 2022</w:t>
            </w:r>
          </w:p>
        </w:tc>
      </w:tr>
      <w:tr>
        <w:trPr>
          <w:trHeight w:val="182"/>
        </w:trPr>
        <w:tc>
          <w:tcPr>
            <w:tcW w:w="4380" w:type="dxa"/>
            <w:vAlign w:val="bottom"/>
          </w:tcPr>
          <w:p>
            <w:pPr>
              <w:ind w:left="20"/>
              <w:spacing w:after="0" w:line="181" w:lineRule="exact"/>
              <w:rPr>
                <w:sz w:val="20"/>
                <w:szCs w:val="20"/>
                <w:color w:val="auto"/>
              </w:rPr>
            </w:pPr>
            <w:r>
              <w:rPr>
                <w:rFonts w:ascii="Arial" w:cs="Arial" w:eastAsia="Arial" w:hAnsi="Arial"/>
                <w:sz w:val="16"/>
                <w:szCs w:val="16"/>
                <w:b w:val="1"/>
                <w:bCs w:val="1"/>
                <w:color w:val="auto"/>
              </w:rPr>
              <w:t>Consolidated Statement of Operations and</w:t>
            </w: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gridSpan w:val="3"/>
          </w:tcPr>
          <w:p>
            <w:pPr>
              <w:jc w:val="right"/>
              <w:ind w:right="600"/>
              <w:spacing w:after="0" w:line="181" w:lineRule="exact"/>
              <w:rPr>
                <w:sz w:val="20"/>
                <w:szCs w:val="20"/>
                <w:color w:val="auto"/>
              </w:rPr>
            </w:pPr>
            <w:r>
              <w:rPr>
                <w:rFonts w:ascii="Arial" w:cs="Arial" w:eastAsia="Arial" w:hAnsi="Arial"/>
                <w:sz w:val="16"/>
                <w:szCs w:val="16"/>
                <w:b w:val="1"/>
                <w:bCs w:val="1"/>
                <w:color w:val="auto"/>
              </w:rPr>
              <w:t>As</w:t>
            </w:r>
          </w:p>
        </w:tc>
        <w:tc>
          <w:tcPr>
            <w:tcW w:w="880" w:type="dxa"/>
            <w:vAlign w:val="bottom"/>
            <w:tcBorders>
              <w:top w:val="single" w:sz="8" w:color="auto"/>
            </w:tcBorders>
            <w:gridSpan w:val="3"/>
          </w:tcPr>
          <w:p>
            <w:pPr>
              <w:jc w:val="right"/>
              <w:ind w:right="240"/>
              <w:spacing w:after="0" w:line="181" w:lineRule="exact"/>
              <w:rPr>
                <w:sz w:val="20"/>
                <w:szCs w:val="20"/>
                <w:color w:val="auto"/>
              </w:rPr>
            </w:pPr>
            <w:r>
              <w:rPr>
                <w:rFonts w:ascii="Arial" w:cs="Arial" w:eastAsia="Arial" w:hAnsi="Arial"/>
                <w:sz w:val="16"/>
                <w:szCs w:val="16"/>
                <w:b w:val="1"/>
                <w:bCs w:val="1"/>
                <w:color w:val="auto"/>
              </w:rPr>
              <w:t>Correcti</w:t>
            </w:r>
          </w:p>
        </w:tc>
        <w:tc>
          <w:tcPr>
            <w:tcW w:w="820" w:type="dxa"/>
            <w:vAlign w:val="bottom"/>
            <w:tcBorders>
              <w:top w:val="single" w:sz="8" w:color="auto"/>
            </w:tcBorders>
          </w:tcPr>
          <w:p>
            <w:pPr>
              <w:jc w:val="right"/>
              <w:ind w:right="259"/>
              <w:spacing w:after="0" w:line="181" w:lineRule="exact"/>
              <w:rPr>
                <w:sz w:val="20"/>
                <w:szCs w:val="20"/>
                <w:color w:val="auto"/>
              </w:rPr>
            </w:pPr>
            <w:r>
              <w:rPr>
                <w:rFonts w:ascii="Arial" w:cs="Arial" w:eastAsia="Arial" w:hAnsi="Arial"/>
                <w:sz w:val="16"/>
                <w:szCs w:val="16"/>
                <w:b w:val="1"/>
                <w:bCs w:val="1"/>
                <w:color w:val="auto"/>
              </w:rPr>
              <w:t>As</w:t>
            </w:r>
          </w:p>
        </w:tc>
        <w:tc>
          <w:tcPr>
            <w:tcW w:w="100" w:type="dxa"/>
            <w:vAlign w:val="bottom"/>
          </w:tcPr>
          <w:p>
            <w:pPr>
              <w:spacing w:after="0"/>
              <w:rPr>
                <w:sz w:val="15"/>
                <w:szCs w:val="15"/>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Comprehensive Loss</w:t>
            </w:r>
          </w:p>
        </w:tc>
        <w:tc>
          <w:tcPr>
            <w:tcW w:w="13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As Reported</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Corrections</w:t>
            </w:r>
          </w:p>
        </w:tc>
        <w:tc>
          <w:tcPr>
            <w:tcW w:w="122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rPr>
              <w:t>As Adjusted</w:t>
            </w:r>
          </w:p>
        </w:tc>
        <w:tc>
          <w:tcPr>
            <w:tcW w:w="14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Reported</w:t>
            </w:r>
          </w:p>
        </w:tc>
        <w:tc>
          <w:tcPr>
            <w:tcW w:w="12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ons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Adjusted</w:t>
            </w:r>
          </w:p>
        </w:tc>
      </w:tr>
      <w:tr>
        <w:trPr>
          <w:trHeight w:val="209"/>
        </w:trPr>
        <w:tc>
          <w:tcPr>
            <w:tcW w:w="4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98,196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(135 )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98,061</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381,053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   (132 )</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$ 380,921</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62,166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6"/>
                <w:szCs w:val="16"/>
                <w:color w:val="auto"/>
              </w:rPr>
              <w:t>62,859</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233,487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1,443</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234,930</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36,030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(828 )</w:t>
            </w:r>
          </w:p>
        </w:tc>
        <w:tc>
          <w:tcPr>
            <w:tcW w:w="12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35,202</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147,566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(1,575 )</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145,991</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24,376</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24,664</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83,222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1,149</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84,371</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120"/>
              <w:spacing w:after="0"/>
              <w:rPr>
                <w:sz w:val="20"/>
                <w:szCs w:val="20"/>
                <w:color w:val="auto"/>
              </w:rPr>
            </w:pPr>
            <w:r>
              <w:rPr>
                <w:rFonts w:ascii="Arial" w:cs="Arial" w:eastAsia="Arial" w:hAnsi="Arial"/>
                <w:sz w:val="16"/>
                <w:szCs w:val="16"/>
                <w:color w:val="auto"/>
              </w:rPr>
              <w:t>Operations and support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12,414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6"/>
                <w:szCs w:val="16"/>
                <w:color w:val="auto"/>
              </w:rPr>
              <w:t>12,434</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48,572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48,628</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15,103</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57,992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58,246</w:t>
            </w: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60,334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6"/>
                <w:szCs w:val="16"/>
                <w:color w:val="auto"/>
              </w:rPr>
              <w:t>60,896</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221,623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1,459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223,082</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(24,304 )</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(1,390 )</w:t>
            </w:r>
          </w:p>
        </w:tc>
        <w:tc>
          <w:tcPr>
            <w:tcW w:w="120" w:type="dxa"/>
            <w:vAlign w:val="bottom"/>
            <w:shd w:val="clear" w:color="auto" w:fill="CFF0FC"/>
          </w:tcPr>
          <w:p>
            <w:pPr>
              <w:spacing w:after="0"/>
              <w:rPr>
                <w:sz w:val="18"/>
                <w:szCs w:val="18"/>
                <w:color w:val="auto"/>
              </w:rPr>
            </w:pPr>
          </w:p>
        </w:tc>
        <w:tc>
          <w:tcPr>
            <w:tcW w:w="110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(25,694 )</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(74,057 )</w:t>
            </w:r>
          </w:p>
        </w:tc>
        <w:tc>
          <w:tcPr>
            <w:tcW w:w="10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(3,034 )</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(77,091 )</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(23,829 )</w:t>
            </w:r>
          </w:p>
        </w:tc>
        <w:tc>
          <w:tcPr>
            <w:tcW w:w="3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(1,390 )</w:t>
            </w:r>
          </w:p>
        </w:tc>
        <w:tc>
          <w:tcPr>
            <w:tcW w:w="120" w:type="dxa"/>
            <w:vAlign w:val="bottom"/>
          </w:tcPr>
          <w:p>
            <w:pPr>
              <w:spacing w:after="0"/>
              <w:rPr>
                <w:sz w:val="18"/>
                <w:szCs w:val="18"/>
                <w:color w:val="auto"/>
              </w:rPr>
            </w:pPr>
          </w:p>
        </w:tc>
        <w:tc>
          <w:tcPr>
            <w:tcW w:w="1100" w:type="dxa"/>
            <w:vAlign w:val="bottom"/>
            <w:gridSpan w:val="5"/>
          </w:tcPr>
          <w:p>
            <w:pPr>
              <w:jc w:val="right"/>
              <w:ind w:right="40"/>
              <w:spacing w:after="0"/>
              <w:rPr>
                <w:sz w:val="20"/>
                <w:szCs w:val="20"/>
                <w:color w:val="auto"/>
              </w:rPr>
            </w:pPr>
            <w:r>
              <w:rPr>
                <w:rFonts w:ascii="Arial" w:cs="Arial" w:eastAsia="Arial" w:hAnsi="Arial"/>
                <w:sz w:val="16"/>
                <w:szCs w:val="16"/>
                <w:color w:val="auto"/>
              </w:rPr>
              <w:t>(25,219 )</w:t>
            </w:r>
          </w:p>
        </w:tc>
        <w:tc>
          <w:tcPr>
            <w:tcW w:w="1200" w:type="dxa"/>
            <w:vAlign w:val="bottom"/>
            <w:gridSpan w:val="3"/>
          </w:tcPr>
          <w:p>
            <w:pPr>
              <w:jc w:val="right"/>
              <w:ind w:right="40"/>
              <w:spacing w:after="0"/>
              <w:rPr>
                <w:sz w:val="20"/>
                <w:szCs w:val="20"/>
                <w:color w:val="auto"/>
              </w:rPr>
            </w:pPr>
            <w:r>
              <w:rPr>
                <w:rFonts w:ascii="Arial" w:cs="Arial" w:eastAsia="Arial" w:hAnsi="Arial"/>
                <w:sz w:val="16"/>
                <w:szCs w:val="16"/>
                <w:color w:val="auto"/>
              </w:rPr>
              <w:t>(75,973 )</w:t>
            </w: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(3,034 )</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(79,007 )</w:t>
            </w: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(24,424 )</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(1,390 )</w:t>
            </w:r>
          </w:p>
        </w:tc>
        <w:tc>
          <w:tcPr>
            <w:tcW w:w="120" w:type="dxa"/>
            <w:vAlign w:val="bottom"/>
            <w:shd w:val="clear" w:color="auto" w:fill="CFF0FC"/>
          </w:tcPr>
          <w:p>
            <w:pPr>
              <w:spacing w:after="0"/>
              <w:rPr>
                <w:sz w:val="18"/>
                <w:szCs w:val="18"/>
                <w:color w:val="auto"/>
              </w:rPr>
            </w:pPr>
          </w:p>
        </w:tc>
        <w:tc>
          <w:tcPr>
            <w:tcW w:w="110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(25,814 )</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(76,009 )</w:t>
            </w:r>
          </w:p>
        </w:tc>
        <w:tc>
          <w:tcPr>
            <w:tcW w:w="10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(3,034 )</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(79,043 )</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(24,423 )</w:t>
            </w:r>
          </w:p>
        </w:tc>
        <w:tc>
          <w:tcPr>
            <w:tcW w:w="3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(1,390 )</w:t>
            </w:r>
          </w:p>
        </w:tc>
        <w:tc>
          <w:tcPr>
            <w:tcW w:w="120" w:type="dxa"/>
            <w:vAlign w:val="bottom"/>
          </w:tcPr>
          <w:p>
            <w:pPr>
              <w:spacing w:after="0"/>
              <w:rPr>
                <w:sz w:val="18"/>
                <w:szCs w:val="18"/>
                <w:color w:val="auto"/>
              </w:rPr>
            </w:pPr>
          </w:p>
        </w:tc>
        <w:tc>
          <w:tcPr>
            <w:tcW w:w="1100" w:type="dxa"/>
            <w:vAlign w:val="bottom"/>
            <w:gridSpan w:val="5"/>
          </w:tcPr>
          <w:p>
            <w:pPr>
              <w:jc w:val="right"/>
              <w:ind w:right="40"/>
              <w:spacing w:after="0"/>
              <w:rPr>
                <w:sz w:val="20"/>
                <w:szCs w:val="20"/>
                <w:color w:val="auto"/>
              </w:rPr>
            </w:pPr>
            <w:r>
              <w:rPr>
                <w:rFonts w:ascii="Arial" w:cs="Arial" w:eastAsia="Arial" w:hAnsi="Arial"/>
                <w:sz w:val="16"/>
                <w:szCs w:val="16"/>
                <w:color w:val="auto"/>
              </w:rPr>
              <w:t>(25,813 )</w:t>
            </w:r>
          </w:p>
        </w:tc>
        <w:tc>
          <w:tcPr>
            <w:tcW w:w="1200" w:type="dxa"/>
            <w:vAlign w:val="bottom"/>
            <w:gridSpan w:val="3"/>
          </w:tcPr>
          <w:p>
            <w:pPr>
              <w:jc w:val="right"/>
              <w:ind w:right="40"/>
              <w:spacing w:after="0"/>
              <w:rPr>
                <w:sz w:val="20"/>
                <w:szCs w:val="20"/>
                <w:color w:val="auto"/>
              </w:rPr>
            </w:pPr>
            <w:r>
              <w:rPr>
                <w:rFonts w:ascii="Arial" w:cs="Arial" w:eastAsia="Arial" w:hAnsi="Arial"/>
                <w:sz w:val="16"/>
                <w:szCs w:val="16"/>
                <w:color w:val="auto"/>
              </w:rPr>
              <w:t>(76,025 )</w:t>
            </w: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(3,034 )</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(79,059 )</w:t>
            </w:r>
          </w:p>
        </w:tc>
      </w:tr>
      <w:tr>
        <w:trPr>
          <w:trHeight w:val="189"/>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basic and diluted, of Class A and Class</w:t>
            </w: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 common stock</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(0.51 )</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(0.03 )</w:t>
            </w:r>
          </w:p>
        </w:tc>
        <w:tc>
          <w:tcPr>
            <w:tcW w:w="120" w:type="dxa"/>
            <w:vAlign w:val="bottom"/>
            <w:shd w:val="clear" w:color="auto" w:fill="CFF0FC"/>
          </w:tcPr>
          <w:p>
            <w:pPr>
              <w:spacing w:after="0"/>
              <w:rPr>
                <w:sz w:val="18"/>
                <w:szCs w:val="18"/>
                <w:color w:val="auto"/>
              </w:rPr>
            </w:pPr>
          </w:p>
        </w:tc>
        <w:tc>
          <w:tcPr>
            <w:tcW w:w="110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(0.54 )</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(1.61 )</w:t>
            </w:r>
          </w:p>
        </w:tc>
        <w:tc>
          <w:tcPr>
            <w:tcW w:w="10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(0.07 )</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(1.68 )</w:t>
            </w:r>
          </w:p>
        </w:tc>
      </w:tr>
      <w:tr>
        <w:trPr>
          <w:trHeight w:val="431"/>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2"/>
          </w:tcPr>
          <w:p>
            <w:pPr>
              <w:jc w:val="right"/>
              <w:ind w:right="520"/>
              <w:spacing w:after="0"/>
              <w:rPr>
                <w:sz w:val="20"/>
                <w:szCs w:val="20"/>
                <w:color w:val="auto"/>
              </w:rPr>
            </w:pPr>
            <w:r>
              <w:rPr>
                <w:rFonts w:ascii="Arial" w:cs="Arial" w:eastAsia="Arial" w:hAnsi="Arial"/>
                <w:sz w:val="16"/>
                <w:szCs w:val="16"/>
                <w:b w:val="1"/>
                <w:bCs w:val="1"/>
                <w:color w:val="auto"/>
              </w:rPr>
              <w:t>Year Ended December 31, 2022</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 of Cash Flow</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Corrections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As Adjusted</w:t>
            </w:r>
          </w:p>
        </w:tc>
        <w:tc>
          <w:tcPr>
            <w:tcW w:w="100" w:type="dxa"/>
            <w:vAlign w:val="bottom"/>
          </w:tcPr>
          <w:p>
            <w:pPr>
              <w:spacing w:after="0"/>
              <w:rPr>
                <w:sz w:val="18"/>
                <w:szCs w:val="18"/>
                <w:color w:val="auto"/>
              </w:rPr>
            </w:pPr>
          </w:p>
        </w:tc>
      </w:tr>
      <w:tr>
        <w:trPr>
          <w:trHeight w:val="209"/>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(76,009 )</w:t>
            </w:r>
          </w:p>
        </w:tc>
        <w:tc>
          <w:tcPr>
            <w:tcW w:w="3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(3,034 )</w:t>
            </w:r>
          </w:p>
        </w:tc>
        <w:tc>
          <w:tcPr>
            <w:tcW w:w="660" w:type="dxa"/>
            <w:vAlign w:val="bottom"/>
            <w:gridSpan w:val="2"/>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(79,043 )</w:t>
            </w:r>
          </w:p>
        </w:tc>
      </w:tr>
      <w:tr>
        <w:trPr>
          <w:trHeight w:val="215"/>
        </w:trPr>
        <w:tc>
          <w:tcPr>
            <w:tcW w:w="438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(16,923 )</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(17,012 )</w:t>
            </w:r>
          </w:p>
        </w:tc>
      </w:tr>
      <w:tr>
        <w:trPr>
          <w:trHeight w:val="215"/>
        </w:trPr>
        <w:tc>
          <w:tcPr>
            <w:tcW w:w="4380" w:type="dxa"/>
            <w:vAlign w:val="bottom"/>
          </w:tcPr>
          <w:p>
            <w:pPr>
              <w:ind w:left="200"/>
              <w:spacing w:after="0"/>
              <w:rPr>
                <w:sz w:val="20"/>
                <w:szCs w:val="20"/>
                <w:color w:val="auto"/>
              </w:rPr>
            </w:pPr>
            <w:r>
              <w:rPr>
                <w:rFonts w:ascii="Arial" w:cs="Arial" w:eastAsia="Arial" w:hAnsi="Arial"/>
                <w:sz w:val="16"/>
                <w:szCs w:val="16"/>
                <w:color w:val="auto"/>
              </w:rPr>
              <w:t>Other assets, current and long term</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(7,016 )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(4,116 )</w:t>
            </w:r>
          </w:p>
        </w:tc>
      </w:tr>
      <w:tr>
        <w:trPr>
          <w:trHeight w:val="216"/>
        </w:trPr>
        <w:tc>
          <w:tcPr>
            <w:tcW w:w="4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FF0FC"/>
          </w:tcPr>
          <w:p>
            <w:pPr>
              <w:spacing w:after="0"/>
              <w:rPr>
                <w:sz w:val="18"/>
                <w:szCs w:val="18"/>
                <w:color w:val="auto"/>
              </w:rPr>
            </w:pPr>
          </w:p>
        </w:tc>
      </w:tr>
      <w:tr>
        <w:trPr>
          <w:trHeight w:val="214"/>
        </w:trPr>
        <w:tc>
          <w:tcPr>
            <w:tcW w:w="438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Immaterial Corrections To Previously Issued Consolidated Financial Statements</w:t>
      </w:r>
    </w:p>
    <w:p>
      <w:pPr>
        <w:jc w:val="center"/>
        <w:spacing w:after="0" w:line="225" w:lineRule="auto"/>
        <w:rPr>
          <w:sz w:val="20"/>
          <w:szCs w:val="20"/>
          <w:color w:val="auto"/>
        </w:rPr>
      </w:pPr>
      <w:r>
        <w:rPr>
          <w:rFonts w:ascii="Arial" w:cs="Arial" w:eastAsia="Arial" w:hAnsi="Arial"/>
          <w:sz w:val="20"/>
          <w:szCs w:val="20"/>
          <w:color w:val="auto"/>
        </w:rPr>
        <w:t>(In thousands, except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7"/>
          </w:tcPr>
          <w:p>
            <w:pPr>
              <w:jc w:val="right"/>
              <w:ind w:right="199"/>
              <w:spacing w:after="0"/>
              <w:rPr>
                <w:sz w:val="20"/>
                <w:szCs w:val="20"/>
                <w:color w:val="auto"/>
              </w:rPr>
            </w:pPr>
            <w:r>
              <w:rPr>
                <w:rFonts w:ascii="Arial" w:cs="Arial" w:eastAsia="Arial" w:hAnsi="Arial"/>
                <w:sz w:val="16"/>
                <w:szCs w:val="16"/>
                <w:b w:val="1"/>
                <w:bCs w:val="1"/>
                <w:color w:val="auto"/>
              </w:rPr>
              <w:t>Three Months Ended December 31, 2022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8"/>
          </w:tcPr>
          <w:p>
            <w:pPr>
              <w:ind w:left="120"/>
              <w:spacing w:after="0"/>
              <w:rPr>
                <w:sz w:val="20"/>
                <w:szCs w:val="20"/>
                <w:color w:val="auto"/>
              </w:rPr>
            </w:pPr>
            <w:r>
              <w:rPr>
                <w:rFonts w:ascii="Arial" w:cs="Arial" w:eastAsia="Arial" w:hAnsi="Arial"/>
                <w:sz w:val="16"/>
                <w:szCs w:val="16"/>
                <w:b w:val="1"/>
                <w:bCs w:val="1"/>
                <w:color w:val="auto"/>
              </w:rPr>
              <w:t>Year Ended December 31, 2022</w:t>
            </w:r>
          </w:p>
        </w:tc>
      </w:tr>
      <w:tr>
        <w:trPr>
          <w:trHeight w:val="182"/>
        </w:trPr>
        <w:tc>
          <w:tcPr>
            <w:tcW w:w="43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9"/>
              <w:spacing w:after="0" w:line="181" w:lineRule="exact"/>
              <w:rPr>
                <w:sz w:val="20"/>
                <w:szCs w:val="20"/>
                <w:color w:val="auto"/>
              </w:rPr>
            </w:pPr>
            <w:r>
              <w:rPr>
                <w:rFonts w:ascii="Arial" w:cs="Arial" w:eastAsia="Arial" w:hAnsi="Arial"/>
                <w:sz w:val="16"/>
                <w:szCs w:val="16"/>
                <w:b w:val="1"/>
                <w:bCs w:val="1"/>
                <w:color w:val="auto"/>
              </w:rPr>
              <w:t>As</w:t>
            </w: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ind w:left="20"/>
              <w:spacing w:after="0" w:line="181" w:lineRule="exact"/>
              <w:rPr>
                <w:sz w:val="20"/>
                <w:szCs w:val="20"/>
                <w:color w:val="auto"/>
              </w:rPr>
            </w:pPr>
            <w:r>
              <w:rPr>
                <w:rFonts w:ascii="Arial" w:cs="Arial" w:eastAsia="Arial" w:hAnsi="Arial"/>
                <w:sz w:val="16"/>
                <w:szCs w:val="16"/>
                <w:b w:val="1"/>
                <w:bCs w:val="1"/>
                <w:color w:val="auto"/>
              </w:rPr>
              <w:t>Correcti</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59"/>
              <w:spacing w:after="0" w:line="181" w:lineRule="exact"/>
              <w:rPr>
                <w:sz w:val="20"/>
                <w:szCs w:val="20"/>
                <w:color w:val="auto"/>
              </w:rPr>
            </w:pPr>
            <w:r>
              <w:rPr>
                <w:rFonts w:ascii="Arial" w:cs="Arial" w:eastAsia="Arial" w:hAnsi="Arial"/>
                <w:sz w:val="16"/>
                <w:szCs w:val="16"/>
                <w:b w:val="1"/>
                <w:bCs w:val="1"/>
                <w:color w:val="auto"/>
              </w:rPr>
              <w:t>As</w:t>
            </w:r>
          </w:p>
        </w:tc>
        <w:tc>
          <w:tcPr>
            <w:tcW w:w="100" w:type="dxa"/>
            <w:vAlign w:val="bottom"/>
          </w:tcPr>
          <w:p>
            <w:pPr>
              <w:spacing w:after="0"/>
              <w:rPr>
                <w:sz w:val="15"/>
                <w:szCs w:val="15"/>
                <w:color w:val="auto"/>
              </w:rPr>
            </w:pPr>
          </w:p>
        </w:tc>
      </w:tr>
      <w:tr>
        <w:trPr>
          <w:trHeight w:val="216"/>
        </w:trPr>
        <w:tc>
          <w:tcPr>
            <w:tcW w:w="43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Reported</w:t>
            </w:r>
          </w:p>
        </w:tc>
        <w:tc>
          <w:tcPr>
            <w:tcW w:w="26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Corrections</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As Adjusted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Reported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ons</w:t>
            </w:r>
          </w:p>
        </w:tc>
        <w:tc>
          <w:tcPr>
            <w:tcW w:w="920" w:type="dxa"/>
            <w:vAlign w:val="bottom"/>
            <w:gridSpan w:val="3"/>
          </w:tcPr>
          <w:p>
            <w:pPr>
              <w:ind w:left="60"/>
              <w:spacing w:after="0"/>
              <w:rPr>
                <w:sz w:val="20"/>
                <w:szCs w:val="20"/>
                <w:color w:val="auto"/>
              </w:rPr>
            </w:pPr>
            <w:r>
              <w:rPr>
                <w:rFonts w:ascii="Arial" w:cs="Arial" w:eastAsia="Arial" w:hAnsi="Arial"/>
                <w:sz w:val="16"/>
                <w:szCs w:val="16"/>
                <w:b w:val="1"/>
                <w:bCs w:val="1"/>
                <w:color w:val="auto"/>
              </w:rPr>
              <w:t>Adjusted</w:t>
            </w:r>
          </w:p>
        </w:tc>
      </w:tr>
      <w:tr>
        <w:trPr>
          <w:trHeight w:val="209"/>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Disaggregated Revenue and Cost of Revenue</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Marketplace</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79,062</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c>
          <w:tcPr>
            <w:tcW w:w="2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79,148</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303,134</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303,223</w:t>
            </w:r>
          </w:p>
        </w:tc>
        <w:tc>
          <w:tcPr>
            <w:tcW w:w="100" w:type="dxa"/>
            <w:vAlign w:val="bottom"/>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57,630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58,323</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216,336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1,443</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217,779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21,432</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(607 )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20,825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86,798</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(1,354 )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85,444</w:t>
            </w: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Supplier Services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19,134</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(221 )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18,913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77,919</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(221 )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77,698</w:t>
            </w:r>
          </w:p>
        </w:tc>
        <w:tc>
          <w:tcPr>
            <w:tcW w:w="100" w:type="dxa"/>
            <w:vAlign w:val="bottom"/>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4,536</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17,151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14,598</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(221 )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14,377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60,768</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(221 )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60,547</w:t>
            </w: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-889635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-889635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-889635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-889635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-889635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-170815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-170815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8"/>
          </w:tcPr>
          <w:p>
            <w:pPr>
              <w:jc w:val="right"/>
              <w:ind w:right="520"/>
              <w:spacing w:after="0"/>
              <w:rPr>
                <w:sz w:val="20"/>
                <w:szCs w:val="20"/>
                <w:color w:val="auto"/>
              </w:rPr>
            </w:pPr>
            <w:r>
              <w:rPr>
                <w:rFonts w:ascii="Arial" w:cs="Arial" w:eastAsia="Arial" w:hAnsi="Arial"/>
                <w:sz w:val="16"/>
                <w:szCs w:val="16"/>
                <w:b w:val="1"/>
                <w:bCs w:val="1"/>
                <w:color w:val="auto"/>
              </w:rPr>
              <w:t>Three Months Ended December 31, 2022</w:t>
            </w:r>
          </w:p>
        </w:tc>
        <w:tc>
          <w:tcPr>
            <w:tcW w:w="120" w:type="dxa"/>
            <w:vAlign w:val="bottom"/>
          </w:tcPr>
          <w:p>
            <w:pPr>
              <w:spacing w:after="0"/>
              <w:rPr>
                <w:sz w:val="18"/>
                <w:szCs w:val="18"/>
                <w:color w:val="auto"/>
              </w:rPr>
            </w:pPr>
          </w:p>
        </w:tc>
        <w:tc>
          <w:tcPr>
            <w:tcW w:w="2840" w:type="dxa"/>
            <w:vAlign w:val="bottom"/>
            <w:gridSpan w:val="8"/>
          </w:tcPr>
          <w:p>
            <w:pPr>
              <w:jc w:val="right"/>
              <w:ind w:right="340"/>
              <w:spacing w:after="0"/>
              <w:rPr>
                <w:sz w:val="20"/>
                <w:szCs w:val="20"/>
                <w:color w:val="auto"/>
              </w:rPr>
            </w:pPr>
            <w:r>
              <w:rPr>
                <w:rFonts w:ascii="Arial" w:cs="Arial" w:eastAsia="Arial" w:hAnsi="Arial"/>
                <w:sz w:val="16"/>
                <w:szCs w:val="16"/>
                <w:b w:val="1"/>
                <w:bCs w:val="1"/>
                <w:color w:val="auto"/>
              </w:rPr>
              <w:t>Year Ended December 31, 2022</w:t>
            </w:r>
          </w:p>
        </w:tc>
      </w:tr>
      <w:tr>
        <w:trPr>
          <w:trHeight w:val="182"/>
        </w:trPr>
        <w:tc>
          <w:tcPr>
            <w:tcW w:w="43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360"/>
              <w:spacing w:after="0" w:line="181" w:lineRule="exact"/>
              <w:rPr>
                <w:sz w:val="20"/>
                <w:szCs w:val="20"/>
                <w:color w:val="auto"/>
              </w:rPr>
            </w:pPr>
            <w:r>
              <w:rPr>
                <w:rFonts w:ascii="Arial" w:cs="Arial" w:eastAsia="Arial" w:hAnsi="Arial"/>
                <w:sz w:val="16"/>
                <w:szCs w:val="16"/>
                <w:b w:val="1"/>
                <w:bCs w:val="1"/>
                <w:color w:val="auto"/>
                <w:w w:val="97"/>
              </w:rPr>
              <w:t>As</w:t>
            </w:r>
          </w:p>
        </w:tc>
        <w:tc>
          <w:tcPr>
            <w:tcW w:w="880" w:type="dxa"/>
            <w:vAlign w:val="bottom"/>
            <w:tcBorders>
              <w:top w:val="single" w:sz="8" w:color="auto"/>
            </w:tcBorders>
            <w:gridSpan w:val="3"/>
          </w:tcPr>
          <w:p>
            <w:pPr>
              <w:ind w:left="20"/>
              <w:spacing w:after="0" w:line="181" w:lineRule="exact"/>
              <w:rPr>
                <w:sz w:val="20"/>
                <w:szCs w:val="20"/>
                <w:color w:val="auto"/>
              </w:rPr>
            </w:pPr>
            <w:r>
              <w:rPr>
                <w:rFonts w:ascii="Arial" w:cs="Arial" w:eastAsia="Arial" w:hAnsi="Arial"/>
                <w:sz w:val="16"/>
                <w:szCs w:val="16"/>
                <w:b w:val="1"/>
                <w:bCs w:val="1"/>
                <w:color w:val="auto"/>
              </w:rPr>
              <w:t>Correcti</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ind w:right="139"/>
              <w:spacing w:after="0" w:line="181" w:lineRule="exact"/>
              <w:rPr>
                <w:sz w:val="20"/>
                <w:szCs w:val="20"/>
                <w:color w:val="auto"/>
              </w:rPr>
            </w:pPr>
            <w:r>
              <w:rPr>
                <w:rFonts w:ascii="Arial" w:cs="Arial" w:eastAsia="Arial" w:hAnsi="Arial"/>
                <w:sz w:val="16"/>
                <w:szCs w:val="16"/>
                <w:b w:val="1"/>
                <w:bCs w:val="1"/>
                <w:color w:val="auto"/>
                <w:w w:val="97"/>
              </w:rPr>
              <w:t>As</w:t>
            </w:r>
          </w:p>
        </w:tc>
        <w:tc>
          <w:tcPr>
            <w:tcW w:w="100" w:type="dxa"/>
            <w:vAlign w:val="bottom"/>
          </w:tcPr>
          <w:p>
            <w:pPr>
              <w:spacing w:after="0"/>
              <w:rPr>
                <w:sz w:val="15"/>
                <w:szCs w:val="15"/>
                <w:color w:val="auto"/>
              </w:rPr>
            </w:pPr>
          </w:p>
        </w:tc>
      </w:tr>
      <w:tr>
        <w:trPr>
          <w:trHeight w:val="216"/>
        </w:trPr>
        <w:tc>
          <w:tcPr>
            <w:tcW w:w="4380" w:type="dxa"/>
            <w:vAlign w:val="bottom"/>
          </w:tcPr>
          <w:p>
            <w:pPr>
              <w:spacing w:after="0"/>
              <w:rPr>
                <w:sz w:val="18"/>
                <w:szCs w:val="18"/>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As Reported</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Corrections</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As Adjusted</w:t>
            </w: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Reported</w:t>
            </w:r>
          </w:p>
        </w:tc>
        <w:tc>
          <w:tcPr>
            <w:tcW w:w="16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ons</w:t>
            </w:r>
          </w:p>
        </w:tc>
        <w:tc>
          <w:tcPr>
            <w:tcW w:w="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Adjusted</w:t>
            </w:r>
          </w:p>
        </w:tc>
      </w:tr>
      <w:tr>
        <w:trPr>
          <w:trHeight w:val="209"/>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Segments Results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88,130</w:t>
            </w:r>
          </w:p>
        </w:tc>
        <w:tc>
          <w:tcPr>
            <w:tcW w:w="2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(135 )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87,995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347,842</w:t>
            </w:r>
          </w:p>
        </w:tc>
        <w:tc>
          <w:tcPr>
            <w:tcW w:w="2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(132 )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347,710</w:t>
            </w:r>
          </w:p>
        </w:tc>
        <w:tc>
          <w:tcPr>
            <w:tcW w:w="100" w:type="dxa"/>
            <w:vAlign w:val="bottom"/>
          </w:tcPr>
          <w:p>
            <w:pPr>
              <w:spacing w:after="0"/>
              <w:rPr>
                <w:sz w:val="18"/>
                <w:szCs w:val="18"/>
                <w:color w:val="auto"/>
              </w:rPr>
            </w:pPr>
          </w:p>
        </w:tc>
      </w:tr>
      <w:tr>
        <w:trPr>
          <w:trHeight w:val="217"/>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Losses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(20,509 )</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(1,390 )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(21,899 )</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(58,758 )</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(3,034 )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(61,792 )</w:t>
            </w:r>
          </w:p>
        </w:tc>
      </w:tr>
      <w:tr>
        <w:trPr>
          <w:trHeight w:val="433"/>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gridSpan w:val="8"/>
          </w:tcPr>
          <w:p>
            <w:pPr>
              <w:jc w:val="right"/>
              <w:ind w:right="520"/>
              <w:spacing w:after="0"/>
              <w:rPr>
                <w:sz w:val="20"/>
                <w:szCs w:val="20"/>
                <w:color w:val="auto"/>
              </w:rPr>
            </w:pPr>
            <w:r>
              <w:rPr>
                <w:rFonts w:ascii="Arial" w:cs="Arial" w:eastAsia="Arial" w:hAnsi="Arial"/>
                <w:sz w:val="16"/>
                <w:szCs w:val="16"/>
                <w:b w:val="1"/>
                <w:bCs w:val="1"/>
                <w:color w:val="auto"/>
              </w:rPr>
              <w:t>Three Months Ended December 31, 2022</w:t>
            </w:r>
          </w:p>
        </w:tc>
        <w:tc>
          <w:tcPr>
            <w:tcW w:w="120" w:type="dxa"/>
            <w:vAlign w:val="bottom"/>
          </w:tcPr>
          <w:p>
            <w:pPr>
              <w:spacing w:after="0"/>
              <w:rPr>
                <w:sz w:val="24"/>
                <w:szCs w:val="24"/>
                <w:color w:val="auto"/>
              </w:rPr>
            </w:pPr>
          </w:p>
        </w:tc>
        <w:tc>
          <w:tcPr>
            <w:tcW w:w="2840" w:type="dxa"/>
            <w:vAlign w:val="bottom"/>
            <w:gridSpan w:val="8"/>
          </w:tcPr>
          <w:p>
            <w:pPr>
              <w:jc w:val="right"/>
              <w:ind w:right="340"/>
              <w:spacing w:after="0"/>
              <w:rPr>
                <w:sz w:val="20"/>
                <w:szCs w:val="20"/>
                <w:color w:val="auto"/>
              </w:rPr>
            </w:pPr>
            <w:r>
              <w:rPr>
                <w:rFonts w:ascii="Arial" w:cs="Arial" w:eastAsia="Arial" w:hAnsi="Arial"/>
                <w:sz w:val="16"/>
                <w:szCs w:val="16"/>
                <w:b w:val="1"/>
                <w:bCs w:val="1"/>
                <w:color w:val="auto"/>
              </w:rPr>
              <w:t>Year Ended December 31, 2022</w:t>
            </w:r>
          </w:p>
        </w:tc>
      </w:tr>
      <w:tr>
        <w:trPr>
          <w:trHeight w:val="182"/>
        </w:trPr>
        <w:tc>
          <w:tcPr>
            <w:tcW w:w="43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360"/>
              <w:spacing w:after="0" w:line="181" w:lineRule="exact"/>
              <w:rPr>
                <w:sz w:val="20"/>
                <w:szCs w:val="20"/>
                <w:color w:val="auto"/>
              </w:rPr>
            </w:pPr>
            <w:r>
              <w:rPr>
                <w:rFonts w:ascii="Arial" w:cs="Arial" w:eastAsia="Arial" w:hAnsi="Arial"/>
                <w:sz w:val="16"/>
                <w:szCs w:val="16"/>
                <w:b w:val="1"/>
                <w:bCs w:val="1"/>
                <w:color w:val="auto"/>
                <w:w w:val="97"/>
              </w:rPr>
              <w:t>As</w:t>
            </w:r>
          </w:p>
        </w:tc>
        <w:tc>
          <w:tcPr>
            <w:tcW w:w="880" w:type="dxa"/>
            <w:vAlign w:val="bottom"/>
            <w:tcBorders>
              <w:top w:val="single" w:sz="8" w:color="auto"/>
            </w:tcBorders>
            <w:gridSpan w:val="3"/>
          </w:tcPr>
          <w:p>
            <w:pPr>
              <w:ind w:left="20"/>
              <w:spacing w:after="0" w:line="181" w:lineRule="exact"/>
              <w:rPr>
                <w:sz w:val="20"/>
                <w:szCs w:val="20"/>
                <w:color w:val="auto"/>
              </w:rPr>
            </w:pPr>
            <w:r>
              <w:rPr>
                <w:rFonts w:ascii="Arial" w:cs="Arial" w:eastAsia="Arial" w:hAnsi="Arial"/>
                <w:sz w:val="16"/>
                <w:szCs w:val="16"/>
                <w:b w:val="1"/>
                <w:bCs w:val="1"/>
                <w:color w:val="auto"/>
              </w:rPr>
              <w:t>Correcti</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ind w:right="139"/>
              <w:spacing w:after="0" w:line="181" w:lineRule="exact"/>
              <w:rPr>
                <w:sz w:val="20"/>
                <w:szCs w:val="20"/>
                <w:color w:val="auto"/>
              </w:rPr>
            </w:pPr>
            <w:r>
              <w:rPr>
                <w:rFonts w:ascii="Arial" w:cs="Arial" w:eastAsia="Arial" w:hAnsi="Arial"/>
                <w:sz w:val="16"/>
                <w:szCs w:val="16"/>
                <w:b w:val="1"/>
                <w:bCs w:val="1"/>
                <w:color w:val="auto"/>
                <w:w w:val="97"/>
              </w:rPr>
              <w:t>As</w:t>
            </w:r>
          </w:p>
        </w:tc>
        <w:tc>
          <w:tcPr>
            <w:tcW w:w="100" w:type="dxa"/>
            <w:vAlign w:val="bottom"/>
          </w:tcPr>
          <w:p>
            <w:pPr>
              <w:spacing w:after="0"/>
              <w:rPr>
                <w:sz w:val="15"/>
                <w:szCs w:val="15"/>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Non-GAAP Financial Measurements</w:t>
            </w:r>
          </w:p>
        </w:tc>
        <w:tc>
          <w:tcPr>
            <w:tcW w:w="13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As Reported</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Corrections</w:t>
            </w:r>
          </w:p>
        </w:tc>
        <w:tc>
          <w:tcPr>
            <w:tcW w:w="13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As Adjusted</w:t>
            </w: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Reported</w:t>
            </w:r>
          </w:p>
        </w:tc>
        <w:tc>
          <w:tcPr>
            <w:tcW w:w="16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ons</w:t>
            </w:r>
          </w:p>
        </w:tc>
        <w:tc>
          <w:tcPr>
            <w:tcW w:w="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Adjusted</w:t>
            </w:r>
          </w:p>
        </w:tc>
      </w:tr>
      <w:tr>
        <w:trPr>
          <w:trHeight w:val="209"/>
        </w:trPr>
        <w:tc>
          <w:tcPr>
            <w:tcW w:w="4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(14,249 )</w:t>
            </w:r>
          </w:p>
        </w:tc>
        <w:tc>
          <w:tcPr>
            <w:tcW w:w="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(1,390 )</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(15,639 )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(41,765 )</w:t>
            </w: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 (3,034 )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(44,799 )</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Non-GAAP net loss</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(13,729 )</w:t>
            </w: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(1,390 )</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(15,119 )</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(40,097 )</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(3,034 )</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(43,131 )</w:t>
            </w:r>
          </w:p>
        </w:tc>
      </w:tr>
      <w:tr>
        <w:trPr>
          <w:trHeight w:val="189"/>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Non-GAAP net loss EPS, basic and diluted, of Class A and</w:t>
            </w: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Class B common stock</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(0.29 )</w:t>
            </w: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(0.03 )</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(0.32 )</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(0.85 )</w:t>
            </w: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(0.06 )</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(0.91 )</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Xometry Appoints James Miln as New Chief Financial Ofcer</w:t>
      </w:r>
    </w:p>
    <w:p>
      <w:pPr>
        <w:spacing w:after="0" w:line="25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Brings Proven Track Record Of Extensive Operatonal Excellence</w:t>
      </w:r>
    </w:p>
    <w:p>
      <w:pPr>
        <w:spacing w:after="0" w:line="1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Will Help Drive Xometry’s Contnued Growth And Proftability</w:t>
      </w:r>
    </w:p>
    <w:p>
      <w:pPr>
        <w:spacing w:after="0" w:line="1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Succeeds Retring CFO Jim Rallo, Who Will Stay On For A 60-Day Transiton Period</w:t>
      </w:r>
    </w:p>
    <w:p>
      <w:pPr>
        <w:spacing w:after="0" w:line="251"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20"/>
          <w:szCs w:val="20"/>
          <w:b w:val="1"/>
          <w:bCs w:val="1"/>
          <w:color w:val="auto"/>
        </w:rPr>
        <w:t xml:space="preserve">NORTH BETHESDA, Md., February 29, 2024 – </w:t>
      </w:r>
      <w:r>
        <w:rPr>
          <w:rFonts w:ascii="Calibri" w:cs="Calibri" w:eastAsia="Calibri" w:hAnsi="Calibri"/>
          <w:sz w:val="20"/>
          <w:szCs w:val="20"/>
          <w:color w:val="auto"/>
        </w:rPr>
        <w:t>Xometry, Inc. (NASDAQ:XMTR), the global AI-powered marketplace connectng enterprise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buyers with suppliers of manufacturing services, today announced the appointment of James Miln as the company’s new Chief Financial Ofcer efectve March 1, 2024.</w:t>
      </w:r>
    </w:p>
    <w:p>
      <w:pPr>
        <w:spacing w:after="0" w:line="254"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A veteran of big-name tech and consumer brands, Miln brings considerable fnancial planning, operatonal and investor relatons expertse to Xometry. He joins from Yelp (NYSE: YELP), where, as Senior Vice President of Finance and Investor Relatons, he helped steer the company through a period of strong, product-driven growth, including the introducton of new AI-powered search experiences. Miln succeeds retring CFO Jim Rallo, who will remain as an advisor with Xometry through April. Rallo will work closely with Miln and the rest of the leadership team to ensure a smooth transiton.</w:t>
      </w:r>
    </w:p>
    <w:p>
      <w:pPr>
        <w:spacing w:after="0" w:line="256" w:lineRule="exact"/>
        <w:rPr>
          <w:sz w:val="20"/>
          <w:szCs w:val="20"/>
          <w:color w:val="auto"/>
        </w:rPr>
      </w:pPr>
    </w:p>
    <w:p>
      <w:pPr>
        <w:jc w:val="both"/>
        <w:ind w:right="180"/>
        <w:spacing w:after="0" w:line="235" w:lineRule="auto"/>
        <w:rPr>
          <w:sz w:val="20"/>
          <w:szCs w:val="20"/>
          <w:color w:val="auto"/>
        </w:rPr>
      </w:pPr>
      <w:r>
        <w:rPr>
          <w:rFonts w:ascii="Calibri" w:cs="Calibri" w:eastAsia="Calibri" w:hAnsi="Calibri"/>
          <w:sz w:val="20"/>
          <w:szCs w:val="20"/>
          <w:color w:val="auto"/>
        </w:rPr>
        <w:t>“James’ signifcant experience across marketplaces, search and advertsing will help us capitalize on our leadership positon in digitzing manufacturing,” said Randy Altschuler, Chief Executve Ofcer of Xometry. “He brings extensive operatonal excellence to Xometry and will help us drive to our long-term operatng margin targets.”</w:t>
      </w:r>
    </w:p>
    <w:p>
      <w:pPr>
        <w:spacing w:after="0" w:line="254"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“With its leading marketplace, Thomasnet industrial sourcing platorm and suite of cloud-based services, Xometry stands out for its comprehensive approach to driving the rapid digital transformaton of manufacturing,” Miln said. “I look forward to working closely with Randy and the rest of the Xometry team to further build on the company’s momentum and help Xometry realize additonal operatng leverage and efciency as it contnues its rapid growth.”</w:t>
      </w:r>
    </w:p>
    <w:p>
      <w:pPr>
        <w:spacing w:after="0" w:line="253" w:lineRule="exact"/>
        <w:rPr>
          <w:sz w:val="20"/>
          <w:szCs w:val="20"/>
          <w:color w:val="auto"/>
        </w:rPr>
      </w:pPr>
    </w:p>
    <w:p>
      <w:pPr>
        <w:ind w:right="100"/>
        <w:spacing w:after="0" w:line="236" w:lineRule="auto"/>
        <w:rPr>
          <w:sz w:val="20"/>
          <w:szCs w:val="20"/>
          <w:color w:val="auto"/>
        </w:rPr>
      </w:pPr>
      <w:r>
        <w:rPr>
          <w:rFonts w:ascii="Calibri" w:cs="Calibri" w:eastAsia="Calibri" w:hAnsi="Calibri"/>
          <w:sz w:val="20"/>
          <w:szCs w:val="20"/>
          <w:color w:val="auto"/>
        </w:rPr>
        <w:t>Throughout his career, Miln has served as a trusted business partner to leaders at all levels of an organizaton, using data to inform decision-making to drive growth and operatonal efciencies. While at Yelp, Miln led fnancial planning and analysis and investor relatons, as the company invested in new products and ultmately reached new revenue records. Miln previously held key roles at eBay, Yahoo! and Unilever and has also led global teams in Europe for Yahoo! and Unilever.</w:t>
      </w:r>
    </w:p>
    <w:p>
      <w:pPr>
        <w:spacing w:after="0" w:line="253"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Miln is a Chartered Management Accountant (ACMA, CGMA). He holds the Investor Relatons Charter (IRC) and earned a B.A. in Classics from Cambridge University, England.</w:t>
      </w:r>
    </w:p>
    <w:p>
      <w:pPr>
        <w:spacing w:after="0" w:line="252" w:lineRule="exact"/>
        <w:rPr>
          <w:sz w:val="20"/>
          <w:szCs w:val="20"/>
          <w:color w:val="auto"/>
        </w:rPr>
      </w:pPr>
    </w:p>
    <w:p>
      <w:pPr>
        <w:ind w:right="100"/>
        <w:spacing w:after="0" w:line="234" w:lineRule="auto"/>
        <w:rPr>
          <w:sz w:val="20"/>
          <w:szCs w:val="20"/>
          <w:color w:val="auto"/>
        </w:rPr>
      </w:pPr>
      <w:r>
        <w:rPr>
          <w:rFonts w:ascii="Calibri" w:cs="Calibri" w:eastAsia="Calibri" w:hAnsi="Calibri"/>
          <w:sz w:val="20"/>
          <w:szCs w:val="20"/>
          <w:color w:val="auto"/>
        </w:rPr>
        <w:t>Jim Rallo, who has served as Xometry’s CFO since April 2020, led its public ofering on the NASDAQ stock exchange. “All of us at Xometry thank Jim Rallo for his eforts to help scale our marketplace,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0" w:name="page21"/>
    <w:bookmarkEnd w:id="20"/>
    <w:p>
      <w:pPr>
        <w:spacing w:after="0"/>
        <w:rPr>
          <w:sz w:val="20"/>
          <w:szCs w:val="20"/>
          <w:color w:val="auto"/>
        </w:rPr>
      </w:pPr>
      <w:r>
        <w:rPr>
          <w:rFonts w:ascii="Calibri" w:cs="Calibri" w:eastAsia="Calibri" w:hAnsi="Calibri"/>
          <w:sz w:val="20"/>
          <w:szCs w:val="20"/>
          <w:color w:val="auto"/>
        </w:rPr>
        <w:t>globally and lead the transiton to a public company, and we wish him the best in his retrement,” Altschuler said.</w:t>
      </w:r>
    </w:p>
    <w:p>
      <w:pPr>
        <w:spacing w:after="0" w:line="251" w:lineRule="exact"/>
        <w:rPr>
          <w:sz w:val="20"/>
          <w:szCs w:val="20"/>
          <w:color w:val="auto"/>
        </w:rPr>
      </w:pPr>
    </w:p>
    <w:p>
      <w:pPr>
        <w:ind w:right="300"/>
        <w:spacing w:after="0" w:line="236" w:lineRule="auto"/>
        <w:rPr>
          <w:sz w:val="20"/>
          <w:szCs w:val="20"/>
          <w:color w:val="auto"/>
        </w:rPr>
      </w:pPr>
      <w:r>
        <w:rPr>
          <w:rFonts w:ascii="Calibri" w:cs="Calibri" w:eastAsia="Calibri" w:hAnsi="Calibri"/>
          <w:sz w:val="20"/>
          <w:szCs w:val="20"/>
          <w:color w:val="092C47"/>
        </w:rPr>
        <w:t xml:space="preserve">Xometry’s two-sided marketplace plays a vital role in the rapid digital transformaton of the manufacturing industry. Xometry’s proprietary technology shortens development cycles, drives efciencies within corporate environments and helps companies create resilient supply chains. Xometry’s product portolio includes: its industry leading digital marketplace; popular </w:t>
      </w:r>
      <w:r>
        <w:rPr>
          <w:rFonts w:ascii="Calibri" w:cs="Calibri" w:eastAsia="Calibri" w:hAnsi="Calibri"/>
          <w:sz w:val="20"/>
          <w:szCs w:val="20"/>
          <w:color w:val="000000"/>
        </w:rPr>
        <w:t>Thomasnet®</w:t>
      </w:r>
      <w:r>
        <w:rPr>
          <w:rFonts w:ascii="Calibri" w:cs="Calibri" w:eastAsia="Calibri" w:hAnsi="Calibri"/>
          <w:sz w:val="20"/>
          <w:szCs w:val="20"/>
          <w:color w:val="092C47"/>
        </w:rPr>
        <w:t xml:space="preserve"> industrial sourcing platorm, and cloud-based tools, including </w:t>
      </w:r>
      <w:r>
        <w:rPr>
          <w:rFonts w:ascii="Calibri" w:cs="Calibri" w:eastAsia="Calibri" w:hAnsi="Calibri"/>
          <w:sz w:val="20"/>
          <w:szCs w:val="20"/>
          <w:color w:val="000000"/>
        </w:rPr>
        <w:t>Xometry Teamspace</w:t>
      </w:r>
      <w:r>
        <w:rPr>
          <w:rFonts w:ascii="Calibri" w:cs="Calibri" w:eastAsia="Calibri" w:hAnsi="Calibri"/>
          <w:sz w:val="20"/>
          <w:szCs w:val="20"/>
          <w:color w:val="092C47"/>
        </w:rPr>
        <w:t>, centralized project management sofware for large, mission-critcal projects.</w:t>
      </w:r>
    </w:p>
    <w:p>
      <w:pPr>
        <w:spacing w:after="0" w:line="2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Xometry</w:t>
      </w:r>
    </w:p>
    <w:p>
      <w:pPr>
        <w:spacing w:after="0" w:line="8"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Xometry’s (NASDAQ:XMTR) AI-powered marketplace, popular Thomasnet® industrial sourcing platorm and suite of cloud-based services are rapidly digitzing the $2 trillion manufacturing industry. Xometry provides manufacturers the critcal resources they need to grow their business and makes it easy for buyers to create locally resilient supply chains. The Xometry Instant Quotng Engine® leverages millions of pieces of data to analyze complex parts in real-tme, matches buyers with the right suppliers globally, and provides accurate pricing and lead tmes. Learn more at www.xometry.com or follow @xometry.</w:t>
      </w:r>
    </w:p>
    <w:p>
      <w:pPr>
        <w:spacing w:after="0" w:line="2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Contact:</w:t>
      </w:r>
    </w:p>
    <w:p>
      <w:pPr>
        <w:spacing w:after="0" w:line="238" w:lineRule="auto"/>
        <w:rPr>
          <w:sz w:val="20"/>
          <w:szCs w:val="20"/>
          <w:color w:val="auto"/>
        </w:rPr>
      </w:pPr>
      <w:r>
        <w:rPr>
          <w:rFonts w:ascii="Calibri" w:cs="Calibri" w:eastAsia="Calibri" w:hAnsi="Calibri"/>
          <w:sz w:val="20"/>
          <w:szCs w:val="20"/>
          <w:color w:val="auto"/>
        </w:rPr>
        <w:t>Shawn Milne</w:t>
      </w:r>
    </w:p>
    <w:p>
      <w:pPr>
        <w:spacing w:after="0"/>
        <w:rPr>
          <w:sz w:val="20"/>
          <w:szCs w:val="20"/>
          <w:color w:val="auto"/>
        </w:rPr>
      </w:pPr>
      <w:r>
        <w:rPr>
          <w:rFonts w:ascii="Calibri" w:cs="Calibri" w:eastAsia="Calibri" w:hAnsi="Calibri"/>
          <w:sz w:val="20"/>
          <w:szCs w:val="20"/>
          <w:color w:val="auto"/>
        </w:rPr>
        <w:t>VP, Investor Relatons</w:t>
      </w:r>
    </w:p>
    <w:p>
      <w:pPr>
        <w:spacing w:after="0" w:line="237" w:lineRule="auto"/>
        <w:rPr>
          <w:sz w:val="20"/>
          <w:szCs w:val="20"/>
          <w:color w:val="auto"/>
        </w:rPr>
      </w:pPr>
      <w:r>
        <w:rPr>
          <w:rFonts w:ascii="Calibri" w:cs="Calibri" w:eastAsia="Calibri" w:hAnsi="Calibri"/>
          <w:sz w:val="20"/>
          <w:szCs w:val="20"/>
          <w:color w:val="auto"/>
        </w:rPr>
        <w:t>240-335-8132</w:t>
      </w:r>
    </w:p>
    <w:p>
      <w:pPr>
        <w:spacing w:after="0"/>
        <w:rPr>
          <w:sz w:val="20"/>
          <w:szCs w:val="20"/>
          <w:color w:val="auto"/>
        </w:rPr>
      </w:pPr>
      <w:r>
        <w:rPr>
          <w:rFonts w:ascii="Calibri" w:cs="Calibri" w:eastAsia="Calibri" w:hAnsi="Calibri"/>
          <w:sz w:val="20"/>
          <w:szCs w:val="20"/>
          <w:color w:val="0000FF"/>
        </w:rPr>
        <w:t>Shawn.Milne@xometry.com</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238" w:lineRule="auto"/>
        <w:rPr>
          <w:sz w:val="20"/>
          <w:szCs w:val="20"/>
          <w:color w:val="auto"/>
        </w:rPr>
      </w:pPr>
      <w:r>
        <w:rPr>
          <w:rFonts w:ascii="Calibri" w:cs="Calibri" w:eastAsia="Calibri" w:hAnsi="Calibri"/>
          <w:sz w:val="20"/>
          <w:szCs w:val="20"/>
          <w:color w:val="auto"/>
        </w:rPr>
        <w:t>Mathew Hutchison</w:t>
      </w:r>
    </w:p>
    <w:p>
      <w:pPr>
        <w:spacing w:after="0"/>
        <w:rPr>
          <w:sz w:val="20"/>
          <w:szCs w:val="20"/>
          <w:color w:val="auto"/>
        </w:rPr>
      </w:pPr>
      <w:r>
        <w:rPr>
          <w:rFonts w:ascii="Calibri" w:cs="Calibri" w:eastAsia="Calibri" w:hAnsi="Calibri"/>
          <w:sz w:val="20"/>
          <w:szCs w:val="20"/>
          <w:color w:val="auto"/>
        </w:rPr>
        <w:t>VP, Global Corporate Communicatons</w:t>
      </w:r>
    </w:p>
    <w:p>
      <w:pPr>
        <w:spacing w:after="0" w:line="237" w:lineRule="auto"/>
        <w:rPr>
          <w:sz w:val="20"/>
          <w:szCs w:val="20"/>
          <w:color w:val="auto"/>
        </w:rPr>
      </w:pPr>
      <w:r>
        <w:rPr>
          <w:rFonts w:ascii="Calibri" w:cs="Calibri" w:eastAsia="Calibri" w:hAnsi="Calibri"/>
          <w:sz w:val="20"/>
          <w:szCs w:val="20"/>
          <w:color w:val="0000FF"/>
        </w:rPr>
        <w:t>Mathew.Hutchison@xometry.com</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Calibri" w:cs="Calibri" w:eastAsia="Calibri" w:hAnsi="Calibri"/>
          <w:sz w:val="20"/>
          <w:szCs w:val="20"/>
          <w:i w:val="1"/>
          <w:i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2024-02-29T06:27:35Z</dcterms:created>
  <dcterms:modified xsi:type="dcterms:W3CDTF">2024-02-29T06:27:35Z</dcterms:modified>
</cp:coreProperties>
</file>