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-220980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16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1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5184775</wp:posOffset>
            </wp:positionH>
            <wp:positionV relativeFrom="paragraph">
              <wp:posOffset>-593725</wp:posOffset>
            </wp:positionV>
            <wp:extent cx="56515" cy="60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3896360</wp:posOffset>
            </wp:positionH>
            <wp:positionV relativeFrom="paragraph">
              <wp:posOffset>-593725</wp:posOffset>
            </wp:positionV>
            <wp:extent cx="56515" cy="6070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-1727835</wp:posOffset>
            </wp:positionH>
            <wp:positionV relativeFrom="paragraph">
              <wp:posOffset>16510</wp:posOffset>
            </wp:positionV>
            <wp:extent cx="7000875" cy="945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945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280"/>
          </w:cols>
          <w:pgMar w:left="460" w:top="218" w:right="459" w:bottom="59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Altschuler Randolph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7529 STANDISH PLACE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XMTR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07/02/2021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80"/>
        <w:spacing w:after="0" w:line="248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Executive Officer</w:t>
      </w:r>
    </w:p>
    <w:p>
      <w:pPr>
        <w:spacing w:after="0" w:line="5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260"/>
          </w:cols>
          <w:pgMar w:left="460" w:top="218" w:right="459" w:bottom="592" w:gutter="0" w:footer="0" w:header="0"/>
          <w:type w:val="continuous"/>
        </w:sectPr>
      </w:pPr>
    </w:p>
    <w:p>
      <w:pPr>
        <w:spacing w:after="0" w:line="7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DERWOOD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6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20855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3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146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1,068,003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1,068,003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1,068,003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407,308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0.00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1,475,311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1,475,311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jc w:val="center"/>
              <w:ind w:left="1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105,000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the 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Tigers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jc w:val="center"/>
              <w:ind w:left="1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105,000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105,000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the 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Tigers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Matthew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8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1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347,222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Sladkin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Altschuler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Matthew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8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1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347,222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347,222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Sladkin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Altschuler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the Noah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jc w:val="center"/>
              <w:ind w:left="1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347,222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Sladkin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Altschuler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the Noah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jc w:val="center"/>
              <w:ind w:left="1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347,222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347,222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Sladkin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Altschuler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the Sasha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jc w:val="center"/>
              <w:ind w:left="1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347,222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Sladkin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Altschuler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80"/>
          </w:cols>
          <w:pgMar w:left="460" w:top="218" w:right="459" w:bottom="592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278130</wp:posOffset>
            </wp:positionH>
            <wp:positionV relativeFrom="page">
              <wp:posOffset>88900</wp:posOffset>
            </wp:positionV>
            <wp:extent cx="7000875" cy="10231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1023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ind w:right="619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the Sasha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347,222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347,222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Sladkin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Altschuler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0"/>
              </w:rPr>
              <w:t>the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500,000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Altschuler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(2020)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0"/>
              </w:rPr>
              <w:t>the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500,000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500,000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Altschuler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(2020)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386,667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386,667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386,667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344,476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0.00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731,146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9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5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39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599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39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60" w:type="dxa"/>
            <w:vAlign w:val="bottom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1.65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9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99,869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01/29/2028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99,869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6"/>
              </w:rPr>
              <w:t>Stock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9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1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99,869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1.65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99,869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01/29/2028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99,869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9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60" w:type="dxa"/>
            <w:vAlign w:val="bottom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3.65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9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231,974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08/07/2029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231,974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6"/>
              </w:rPr>
              <w:t>Stock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9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1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231,974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3.65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231,974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08/07/2029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231,974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9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60" w:type="dxa"/>
            <w:vAlign w:val="bottom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12.32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9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142,275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03/27/2031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142,275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6"/>
              </w:rPr>
              <w:t>Stock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9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1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142,275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12.32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142,275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03/27/2031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142,275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9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Seed-1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325,000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6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9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Seed-1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325,000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6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9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Seed-2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51,095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51,095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6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9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Series A-1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31,213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31,213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left="26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9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Series A-1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19,476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19,476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6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9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(7)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(7)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1,475,311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1,475,311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1,475,311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9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-5955030</wp:posOffset>
            </wp:positionV>
            <wp:extent cx="27940" cy="59607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5960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Immediately prior to the closing of the Issuer's initial public offering, each share of Common Stock was reclassified into one share of Class A Common Stock in an exempt transaction pursuant to Rule 16b-7.</w:t>
      </w:r>
    </w:p>
    <w:p>
      <w:pPr>
        <w:sectPr>
          <w:pgSz w:w="11900" w:h="16838" w:orient="portrait"/>
          <w:cols w:equalWidth="0" w:num="1">
            <w:col w:w="11080"/>
          </w:cols>
          <w:pgMar w:left="460" w:top="183" w:right="359" w:bottom="0" w:gutter="0" w:footer="0" w:header="0"/>
        </w:sectPr>
      </w:pPr>
    </w:p>
    <w:bookmarkStart w:id="2" w:name="page3"/>
    <w:bookmarkEnd w:id="2"/>
    <w:p>
      <w:pPr>
        <w:ind w:left="6" w:right="180" w:hanging="6"/>
        <w:spacing w:after="0" w:line="263" w:lineRule="auto"/>
        <w:tabs>
          <w:tab w:leader="none" w:pos="12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share of Series Seed-1 Preferred Stock, Series Seed-2 Preferred Stock, and Series A-1 Preferred Stock automatically converted, without payment of additional consideration, into Class A Common Stock on a 1:1 basis immediately prior to the closing of the Issuer's initial public offering and had no expiration date.</w:t>
      </w:r>
    </w:p>
    <w:p>
      <w:pPr>
        <w:spacing w:after="0" w:line="1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6" w:hanging="6"/>
        <w:spacing w:after="0" w:line="263" w:lineRule="auto"/>
        <w:tabs>
          <w:tab w:leader="none" w:pos="12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Immediately prior to the completion of the Issuer's initial public offering of Class A Common stock, the shares of the Issuer's Class A Common Stock held by the Reporting Person were exchanged at a 1:1 ratio for shares of the Issuer's Class B Common Stock pursuant to an exchange agreement between the Issuer and Reporting Person, as previously approved by the Issuer's board of directors.</w:t>
      </w:r>
    </w:p>
    <w:p>
      <w:pPr>
        <w:spacing w:after="0" w:line="1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26" w:hanging="126"/>
        <w:spacing w:after="0"/>
        <w:tabs>
          <w:tab w:leader="none" w:pos="12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vested on January 1, 2019, and thereafter, the remainder of the shares vest in 36 equal monthly installments, subject to the Reporting Person's continuous service.</w:t>
      </w:r>
    </w:p>
    <w:p>
      <w:pPr>
        <w:spacing w:after="0" w:line="4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26" w:hanging="126"/>
        <w:spacing w:after="0"/>
        <w:tabs>
          <w:tab w:leader="none" w:pos="12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vested on May 2, 2020, and thereafter, the remainder of the shares vest in 36 equal monthly installments, subject to the Reporting Person's continuous service.</w:t>
      </w:r>
    </w:p>
    <w:p>
      <w:pPr>
        <w:spacing w:after="0" w:line="4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26" w:hanging="126"/>
        <w:spacing w:after="0"/>
        <w:tabs>
          <w:tab w:leader="none" w:pos="12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shall vest on January 1, 2022, and thereafter, the remainder of the shares shall vest in 36 equal monthly installments, subject to the Reporting Person's continuous service.</w:t>
      </w:r>
    </w:p>
    <w:p>
      <w:pPr>
        <w:spacing w:after="0" w:line="4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6" w:right="100" w:hanging="6"/>
        <w:spacing w:after="0" w:line="243" w:lineRule="auto"/>
        <w:tabs>
          <w:tab w:leader="none" w:pos="12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share of Class B Common Stock is convertible at any time at the option of the Reporting Person into one share of Class A Common Stock. Each share of Class B Common Stock will convert automatically into shares of Class A common stock, on a one-to-one basis, upon the following: (1) sale or transfer of such share of Class B common stock; (2) the death or incapacity of the Reporting Person; (3) the Reporting Person's departure from the Issuer's board of directors; and (4) on the final conversion date, defined as the earlier of (a) the seventh anniversary of the Issuer's IPO; or (b) the date specified by vote of the holders of a majority of the outstanding shares of Class B common stock.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93" w:lineRule="exact"/>
        <w:rPr>
          <w:sz w:val="20"/>
          <w:szCs w:val="20"/>
          <w:color w:val="auto"/>
        </w:rPr>
      </w:pPr>
    </w:p>
    <w:tbl>
      <w:tblPr>
        <w:tblLayout w:type="fixed"/>
        <w:tblInd w:w="656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/s/ Dorothy Vinsky,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07/07/2021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Fact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6" w:right="3840" w:hanging="6"/>
        <w:spacing w:after="0" w:line="317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6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6"/>
      </w:cols>
      <w:pgMar w:left="494" w:top="131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6981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2021-07-07T18:02:33Z</dcterms:created>
  <dcterms:modified xsi:type="dcterms:W3CDTF">2021-07-07T18:02:33Z</dcterms:modified>
</cp:coreProperties>
</file>