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160655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09,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222885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Xometry, Inc.</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247015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304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001-40546</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32-0415449</w:t>
            </w:r>
          </w:p>
        </w:tc>
      </w:tr>
      <w:tr>
        <w:trPr>
          <w:trHeight w:val="149"/>
        </w:trPr>
        <w:tc>
          <w:tcPr>
            <w:tcW w:w="3040" w:type="dxa"/>
            <w:vAlign w:val="bottom"/>
          </w:tcPr>
          <w:p>
            <w:pPr>
              <w:jc w:val="center"/>
              <w:ind w:right="601"/>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41"/>
              <w:spacing w:after="0"/>
              <w:rPr>
                <w:sz w:val="20"/>
                <w:szCs w:val="20"/>
                <w:color w:val="auto"/>
              </w:rPr>
            </w:pPr>
            <w:r>
              <w:rPr>
                <w:rFonts w:ascii="Arial" w:cs="Arial" w:eastAsia="Arial" w:hAnsi="Arial"/>
                <w:sz w:val="13"/>
                <w:szCs w:val="13"/>
                <w:b w:val="1"/>
                <w:bCs w:val="1"/>
                <w:color w:val="auto"/>
                <w:w w:val="94"/>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40" w:type="dxa"/>
            <w:vAlign w:val="bottom"/>
          </w:tcPr>
          <w:p>
            <w:pPr>
              <w:jc w:val="center"/>
              <w:ind w:right="601"/>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4"/>
              </w:rPr>
              <w:t>Identification No.)</w:t>
            </w:r>
          </w:p>
        </w:tc>
      </w:tr>
      <w:tr>
        <w:trPr>
          <w:trHeight w:val="441"/>
        </w:trPr>
        <w:tc>
          <w:tcPr>
            <w:tcW w:w="3040" w:type="dxa"/>
            <w:vAlign w:val="bottom"/>
          </w:tcPr>
          <w:p>
            <w:pPr>
              <w:jc w:val="center"/>
              <w:ind w:right="601"/>
              <w:spacing w:after="0"/>
              <w:rPr>
                <w:sz w:val="20"/>
                <w:szCs w:val="20"/>
                <w:color w:val="auto"/>
              </w:rPr>
            </w:pPr>
            <w:r>
              <w:rPr>
                <w:rFonts w:ascii="Arial" w:cs="Arial" w:eastAsia="Arial" w:hAnsi="Arial"/>
                <w:sz w:val="18"/>
                <w:szCs w:val="18"/>
                <w:b w:val="1"/>
                <w:bCs w:val="1"/>
                <w:color w:val="auto"/>
                <w:w w:val="90"/>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040" w:type="dxa"/>
            <w:vAlign w:val="bottom"/>
          </w:tcPr>
          <w:p>
            <w:pPr>
              <w:jc w:val="center"/>
              <w:ind w:right="601"/>
              <w:spacing w:after="0"/>
              <w:rPr>
                <w:sz w:val="20"/>
                <w:szCs w:val="20"/>
                <w:color w:val="auto"/>
              </w:rPr>
            </w:pPr>
            <w:r>
              <w:rPr>
                <w:rFonts w:ascii="Arial" w:cs="Arial" w:eastAsia="Arial" w:hAnsi="Arial"/>
                <w:sz w:val="18"/>
                <w:szCs w:val="18"/>
                <w:b w:val="1"/>
                <w:bCs w:val="1"/>
                <w:color w:val="auto"/>
                <w:w w:val="93"/>
              </w:rPr>
              <w:t>North Bethesda, Maryland</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20852</w:t>
            </w:r>
          </w:p>
        </w:tc>
      </w:tr>
      <w:tr>
        <w:trPr>
          <w:trHeight w:val="175"/>
        </w:trPr>
        <w:tc>
          <w:tcPr>
            <w:tcW w:w="3040" w:type="dxa"/>
            <w:vAlign w:val="bottom"/>
          </w:tcPr>
          <w:p>
            <w:pPr>
              <w:jc w:val="center"/>
              <w:ind w:right="6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(240) 252-1138</w:t>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255905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5" w:lineRule="exact"/>
        <w:rPr>
          <w:sz w:val="24"/>
          <w:szCs w:val="24"/>
          <w:color w:val="auto"/>
        </w:rPr>
      </w:pPr>
    </w:p>
    <w:p>
      <w:pPr>
        <w:ind w:right="18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3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November 9, 2023, Xometry, Inc. issued a press release announcing its financial results for the quarterly period ended September 30, 2023. A copy of the press release is furnished as Exhibit 99.1 to this report.</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w w:val="96"/>
              </w:rPr>
              <w:t>Item 9.01 Financial Statements and Exhibits.</w:t>
            </w:r>
          </w:p>
        </w:tc>
        <w:tc>
          <w:tcPr>
            <w:tcW w:w="2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23"/>
        </w:trPr>
        <w:tc>
          <w:tcPr>
            <w:tcW w:w="180" w:type="dxa"/>
            <w:vAlign w:val="bottom"/>
          </w:tcPr>
          <w:p>
            <w:pPr>
              <w:spacing w:after="0"/>
              <w:rPr>
                <w:sz w:val="24"/>
                <w:szCs w:val="24"/>
                <w:color w:val="auto"/>
              </w:rPr>
            </w:pPr>
          </w:p>
        </w:tc>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75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80" w:type="dxa"/>
            <w:vAlign w:val="bottom"/>
          </w:tcPr>
          <w:p>
            <w:pPr>
              <w:spacing w:after="0"/>
              <w:rPr>
                <w:sz w:val="16"/>
                <w:szCs w:val="16"/>
                <w:color w:val="auto"/>
              </w:rPr>
            </w:pPr>
          </w:p>
        </w:tc>
        <w:tc>
          <w:tcPr>
            <w:tcW w:w="3500" w:type="dxa"/>
            <w:vAlign w:val="bottom"/>
            <w:gridSpan w:val="2"/>
          </w:tcPr>
          <w:p>
            <w:pPr>
              <w:ind w:left="20"/>
              <w:spacing w:after="0" w:line="189" w:lineRule="exact"/>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7560" w:type="dxa"/>
            <w:vAlign w:val="bottom"/>
            <w:gridSpan w:val="3"/>
          </w:tcPr>
          <w:p>
            <w:pPr>
              <w:ind w:left="220"/>
              <w:spacing w:after="0" w:line="189" w:lineRule="exact"/>
              <w:rPr>
                <w:sz w:val="20"/>
                <w:szCs w:val="20"/>
                <w:color w:val="auto"/>
              </w:rPr>
            </w:pPr>
            <w:r>
              <w:rPr>
                <w:rFonts w:ascii="Arial" w:cs="Arial" w:eastAsia="Arial" w:hAnsi="Arial"/>
                <w:sz w:val="18"/>
                <w:szCs w:val="18"/>
                <w:color w:val="0000FF"/>
              </w:rPr>
              <w:t>Press Release of Xometry, Inc. issued on November 9, 2023.</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w w:val="93"/>
              </w:rPr>
              <w:t>104</w:t>
            </w:r>
          </w:p>
        </w:tc>
        <w:tc>
          <w:tcPr>
            <w:tcW w:w="3180" w:type="dxa"/>
            <w:vAlign w:val="bottom"/>
          </w:tcPr>
          <w:p>
            <w:pPr>
              <w:spacing w:after="0"/>
              <w:rPr>
                <w:sz w:val="21"/>
                <w:szCs w:val="21"/>
                <w:color w:val="auto"/>
              </w:rPr>
            </w:pPr>
          </w:p>
        </w:tc>
        <w:tc>
          <w:tcPr>
            <w:tcW w:w="7560" w:type="dxa"/>
            <w:vAlign w:val="bottom"/>
            <w:gridSpan w:val="3"/>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0"/>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XOMETRY, INC.</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80" w:val="left"/>
          <w:tab w:leader="none" w:pos="5620" w:val="left"/>
          <w:tab w:leader="none" w:pos="6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23495</wp:posOffset>
            </wp:positionV>
            <wp:extent cx="327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Third Quarter 2023 Results</w:t>
      </w:r>
    </w:p>
    <w:p>
      <w:pPr>
        <w:spacing w:after="0" w:line="201" w:lineRule="exact"/>
        <w:rPr>
          <w:sz w:val="20"/>
          <w:szCs w:val="20"/>
          <w:color w:val="auto"/>
        </w:rPr>
      </w:pPr>
    </w:p>
    <w:p>
      <w:pPr>
        <w:ind w:left="1020" w:right="180" w:hanging="504"/>
        <w:spacing w:after="0" w:line="237"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Q3 revenue increased 15% year-over-year driven by strong marketplace growth of 22% year-over-year and 10% quarter-over-quarter. Supplier services revenue decreased 16% year-over-year primarily due to the $2 million year-over-year impact from the discontinuation of the sale of tools and materials.</w:t>
      </w:r>
    </w:p>
    <w:p>
      <w:pPr>
        <w:spacing w:after="0" w:line="73" w:lineRule="exact"/>
        <w:rPr>
          <w:rFonts w:ascii="Arial" w:cs="Arial" w:eastAsia="Arial" w:hAnsi="Arial"/>
          <w:sz w:val="20"/>
          <w:szCs w:val="20"/>
          <w:color w:val="auto"/>
        </w:rPr>
      </w:pPr>
    </w:p>
    <w:p>
      <w:pPr>
        <w:ind w:left="1020" w:right="380" w:hanging="504"/>
        <w:spacing w:after="0" w:line="246"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Q3 gross profit increased 13% year-over-year driven by 25% growth in marketplace gross profit. Q3 marketplace gross margin increased 70 basis points year-over-year to 31.1%.</w:t>
      </w:r>
    </w:p>
    <w:p>
      <w:pPr>
        <w:spacing w:after="0" w:line="73" w:lineRule="exact"/>
        <w:rPr>
          <w:rFonts w:ascii="Arial" w:cs="Arial" w:eastAsia="Arial" w:hAnsi="Arial"/>
          <w:sz w:val="20"/>
          <w:szCs w:val="20"/>
          <w:color w:val="auto"/>
        </w:rPr>
      </w:pPr>
    </w:p>
    <w:p>
      <w:pPr>
        <w:ind w:left="1020" w:right="500" w:hanging="504"/>
        <w:spacing w:after="0" w:line="262" w:lineRule="auto"/>
        <w:tabs>
          <w:tab w:leader="none" w:pos="1020" w:val="left"/>
        </w:tabs>
        <w:numPr>
          <w:ilvl w:val="0"/>
          <w:numId w:val="2"/>
        </w:numPr>
        <w:rPr>
          <w:rFonts w:ascii="Arial" w:cs="Arial" w:eastAsia="Arial" w:hAnsi="Arial"/>
          <w:sz w:val="21"/>
          <w:szCs w:val="21"/>
          <w:color w:val="auto"/>
        </w:rPr>
      </w:pPr>
      <w:r>
        <w:rPr>
          <w:rFonts w:ascii="Arial" w:cs="Arial" w:eastAsia="Arial" w:hAnsi="Arial"/>
          <w:sz w:val="21"/>
          <w:szCs w:val="21"/>
          <w:color w:val="auto"/>
        </w:rPr>
        <w:t>Q3 Adjusted EBITDA loss of $4.2 million, a $4.4 million quarter-over-quarter improvement driven by higher revenue, gross profit, operating efficiencies and further expense savings.</w:t>
      </w:r>
    </w:p>
    <w:p>
      <w:pPr>
        <w:spacing w:after="0" w:line="60" w:lineRule="exact"/>
        <w:rPr>
          <w:rFonts w:ascii="Arial" w:cs="Arial" w:eastAsia="Arial" w:hAnsi="Arial"/>
          <w:sz w:val="21"/>
          <w:szCs w:val="21"/>
          <w:color w:val="auto"/>
        </w:rPr>
      </w:pPr>
    </w:p>
    <w:p>
      <w:pPr>
        <w:ind w:left="1020" w:right="600" w:hanging="504"/>
        <w:spacing w:after="0" w:line="246"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Expect Q4 revenue growth of 28%-32% year-over-year to $126-$130 million. Expect accelerating marketplace growth in the 40% range year-over-year driven by strong Active Buyer and order growth.</w:t>
      </w:r>
    </w:p>
    <w:p>
      <w:pPr>
        <w:spacing w:after="0" w:line="67" w:lineRule="exact"/>
        <w:rPr>
          <w:rFonts w:ascii="Arial" w:cs="Arial" w:eastAsia="Arial" w:hAnsi="Arial"/>
          <w:sz w:val="20"/>
          <w:szCs w:val="20"/>
          <w:color w:val="auto"/>
        </w:rPr>
      </w:pPr>
    </w:p>
    <w:p>
      <w:pPr>
        <w:ind w:left="1020" w:right="60" w:hanging="504"/>
        <w:spacing w:after="0" w:line="237"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Expanding marketplace functionality including recent Xometry Teamspace software launch and new partnership with Google Cloud. Leveraging Vertex AI, Xometry will accelerate the deployment of its instant-quoting capabilities to encompass the broadest and most comprehensive set of manufacturing technologies.</w:t>
      </w:r>
    </w:p>
    <w:p>
      <w:pPr>
        <w:spacing w:after="0" w:line="50"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b w:val="1"/>
          <w:bCs w:val="1"/>
          <w:color w:val="auto"/>
        </w:rPr>
        <w:t>NORTH BETHESDA, MD., November 9, 2023 /Globe Newswire/</w:t>
      </w:r>
      <w:r>
        <w:rPr>
          <w:rFonts w:ascii="Arial" w:cs="Arial" w:eastAsia="Arial" w:hAnsi="Arial"/>
          <w:sz w:val="20"/>
          <w:szCs w:val="20"/>
          <w:color w:val="auto"/>
        </w:rPr>
        <w:t>-- Xometry, Inc. (NASDAQ:XMTR), the global AI-powered</w:t>
      </w:r>
      <w:r>
        <w:rPr>
          <w:rFonts w:ascii="Arial" w:cs="Arial" w:eastAsia="Arial" w:hAnsi="Arial"/>
          <w:sz w:val="20"/>
          <w:szCs w:val="20"/>
          <w:b w:val="1"/>
          <w:bCs w:val="1"/>
          <w:color w:val="auto"/>
        </w:rPr>
        <w:t xml:space="preserve"> </w:t>
      </w:r>
      <w:r>
        <w:rPr>
          <w:rFonts w:ascii="Arial" w:cs="Arial" w:eastAsia="Arial" w:hAnsi="Arial"/>
          <w:sz w:val="20"/>
          <w:szCs w:val="20"/>
          <w:color w:val="auto"/>
        </w:rPr>
        <w:t>marketplace connecting enterprise buyers with suppliers of manufacturing services, today reported financial results for the third quarter ended September 30, 2023.</w:t>
      </w:r>
    </w:p>
    <w:p>
      <w:pPr>
        <w:spacing w:after="0" w:line="180"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“In Q3 2023, we had record financial results including our highest revenue and gross profit in Xometry history. Xometry delivered strong 22% marketplace revenue growth year-over-year and significantly improved operating leverage, reducing Q3 Adjusted EBITDA loss by 51% quarter-over-quarter, well ahead of expectations,” said Randy Altschuler, Xometry’s CEO. “Driven by AI, the underpinnings of marketplace growth are robust with over 40% Active Buyer and order growth in Q3. We are improving operating leverage across the business, including increased marketing efficiency with record additions in net Active Buyers. Xometry continues to expand marketplace functionality including the recent integration of Teamspace, furthering our enterprise sales solutions and increasing our organic buyer growth. We are excited to announce our new Google Cloud AI partnership, which will accelerate instant quoting into many new categories on our platform. We expect to continue to rapidly gain market share and accelerate marketplace revenue growth in Q4.”</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2023 Financial Highlights</w:t>
      </w:r>
    </w:p>
    <w:p>
      <w:pPr>
        <w:spacing w:after="0" w:line="104"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revenue for the third quarter 2023 was $119 million, an increase of 15% year-over-year.</w:t>
      </w:r>
    </w:p>
    <w:p>
      <w:pPr>
        <w:spacing w:after="0" w:line="107" w:lineRule="exact"/>
        <w:rPr>
          <w:rFonts w:ascii="Arial" w:cs="Arial" w:eastAsia="Arial" w:hAnsi="Arial"/>
          <w:sz w:val="20"/>
          <w:szCs w:val="20"/>
          <w:color w:val="auto"/>
        </w:rPr>
      </w:pPr>
    </w:p>
    <w:p>
      <w:pPr>
        <w:ind w:left="1020" w:hanging="504"/>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Marketplace revenue for the third quarter of 2023 was $102 million, an increase of 22% year-over-year.</w:t>
      </w:r>
    </w:p>
    <w:p>
      <w:pPr>
        <w:spacing w:after="0" w:line="107" w:lineRule="exact"/>
        <w:rPr>
          <w:rFonts w:ascii="Arial" w:cs="Arial" w:eastAsia="Arial" w:hAnsi="Arial"/>
          <w:sz w:val="20"/>
          <w:szCs w:val="20"/>
          <w:color w:val="auto"/>
        </w:rPr>
      </w:pPr>
    </w:p>
    <w:p>
      <w:pPr>
        <w:ind w:left="1020" w:right="220" w:hanging="504"/>
        <w:spacing w:after="0" w:line="272" w:lineRule="auto"/>
        <w:tabs>
          <w:tab w:leader="none" w:pos="1020" w:val="left"/>
        </w:tabs>
        <w:numPr>
          <w:ilvl w:val="0"/>
          <w:numId w:val="3"/>
        </w:numPr>
        <w:rPr>
          <w:rFonts w:ascii="Arial" w:cs="Arial" w:eastAsia="Arial" w:hAnsi="Arial"/>
          <w:sz w:val="19"/>
          <w:szCs w:val="19"/>
          <w:color w:val="auto"/>
        </w:rPr>
      </w:pPr>
      <w:r>
        <w:rPr>
          <w:rFonts w:ascii="Arial" w:cs="Arial" w:eastAsia="Arial" w:hAnsi="Arial"/>
          <w:sz w:val="19"/>
          <w:szCs w:val="19"/>
          <w:color w:val="auto"/>
        </w:rPr>
        <w:t>Supplier services revenue for the third quarter of 2023 was $16.5 million, a decrease of 16% year-over-year driven primarily by the exit of the tools and materials business which reduced revenue by $2 million year-over-year.</w:t>
      </w:r>
    </w:p>
    <w:p>
      <w:pPr>
        <w:spacing w:after="0" w:line="44" w:lineRule="exact"/>
        <w:rPr>
          <w:rFonts w:ascii="Arial" w:cs="Arial" w:eastAsia="Arial" w:hAnsi="Arial"/>
          <w:sz w:val="19"/>
          <w:szCs w:val="19"/>
          <w:color w:val="auto"/>
        </w:rPr>
      </w:pPr>
    </w:p>
    <w:p>
      <w:pPr>
        <w:ind w:left="1020" w:hanging="504"/>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gross profit for the third quarter 2023 was $46.2 million, an increase of 13% year-over-year.</w:t>
      </w:r>
    </w:p>
    <w:p>
      <w:pPr>
        <w:spacing w:after="0" w:line="107" w:lineRule="exact"/>
        <w:rPr>
          <w:rFonts w:ascii="Arial" w:cs="Arial" w:eastAsia="Arial" w:hAnsi="Arial"/>
          <w:sz w:val="20"/>
          <w:szCs w:val="20"/>
          <w:color w:val="auto"/>
        </w:rPr>
      </w:pPr>
    </w:p>
    <w:p>
      <w:pPr>
        <w:ind w:left="1020" w:right="360" w:hanging="504"/>
        <w:spacing w:after="0" w:line="246"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Marketplace Active Buyers increased 43% from 36,789 as of September 30, 2022 to 52,467 as of September 30, 2023 with a record addition of 4,173 new Active Buyers.</w:t>
      </w:r>
    </w:p>
    <w:p>
      <w:pPr>
        <w:spacing w:after="0" w:line="67" w:lineRule="exact"/>
        <w:rPr>
          <w:rFonts w:ascii="Arial" w:cs="Arial" w:eastAsia="Arial" w:hAnsi="Arial"/>
          <w:sz w:val="20"/>
          <w:szCs w:val="20"/>
          <w:color w:val="auto"/>
        </w:rPr>
      </w:pPr>
    </w:p>
    <w:p>
      <w:pPr>
        <w:ind w:left="1020" w:right="40" w:hanging="504"/>
        <w:spacing w:after="0" w:line="246" w:lineRule="auto"/>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Marketplace Accounts with Last Twelve-Months Spend of at least $50,000 increased 26% from 974 as of September 30, 2022, to 1,223 as of September 30, 2023.</w:t>
      </w:r>
    </w:p>
    <w:p>
      <w:pPr>
        <w:spacing w:after="0" w:line="67" w:lineRule="exact"/>
        <w:rPr>
          <w:rFonts w:ascii="Arial" w:cs="Arial" w:eastAsia="Arial" w:hAnsi="Arial"/>
          <w:sz w:val="20"/>
          <w:szCs w:val="20"/>
          <w:color w:val="auto"/>
        </w:rPr>
      </w:pPr>
    </w:p>
    <w:p>
      <w:pPr>
        <w:ind w:left="1020" w:hanging="504"/>
        <w:spacing w:after="0"/>
        <w:tabs>
          <w:tab w:leader="none" w:pos="1020" w:val="left"/>
        </w:tabs>
        <w:numPr>
          <w:ilvl w:val="0"/>
          <w:numId w:val="3"/>
        </w:numPr>
        <w:rPr>
          <w:rFonts w:ascii="Arial" w:cs="Arial" w:eastAsia="Arial" w:hAnsi="Arial"/>
          <w:sz w:val="20"/>
          <w:szCs w:val="20"/>
          <w:color w:val="auto"/>
        </w:rPr>
      </w:pPr>
      <w:r>
        <w:rPr>
          <w:rFonts w:ascii="Arial" w:cs="Arial" w:eastAsia="Arial" w:hAnsi="Arial"/>
          <w:sz w:val="20"/>
          <w:szCs w:val="20"/>
          <w:color w:val="auto"/>
        </w:rPr>
        <w:t>Marketplace Percentage of Revenue from Existing Accounts was 96%.</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ind w:left="1020" w:right="100" w:hanging="504"/>
        <w:spacing w:after="0" w:line="237"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Active Paying Suppliers decreased 2% from 7,557 as of September 30, 2022 to 7,415 as of September 30, 2023. Excluding the exited tools and materials business, Active Paying Suppliers increased 4% year-over-year from 7,092 as of September 30, 2022 to 7,337 as of September 30, 2023.</w:t>
      </w:r>
    </w:p>
    <w:p>
      <w:pPr>
        <w:spacing w:after="0" w:line="73" w:lineRule="exact"/>
        <w:rPr>
          <w:rFonts w:ascii="Arial" w:cs="Arial" w:eastAsia="Arial" w:hAnsi="Arial"/>
          <w:sz w:val="20"/>
          <w:szCs w:val="20"/>
          <w:color w:val="auto"/>
        </w:rPr>
      </w:pPr>
    </w:p>
    <w:p>
      <w:pPr>
        <w:ind w:left="1020" w:right="80" w:hanging="504"/>
        <w:spacing w:after="0" w:line="237" w:lineRule="auto"/>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loss attributable to common stockholders was $12.0 million for the quarter, a decrease of $3.0 million year-over-year. Net loss for Q3 2023 included $5.7 million of stock-based compensation and $2.5 million of depreciation and amortization expense.</w:t>
      </w:r>
    </w:p>
    <w:p>
      <w:pPr>
        <w:spacing w:after="0" w:line="73" w:lineRule="exact"/>
        <w:rPr>
          <w:rFonts w:ascii="Arial" w:cs="Arial" w:eastAsia="Arial" w:hAnsi="Arial"/>
          <w:sz w:val="20"/>
          <w:szCs w:val="20"/>
          <w:color w:val="auto"/>
        </w:rPr>
      </w:pPr>
    </w:p>
    <w:p>
      <w:pPr>
        <w:ind w:left="1020" w:hanging="504"/>
        <w:spacing w:after="0"/>
        <w:tabs>
          <w:tab w:leader="none" w:pos="10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Adjusted EBITDA was negative $4.2 million for the quarter, reflecting an improvement of $2.3 million year-over-year.</w:t>
      </w:r>
    </w:p>
    <w:p>
      <w:pPr>
        <w:spacing w:after="0" w:line="118" w:lineRule="exact"/>
        <w:rPr>
          <w:rFonts w:ascii="Arial" w:cs="Arial" w:eastAsia="Arial" w:hAnsi="Arial"/>
          <w:sz w:val="19"/>
          <w:szCs w:val="19"/>
          <w:color w:val="auto"/>
        </w:rPr>
      </w:pPr>
    </w:p>
    <w:p>
      <w:pPr>
        <w:ind w:left="1020" w:hanging="504"/>
        <w:spacing w:after="0"/>
        <w:tabs>
          <w:tab w:leader="none" w:pos="10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Cash, cash equivalents and marketable securities were $276.8 million as of September 30, 2023.</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2023 Business Highlights</w:t>
      </w:r>
    </w:p>
    <w:p>
      <w:pPr>
        <w:spacing w:after="0" w:line="104" w:lineRule="exact"/>
        <w:rPr>
          <w:sz w:val="20"/>
          <w:szCs w:val="20"/>
          <w:color w:val="auto"/>
        </w:rPr>
      </w:pPr>
    </w:p>
    <w:p>
      <w:pPr>
        <w:ind w:left="1020" w:hanging="504"/>
        <w:spacing w:after="0" w:line="232"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Announced a partnership with Google Cloud to help accelerate new auto-quote methods and models within Xometry’s AI-powered Instant Quoting Engine. Using Vertex AI, Xometry will accelerate the deployment of its instant-quoting to encompass the broadest and most comprehensive set of manufacturing technologies. The Vertex AI platform will enable us to get to market faster with new offerings in entirely new categories, allowing us to become more indispensable to our customers and to our suppliers globally.</w:t>
      </w:r>
    </w:p>
    <w:p>
      <w:pPr>
        <w:spacing w:after="0" w:line="75" w:lineRule="exact"/>
        <w:rPr>
          <w:rFonts w:ascii="Arial" w:cs="Arial" w:eastAsia="Arial" w:hAnsi="Arial"/>
          <w:sz w:val="20"/>
          <w:szCs w:val="20"/>
          <w:color w:val="auto"/>
        </w:rPr>
      </w:pPr>
    </w:p>
    <w:p>
      <w:pPr>
        <w:ind w:left="1020" w:right="20" w:hanging="504"/>
        <w:spacing w:after="0" w:line="232"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Launched Xometry Teamspace in October after a successful beta test with several large customers in Q3. Teamspace is a cloud-based collaboration tool that lets employees at the same company manage projects within Xometry’s AI-powered platform. An important addition to Xometry’s online marketplace, Teamspace helps streamline order management, increase efficiency and drive data-based decision-making. Since the launch, over 300 teams have been created.</w:t>
      </w:r>
    </w:p>
    <w:p>
      <w:pPr>
        <w:spacing w:after="0" w:line="75" w:lineRule="exact"/>
        <w:rPr>
          <w:rFonts w:ascii="Arial" w:cs="Arial" w:eastAsia="Arial" w:hAnsi="Arial"/>
          <w:sz w:val="20"/>
          <w:szCs w:val="20"/>
          <w:color w:val="auto"/>
        </w:rPr>
      </w:pPr>
    </w:p>
    <w:p>
      <w:pPr>
        <w:ind w:left="1020" w:right="160" w:hanging="504"/>
        <w:spacing w:after="0" w:line="234"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Added “Build America, Buy America” as a recognized certification on the Thomasnet.com manufacturing sourcing platform of more than 500,000 suppliers throughout North America. The new category on Thomasnet.com makes it easy for enterprise buyers to identify manufacturers that are compliant with the BABA initiative, a significant component of the bipartisan Infrastructure Investment and Jobs Act.</w:t>
      </w:r>
    </w:p>
    <w:p>
      <w:pPr>
        <w:spacing w:after="0" w:line="73" w:lineRule="exact"/>
        <w:rPr>
          <w:rFonts w:ascii="Arial" w:cs="Arial" w:eastAsia="Arial" w:hAnsi="Arial"/>
          <w:sz w:val="20"/>
          <w:szCs w:val="20"/>
          <w:color w:val="auto"/>
        </w:rPr>
      </w:pPr>
    </w:p>
    <w:p>
      <w:pPr>
        <w:ind w:left="1020" w:right="360" w:hanging="504"/>
        <w:spacing w:after="0" w:line="237"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Added two additional self-serve profile options for the more than 500,000 suppliers on Thomasnet.com. “Thomas Verified” and “Thomas Verified + Video” offer manufacturers enhanced visibility and targeting to prospects from preferred industries, as well as custom video options.</w:t>
      </w:r>
    </w:p>
    <w:p>
      <w:pPr>
        <w:spacing w:after="0" w:line="73" w:lineRule="exact"/>
        <w:rPr>
          <w:rFonts w:ascii="Arial" w:cs="Arial" w:eastAsia="Arial" w:hAnsi="Arial"/>
          <w:sz w:val="20"/>
          <w:szCs w:val="20"/>
          <w:color w:val="auto"/>
        </w:rPr>
      </w:pPr>
    </w:p>
    <w:p>
      <w:pPr>
        <w:ind w:left="1020" w:right="80" w:hanging="504"/>
        <w:spacing w:after="0" w:line="254" w:lineRule="auto"/>
        <w:tabs>
          <w:tab w:leader="none" w:pos="1020" w:val="left"/>
        </w:tabs>
        <w:numPr>
          <w:ilvl w:val="0"/>
          <w:numId w:val="5"/>
        </w:numPr>
        <w:rPr>
          <w:rFonts w:ascii="Arial" w:cs="Arial" w:eastAsia="Arial" w:hAnsi="Arial"/>
          <w:sz w:val="19"/>
          <w:szCs w:val="19"/>
          <w:color w:val="auto"/>
        </w:rPr>
      </w:pPr>
      <w:r>
        <w:rPr>
          <w:rFonts w:ascii="Arial" w:cs="Arial" w:eastAsia="Arial" w:hAnsi="Arial"/>
          <w:sz w:val="19"/>
          <w:szCs w:val="19"/>
          <w:color w:val="auto"/>
        </w:rPr>
        <w:t>Added AS9100 Certified to the Instant Quote Engine for our aerospace and defense buyers in October. AS9100 is a certification defining the design and manufacturing standard for aerospace and defense products including parts, components, and assemblies. This is particularly relevant for customers doing production work including flight parts.</w:t>
      </w:r>
    </w:p>
    <w:p>
      <w:pPr>
        <w:spacing w:after="0" w:line="61" w:lineRule="exact"/>
        <w:rPr>
          <w:rFonts w:ascii="Arial" w:cs="Arial" w:eastAsia="Arial" w:hAnsi="Arial"/>
          <w:sz w:val="19"/>
          <w:szCs w:val="19"/>
          <w:color w:val="auto"/>
        </w:rPr>
      </w:pPr>
    </w:p>
    <w:p>
      <w:pPr>
        <w:ind w:left="1020" w:right="100" w:hanging="504"/>
        <w:spacing w:after="0" w:line="234" w:lineRule="auto"/>
        <w:tabs>
          <w:tab w:leader="none" w:pos="10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Expanded International offerings including Portuguese language capability and new automated inspection reports in Europe. Buyers now can conveniently pick from multiple report options on the Xometry Europe marketplace including First Article Inspection Report (Fair) and Measurement Report. Xometry Asia added Fused Deposition Modeling (“FDM”) auto-quoting capabilities.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6" w:right="35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20"/>
          <w:szCs w:val="20"/>
          <w:b w:val="1"/>
          <w:bCs w:val="1"/>
          <w:color w:val="auto"/>
        </w:rPr>
        <w:t>Financial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For the Three Months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For the Nine Months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Ended September 30,</w:t>
            </w:r>
          </w:p>
        </w:tc>
        <w:tc>
          <w:tcPr>
            <w:tcW w:w="11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Change</w:t>
            </w:r>
          </w:p>
        </w:tc>
        <w:tc>
          <w:tcPr>
            <w:tcW w:w="20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Ended September 30,</w:t>
            </w:r>
          </w:p>
        </w:tc>
        <w:tc>
          <w:tcPr>
            <w:tcW w:w="11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0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(unaudited)</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(unaudited)</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Consolidated</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118,927</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103,571</w:t>
            </w:r>
          </w:p>
        </w:tc>
        <w:tc>
          <w:tcPr>
            <w:tcW w:w="22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15 % $</w:t>
            </w:r>
          </w:p>
        </w:tc>
        <w:tc>
          <w:tcPr>
            <w:tcW w:w="780" w:type="dxa"/>
            <w:vAlign w:val="bottom"/>
          </w:tcPr>
          <w:p>
            <w:pPr>
              <w:jc w:val="right"/>
              <w:spacing w:after="0"/>
              <w:rPr>
                <w:sz w:val="20"/>
                <w:szCs w:val="20"/>
                <w:color w:val="auto"/>
              </w:rPr>
            </w:pPr>
            <w:r>
              <w:rPr>
                <w:rFonts w:ascii="Arial" w:cs="Arial" w:eastAsia="Arial" w:hAnsi="Arial"/>
                <w:sz w:val="18"/>
                <w:szCs w:val="18"/>
                <w:color w:val="auto"/>
              </w:rPr>
              <w:t>335,261</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282,857</w:t>
            </w:r>
          </w:p>
        </w:tc>
        <w:tc>
          <w:tcPr>
            <w:tcW w:w="2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46,249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40,901</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111,536</w:t>
            </w:r>
          </w:p>
        </w:tc>
        <w:tc>
          <w:tcPr>
            <w:tcW w:w="2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(12,023 )</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(15,037 )</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(56,921 )</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(51,602 )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3" w:lineRule="exact"/>
              <w:rPr>
                <w:sz w:val="20"/>
                <w:szCs w:val="20"/>
                <w:color w:val="auto"/>
              </w:rPr>
            </w:pPr>
            <w:r>
              <w:rPr>
                <w:rFonts w:ascii="Arial" w:cs="Arial" w:eastAsia="Arial" w:hAnsi="Arial"/>
                <w:sz w:val="18"/>
                <w:szCs w:val="18"/>
                <w:color w:val="auto"/>
              </w:rPr>
              <w:t>EPS, basic and diluted, of Class A and Class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40" w:type="dxa"/>
            <w:vAlign w:val="bottom"/>
          </w:tcPr>
          <w:p>
            <w:pPr>
              <w:ind w:left="20"/>
              <w:spacing w:after="0"/>
              <w:rPr>
                <w:sz w:val="20"/>
                <w:szCs w:val="20"/>
                <w:color w:val="auto"/>
              </w:rPr>
            </w:pPr>
            <w:r>
              <w:rPr>
                <w:rFonts w:ascii="Arial" w:cs="Arial" w:eastAsia="Arial" w:hAnsi="Arial"/>
                <w:sz w:val="18"/>
                <w:szCs w:val="18"/>
                <w:color w:val="auto"/>
              </w:rPr>
              <w:t>B common stock</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(0.25 )</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(0.32 )</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(1.19 )</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line="229"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(4,215 )</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(6,490 )</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35 %</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(24,640 )</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(27,516 )</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line="229" w:lineRule="exact"/>
              <w:rPr>
                <w:sz w:val="20"/>
                <w:szCs w:val="20"/>
                <w:color w:val="auto"/>
              </w:rPr>
            </w:pPr>
            <w:r>
              <w:rPr>
                <w:rFonts w:ascii="Arial" w:cs="Arial" w:eastAsia="Arial" w:hAnsi="Arial"/>
                <w:sz w:val="18"/>
                <w:szCs w:val="18"/>
                <w:color w:val="auto"/>
              </w:rPr>
              <w:t>Non-GAAP net loss</w:t>
            </w:r>
            <w:r>
              <w:rPr>
                <w:rFonts w:ascii="Arial" w:cs="Arial" w:eastAsia="Arial" w:hAnsi="Arial"/>
                <w:sz w:val="24"/>
                <w:szCs w:val="24"/>
                <w:color w:val="auto"/>
                <w:vertAlign w:val="superscript"/>
              </w:rPr>
              <w:t>(1)</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(2,562 )</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(5,394 )</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53 %</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(18,955 )</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(26,368 )</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5"/>
        </w:trPr>
        <w:tc>
          <w:tcPr>
            <w:tcW w:w="3740" w:type="dxa"/>
            <w:vAlign w:val="bottom"/>
          </w:tcPr>
          <w:p>
            <w:pPr>
              <w:ind w:left="20"/>
              <w:spacing w:after="0" w:line="226" w:lineRule="exact"/>
              <w:rPr>
                <w:sz w:val="20"/>
                <w:szCs w:val="20"/>
                <w:color w:val="auto"/>
              </w:rPr>
            </w:pPr>
            <w:r>
              <w:rPr>
                <w:rFonts w:ascii="Arial" w:cs="Arial" w:eastAsia="Arial" w:hAnsi="Arial"/>
                <w:sz w:val="18"/>
                <w:szCs w:val="18"/>
                <w:color w:val="auto"/>
              </w:rPr>
              <w:t>Non-GAAP EPS, basic and diluted</w:t>
            </w:r>
            <w:r>
              <w:rPr>
                <w:rFonts w:ascii="Arial" w:cs="Arial" w:eastAsia="Arial" w:hAnsi="Arial"/>
                <w:sz w:val="24"/>
                <w:szCs w:val="24"/>
                <w:color w:val="auto"/>
                <w:vertAlign w:val="superscript"/>
              </w:rPr>
              <w:t>(1)</w:t>
            </w:r>
            <w:r>
              <w:rPr>
                <w:rFonts w:ascii="Arial" w:cs="Arial" w:eastAsia="Arial" w:hAnsi="Arial"/>
                <w:sz w:val="18"/>
                <w:szCs w:val="18"/>
                <w:color w:val="auto"/>
              </w:rPr>
              <w:t>, of</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Class A and Class B common stock</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(0.05 )</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(0.11 )</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55 %</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(0.40 )</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(0.56 )</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Marketplace</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102,473</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84,060</w:t>
            </w:r>
          </w:p>
        </w:tc>
        <w:tc>
          <w:tcPr>
            <w:tcW w:w="22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22 % $</w:t>
            </w:r>
          </w:p>
        </w:tc>
        <w:tc>
          <w:tcPr>
            <w:tcW w:w="780" w:type="dxa"/>
            <w:vAlign w:val="bottom"/>
          </w:tcPr>
          <w:p>
            <w:pPr>
              <w:jc w:val="right"/>
              <w:spacing w:after="0"/>
              <w:rPr>
                <w:sz w:val="20"/>
                <w:szCs w:val="20"/>
                <w:color w:val="auto"/>
              </w:rPr>
            </w:pPr>
            <w:r>
              <w:rPr>
                <w:rFonts w:ascii="Arial" w:cs="Arial" w:eastAsia="Arial" w:hAnsi="Arial"/>
                <w:sz w:val="18"/>
                <w:szCs w:val="18"/>
                <w:color w:val="auto"/>
              </w:rPr>
              <w:t>282,664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224,073</w:t>
            </w:r>
          </w:p>
        </w:tc>
        <w:tc>
          <w:tcPr>
            <w:tcW w:w="2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70,578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58,479</w:t>
            </w:r>
          </w:p>
        </w:tc>
        <w:tc>
          <w:tcPr>
            <w:tcW w:w="220" w:type="dxa"/>
            <w:vAlign w:val="bottom"/>
          </w:tcPr>
          <w:p>
            <w:pPr>
              <w:spacing w:after="0"/>
              <w:rPr>
                <w:sz w:val="19"/>
                <w:szCs w:val="19"/>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(21 )%</w:t>
            </w:r>
          </w:p>
        </w:tc>
        <w:tc>
          <w:tcPr>
            <w:tcW w:w="780" w:type="dxa"/>
            <w:vAlign w:val="bottom"/>
          </w:tcPr>
          <w:p>
            <w:pPr>
              <w:jc w:val="right"/>
              <w:spacing w:after="0"/>
              <w:rPr>
                <w:sz w:val="20"/>
                <w:szCs w:val="20"/>
                <w:color w:val="auto"/>
              </w:rPr>
            </w:pPr>
            <w:r>
              <w:rPr>
                <w:rFonts w:ascii="Arial" w:cs="Arial" w:eastAsia="Arial" w:hAnsi="Arial"/>
                <w:sz w:val="18"/>
                <w:szCs w:val="18"/>
                <w:color w:val="auto"/>
              </w:rPr>
              <w:t>196,240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158,712</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31,895</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25,581</w:t>
            </w:r>
          </w:p>
        </w:tc>
        <w:tc>
          <w:tcPr>
            <w:tcW w:w="220" w:type="dxa"/>
            <w:vAlign w:val="bottom"/>
          </w:tcPr>
          <w:p>
            <w:pPr>
              <w:spacing w:after="0"/>
              <w:rPr>
                <w:sz w:val="19"/>
                <w:szCs w:val="19"/>
                <w:color w:val="auto"/>
              </w:rPr>
            </w:pPr>
          </w:p>
        </w:tc>
        <w:tc>
          <w:tcPr>
            <w:tcW w:w="1500" w:type="dxa"/>
            <w:vAlign w:val="bottom"/>
            <w:gridSpan w:val="3"/>
          </w:tcPr>
          <w:p>
            <w:pPr>
              <w:jc w:val="right"/>
              <w:ind w:right="40"/>
              <w:spacing w:after="0" w:line="222" w:lineRule="exact"/>
              <w:rPr>
                <w:sz w:val="20"/>
                <w:szCs w:val="20"/>
                <w:color w:val="auto"/>
              </w:rPr>
            </w:pPr>
            <w:r>
              <w:rPr>
                <w:rFonts w:ascii="Arial" w:cs="Arial" w:eastAsia="Arial" w:hAnsi="Arial"/>
                <w:sz w:val="14"/>
                <w:szCs w:val="14"/>
                <w:color w:val="auto"/>
              </w:rPr>
              <w:t xml:space="preserve">25 % </w:t>
            </w:r>
            <w:r>
              <w:rPr>
                <w:rFonts w:ascii="Arial" w:cs="Arial" w:eastAsia="Arial" w:hAnsi="Arial"/>
                <w:sz w:val="25"/>
                <w:szCs w:val="25"/>
                <w:color w:val="auto"/>
                <w:vertAlign w:val="superscript"/>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86,424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65,361</w:t>
            </w:r>
          </w:p>
        </w:tc>
        <w:tc>
          <w:tcPr>
            <w:tcW w:w="2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0.7 %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31.1 %</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30.4 %</w:t>
            </w: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30.6 %</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29.2 %</w:t>
            </w:r>
          </w:p>
        </w:tc>
        <w:tc>
          <w:tcPr>
            <w:tcW w:w="13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Supplier services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16,454</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19,511</w:t>
            </w:r>
          </w:p>
        </w:tc>
        <w:tc>
          <w:tcPr>
            <w:tcW w:w="22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(16 )%$</w:t>
            </w:r>
          </w:p>
        </w:tc>
        <w:tc>
          <w:tcPr>
            <w:tcW w:w="780" w:type="dxa"/>
            <w:vAlign w:val="bottom"/>
          </w:tcPr>
          <w:p>
            <w:pPr>
              <w:jc w:val="right"/>
              <w:spacing w:after="0"/>
              <w:rPr>
                <w:sz w:val="20"/>
                <w:szCs w:val="20"/>
                <w:color w:val="auto"/>
              </w:rPr>
            </w:pPr>
            <w:r>
              <w:rPr>
                <w:rFonts w:ascii="Arial" w:cs="Arial" w:eastAsia="Arial" w:hAnsi="Arial"/>
                <w:sz w:val="18"/>
                <w:szCs w:val="18"/>
                <w:color w:val="auto"/>
              </w:rPr>
              <w:t>52,597</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58,784</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50 %</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12,609</w:t>
            </w:r>
          </w:p>
        </w:tc>
        <w:tc>
          <w:tcPr>
            <w:tcW w:w="2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14,354</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15,320</w:t>
            </w:r>
          </w:p>
        </w:tc>
        <w:tc>
          <w:tcPr>
            <w:tcW w:w="220" w:type="dxa"/>
            <w:vAlign w:val="bottom"/>
          </w:tcPr>
          <w:p>
            <w:pPr>
              <w:spacing w:after="0"/>
              <w:rPr>
                <w:sz w:val="19"/>
                <w:szCs w:val="19"/>
                <w:color w:val="auto"/>
              </w:rPr>
            </w:pPr>
          </w:p>
        </w:tc>
        <w:tc>
          <w:tcPr>
            <w:tcW w:w="1500" w:type="dxa"/>
            <w:vAlign w:val="bottom"/>
            <w:gridSpan w:val="3"/>
          </w:tcPr>
          <w:p>
            <w:pPr>
              <w:jc w:val="right"/>
              <w:ind w:right="40"/>
              <w:spacing w:after="0" w:line="222" w:lineRule="exact"/>
              <w:rPr>
                <w:sz w:val="20"/>
                <w:szCs w:val="20"/>
                <w:color w:val="auto"/>
              </w:rPr>
            </w:pPr>
            <w:r>
              <w:rPr>
                <w:rFonts w:ascii="Arial" w:cs="Arial" w:eastAsia="Arial" w:hAnsi="Arial"/>
                <w:sz w:val="14"/>
                <w:szCs w:val="14"/>
                <w:color w:val="auto"/>
              </w:rPr>
              <w:t>(6 )%</w:t>
            </w:r>
            <w:r>
              <w:rPr>
                <w:rFonts w:ascii="Arial" w:cs="Arial" w:eastAsia="Arial" w:hAnsi="Arial"/>
                <w:sz w:val="25"/>
                <w:szCs w:val="25"/>
                <w:color w:val="auto"/>
                <w:vertAlign w:val="superscript"/>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42,750</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46,175</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8.7 %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87.2 </w:t>
            </w:r>
            <w:r>
              <w:rPr>
                <w:rFonts w:ascii="Arial" w:cs="Arial" w:eastAsia="Arial" w:hAnsi="Arial"/>
                <w:sz w:val="18"/>
                <w:szCs w:val="18"/>
                <w:color w:val="auto"/>
                <w:highlight w:val="white"/>
              </w:rPr>
              <w:t>%</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78.5 </w:t>
            </w:r>
            <w:r>
              <w:rPr>
                <w:rFonts w:ascii="Arial" w:cs="Arial" w:eastAsia="Arial" w:hAnsi="Arial"/>
                <w:sz w:val="18"/>
                <w:szCs w:val="18"/>
                <w:color w:val="auto"/>
                <w:highlight w:val="white"/>
              </w:rPr>
              <w:t>%</w:t>
            </w: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color w:val="auto"/>
                <w:highlight w:val="white"/>
              </w:rPr>
              <w:t>%</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78.6 </w:t>
            </w:r>
            <w:r>
              <w:rPr>
                <w:rFonts w:ascii="Arial" w:cs="Arial" w:eastAsia="Arial" w:hAnsi="Arial"/>
                <w:sz w:val="18"/>
                <w:szCs w:val="18"/>
                <w:color w:val="auto"/>
                <w:highlight w:val="white"/>
              </w:rPr>
              <w:t>%</w:t>
            </w:r>
          </w:p>
        </w:tc>
        <w:tc>
          <w:tcPr>
            <w:tcW w:w="13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-2944495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-2653030</wp:posOffset>
            </wp:positionV>
            <wp:extent cx="7132320" cy="273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-2233295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-1377315</wp:posOffset>
            </wp:positionV>
            <wp:extent cx="7132320" cy="471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80" w:right="360" w:hanging="372"/>
        <w:spacing w:after="0" w:line="245"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As of September 30,</w:t>
            </w:r>
          </w:p>
        </w:tc>
        <w:tc>
          <w:tcPr>
            <w:tcW w:w="12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86"/>
        </w:trPr>
        <w:tc>
          <w:tcPr>
            <w:tcW w:w="6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90"/>
              <w:spacing w:after="0" w:line="187"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r>
      <w:tr>
        <w:trPr>
          <w:trHeight w:val="239"/>
        </w:trPr>
        <w:tc>
          <w:tcPr>
            <w:tcW w:w="65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Pr>
          <w:p>
            <w:pPr>
              <w:spacing w:after="0"/>
              <w:rPr>
                <w:sz w:val="20"/>
                <w:szCs w:val="20"/>
                <w:color w:val="auto"/>
              </w:rPr>
            </w:pPr>
          </w:p>
        </w:tc>
      </w:tr>
      <w:tr>
        <w:trPr>
          <w:trHeight w:val="429"/>
        </w:trPr>
        <w:tc>
          <w:tcPr>
            <w:tcW w:w="6520" w:type="dxa"/>
            <w:vAlign w:val="bottom"/>
          </w:tcPr>
          <w:p>
            <w:pPr>
              <w:ind w:left="20"/>
              <w:spacing w:after="0"/>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(3)</w:t>
            </w:r>
          </w:p>
        </w:tc>
        <w:tc>
          <w:tcPr>
            <w:tcW w:w="1260" w:type="dxa"/>
            <w:vAlign w:val="bottom"/>
          </w:tcPr>
          <w:p>
            <w:pPr>
              <w:jc w:val="right"/>
              <w:spacing w:after="0"/>
              <w:rPr>
                <w:sz w:val="20"/>
                <w:szCs w:val="20"/>
                <w:color w:val="auto"/>
              </w:rPr>
            </w:pPr>
            <w:r>
              <w:rPr>
                <w:rFonts w:ascii="Arial" w:cs="Arial" w:eastAsia="Arial" w:hAnsi="Arial"/>
                <w:sz w:val="18"/>
                <w:szCs w:val="18"/>
                <w:color w:val="auto"/>
              </w:rPr>
              <w:t>52,467</w:t>
            </w:r>
          </w:p>
        </w:tc>
        <w:tc>
          <w:tcPr>
            <w:tcW w:w="18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36,789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43 %</w:t>
            </w:r>
          </w:p>
        </w:tc>
      </w:tr>
      <w:tr>
        <w:trPr>
          <w:trHeight w:val="229"/>
        </w:trPr>
        <w:tc>
          <w:tcPr>
            <w:tcW w:w="6520" w:type="dxa"/>
            <w:vAlign w:val="bottom"/>
          </w:tcPr>
          <w:p>
            <w:pPr>
              <w:ind w:left="20"/>
              <w:spacing w:after="0" w:line="229"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96 %</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6520" w:type="dxa"/>
            <w:vAlign w:val="bottom"/>
          </w:tcPr>
          <w:p>
            <w:pPr>
              <w:ind w:left="20"/>
              <w:spacing w:after="0" w:line="229"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(3)</w:t>
            </w:r>
          </w:p>
        </w:tc>
        <w:tc>
          <w:tcPr>
            <w:tcW w:w="1260" w:type="dxa"/>
            <w:vAlign w:val="bottom"/>
          </w:tcPr>
          <w:p>
            <w:pPr>
              <w:jc w:val="right"/>
              <w:spacing w:after="0"/>
              <w:rPr>
                <w:sz w:val="20"/>
                <w:szCs w:val="20"/>
                <w:color w:val="auto"/>
              </w:rPr>
            </w:pPr>
            <w:r>
              <w:rPr>
                <w:rFonts w:ascii="Arial" w:cs="Arial" w:eastAsia="Arial" w:hAnsi="Arial"/>
                <w:sz w:val="18"/>
                <w:szCs w:val="18"/>
                <w:color w:val="auto"/>
              </w:rPr>
              <w:t>1,223</w:t>
            </w:r>
          </w:p>
        </w:tc>
        <w:tc>
          <w:tcPr>
            <w:tcW w:w="1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r>
      <w:tr>
        <w:trPr>
          <w:trHeight w:val="316"/>
        </w:trPr>
        <w:tc>
          <w:tcPr>
            <w:tcW w:w="6520" w:type="dxa"/>
            <w:vAlign w:val="bottom"/>
          </w:tcPr>
          <w:p>
            <w:pPr>
              <w:ind w:left="20"/>
              <w:spacing w:after="0"/>
              <w:rPr>
                <w:sz w:val="20"/>
                <w:szCs w:val="20"/>
                <w:color w:val="auto"/>
              </w:rPr>
            </w:pPr>
            <w:r>
              <w:rPr>
                <w:rFonts w:ascii="Arial" w:cs="Arial" w:eastAsia="Arial" w:hAnsi="Arial"/>
                <w:sz w:val="18"/>
                <w:szCs w:val="18"/>
                <w:color w:val="auto"/>
              </w:rPr>
              <w:t>Active Paying Suppliers</w:t>
            </w:r>
            <w:r>
              <w:rPr>
                <w:rFonts w:ascii="Arial" w:cs="Arial" w:eastAsia="Arial" w:hAnsi="Arial"/>
                <w:sz w:val="24"/>
                <w:szCs w:val="24"/>
                <w:color w:val="auto"/>
                <w:vertAlign w:val="superscript"/>
              </w:rPr>
              <w:t>(3)(4)</w:t>
            </w:r>
          </w:p>
        </w:tc>
        <w:tc>
          <w:tcPr>
            <w:tcW w:w="1260" w:type="dxa"/>
            <w:vAlign w:val="bottom"/>
          </w:tcPr>
          <w:p>
            <w:pPr>
              <w:jc w:val="right"/>
              <w:spacing w:after="0"/>
              <w:rPr>
                <w:sz w:val="20"/>
                <w:szCs w:val="20"/>
                <w:color w:val="auto"/>
              </w:rPr>
            </w:pPr>
            <w:r>
              <w:rPr>
                <w:rFonts w:ascii="Arial" w:cs="Arial" w:eastAsia="Arial" w:hAnsi="Arial"/>
                <w:sz w:val="18"/>
                <w:szCs w:val="18"/>
                <w:color w:val="auto"/>
              </w:rPr>
              <w:t>7,415</w:t>
            </w:r>
          </w:p>
        </w:tc>
        <w:tc>
          <w:tcPr>
            <w:tcW w:w="18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7,557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2" w:lineRule="exact"/>
        <w:rPr>
          <w:sz w:val="20"/>
          <w:szCs w:val="20"/>
          <w:color w:val="auto"/>
        </w:rPr>
      </w:pPr>
    </w:p>
    <w:p>
      <w:pPr>
        <w:ind w:left="380" w:right="320" w:hanging="372"/>
        <w:spacing w:after="0" w:line="241"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key operating metrics are for Marketplace and Supplier Services. See “Key Terms for our Key Metrics and Non-GAAP Financial Measures” below for definitions of these metrics.</w:t>
      </w:r>
    </w:p>
    <w:p>
      <w:pPr>
        <w:ind w:left="380" w:right="160" w:hanging="372"/>
        <w:spacing w:after="0" w:line="234"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shown for Active Buyers, Accounts with Last Twelve-Months Spend of at Least $50,000, and Active Paying Suppliers are as of September 30, 2023 and 2022, and Percentage of Revenue from Existing Accounts is presented for the quarters ended September 30, 2023 and 2022.</w:t>
      </w:r>
    </w:p>
    <w:p>
      <w:pPr>
        <w:spacing w:after="0" w:line="1" w:lineRule="exact"/>
        <w:rPr>
          <w:rFonts w:ascii="Arial" w:cs="Arial" w:eastAsia="Arial" w:hAnsi="Arial"/>
          <w:sz w:val="18"/>
          <w:szCs w:val="18"/>
          <w:color w:val="auto"/>
        </w:rPr>
      </w:pPr>
    </w:p>
    <w:p>
      <w:pPr>
        <w:ind w:left="380" w:right="800" w:hanging="372"/>
        <w:spacing w:after="0" w:line="261"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Excluding the impact of the exit of the supplies business, Active Paying Suppliers increased 4% year-over-year from 7,092 as of September 30, 2022 to 7,337 as of September 30,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Q4 2023</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(in millions)</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12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126</w:t>
            </w:r>
          </w:p>
        </w:tc>
        <w:tc>
          <w:tcPr>
            <w:tcW w:w="5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(2 )</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jc w:val="both"/>
        <w:ind w:right="280"/>
        <w:spacing w:after="0" w:line="237" w:lineRule="auto"/>
        <w:rPr>
          <w:sz w:val="20"/>
          <w:szCs w:val="20"/>
          <w:color w:val="auto"/>
        </w:rPr>
      </w:pPr>
      <w:r>
        <w:rPr>
          <w:rFonts w:ascii="Arial" w:cs="Arial" w:eastAsia="Arial" w:hAnsi="Arial"/>
          <w:sz w:val="20"/>
          <w:szCs w:val="20"/>
          <w:color w:val="auto"/>
        </w:rPr>
        <w:t>Xometry’s fourth quarter 2023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82" w:lineRule="exact"/>
        <w:rPr>
          <w:sz w:val="20"/>
          <w:szCs w:val="20"/>
          <w:color w:val="auto"/>
        </w:rPr>
      </w:pPr>
    </w:p>
    <w:p>
      <w:pPr>
        <w:ind w:right="220"/>
        <w:spacing w:after="0" w:line="245" w:lineRule="auto"/>
        <w:rPr>
          <w:sz w:val="20"/>
          <w:szCs w:val="20"/>
          <w:color w:val="auto"/>
        </w:rPr>
      </w:pPr>
      <w:r>
        <w:rPr>
          <w:rFonts w:ascii="Arial" w:cs="Arial" w:eastAsia="Arial" w:hAnsi="Arial"/>
          <w:sz w:val="19"/>
          <w:szCs w:val="19"/>
          <w:color w:val="auto"/>
        </w:rPr>
        <w:t>Reconciliation of Adjusted EBITDA on a forward-looking basis to net loss, the most directly comparable GAAP measure, is not available without unreasonable efforts due to the high variability and complexity and low visibility with respect to the charges excluded from this non-GAAP measure; in particular, the effects of stock-based compensation expense specific to equity compensation awards that are directly impacted by unpredictable fluctuations in Xometry’s stock price. Xometry expects the variability of the above charges to have a significant, and potentially unpredictable, impact on its future GAAP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0"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loss and non-GAAP Earnings Per Share,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87"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ind w:right="5000"/>
        <w:spacing w:after="0" w:line="325"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w:t>
      </w:r>
    </w:p>
    <w:p>
      <w:pPr>
        <w:spacing w:after="0" w:line="2" w:lineRule="exact"/>
        <w:rPr>
          <w:sz w:val="20"/>
          <w:szCs w:val="20"/>
          <w:color w:val="auto"/>
        </w:rPr>
      </w:pPr>
    </w:p>
    <w:p>
      <w:pPr>
        <w:ind w:right="520"/>
        <w:spacing w:after="0" w:line="257" w:lineRule="auto"/>
        <w:rPr>
          <w:sz w:val="20"/>
          <w:szCs w:val="20"/>
          <w:color w:val="auto"/>
        </w:rPr>
      </w:pPr>
      <w:r>
        <w:rPr>
          <w:rFonts w:ascii="Arial" w:cs="Arial" w:eastAsia="Arial" w:hAnsi="Arial"/>
          <w:sz w:val="20"/>
          <w:szCs w:val="20"/>
          <w:b w:val="1"/>
          <w:bCs w:val="1"/>
          <w:color w:val="auto"/>
        </w:rPr>
        <w:t xml:space="preserve">Supplier service revenue: </w:t>
      </w:r>
      <w:r>
        <w:rPr>
          <w:rFonts w:ascii="Arial" w:cs="Arial" w:eastAsia="Arial" w:hAnsi="Arial"/>
          <w:sz w:val="20"/>
          <w:szCs w:val="20"/>
          <w:color w:val="auto"/>
        </w:rPr>
        <w:t>includes the sales of advertising on Thomasnet, marketing services, supplies, financial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other fintech products.</w:t>
      </w:r>
    </w:p>
    <w:p>
      <w:pPr>
        <w:spacing w:after="0" w:line="20" w:lineRule="exact"/>
        <w:rPr>
          <w:sz w:val="20"/>
          <w:szCs w:val="20"/>
          <w:color w:val="auto"/>
        </w:rPr>
      </w:pPr>
    </w:p>
    <w:p>
      <w:pPr>
        <w:ind w:right="460"/>
        <w:spacing w:after="0" w:line="241"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35"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supplies. The Company defines Active Suppliers as suppliers that have used our platform at least once during the last twelve months to manufacture a product or buy tools or supplies.</w:t>
      </w:r>
    </w:p>
    <w:p>
      <w:pPr>
        <w:spacing w:after="0" w:line="39" w:lineRule="exact"/>
        <w:rPr>
          <w:sz w:val="20"/>
          <w:szCs w:val="20"/>
          <w:color w:val="auto"/>
        </w:rPr>
      </w:pPr>
    </w:p>
    <w:p>
      <w:pPr>
        <w:jc w:val="both"/>
        <w:ind w:right="140"/>
        <w:spacing w:after="0" w:line="260"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8"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35"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auto"/>
        </w:rPr>
        <w:t xml:space="preserve">Active Paying Suppliers: </w:t>
      </w:r>
      <w:r>
        <w:rPr>
          <w:rFonts w:ascii="Arial" w:cs="Arial" w:eastAsia="Arial" w:hAnsi="Arial"/>
          <w:sz w:val="20"/>
          <w:szCs w:val="20"/>
          <w:color w:val="auto"/>
        </w:rPr>
        <w:t>The Company defines Active Paying Suppliers as individuals or businesses who have purchased one</w:t>
      </w:r>
      <w:r>
        <w:rPr>
          <w:rFonts w:ascii="Arial" w:cs="Arial" w:eastAsia="Arial" w:hAnsi="Arial"/>
          <w:sz w:val="20"/>
          <w:szCs w:val="20"/>
          <w:b w:val="1"/>
          <w:bCs w:val="1"/>
          <w:color w:val="auto"/>
        </w:rPr>
        <w:t xml:space="preserve"> </w:t>
      </w:r>
      <w:r>
        <w:rPr>
          <w:rFonts w:ascii="Arial" w:cs="Arial" w:eastAsia="Arial" w:hAnsi="Arial"/>
          <w:sz w:val="20"/>
          <w:szCs w:val="20"/>
          <w:color w:val="auto"/>
        </w:rPr>
        <w:t>or more of our supplier services, including digital marketing services, data services, financial services or supplies on our platforms during the last twelve months.</w:t>
      </w:r>
    </w:p>
    <w:p>
      <w:pPr>
        <w:spacing w:after="0" w:line="35" w:lineRule="exact"/>
        <w:rPr>
          <w:sz w:val="20"/>
          <w:szCs w:val="20"/>
          <w:color w:val="auto"/>
        </w:rPr>
      </w:pPr>
    </w:p>
    <w:p>
      <w:pPr>
        <w:ind w:right="80"/>
        <w:spacing w:after="0" w:line="244" w:lineRule="auto"/>
        <w:rPr>
          <w:sz w:val="20"/>
          <w:szCs w:val="20"/>
          <w:color w:val="auto"/>
        </w:rPr>
      </w:pPr>
      <w:r>
        <w:rPr>
          <w:rFonts w:ascii="Arial" w:cs="Arial" w:eastAsia="Arial" w:hAnsi="Arial"/>
          <w:sz w:val="19"/>
          <w:szCs w:val="19"/>
          <w:b w:val="1"/>
          <w:bCs w:val="1"/>
          <w:color w:val="auto"/>
        </w:rPr>
        <w:t>Adjusted earnings before interest, taxes, depreciation and amortization (Adjusted EBITDA)</w:t>
      </w:r>
      <w:r>
        <w:rPr>
          <w:rFonts w:ascii="Arial" w:cs="Arial" w:eastAsia="Arial" w:hAnsi="Arial"/>
          <w:sz w:val="19"/>
          <w:szCs w:val="19"/>
          <w:color w:val="auto"/>
        </w:rPr>
        <w:t>: The Company defines</w:t>
      </w:r>
      <w:r>
        <w:rPr>
          <w:rFonts w:ascii="Arial" w:cs="Arial" w:eastAsia="Arial" w:hAnsi="Arial"/>
          <w:sz w:val="19"/>
          <w:szCs w:val="19"/>
          <w:b w:val="1"/>
          <w:bCs w:val="1"/>
          <w:color w:val="auto"/>
        </w:rPr>
        <w:t xml:space="preserve"> </w:t>
      </w:r>
      <w:r>
        <w:rPr>
          <w:rFonts w:ascii="Arial" w:cs="Arial" w:eastAsia="Arial" w:hAnsi="Arial"/>
          <w:sz w:val="19"/>
          <w:szCs w:val="19"/>
          <w:color w:val="auto"/>
        </w:rPr>
        <w:t>Adjusted EBITDA as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charitable contributions of common stock, income from unconsolidated joint venture, impairment of assets, lease abandonment, restructuring charges, costs to exit the supplies business and acquisition and other adjustments not reflective of the Company’s ongoing business, such as adjustments related to purchase accounting, the revaluation of contingent consideration and transaction costs.</w:t>
      </w:r>
    </w:p>
    <w:p>
      <w:pPr>
        <w:spacing w:after="0" w:line="36"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b w:val="1"/>
          <w:bCs w:val="1"/>
          <w:color w:val="auto"/>
        </w:rPr>
        <w:t xml:space="preserve">Non-GAAP net loss: </w:t>
      </w:r>
      <w:r>
        <w:rPr>
          <w:rFonts w:ascii="Arial" w:cs="Arial" w:eastAsia="Arial" w:hAnsi="Arial"/>
          <w:sz w:val="20"/>
          <w:szCs w:val="20"/>
          <w:color w:val="auto"/>
        </w:rPr>
        <w:t>The Company defines non-GAAP net loss as net loss adjusted for depreciation and amortization, stock-based compensation expense, amortization of lease intangible, amortization of deferred costs on convertible notes, loss on marketable securities, loss on sale of property and equipment, charitable contributions of common stock, impairment of assets, lease abandonment and termination costs, restructuring charges, costs to exit the supplies business and acquisition and other adjustments not reflective of the Company’s ongoing business, such as adjustments related to purchase accounting, the revaluation of contingent consideration and transaction costs.</w:t>
      </w:r>
    </w:p>
    <w:p>
      <w:pPr>
        <w:spacing w:after="0" w:line="36" w:lineRule="exact"/>
        <w:rPr>
          <w:sz w:val="20"/>
          <w:szCs w:val="20"/>
          <w:color w:val="auto"/>
        </w:rPr>
      </w:pPr>
    </w:p>
    <w:p>
      <w:pPr>
        <w:jc w:val="both"/>
        <w:ind w:right="460"/>
        <w:spacing w:after="0" w:line="241"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loss divided by weighted average number of common stock outstanding.</w:t>
      </w:r>
    </w:p>
    <w:p>
      <w:pPr>
        <w:spacing w:after="0" w:line="45"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Xometry</w:t>
      </w:r>
    </w:p>
    <w:p>
      <w:pPr>
        <w:spacing w:after="0" w:line="10"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Xometry’s (NASDAQ:XMTR) AI-powered marketplace, popular Thomasnet industrial sourcing platform and suite of cloud-based services are rapidly digitizing the $2.4 trillion manufacturing industry. Xometry provides manufacturers the critical resources they need to grow their business and makes it easy for buyers to access global manufacturing capacity and create locally resilient supply chains. The Xometry Instant Quoting Engine® leverages millions of pieces of data to analyze complex parts quickly and effectively in real-time, match buyers with the right suppliers globally and provide accurate pricing and lead times. Through its extensible marketplace, Xometry continuously scales its offerings, delivering an ever-expanding menu of manufacturing capabilities. Learn more at www.xometry.com or follow @xometry.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0" w:lineRule="exact"/>
        <w:rPr>
          <w:sz w:val="20"/>
          <w:szCs w:val="20"/>
          <w:color w:val="auto"/>
        </w:rPr>
      </w:pPr>
    </w:p>
    <w:p>
      <w:pPr>
        <w:ind w:right="420"/>
        <w:spacing w:after="0" w:line="232"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November 9, 2023. In addition to issuing a press release, the Company will post an earnings presentation to its investor website at investors.xometry.com.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Xometry, Inc. Third Quarter 2023 Earnings Presentation and Conference Call</w:t>
      </w:r>
    </w:p>
    <w:p>
      <w:pPr>
        <w:ind w:left="1020" w:hanging="504"/>
        <w:spacing w:after="0"/>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8:30 a.m. Eastern / 5:30 a.m. Pacific on Thursday, November 9, 2023</w:t>
      </w:r>
    </w:p>
    <w:p>
      <w:pPr>
        <w:ind w:left="1020" w:hanging="504"/>
        <w:spacing w:after="0"/>
        <w:tabs>
          <w:tab w:leader="none" w:pos="1020" w:val="left"/>
        </w:tabs>
        <w:numPr>
          <w:ilvl w:val="0"/>
          <w:numId w:val="8"/>
        </w:numPr>
        <w:rPr>
          <w:rFonts w:ascii="Arial" w:cs="Arial" w:eastAsia="Arial" w:hAnsi="Arial"/>
          <w:sz w:val="19"/>
          <w:szCs w:val="19"/>
          <w:color w:val="auto"/>
        </w:rPr>
      </w:pPr>
      <w:r>
        <w:rPr>
          <w:rFonts w:ascii="Arial" w:cs="Arial" w:eastAsia="Arial" w:hAnsi="Arial"/>
          <w:sz w:val="19"/>
          <w:szCs w:val="19"/>
          <w:color w:val="auto"/>
        </w:rPr>
        <w:t>To register please use the following link: https://register.vevent.com/register/BI1d244cfd8ee84a47a1618245cd6518fb</w:t>
      </w:r>
    </w:p>
    <w:p>
      <w:pPr>
        <w:spacing w:after="0" w:line="10" w:lineRule="exact"/>
        <w:rPr>
          <w:rFonts w:ascii="Arial" w:cs="Arial" w:eastAsia="Arial" w:hAnsi="Arial"/>
          <w:sz w:val="19"/>
          <w:szCs w:val="19"/>
          <w:color w:val="auto"/>
        </w:rPr>
      </w:pPr>
    </w:p>
    <w:p>
      <w:pPr>
        <w:ind w:left="1020" w:right="140" w:hanging="504"/>
        <w:spacing w:after="0" w:line="236" w:lineRule="auto"/>
        <w:tabs>
          <w:tab w:leader="none" w:pos="1020" w:val="left"/>
        </w:tabs>
        <w:numPr>
          <w:ilvl w:val="0"/>
          <w:numId w:val="8"/>
        </w:numPr>
        <w:rPr>
          <w:rFonts w:ascii="Arial" w:cs="Arial" w:eastAsia="Arial" w:hAnsi="Arial"/>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10" w:lineRule="exact"/>
        <w:rPr>
          <w:sz w:val="20"/>
          <w:szCs w:val="20"/>
          <w:color w:val="auto"/>
        </w:rPr>
      </w:pPr>
    </w:p>
    <w:p>
      <w:pPr>
        <w:ind w:right="20"/>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fourth quarter 2023, our expectation regarding our operating leverage and path to Adjusted EBITDA profitability in the fourth quarter of 2023, our potential for growth, and demand for our marketplaces in general.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the current inflationary environment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period ended December 31, 2022,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220"/>
          </w:cols>
          <w:pgMar w:left="320" w:top="436" w:right="359" w:bottom="1440" w:gutter="0" w:footer="0" w:header="0"/>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Investor Contact: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Shawn Milne</w:t>
      </w:r>
    </w:p>
    <w:p>
      <w:pPr>
        <w:ind w:left="20"/>
        <w:spacing w:after="0" w:line="231" w:lineRule="auto"/>
        <w:rPr>
          <w:sz w:val="20"/>
          <w:szCs w:val="20"/>
          <w:color w:val="auto"/>
        </w:rPr>
      </w:pPr>
      <w:r>
        <w:rPr>
          <w:rFonts w:ascii="Arial" w:cs="Arial" w:eastAsia="Arial" w:hAnsi="Arial"/>
          <w:sz w:val="17"/>
          <w:szCs w:val="17"/>
          <w:color w:val="auto"/>
        </w:rPr>
        <w:t>VP Investor Relations</w:t>
      </w:r>
    </w:p>
    <w:p>
      <w:pPr>
        <w:ind w:left="20"/>
        <w:spacing w:after="0" w:line="232" w:lineRule="auto"/>
        <w:rPr>
          <w:sz w:val="20"/>
          <w:szCs w:val="20"/>
          <w:color w:val="auto"/>
        </w:rPr>
      </w:pPr>
      <w:r>
        <w:rPr>
          <w:rFonts w:ascii="Arial" w:cs="Arial" w:eastAsia="Arial" w:hAnsi="Arial"/>
          <w:sz w:val="17"/>
          <w:szCs w:val="17"/>
          <w:color w:val="auto"/>
        </w:rPr>
        <w:t>240-335-8132</w:t>
      </w:r>
    </w:p>
    <w:p>
      <w:pPr>
        <w:ind w:left="20"/>
        <w:spacing w:after="0"/>
        <w:rPr>
          <w:sz w:val="20"/>
          <w:szCs w:val="20"/>
          <w:color w:val="auto"/>
        </w:rPr>
      </w:pPr>
      <w:r>
        <w:rPr>
          <w:rFonts w:ascii="Arial" w:cs="Arial" w:eastAsia="Arial" w:hAnsi="Arial"/>
          <w:sz w:val="16"/>
          <w:szCs w:val="16"/>
          <w:color w:val="auto"/>
        </w:rPr>
        <w:t>shawn.milne@xometry.com</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Matthew Hutchison</w:t>
      </w:r>
    </w:p>
    <w:p>
      <w:pPr>
        <w:spacing w:after="0" w:line="231" w:lineRule="auto"/>
        <w:rPr>
          <w:sz w:val="20"/>
          <w:szCs w:val="20"/>
          <w:color w:val="auto"/>
        </w:rPr>
      </w:pPr>
      <w:r>
        <w:rPr>
          <w:rFonts w:ascii="Arial" w:cs="Arial" w:eastAsia="Arial" w:hAnsi="Arial"/>
          <w:sz w:val="17"/>
          <w:szCs w:val="17"/>
          <w:color w:val="auto"/>
        </w:rPr>
        <w:t>Corporate Communications for Xometry</w:t>
      </w:r>
    </w:p>
    <w:p>
      <w:pPr>
        <w:spacing w:after="0" w:line="232" w:lineRule="auto"/>
        <w:rPr>
          <w:sz w:val="20"/>
          <w:szCs w:val="20"/>
          <w:color w:val="auto"/>
        </w:rPr>
      </w:pPr>
      <w:r>
        <w:rPr>
          <w:rFonts w:ascii="Arial" w:cs="Arial" w:eastAsia="Arial" w:hAnsi="Arial"/>
          <w:sz w:val="17"/>
          <w:szCs w:val="17"/>
          <w:color w:val="auto"/>
        </w:rPr>
        <w:t>415-583-2119</w:t>
      </w:r>
    </w:p>
    <w:p>
      <w:pPr>
        <w:spacing w:after="0"/>
        <w:rPr>
          <w:sz w:val="20"/>
          <w:szCs w:val="20"/>
          <w:color w:val="auto"/>
        </w:rPr>
      </w:pPr>
      <w:r>
        <w:rPr>
          <w:rFonts w:ascii="Arial" w:cs="Arial" w:eastAsia="Arial" w:hAnsi="Arial"/>
          <w:sz w:val="17"/>
          <w:szCs w:val="17"/>
          <w:color w:val="auto"/>
        </w:rPr>
        <w:t>matthew.hutchison@xometry.com</w:t>
      </w:r>
    </w:p>
    <w:p>
      <w:pPr>
        <w:spacing w:after="0" w:line="200" w:lineRule="exact"/>
        <w:rPr>
          <w:sz w:val="20"/>
          <w:szCs w:val="20"/>
          <w:color w:val="auto"/>
        </w:rPr>
      </w:pPr>
    </w:p>
    <w:p>
      <w:pPr>
        <w:sectPr>
          <w:pgSz w:w="11900" w:h="16838" w:orient="portrait"/>
          <w:cols w:equalWidth="0" w:num="2">
            <w:col w:w="4920" w:space="720"/>
            <w:col w:w="5580"/>
          </w:cols>
          <w:pgMar w:left="320" w:top="436" w:right="35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3280"/>
        <w:spacing w:after="0" w:line="235" w:lineRule="auto"/>
        <w:rPr>
          <w:sz w:val="20"/>
          <w:szCs w:val="20"/>
          <w:color w:val="auto"/>
        </w:rPr>
      </w:pPr>
      <w:r>
        <w:rPr>
          <w:rFonts w:ascii="Arial" w:cs="Arial" w:eastAsia="Arial" w:hAnsi="Arial"/>
          <w:sz w:val="20"/>
          <w:szCs w:val="20"/>
          <w:color w:val="auto"/>
        </w:rPr>
        <w:t>Unaudited Condensed Consolidated Balance Sheets</w:t>
      </w:r>
    </w:p>
    <w:p>
      <w:pPr>
        <w:ind w:left="3520"/>
        <w:spacing w:after="0"/>
        <w:rPr>
          <w:sz w:val="20"/>
          <w:szCs w:val="20"/>
          <w:color w:val="auto"/>
        </w:rPr>
      </w:pPr>
      <w:r>
        <w:rPr>
          <w:rFonts w:ascii="Arial" w:cs="Arial" w:eastAsia="Arial" w:hAnsi="Arial"/>
          <w:sz w:val="20"/>
          <w:szCs w:val="20"/>
          <w:color w:val="auto"/>
        </w:rPr>
        <w:t>(In thousands, except share and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0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44,373</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65,662</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232,400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253,770</w:t>
            </w:r>
          </w:p>
        </w:tc>
        <w:tc>
          <w:tcPr>
            <w:tcW w:w="100" w:type="dxa"/>
            <w:vAlign w:val="bottom"/>
          </w:tcPr>
          <w:p>
            <w:pPr>
              <w:spacing w:after="0"/>
              <w:rPr>
                <w:sz w:val="19"/>
                <w:szCs w:val="19"/>
                <w:color w:val="auto"/>
              </w:rPr>
            </w:pPr>
          </w:p>
        </w:tc>
      </w:tr>
      <w:tr>
        <w:trPr>
          <w:trHeight w:val="203"/>
        </w:trPr>
        <w:tc>
          <w:tcPr>
            <w:tcW w:w="800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Accounts receivable, less allowance for credit losses of $2.1 million and $2.0 million as of</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September 30, 2023 and December 31, 2022</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63,974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49,188</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19"/>
                <w:szCs w:val="19"/>
                <w:color w:val="auto"/>
              </w:rPr>
            </w:pPr>
          </w:p>
        </w:tc>
      </w:tr>
      <w:tr>
        <w:trPr>
          <w:trHeight w:val="223"/>
        </w:trPr>
        <w:tc>
          <w:tcPr>
            <w:tcW w:w="800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390,055</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19,079</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25,923</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Investment in unconsolidated joint venture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39,351</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262,898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258,036</w:t>
            </w:r>
          </w:p>
        </w:tc>
        <w:tc>
          <w:tcPr>
            <w:tcW w:w="100" w:type="dxa"/>
            <w:vAlign w:val="bottom"/>
          </w:tcPr>
          <w:p>
            <w:pPr>
              <w:spacing w:after="0"/>
              <w:rPr>
                <w:sz w:val="19"/>
                <w:szCs w:val="19"/>
                <w:color w:val="auto"/>
              </w:rPr>
            </w:pPr>
          </w:p>
        </w:tc>
      </w:tr>
      <w:tr>
        <w:trPr>
          <w:trHeight w:val="229"/>
        </w:trPr>
        <w:tc>
          <w:tcPr>
            <w:tcW w:w="8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0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700,529</w:t>
            </w:r>
          </w:p>
        </w:tc>
        <w:tc>
          <w:tcPr>
            <w:tcW w:w="1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736,925</w:t>
            </w:r>
          </w:p>
        </w:tc>
        <w:tc>
          <w:tcPr>
            <w:tcW w:w="10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13,326</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12,437</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33,430</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8,509</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9"/>
                <w:szCs w:val="19"/>
                <w:color w:val="auto"/>
              </w:rPr>
            </w:pPr>
          </w:p>
        </w:tc>
      </w:tr>
      <w:tr>
        <w:trPr>
          <w:trHeight w:val="229"/>
        </w:trPr>
        <w:tc>
          <w:tcPr>
            <w:tcW w:w="80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0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67,790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63,803</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Convertible notes</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281,305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279,909</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r>
      <w:tr>
        <w:trPr>
          <w:trHeight w:val="223"/>
        </w:trPr>
        <w:tc>
          <w:tcPr>
            <w:tcW w:w="80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363,632</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8000" w:type="dxa"/>
            <w:vAlign w:val="bottom"/>
          </w:tcPr>
          <w:p>
            <w:pPr>
              <w:ind w:left="280"/>
              <w:spacing w:after="0" w:line="203" w:lineRule="exact"/>
              <w:rPr>
                <w:sz w:val="20"/>
                <w:szCs w:val="20"/>
                <w:color w:val="auto"/>
              </w:rPr>
            </w:pPr>
            <w:r>
              <w:rPr>
                <w:rFonts w:ascii="Arial" w:cs="Arial" w:eastAsia="Arial" w:hAnsi="Arial"/>
                <w:sz w:val="18"/>
                <w:szCs w:val="18"/>
                <w:color w:val="auto"/>
              </w:rPr>
              <w:t>Preferred stock, $0.000001 par value. Authorized; 50,000,000 shares; zero shares issued and</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outstanding as of September 30, 2023 and December 31, 2022, respectively</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800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Class A Common stock, $0.000001 par value. Authorized; 750,000,000 shares; 45,346,289</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80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shares and 44,822,264 shares issued and outstanding as of September 30, 2023 and</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December 31, 2022, respectively</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8000" w:type="dxa"/>
            <w:vAlign w:val="bottom"/>
          </w:tcPr>
          <w:p>
            <w:pPr>
              <w:ind w:left="280"/>
              <w:spacing w:after="0" w:line="203" w:lineRule="exact"/>
              <w:rPr>
                <w:sz w:val="20"/>
                <w:szCs w:val="20"/>
                <w:color w:val="auto"/>
              </w:rPr>
            </w:pPr>
            <w:r>
              <w:rPr>
                <w:rFonts w:ascii="Arial" w:cs="Arial" w:eastAsia="Arial" w:hAnsi="Arial"/>
                <w:sz w:val="18"/>
                <w:szCs w:val="18"/>
                <w:color w:val="auto"/>
              </w:rPr>
              <w:t>Class B Common stock, $0.000001 par value. Authorized; 5,000,000 shares; 2,676,154</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000" w:type="dxa"/>
            <w:vAlign w:val="bottom"/>
          </w:tcPr>
          <w:p>
            <w:pPr>
              <w:ind w:left="280"/>
              <w:spacing w:after="0" w:line="202" w:lineRule="exact"/>
              <w:rPr>
                <w:sz w:val="20"/>
                <w:szCs w:val="20"/>
                <w:color w:val="auto"/>
              </w:rPr>
            </w:pPr>
            <w:r>
              <w:rPr>
                <w:rFonts w:ascii="Arial" w:cs="Arial" w:eastAsia="Arial" w:hAnsi="Arial"/>
                <w:sz w:val="18"/>
                <w:szCs w:val="18"/>
                <w:color w:val="auto"/>
              </w:rPr>
              <w:t>shares issued and outstanding as of September 30, 2023 and December 31, 2022,</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641,607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623,081</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(306,287 )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(249,366 )</w:t>
            </w:r>
          </w:p>
        </w:tc>
      </w:tr>
      <w:tr>
        <w:trPr>
          <w:trHeight w:val="223"/>
        </w:trPr>
        <w:tc>
          <w:tcPr>
            <w:tcW w:w="80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335,762</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373,743</w:t>
            </w:r>
          </w:p>
        </w:tc>
        <w:tc>
          <w:tcPr>
            <w:tcW w:w="100" w:type="dxa"/>
            <w:vAlign w:val="bottom"/>
            <w:tcBorders>
              <w:top w:val="single" w:sz="8" w:color="CFF0FC"/>
            </w:tcBorders>
          </w:tcPr>
          <w:p>
            <w:pPr>
              <w:spacing w:after="0"/>
              <w:rPr>
                <w:sz w:val="19"/>
                <w:szCs w:val="19"/>
                <w:color w:val="auto"/>
              </w:rPr>
            </w:pPr>
          </w:p>
        </w:tc>
      </w:tr>
      <w:tr>
        <w:trPr>
          <w:trHeight w:val="229"/>
        </w:trPr>
        <w:tc>
          <w:tcPr>
            <w:tcW w:w="80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Noncontrolling interest</w:t>
            </w: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00" w:type="dxa"/>
            <w:vAlign w:val="bottom"/>
          </w:tcPr>
          <w:p>
            <w:pPr>
              <w:ind w:left="5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374,833</w:t>
            </w:r>
          </w:p>
        </w:tc>
        <w:tc>
          <w:tcPr>
            <w:tcW w:w="100" w:type="dxa"/>
            <w:vAlign w:val="bottom"/>
          </w:tcPr>
          <w:p>
            <w:pPr>
              <w:spacing w:after="0"/>
              <w:rPr>
                <w:sz w:val="19"/>
                <w:szCs w:val="19"/>
                <w:color w:val="auto"/>
              </w:rPr>
            </w:pPr>
          </w:p>
        </w:tc>
      </w:tr>
      <w:tr>
        <w:trPr>
          <w:trHeight w:val="263"/>
        </w:trPr>
        <w:tc>
          <w:tcPr>
            <w:tcW w:w="8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700,529</w:t>
            </w:r>
          </w:p>
        </w:tc>
        <w:tc>
          <w:tcPr>
            <w:tcW w:w="120" w:type="dxa"/>
            <w:vAlign w:val="bottom"/>
            <w:shd w:val="clear" w:color="auto" w:fill="CFF0FC"/>
          </w:tcPr>
          <w:p>
            <w:pPr>
              <w:spacing w:after="0"/>
              <w:rPr>
                <w:sz w:val="22"/>
                <w:szCs w:val="22"/>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736,925</w:t>
            </w:r>
          </w:p>
        </w:tc>
        <w:tc>
          <w:tcPr>
            <w:tcW w:w="100" w:type="dxa"/>
            <w:vAlign w:val="bottom"/>
            <w:shd w:val="clear" w:color="auto" w:fill="CFF0FC"/>
          </w:tcPr>
          <w:p>
            <w:pPr>
              <w:spacing w:after="0"/>
              <w:rPr>
                <w:sz w:val="22"/>
                <w:szCs w:val="22"/>
                <w:color w:val="auto"/>
              </w:rPr>
            </w:pPr>
          </w:p>
        </w:tc>
      </w:tr>
      <w:tr>
        <w:trPr>
          <w:trHeight w:val="857"/>
        </w:trPr>
        <w:tc>
          <w:tcPr>
            <w:tcW w:w="8000" w:type="dxa"/>
            <w:vAlign w:val="bottom"/>
            <w:tcBorders>
              <w:top w:val="single" w:sz="8" w:color="CFF0FC"/>
            </w:tcBorders>
          </w:tcPr>
          <w:p>
            <w:pPr>
              <w:ind w:left="558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8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-5179695</wp:posOffset>
            </wp:positionV>
            <wp:extent cx="685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-5179695</wp:posOffset>
            </wp:positionV>
            <wp:extent cx="685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-3980815</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-3980815</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-3090545</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-3090545</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-1275080</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-975360</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-667385</wp:posOffset>
            </wp:positionV>
            <wp:extent cx="113855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8555"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5" w:lineRule="auto"/>
        <w:rPr>
          <w:sz w:val="20"/>
          <w:szCs w:val="20"/>
          <w:color w:val="auto"/>
        </w:rPr>
      </w:pPr>
      <w:r>
        <w:rPr>
          <w:rFonts w:ascii="Arial" w:cs="Arial" w:eastAsia="Arial" w:hAnsi="Arial"/>
          <w:sz w:val="20"/>
          <w:szCs w:val="20"/>
          <w:color w:val="auto"/>
        </w:rPr>
        <w:t>Unaudited Condensed Consolidated Statements of Operations and Comprehensive Loss</w:t>
      </w:r>
    </w:p>
    <w:p>
      <w:pPr>
        <w:jc w:val="center"/>
        <w:spacing w:after="0"/>
        <w:rPr>
          <w:sz w:val="20"/>
          <w:szCs w:val="20"/>
          <w:color w:val="auto"/>
        </w:rPr>
      </w:pPr>
      <w:r>
        <w:rPr>
          <w:rFonts w:ascii="Arial" w:cs="Arial" w:eastAsia="Arial" w:hAnsi="Arial"/>
          <w:sz w:val="20"/>
          <w:szCs w:val="20"/>
          <w:color w:val="auto"/>
        </w:rPr>
        <w:t>(In thousands, except share and per share amounts)</w:t>
      </w:r>
    </w:p>
    <w:tbl>
      <w:tblPr>
        <w:tblLayout w:type="fixed"/>
        <w:tblInd w:w="0" w:type="dxa"/>
        <w:tblCellMar>
          <w:top w:w="0" w:type="dxa"/>
          <w:left w:w="0" w:type="dxa"/>
          <w:bottom w:w="0" w:type="dxa"/>
          <w:right w:w="0" w:type="dxa"/>
        </w:tblCellMar>
      </w:tblPr>
      <w:tr>
        <w:trPr>
          <w:trHeight w:val="151"/>
        </w:trPr>
        <w:tc>
          <w:tcPr>
            <w:tcW w:w="5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gridSpan w:val="5"/>
          </w:tcPr>
          <w:p>
            <w:pPr>
              <w:jc w:val="center"/>
              <w:ind w:right="520"/>
              <w:spacing w:after="0" w:line="151"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3"/>
                <w:szCs w:val="13"/>
                <w:color w:val="auto"/>
              </w:rPr>
            </w:pPr>
          </w:p>
        </w:tc>
        <w:tc>
          <w:tcPr>
            <w:tcW w:w="2500" w:type="dxa"/>
            <w:vAlign w:val="bottom"/>
            <w:gridSpan w:val="5"/>
          </w:tcPr>
          <w:p>
            <w:pPr>
              <w:jc w:val="center"/>
              <w:ind w:right="400"/>
              <w:spacing w:after="0" w:line="151"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118,927</w:t>
            </w: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103,571</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335,261</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282,857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72,678</w:t>
            </w: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62,670</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206,087</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Gross profit</w:t>
            </w: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46,249</w:t>
            </w:r>
          </w:p>
        </w:tc>
        <w:tc>
          <w:tcPr>
            <w:tcW w:w="2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40,901</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129,174</w:t>
            </w:r>
          </w:p>
        </w:tc>
        <w:tc>
          <w:tcPr>
            <w:tcW w:w="2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111,536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23,210</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21,416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68,315</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58,846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12,622</w:t>
            </w: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11,620</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39,450</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8,523</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7,613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25,570</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22,698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14,940</w:t>
            </w: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15,126</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56,479</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Impairment of assets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59,446</w:t>
            </w:r>
          </w:p>
        </w:tc>
        <w:tc>
          <w:tcPr>
            <w:tcW w:w="2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56,100</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190,211</w:t>
            </w:r>
          </w:p>
        </w:tc>
        <w:tc>
          <w:tcPr>
            <w:tcW w:w="2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161,289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200"/>
              <w:spacing w:after="0"/>
              <w:rPr>
                <w:sz w:val="20"/>
                <w:szCs w:val="20"/>
                <w:color w:val="auto"/>
              </w:rPr>
            </w:pPr>
            <w:r>
              <w:rPr>
                <w:rFonts w:ascii="Arial" w:cs="Arial" w:eastAsia="Arial" w:hAnsi="Arial"/>
                <w:sz w:val="14"/>
                <w:szCs w:val="14"/>
                <w:b w:val="1"/>
                <w:bCs w:val="1"/>
                <w:color w:val="auto"/>
              </w:rPr>
              <w:t>Loss from operations</w:t>
            </w:r>
          </w:p>
        </w:tc>
        <w:tc>
          <w:tcPr>
            <w:tcW w:w="2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(13,197 )</w:t>
            </w:r>
          </w:p>
        </w:tc>
        <w:tc>
          <w:tcPr>
            <w:tcW w:w="4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(15,199 )</w:t>
            </w:r>
          </w:p>
        </w:tc>
        <w:tc>
          <w:tcPr>
            <w:tcW w:w="28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(61,037 )</w:t>
            </w:r>
          </w:p>
        </w:tc>
        <w:tc>
          <w:tcPr>
            <w:tcW w:w="4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(49,753 )</w:t>
            </w:r>
          </w:p>
        </w:tc>
        <w:tc>
          <w:tcPr>
            <w:tcW w:w="0" w:type="dxa"/>
            <w:vAlign w:val="bottom"/>
          </w:tcPr>
          <w:p>
            <w:pPr>
              <w:spacing w:after="0"/>
              <w:rPr>
                <w:sz w:val="1"/>
                <w:szCs w:val="1"/>
                <w:color w:val="auto"/>
              </w:rPr>
            </w:pPr>
          </w:p>
        </w:tc>
      </w:tr>
      <w:tr>
        <w:trPr>
          <w:trHeight w:val="189"/>
        </w:trPr>
        <w:tc>
          <w:tcPr>
            <w:tcW w:w="5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income (expenses)</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(1,205 )</w:t>
            </w:r>
          </w:p>
        </w:tc>
        <w:tc>
          <w:tcPr>
            <w:tcW w:w="4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(1,194 )</w:t>
            </w:r>
          </w:p>
        </w:tc>
        <w:tc>
          <w:tcPr>
            <w:tcW w:w="2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(3,596 )</w:t>
            </w:r>
          </w:p>
        </w:tc>
        <w:tc>
          <w:tcPr>
            <w:tcW w:w="4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(3,172 )</w:t>
            </w:r>
          </w:p>
        </w:tc>
        <w:tc>
          <w:tcPr>
            <w:tcW w:w="0" w:type="dxa"/>
            <w:vAlign w:val="bottom"/>
          </w:tcPr>
          <w:p>
            <w:pPr>
              <w:spacing w:after="0"/>
              <w:rPr>
                <w:sz w:val="1"/>
                <w:szCs w:val="1"/>
                <w:color w:val="auto"/>
              </w:rPr>
            </w:pPr>
          </w:p>
        </w:tc>
      </w:tr>
      <w:tr>
        <w:trPr>
          <w:trHeight w:val="189"/>
        </w:trPr>
        <w:tc>
          <w:tcPr>
            <w:tcW w:w="5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dividend income</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2,994</w:t>
            </w: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8,648</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28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(597 )</w:t>
            </w:r>
          </w:p>
        </w:tc>
        <w:tc>
          <w:tcPr>
            <w:tcW w:w="4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(289 )</w:t>
            </w:r>
          </w:p>
        </w:tc>
        <w:tc>
          <w:tcPr>
            <w:tcW w:w="2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(1,156 )</w:t>
            </w:r>
          </w:p>
        </w:tc>
        <w:tc>
          <w:tcPr>
            <w:tcW w:w="4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(1,733 )</w:t>
            </w:r>
          </w:p>
        </w:tc>
        <w:tc>
          <w:tcPr>
            <w:tcW w:w="0" w:type="dxa"/>
            <w:vAlign w:val="bottom"/>
          </w:tcPr>
          <w:p>
            <w:pPr>
              <w:spacing w:after="0"/>
              <w:rPr>
                <w:sz w:val="1"/>
                <w:szCs w:val="1"/>
                <w:color w:val="auto"/>
              </w:rPr>
            </w:pPr>
          </w:p>
        </w:tc>
      </w:tr>
      <w:tr>
        <w:trPr>
          <w:trHeight w:val="189"/>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from unconsolidated joint venture</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2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437</w:t>
            </w: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20"/>
              <w:spacing w:after="0"/>
              <w:rPr>
                <w:sz w:val="20"/>
                <w:szCs w:val="20"/>
                <w:color w:val="auto"/>
              </w:rPr>
            </w:pPr>
            <w:r>
              <w:rPr>
                <w:rFonts w:ascii="Arial" w:cs="Arial" w:eastAsia="Arial" w:hAnsi="Arial"/>
                <w:sz w:val="14"/>
                <w:szCs w:val="14"/>
                <w:color w:val="auto"/>
              </w:rPr>
              <w:t>Total other income (expenses)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1,326</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4,333</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(2,391 )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(11,871 )</w:t>
            </w:r>
          </w:p>
        </w:tc>
        <w:tc>
          <w:tcPr>
            <w:tcW w:w="4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(15,041 )</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(56,704 )</w:t>
            </w:r>
          </w:p>
        </w:tc>
        <w:tc>
          <w:tcPr>
            <w:tcW w:w="4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(52,144 )</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(Provision) benefit for income taxes</w:t>
            </w:r>
          </w:p>
        </w:tc>
        <w:tc>
          <w:tcPr>
            <w:tcW w:w="28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(139 )</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(208 )</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(12,010 )</w:t>
            </w:r>
          </w:p>
        </w:tc>
        <w:tc>
          <w:tcPr>
            <w:tcW w:w="4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(15,041 )</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(56,912 )</w:t>
            </w:r>
          </w:p>
        </w:tc>
        <w:tc>
          <w:tcPr>
            <w:tcW w:w="4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(51,585 )</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(12,023 )</w:t>
            </w: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(15,037 )</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(56,921 )</w:t>
            </w:r>
          </w:p>
        </w:tc>
        <w:tc>
          <w:tcPr>
            <w:tcW w:w="4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(51,602 )</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80" w:type="dxa"/>
            <w:vAlign w:val="bottom"/>
          </w:tcPr>
          <w:p>
            <w:pPr>
              <w:ind w:left="20"/>
              <w:spacing w:after="0" w:line="151" w:lineRule="exact"/>
              <w:rPr>
                <w:sz w:val="20"/>
                <w:szCs w:val="20"/>
                <w:color w:val="auto"/>
              </w:rPr>
            </w:pPr>
            <w:r>
              <w:rPr>
                <w:rFonts w:ascii="Arial" w:cs="Arial" w:eastAsia="Arial" w:hAnsi="Arial"/>
                <w:sz w:val="14"/>
                <w:szCs w:val="14"/>
                <w:color w:val="auto"/>
              </w:rPr>
              <w:t>Net loss per share, basic and diluted, of Class A and Class B common</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(0.25 )</w:t>
            </w:r>
          </w:p>
        </w:tc>
        <w:tc>
          <w:tcPr>
            <w:tcW w:w="400" w:type="dxa"/>
            <w:vAlign w:val="bottom"/>
            <w:vMerge w:val="restart"/>
          </w:tcPr>
          <w:p>
            <w:pPr>
              <w:jc w:val="right"/>
              <w:ind w:right="248"/>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(0.32 )</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(1.19 )</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140"/>
        </w:trPr>
        <w:tc>
          <w:tcPr>
            <w:tcW w:w="5480" w:type="dxa"/>
            <w:vAlign w:val="bottom"/>
          </w:tcPr>
          <w:p>
            <w:pPr>
              <w:ind w:left="140"/>
              <w:spacing w:after="0" w:line="120" w:lineRule="exact"/>
              <w:rPr>
                <w:sz w:val="20"/>
                <w:szCs w:val="20"/>
                <w:color w:val="auto"/>
              </w:rPr>
            </w:pPr>
            <w:r>
              <w:rPr>
                <w:rFonts w:ascii="Arial" w:cs="Arial" w:eastAsia="Arial" w:hAnsi="Arial"/>
                <w:sz w:val="13"/>
                <w:szCs w:val="13"/>
                <w:color w:val="auto"/>
              </w:rPr>
              <w:t>stock</w:t>
            </w:r>
          </w:p>
        </w:tc>
        <w:tc>
          <w:tcPr>
            <w:tcW w:w="28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8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Weighted-average number of shares outstanding used to compute</w:t>
            </w: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loss per share, basic and diluted, of Class A and Class B</w:t>
            </w:r>
          </w:p>
        </w:tc>
        <w:tc>
          <w:tcPr>
            <w:tcW w:w="28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47,989,277</w:t>
            </w: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47,303,090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47,852,671</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47,057,521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80" w:type="dxa"/>
            <w:vAlign w:val="bottom"/>
            <w:tcBorders>
              <w:bottom w:val="single" w:sz="8" w:color="CFF0FC"/>
            </w:tcBorders>
            <w:shd w:val="clear" w:color="auto" w:fill="CFF0FC"/>
          </w:tcPr>
          <w:p>
            <w:pPr>
              <w:ind w:left="140"/>
              <w:spacing w:after="0" w:line="120" w:lineRule="exact"/>
              <w:rPr>
                <w:sz w:val="20"/>
                <w:szCs w:val="20"/>
                <w:color w:val="auto"/>
              </w:rPr>
            </w:pPr>
            <w:r>
              <w:rPr>
                <w:rFonts w:ascii="Arial" w:cs="Arial" w:eastAsia="Arial" w:hAnsi="Arial"/>
                <w:sz w:val="13"/>
                <w:szCs w:val="13"/>
                <w:color w:val="auto"/>
              </w:rPr>
              <w:t>common stock</w:t>
            </w: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48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(559 )</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(573 )</w:t>
            </w: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80" w:type="dxa"/>
            <w:vAlign w:val="bottom"/>
          </w:tcPr>
          <w:p>
            <w:pPr>
              <w:ind w:left="380"/>
              <w:spacing w:after="0"/>
              <w:rPr>
                <w:sz w:val="20"/>
                <w:szCs w:val="20"/>
                <w:color w:val="auto"/>
              </w:rPr>
            </w:pPr>
            <w:r>
              <w:rPr>
                <w:rFonts w:ascii="Arial" w:cs="Arial" w:eastAsia="Arial" w:hAnsi="Arial"/>
                <w:sz w:val="14"/>
                <w:szCs w:val="14"/>
                <w:color w:val="auto"/>
              </w:rPr>
              <w:t>Total other comprehensive income (loss)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91</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(559 )</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450</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(573 )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(12,010 )</w:t>
            </w:r>
          </w:p>
        </w:tc>
        <w:tc>
          <w:tcPr>
            <w:tcW w:w="4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(15,041 )</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(56,912 )</w:t>
            </w:r>
          </w:p>
        </w:tc>
        <w:tc>
          <w:tcPr>
            <w:tcW w:w="4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(51,585 )</w:t>
            </w: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(11,919 )</w:t>
            </w:r>
          </w:p>
        </w:tc>
        <w:tc>
          <w:tcPr>
            <w:tcW w:w="4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(15,600 )</w:t>
            </w:r>
          </w:p>
        </w:tc>
        <w:tc>
          <w:tcPr>
            <w:tcW w:w="28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(56,462 )</w:t>
            </w:r>
          </w:p>
        </w:tc>
        <w:tc>
          <w:tcPr>
            <w:tcW w:w="4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(52,158 )</w:t>
            </w:r>
          </w:p>
        </w:tc>
        <w:tc>
          <w:tcPr>
            <w:tcW w:w="0" w:type="dxa"/>
            <w:vAlign w:val="bottom"/>
          </w:tcPr>
          <w:p>
            <w:pPr>
              <w:spacing w:after="0"/>
              <w:rPr>
                <w:sz w:val="1"/>
                <w:szCs w:val="1"/>
                <w:color w:val="auto"/>
              </w:rPr>
            </w:pPr>
          </w:p>
        </w:tc>
      </w:tr>
      <w:tr>
        <w:trPr>
          <w:trHeight w:val="189"/>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Comprehensive income attributable to noncontrolling interest</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loss attributable to common stockholders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(11,940 )</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(15,614 )</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(56,507 )</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(52,243 )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-3809365</wp:posOffset>
            </wp:positionV>
            <wp:extent cx="76835" cy="128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-3809365</wp:posOffset>
            </wp:positionV>
            <wp:extent cx="68580" cy="128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-3809365</wp:posOffset>
            </wp:positionV>
            <wp:extent cx="68580"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-3809365</wp:posOffset>
            </wp:positionV>
            <wp:extent cx="68580"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-3073400</wp:posOffset>
            </wp:positionV>
            <wp:extent cx="76835" cy="1282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-3073400</wp:posOffset>
            </wp:positionV>
            <wp:extent cx="68580" cy="128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-3073400</wp:posOffset>
            </wp:positionV>
            <wp:extent cx="68580"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-3073400</wp:posOffset>
            </wp:positionV>
            <wp:extent cx="68580"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-2345690</wp:posOffset>
            </wp:positionV>
            <wp:extent cx="7683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-2345690</wp:posOffset>
            </wp:positionV>
            <wp:extent cx="6858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-2345690</wp:posOffset>
            </wp:positionV>
            <wp:extent cx="6858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-1591945</wp:posOffset>
            </wp:positionV>
            <wp:extent cx="2868295" cy="248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68295" cy="24828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-1043940</wp:posOffset>
            </wp:positionV>
            <wp:extent cx="2868295"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68295" cy="26543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-658495</wp:posOffset>
            </wp:positionV>
            <wp:extent cx="7683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-658495</wp:posOffset>
            </wp:positionV>
            <wp:extent cx="6858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-658495</wp:posOffset>
            </wp:positionV>
            <wp:extent cx="6858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-401955</wp:posOffset>
            </wp:positionV>
            <wp:extent cx="76835" cy="128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-401955</wp:posOffset>
            </wp:positionV>
            <wp:extent cx="68580" cy="128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-401955</wp:posOffset>
            </wp:positionV>
            <wp:extent cx="68580" cy="1282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1282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-153670</wp:posOffset>
            </wp:positionV>
            <wp:extent cx="7683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-153670</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-153670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5" w:lineRule="auto"/>
        <w:rPr>
          <w:sz w:val="20"/>
          <w:szCs w:val="20"/>
          <w:color w:val="auto"/>
        </w:rPr>
      </w:pPr>
      <w:r>
        <w:rPr>
          <w:rFonts w:ascii="Arial" w:cs="Arial" w:eastAsia="Arial" w:hAnsi="Arial"/>
          <w:sz w:val="20"/>
          <w:szCs w:val="20"/>
          <w:color w:val="auto"/>
        </w:rPr>
        <w:t>Unaudited Condensed Consolidated Statements of Cash Flows</w:t>
      </w:r>
    </w:p>
    <w:p>
      <w:pPr>
        <w:jc w:val="center"/>
        <w:spacing w:after="0"/>
        <w:rPr>
          <w:sz w:val="20"/>
          <w:szCs w:val="20"/>
          <w:color w:val="auto"/>
        </w:rPr>
      </w:pPr>
      <w:r>
        <w:rPr>
          <w:rFonts w:ascii="Arial" w:cs="Arial" w:eastAsia="Arial" w:hAnsi="Arial"/>
          <w:sz w:val="20"/>
          <w:szCs w:val="20"/>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350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774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FF0FC"/>
          </w:tcPr>
          <w:p>
            <w:pPr>
              <w:spacing w:after="0"/>
              <w:rPr>
                <w:sz w:val="15"/>
                <w:szCs w:val="15"/>
                <w:color w:val="auto"/>
              </w:rPr>
            </w:pPr>
          </w:p>
        </w:tc>
        <w:tc>
          <w:tcPr>
            <w:tcW w:w="1280" w:type="dxa"/>
            <w:vAlign w:val="bottom"/>
            <w:gridSpan w:val="4"/>
            <w:shd w:val="clear" w:color="auto" w:fill="CFF0FC"/>
          </w:tcPr>
          <w:p>
            <w:pPr>
              <w:jc w:val="right"/>
              <w:ind w:right="128"/>
              <w:spacing w:after="0"/>
              <w:rPr>
                <w:sz w:val="20"/>
                <w:szCs w:val="20"/>
                <w:color w:val="auto"/>
              </w:rPr>
            </w:pPr>
            <w:r>
              <w:rPr>
                <w:rFonts w:ascii="Arial" w:cs="Arial" w:eastAsia="Arial" w:hAnsi="Arial"/>
                <w:sz w:val="14"/>
                <w:szCs w:val="14"/>
                <w:b w:val="1"/>
                <w:bCs w:val="1"/>
                <w:color w:val="auto"/>
              </w:rPr>
              <w:t>(unaudited)</w:t>
            </w: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(56,912 )</w:t>
            </w:r>
          </w:p>
        </w:tc>
        <w:tc>
          <w:tcPr>
            <w:tcW w:w="14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(51,585 )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7,939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5,716</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Impairment of assets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13,257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5,351</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based compensation</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14,048</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Revaluation of contingent consideration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unconsolidated joint venture</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(137 )</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(100 )</w:t>
            </w: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Donation of common stock</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2,272</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Unrealized loss on marketable securities</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1,659</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Non-cash income tax benefit</w:t>
            </w:r>
          </w:p>
        </w:tc>
        <w:tc>
          <w:tcPr>
            <w:tcW w:w="10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(559 )</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sale of property and equipment</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Inventory write-off</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costs on convertible notes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Deferred taxes benefit</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(66 )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(2 )</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Accounts receivable, net</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(14,873 )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(19,032 )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Inventory</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(17 )</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(3,680 )</w:t>
            </w: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Prepaid expenses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(1,784 )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Other assets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(3,922 )</w:t>
            </w: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(240 )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Accrued expenses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5,591</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Contract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2,777</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Lease liabilities</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(3,845 )</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(4,219 )</w:t>
            </w: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Income taxes payable</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18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(28,583 )</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(45,510 )</w:t>
            </w:r>
          </w:p>
        </w:tc>
      </w:tr>
      <w:tr>
        <w:trPr>
          <w:trHeight w:val="182"/>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marketable securities</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(8,630 )</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(281,897 )</w:t>
            </w: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(12,063 )</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(9,608 )</w:t>
            </w: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paid for business combination, net of cash acquired</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(3,349 )</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6,181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(291,336 )</w:t>
            </w: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3,317</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convertible notes</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287,500</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Costs incurred in connection with issuance of convertible notes</w:t>
            </w:r>
          </w:p>
        </w:tc>
        <w:tc>
          <w:tcPr>
            <w:tcW w:w="10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(9,309 )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finance lease obligations</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r>
      <w:tr>
        <w:trPr>
          <w:trHeight w:val="182"/>
        </w:trPr>
        <w:tc>
          <w:tcPr>
            <w:tcW w:w="774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1,428</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281,506</w:t>
            </w:r>
          </w:p>
        </w:tc>
        <w:tc>
          <w:tcPr>
            <w:tcW w:w="100" w:type="dxa"/>
            <w:vAlign w:val="bottom"/>
            <w:tcBorders>
              <w:top w:val="single" w:sz="8" w:color="CFF0FC"/>
            </w:tcBorders>
          </w:tcPr>
          <w:p>
            <w:pPr>
              <w:spacing w:after="0"/>
              <w:rPr>
                <w:sz w:val="15"/>
                <w:szCs w:val="15"/>
                <w:color w:val="auto"/>
              </w:rPr>
            </w:pPr>
          </w:p>
        </w:tc>
      </w:tr>
      <w:tr>
        <w:trPr>
          <w:trHeight w:val="182"/>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(315 )</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(425 )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4"/>
                <w:szCs w:val="14"/>
                <w:b w:val="1"/>
                <w:bCs w:val="1"/>
                <w:color w:val="auto"/>
              </w:rPr>
              <w:t>Net decrease in cash and cash equivalents</w:t>
            </w:r>
          </w:p>
        </w:tc>
        <w:tc>
          <w:tcPr>
            <w:tcW w:w="10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(21,289 )</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(55,765 )</w:t>
            </w:r>
          </w:p>
        </w:tc>
      </w:tr>
      <w:tr>
        <w:trPr>
          <w:trHeight w:val="18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10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65,662</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86,262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period</w:t>
            </w: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44,373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30,497</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Non-cash consideration in connection with business combination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-2603500</wp:posOffset>
            </wp:positionV>
            <wp:extent cx="76835"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-2603500</wp:posOffset>
            </wp:positionV>
            <wp:extent cx="68580"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-1875790</wp:posOffset>
            </wp:positionV>
            <wp:extent cx="7683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-1875790</wp:posOffset>
            </wp:positionV>
            <wp:extent cx="6858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-1139190</wp:posOffset>
            </wp:positionV>
            <wp:extent cx="7683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-882015</wp:posOffset>
            </wp:positionV>
            <wp:extent cx="76835" cy="128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-633730</wp:posOffset>
            </wp:positionV>
            <wp:extent cx="7683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5" w:lineRule="auto"/>
        <w:rPr>
          <w:sz w:val="20"/>
          <w:szCs w:val="20"/>
          <w:color w:val="auto"/>
        </w:rPr>
      </w:pPr>
      <w:r>
        <w:rPr>
          <w:rFonts w:ascii="Arial" w:cs="Arial" w:eastAsia="Arial" w:hAnsi="Arial"/>
          <w:sz w:val="20"/>
          <w:szCs w:val="20"/>
          <w:color w:val="auto"/>
        </w:rPr>
        <w:t>Unaudited Reconciliations of Non-GAAP Financial Measures</w:t>
      </w:r>
    </w:p>
    <w:p>
      <w:pPr>
        <w:jc w:val="center"/>
        <w:spacing w:after="0"/>
        <w:rPr>
          <w:sz w:val="20"/>
          <w:szCs w:val="20"/>
          <w:color w:val="auto"/>
        </w:rPr>
      </w:pPr>
      <w:r>
        <w:rPr>
          <w:rFonts w:ascii="Arial" w:cs="Arial" w:eastAsia="Arial" w:hAnsi="Arial"/>
          <w:sz w:val="20"/>
          <w:szCs w:val="20"/>
          <w:color w:val="auto"/>
        </w:rPr>
        <w:t>(In thousands)</w:t>
      </w:r>
    </w:p>
    <w:tbl>
      <w:tblPr>
        <w:tblLayout w:type="fixed"/>
        <w:tblInd w:w="5720" w:type="dxa"/>
        <w:tblCellMar>
          <w:top w:w="0" w:type="dxa"/>
          <w:left w:w="0" w:type="dxa"/>
          <w:bottom w:w="0" w:type="dxa"/>
          <w:right w:w="0" w:type="dxa"/>
        </w:tblCellMar>
      </w:tblPr>
      <w:tr>
        <w:trPr>
          <w:trHeight w:val="182"/>
        </w:trPr>
        <w:tc>
          <w:tcPr>
            <w:tcW w:w="2580" w:type="dxa"/>
            <w:vAlign w:val="bottom"/>
            <w:gridSpan w:val="2"/>
          </w:tcPr>
          <w:p>
            <w:pPr>
              <w:jc w:val="right"/>
              <w:ind w:right="290"/>
              <w:spacing w:after="0" w:line="182" w:lineRule="exact"/>
              <w:rPr>
                <w:sz w:val="20"/>
                <w:szCs w:val="20"/>
                <w:color w:val="auto"/>
              </w:rPr>
            </w:pPr>
            <w:r>
              <w:rPr>
                <w:rFonts w:ascii="Arial" w:cs="Arial" w:eastAsia="Arial" w:hAnsi="Arial"/>
                <w:sz w:val="18"/>
                <w:szCs w:val="18"/>
                <w:b w:val="1"/>
                <w:bCs w:val="1"/>
                <w:color w:val="auto"/>
              </w:rPr>
              <w:t>For the Three Months</w:t>
            </w:r>
          </w:p>
        </w:tc>
        <w:tc>
          <w:tcPr>
            <w:tcW w:w="220" w:type="dxa"/>
            <w:vAlign w:val="bottom"/>
          </w:tcPr>
          <w:p>
            <w:pPr>
              <w:spacing w:after="0"/>
              <w:rPr>
                <w:sz w:val="15"/>
                <w:szCs w:val="15"/>
                <w:color w:val="auto"/>
              </w:rPr>
            </w:pPr>
          </w:p>
        </w:tc>
        <w:tc>
          <w:tcPr>
            <w:tcW w:w="2560" w:type="dxa"/>
            <w:vAlign w:val="bottom"/>
            <w:gridSpan w:val="2"/>
          </w:tcPr>
          <w:p>
            <w:pPr>
              <w:ind w:left="400"/>
              <w:spacing w:after="0" w:line="182" w:lineRule="exact"/>
              <w:rPr>
                <w:sz w:val="20"/>
                <w:szCs w:val="20"/>
                <w:color w:val="auto"/>
              </w:rPr>
            </w:pPr>
            <w:r>
              <w:rPr>
                <w:rFonts w:ascii="Arial" w:cs="Arial" w:eastAsia="Arial" w:hAnsi="Arial"/>
                <w:sz w:val="18"/>
                <w:szCs w:val="18"/>
                <w:b w:val="1"/>
                <w:bCs w:val="1"/>
                <w:color w:val="auto"/>
              </w:rPr>
              <w:t>For the Nine Months</w:t>
            </w:r>
          </w:p>
        </w:tc>
      </w:tr>
      <w:tr>
        <w:trPr>
          <w:trHeight w:val="239"/>
        </w:trPr>
        <w:tc>
          <w:tcPr>
            <w:tcW w:w="25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Ended September 30,</w:t>
            </w:r>
          </w:p>
        </w:tc>
        <w:tc>
          <w:tcPr>
            <w:tcW w:w="220" w:type="dxa"/>
            <w:vAlign w:val="bottom"/>
          </w:tcPr>
          <w:p>
            <w:pPr>
              <w:spacing w:after="0"/>
              <w:rPr>
                <w:sz w:val="20"/>
                <w:szCs w:val="20"/>
                <w:color w:val="auto"/>
              </w:rPr>
            </w:pPr>
          </w:p>
        </w:tc>
        <w:tc>
          <w:tcPr>
            <w:tcW w:w="25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Ended September 30,</w:t>
            </w:r>
          </w:p>
        </w:tc>
      </w:tr>
      <w:tr>
        <w:trPr>
          <w:trHeight w:val="223"/>
        </w:trPr>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280" w:type="dxa"/>
            <w:vAlign w:val="bottom"/>
          </w:tcPr>
          <w:p>
            <w:pPr>
              <w:ind w:left="380"/>
              <w:spacing w:after="0"/>
              <w:rPr>
                <w:sz w:val="20"/>
                <w:szCs w:val="20"/>
                <w:color w:val="auto"/>
              </w:rPr>
            </w:pPr>
            <w:r>
              <w:rPr>
                <w:rFonts w:ascii="Arial" w:cs="Arial" w:eastAsia="Arial" w:hAnsi="Arial"/>
                <w:sz w:val="18"/>
                <w:szCs w:val="18"/>
                <w:b w:val="1"/>
                <w:bCs w:val="1"/>
                <w:color w:val="auto"/>
              </w:rPr>
              <w:t>2023</w:t>
            </w: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40" w:type="dxa"/>
            <w:vAlign w:val="bottom"/>
            <w:tcBorders>
              <w:top w:val="single" w:sz="8" w:color="CFF0FC"/>
              <w:right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4100" w:type="dxa"/>
            <w:vAlign w:val="bottom"/>
            <w:tcBorders>
              <w:top w:val="single" w:sz="8" w:color="CFF0FC"/>
            </w:tcBorders>
            <w:gridSpan w:val="2"/>
          </w:tcPr>
          <w:p>
            <w:pPr>
              <w:spacing w:after="0"/>
              <w:rPr>
                <w:sz w:val="19"/>
                <w:szCs w:val="19"/>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(12,010 )</w:t>
            </w:r>
          </w:p>
        </w:tc>
        <w:tc>
          <w:tcPr>
            <w:tcW w:w="180" w:type="dxa"/>
            <w:vAlign w:val="bottom"/>
            <w:tcBorders>
              <w:top w:val="single" w:sz="8" w:color="CFF0FC"/>
            </w:tcBorders>
          </w:tcPr>
          <w:p>
            <w:pPr>
              <w:jc w:val="right"/>
              <w:ind w:right="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(15,041 )</w:t>
            </w: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FF0FC"/>
            </w:tcBorders>
            <w:gridSpan w:val="2"/>
          </w:tcPr>
          <w:p>
            <w:pPr>
              <w:jc w:val="right"/>
              <w:ind w:right="160"/>
              <w:spacing w:after="0"/>
              <w:rPr>
                <w:sz w:val="20"/>
                <w:szCs w:val="20"/>
                <w:color w:val="auto"/>
              </w:rPr>
            </w:pPr>
            <w:r>
              <w:rPr>
                <w:rFonts w:ascii="Arial" w:cs="Arial" w:eastAsia="Arial" w:hAnsi="Arial"/>
                <w:sz w:val="18"/>
                <w:szCs w:val="18"/>
                <w:color w:val="auto"/>
              </w:rPr>
              <w:t>(56,912 )</w:t>
            </w:r>
          </w:p>
        </w:tc>
        <w:tc>
          <w:tcPr>
            <w:tcW w:w="200" w:type="dxa"/>
            <w:vAlign w:val="bottom"/>
            <w:tcBorders>
              <w:top w:val="single" w:sz="8" w:color="CFF0FC"/>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(51,585 )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Add (deduct):</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Interest expense, interest and dividend income and other expenses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(1,192 )</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(3,896 )</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tcBorders>
              <w:right w:val="single" w:sz="8" w:color="CFF0FC"/>
            </w:tcBorders>
            <w:gridSpan w:val="3"/>
            <w:shd w:val="clear" w:color="auto" w:fill="CFF0FC"/>
          </w:tcPr>
          <w:p>
            <w:pPr>
              <w:spacing w:after="0" w:line="229"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4"/>
                <w:szCs w:val="24"/>
                <w:color w:val="auto"/>
                <w:vertAlign w:val="superscript"/>
              </w:rPr>
              <w:t>(1)</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7,939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5,716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Amortization of lease intangible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gridSpan w:val="3"/>
          </w:tcPr>
          <w:p>
            <w:pPr>
              <w:spacing w:after="0" w:line="229"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tcBorders>
              <w:right w:val="single" w:sz="8" w:color="CFF0FC"/>
            </w:tcBorders>
            <w:gridSpan w:val="3"/>
            <w:shd w:val="clear" w:color="auto" w:fill="CFF0FC"/>
          </w:tcPr>
          <w:p>
            <w:pPr>
              <w:spacing w:after="0" w:line="229" w:lineRule="exact"/>
              <w:rPr>
                <w:sz w:val="20"/>
                <w:szCs w:val="20"/>
                <w:color w:val="auto"/>
              </w:rPr>
            </w:pPr>
            <w:r>
              <w:rPr>
                <w:rFonts w:ascii="Arial" w:cs="Arial" w:eastAsia="Arial" w:hAnsi="Arial"/>
                <w:sz w:val="18"/>
                <w:szCs w:val="18"/>
                <w:color w:val="auto"/>
              </w:rPr>
              <w:t>Lease abandonment</w:t>
            </w:r>
            <w:r>
              <w:rPr>
                <w:rFonts w:ascii="Arial" w:cs="Arial" w:eastAsia="Arial" w:hAnsi="Arial"/>
                <w:sz w:val="24"/>
                <w:szCs w:val="24"/>
                <w:color w:val="auto"/>
                <w:vertAlign w:val="superscript"/>
              </w:rPr>
              <w:t>(3)</w:t>
            </w:r>
          </w:p>
        </w:tc>
        <w:tc>
          <w:tcPr>
            <w:tcW w:w="16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gridSpan w:val="3"/>
          </w:tcPr>
          <w:p>
            <w:pPr>
              <w:spacing w:after="0" w:line="229"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Charitable contribution of common stock</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Income from unconsolidated joint venture</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(134 )</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(297 )</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(437 )</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gridSpan w:val="3"/>
          </w:tcPr>
          <w:p>
            <w:pPr>
              <w:spacing w:after="0" w:line="229" w:lineRule="exact"/>
              <w:rPr>
                <w:sz w:val="20"/>
                <w:szCs w:val="20"/>
                <w:color w:val="auto"/>
              </w:rPr>
            </w:pPr>
            <w:r>
              <w:rPr>
                <w:rFonts w:ascii="Arial" w:cs="Arial" w:eastAsia="Arial" w:hAnsi="Arial"/>
                <w:sz w:val="18"/>
                <w:szCs w:val="18"/>
                <w:color w:val="auto"/>
              </w:rPr>
              <w:t>Restructuring charge</w:t>
            </w:r>
            <w:r>
              <w:rPr>
                <w:rFonts w:ascii="Arial" w:cs="Arial" w:eastAsia="Arial" w:hAnsi="Arial"/>
                <w:sz w:val="24"/>
                <w:szCs w:val="24"/>
                <w:color w:val="auto"/>
                <w:vertAlign w:val="superscript"/>
              </w:rPr>
              <w:t>(5)</w:t>
            </w:r>
          </w:p>
        </w:tc>
        <w:tc>
          <w:tcPr>
            <w:tcW w:w="1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tcBorders>
              <w:bottom w:val="single" w:sz="8" w:color="CFF0FC"/>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Costs to exit the supplies business</w:t>
            </w: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(4,215 </w:t>
            </w:r>
            <w:r>
              <w:rPr>
                <w:rFonts w:ascii="Arial" w:cs="Arial" w:eastAsia="Arial" w:hAnsi="Arial"/>
                <w:sz w:val="18"/>
                <w:szCs w:val="18"/>
                <w:color w:val="auto"/>
                <w:highlight w:val="white"/>
              </w:rPr>
              <w:t>)</w:t>
            </w: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(6,490 </w:t>
            </w:r>
            <w:r>
              <w:rPr>
                <w:rFonts w:ascii="Arial" w:cs="Arial" w:eastAsia="Arial" w:hAnsi="Arial"/>
                <w:sz w:val="18"/>
                <w:szCs w:val="18"/>
                <w:color w:val="auto"/>
                <w:highlight w:val="white"/>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(24,640 </w:t>
            </w:r>
            <w:r>
              <w:rPr>
                <w:rFonts w:ascii="Arial" w:cs="Arial" w:eastAsia="Arial" w:hAnsi="Arial"/>
                <w:sz w:val="18"/>
                <w:szCs w:val="18"/>
                <w:color w:val="auto"/>
                <w:highlight w:val="white"/>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 xml:space="preserve">(27,516 </w:t>
            </w:r>
            <w:r>
              <w:rPr>
                <w:rFonts w:ascii="Arial" w:cs="Arial" w:eastAsia="Arial" w:hAnsi="Arial"/>
                <w:sz w:val="18"/>
                <w:szCs w:val="18"/>
                <w:color w:val="auto"/>
                <w:highlight w:val="white"/>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For the Three Months</w:t>
            </w:r>
          </w:p>
        </w:tc>
        <w:tc>
          <w:tcPr>
            <w:tcW w:w="200" w:type="dxa"/>
            <w:vAlign w:val="bottom"/>
          </w:tcPr>
          <w:p>
            <w:pPr>
              <w:spacing w:after="0"/>
              <w:rPr>
                <w:sz w:val="24"/>
                <w:szCs w:val="24"/>
                <w:color w:val="auto"/>
              </w:rPr>
            </w:pPr>
          </w:p>
        </w:tc>
        <w:tc>
          <w:tcPr>
            <w:tcW w:w="25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Ended September 30,</w:t>
            </w:r>
          </w:p>
        </w:tc>
        <w:tc>
          <w:tcPr>
            <w:tcW w:w="200" w:type="dxa"/>
            <w:vAlign w:val="bottom"/>
          </w:tcPr>
          <w:p>
            <w:pPr>
              <w:spacing w:after="0"/>
              <w:rPr>
                <w:sz w:val="20"/>
                <w:szCs w:val="20"/>
                <w:color w:val="auto"/>
              </w:rPr>
            </w:pPr>
          </w:p>
        </w:tc>
        <w:tc>
          <w:tcPr>
            <w:tcW w:w="2520" w:type="dxa"/>
            <w:vAlign w:val="bottom"/>
            <w:gridSpan w:val="5"/>
          </w:tcPr>
          <w:p>
            <w:pPr>
              <w:ind w:left="20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8"/>
              </w:rPr>
              <w:t>Non-GAAP Net Loss:</w:t>
            </w:r>
          </w:p>
        </w:tc>
        <w:tc>
          <w:tcPr>
            <w:tcW w:w="3900" w:type="dxa"/>
            <w:vAlign w:val="bottom"/>
            <w:tcBorders>
              <w:bottom w:val="single" w:sz="8" w:color="CFF0FC"/>
              <w:right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right w:val="single" w:sz="8" w:color="CFF0FC"/>
            </w:tcBorders>
            <w:shd w:val="clear" w:color="auto" w:fill="CFF0FC"/>
          </w:tcPr>
          <w:p>
            <w:pPr>
              <w:spacing w:after="0"/>
              <w:rPr>
                <w:sz w:val="17"/>
                <w:szCs w:val="17"/>
                <w:color w:val="auto"/>
              </w:rPr>
            </w:pP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right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36"/>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(12,010 )</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(15,041 )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(56,912 )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(51,585 )</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70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Add (deduct):</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gridSpan w:val="4"/>
          </w:tcPr>
          <w:p>
            <w:pPr>
              <w:spacing w:after="0" w:line="229"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4"/>
                <w:szCs w:val="24"/>
                <w:color w:val="auto"/>
                <w:vertAlign w:val="superscript"/>
              </w:rPr>
              <w:t>(1)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700" w:type="dxa"/>
            <w:vAlign w:val="bottom"/>
            <w:tcBorders>
              <w:right w:val="single" w:sz="8" w:color="CFF0FC"/>
            </w:tcBorders>
            <w:gridSpan w:val="4"/>
            <w:shd w:val="clear" w:color="auto" w:fill="CFF0FC"/>
          </w:tcPr>
          <w:p>
            <w:pPr>
              <w:spacing w:after="0" w:line="229"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5,730</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5,113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14,048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Amortization of lease intangible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70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Amortization of deferred costs on convertible notes</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Loss on marketable securities</w:t>
            </w:r>
          </w:p>
        </w:tc>
        <w:tc>
          <w:tcPr>
            <w:tcW w:w="1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700" w:type="dxa"/>
            <w:vAlign w:val="bottom"/>
            <w:tcBorders>
              <w:right w:val="single" w:sz="8" w:color="CFF0FC"/>
            </w:tcBorders>
            <w:gridSpan w:val="4"/>
            <w:shd w:val="clear" w:color="auto" w:fill="CFF0FC"/>
          </w:tcPr>
          <w:p>
            <w:pPr>
              <w:spacing w:after="0" w:line="229"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(4)</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Loss on sale of property and equipment</w:t>
            </w:r>
          </w:p>
        </w:tc>
        <w:tc>
          <w:tcPr>
            <w:tcW w:w="1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70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Charitable contribution of common stock</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gridSpan w:val="4"/>
          </w:tcPr>
          <w:p>
            <w:pPr>
              <w:spacing w:after="0" w:line="229" w:lineRule="exact"/>
              <w:rPr>
                <w:sz w:val="20"/>
                <w:szCs w:val="20"/>
                <w:color w:val="auto"/>
              </w:rPr>
            </w:pPr>
            <w:r>
              <w:rPr>
                <w:rFonts w:ascii="Arial" w:cs="Arial" w:eastAsia="Arial" w:hAnsi="Arial"/>
                <w:sz w:val="18"/>
                <w:szCs w:val="18"/>
                <w:color w:val="auto"/>
              </w:rPr>
              <w:t>Lease abandonment and termination</w:t>
            </w:r>
            <w:r>
              <w:rPr>
                <w:rFonts w:ascii="Arial" w:cs="Arial" w:eastAsia="Arial" w:hAnsi="Arial"/>
                <w:sz w:val="24"/>
                <w:szCs w:val="24"/>
                <w:color w:val="auto"/>
                <w:vertAlign w:val="superscript"/>
              </w:rPr>
              <w:t>(3)</w:t>
            </w:r>
          </w:p>
        </w:tc>
        <w:tc>
          <w:tcPr>
            <w:tcW w:w="1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70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gridSpan w:val="4"/>
          </w:tcPr>
          <w:p>
            <w:pPr>
              <w:spacing w:after="0" w:line="229" w:lineRule="exact"/>
              <w:rPr>
                <w:sz w:val="20"/>
                <w:szCs w:val="20"/>
                <w:color w:val="auto"/>
              </w:rPr>
            </w:pPr>
            <w:r>
              <w:rPr>
                <w:rFonts w:ascii="Arial" w:cs="Arial" w:eastAsia="Arial" w:hAnsi="Arial"/>
                <w:sz w:val="18"/>
                <w:szCs w:val="18"/>
                <w:color w:val="auto"/>
              </w:rPr>
              <w:t>Restructuring charge</w:t>
            </w:r>
            <w:r>
              <w:rPr>
                <w:rFonts w:ascii="Arial" w:cs="Arial" w:eastAsia="Arial" w:hAnsi="Arial"/>
                <w:sz w:val="24"/>
                <w:szCs w:val="24"/>
                <w:color w:val="auto"/>
                <w:vertAlign w:val="superscript"/>
              </w:rPr>
              <w:t>(5)</w:t>
            </w:r>
          </w:p>
        </w:tc>
        <w:tc>
          <w:tcPr>
            <w:tcW w:w="1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FF0FC"/>
            </w:tcBorders>
            <w:shd w:val="clear" w:color="auto" w:fill="CFF0FC"/>
          </w:tcPr>
          <w:p>
            <w:pPr>
              <w:spacing w:after="0"/>
              <w:rPr>
                <w:sz w:val="19"/>
                <w:szCs w:val="19"/>
                <w:color w:val="auto"/>
              </w:rPr>
            </w:pPr>
          </w:p>
        </w:tc>
        <w:tc>
          <w:tcPr>
            <w:tcW w:w="5700" w:type="dxa"/>
            <w:vAlign w:val="bottom"/>
            <w:tcBorders>
              <w:bottom w:val="single" w:sz="8" w:color="CFF0FC"/>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Costs to exit the supplies business</w:t>
            </w: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Non-GAAP Net Loss</w:t>
            </w:r>
          </w:p>
        </w:tc>
        <w:tc>
          <w:tcPr>
            <w:tcW w:w="160" w:type="dxa"/>
            <w:vAlign w:val="bottom"/>
          </w:tcPr>
          <w:p>
            <w:pPr>
              <w:jc w:val="right"/>
              <w:ind w:right="36"/>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(2,562 )</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(5,394 )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(18,955 )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(26,368 )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5700" w:type="dxa"/>
            <w:vAlign w:val="bottom"/>
            <w:tcBorders>
              <w:right w:val="single" w:sz="8" w:color="CFF0FC"/>
            </w:tcBorders>
            <w:gridSpan w:val="4"/>
            <w:shd w:val="clear" w:color="auto" w:fill="CFF0FC"/>
          </w:tcPr>
          <w:p>
            <w:pPr>
              <w:spacing w:after="0" w:line="183" w:lineRule="exact"/>
              <w:rPr>
                <w:sz w:val="20"/>
                <w:szCs w:val="20"/>
                <w:color w:val="auto"/>
              </w:rPr>
            </w:pPr>
            <w:r>
              <w:rPr>
                <w:rFonts w:ascii="Arial" w:cs="Arial" w:eastAsia="Arial" w:hAnsi="Arial"/>
                <w:sz w:val="18"/>
                <w:szCs w:val="18"/>
                <w:color w:val="auto"/>
              </w:rPr>
              <w:t>Weighted-average number of shares outstanding used to compute</w:t>
            </w:r>
          </w:p>
        </w:tc>
        <w:tc>
          <w:tcPr>
            <w:tcW w:w="160" w:type="dxa"/>
            <w:vAlign w:val="bottom"/>
            <w:shd w:val="clear" w:color="auto" w:fill="CFF0FC"/>
          </w:tcPr>
          <w:p>
            <w:pPr>
              <w:spacing w:after="0"/>
              <w:rPr>
                <w:sz w:val="15"/>
                <w:szCs w:val="15"/>
                <w:color w:val="auto"/>
              </w:rPr>
            </w:pPr>
          </w:p>
        </w:tc>
        <w:tc>
          <w:tcPr>
            <w:tcW w:w="102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5700" w:type="dxa"/>
            <w:vAlign w:val="bottom"/>
            <w:tcBorders>
              <w:right w:val="single" w:sz="8" w:color="CFF0FC"/>
            </w:tcBorders>
            <w:gridSpan w:val="4"/>
            <w:shd w:val="clear" w:color="auto" w:fill="CFF0FC"/>
          </w:tcPr>
          <w:p>
            <w:pPr>
              <w:spacing w:after="0" w:line="202" w:lineRule="exact"/>
              <w:rPr>
                <w:sz w:val="20"/>
                <w:szCs w:val="20"/>
                <w:color w:val="auto"/>
              </w:rPr>
            </w:pPr>
            <w:r>
              <w:rPr>
                <w:rFonts w:ascii="Arial" w:cs="Arial" w:eastAsia="Arial" w:hAnsi="Arial"/>
                <w:sz w:val="18"/>
                <w:szCs w:val="18"/>
                <w:color w:val="auto"/>
              </w:rPr>
              <w:t>Non-GAAP Net Loss per share, basic and diluted, of Class A and</w:t>
            </w:r>
          </w:p>
        </w:tc>
        <w:tc>
          <w:tcPr>
            <w:tcW w:w="160" w:type="dxa"/>
            <w:vAlign w:val="bottom"/>
            <w:shd w:val="clear" w:color="auto" w:fill="CFF0FC"/>
          </w:tcPr>
          <w:p>
            <w:pPr>
              <w:spacing w:after="0"/>
              <w:rPr>
                <w:sz w:val="17"/>
                <w:szCs w:val="17"/>
                <w:color w:val="auto"/>
              </w:rPr>
            </w:pPr>
          </w:p>
        </w:tc>
        <w:tc>
          <w:tcPr>
            <w:tcW w:w="10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47,989,277</w:t>
            </w: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47,303,090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47,852,671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47,057,521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FF0FC"/>
            </w:tcBorders>
            <w:shd w:val="clear" w:color="auto" w:fill="CFF0FC"/>
          </w:tcPr>
          <w:p>
            <w:pPr>
              <w:spacing w:after="0"/>
              <w:rPr>
                <w:sz w:val="18"/>
                <w:szCs w:val="18"/>
                <w:color w:val="auto"/>
              </w:rPr>
            </w:pPr>
          </w:p>
        </w:tc>
        <w:tc>
          <w:tcPr>
            <w:tcW w:w="5700" w:type="dxa"/>
            <w:vAlign w:val="bottom"/>
            <w:tcBorders>
              <w:bottom w:val="single" w:sz="8" w:color="CFF0FC"/>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Class B common stock</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vMerge w:val="continue"/>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right w:val="single" w:sz="8" w:color="CFF0FC"/>
            </w:tcBorders>
            <w:vMerge w:val="continue"/>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EPS, basic and diluted, of Class A and Class B common stock</w:t>
            </w:r>
          </w:p>
        </w:tc>
        <w:tc>
          <w:tcPr>
            <w:tcW w:w="160" w:type="dxa"/>
            <w:vAlign w:val="bottom"/>
          </w:tcPr>
          <w:p>
            <w:pPr>
              <w:jc w:val="right"/>
              <w:ind w:right="36"/>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(0.25 )</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(0.32 )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(1.19 )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5700" w:type="dxa"/>
            <w:vAlign w:val="bottom"/>
            <w:tcBorders>
              <w:right w:val="single" w:sz="8" w:color="CFF0FC"/>
            </w:tcBorders>
            <w:gridSpan w:val="4"/>
            <w:shd w:val="clear" w:color="auto" w:fill="CFF0FC"/>
          </w:tcPr>
          <w:p>
            <w:pPr>
              <w:spacing w:after="0" w:line="183" w:lineRule="exact"/>
              <w:rPr>
                <w:sz w:val="20"/>
                <w:szCs w:val="20"/>
                <w:color w:val="auto"/>
              </w:rPr>
            </w:pPr>
            <w:r>
              <w:rPr>
                <w:rFonts w:ascii="Arial" w:cs="Arial" w:eastAsia="Arial" w:hAnsi="Arial"/>
                <w:sz w:val="18"/>
                <w:szCs w:val="18"/>
                <w:color w:val="auto"/>
              </w:rPr>
              <w:t>Non-GAAP EPS, basic and diluted, of Class A and Class B common</w:t>
            </w:r>
          </w:p>
        </w:tc>
        <w:tc>
          <w:tcPr>
            <w:tcW w:w="160" w:type="dxa"/>
            <w:vAlign w:val="bottom"/>
            <w:vMerge w:val="restart"/>
            <w:shd w:val="clear" w:color="auto" w:fill="CFF0FC"/>
          </w:tcPr>
          <w:p>
            <w:pPr>
              <w:jc w:val="right"/>
              <w:ind w:right="36"/>
              <w:spacing w:after="0"/>
              <w:rPr>
                <w:sz w:val="20"/>
                <w:szCs w:val="20"/>
                <w:color w:val="auto"/>
              </w:rPr>
            </w:pPr>
            <w:r>
              <w:rPr>
                <w:rFonts w:ascii="Arial" w:cs="Arial" w:eastAsia="Arial" w:hAnsi="Arial"/>
                <w:sz w:val="10"/>
                <w:szCs w:val="10"/>
                <w:color w:val="auto"/>
                <w:w w:val="71"/>
              </w:rPr>
              <w:t>$</w:t>
            </w:r>
          </w:p>
        </w:tc>
        <w:tc>
          <w:tcPr>
            <w:tcW w:w="12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(0.05 )</w:t>
            </w:r>
          </w:p>
        </w:tc>
        <w:tc>
          <w:tcPr>
            <w:tcW w:w="180" w:type="dxa"/>
            <w:vAlign w:val="bottom"/>
            <w:vMerge w:val="restart"/>
            <w:shd w:val="clear" w:color="auto" w:fill="CFF0FC"/>
          </w:tcPr>
          <w:p>
            <w:pPr>
              <w:jc w:val="right"/>
              <w:ind w:right="21"/>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(0.11 )</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(0.40 )</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(0.56 )</w:t>
            </w:r>
          </w:p>
        </w:tc>
        <w:tc>
          <w:tcPr>
            <w:tcW w:w="0" w:type="dxa"/>
            <w:vAlign w:val="bottom"/>
          </w:tcPr>
          <w:p>
            <w:pPr>
              <w:spacing w:after="0"/>
              <w:rPr>
                <w:sz w:val="1"/>
                <w:szCs w:val="1"/>
                <w:color w:val="auto"/>
              </w:rPr>
            </w:pPr>
          </w:p>
        </w:tc>
      </w:tr>
      <w:tr>
        <w:trPr>
          <w:trHeight w:val="208"/>
        </w:trPr>
        <w:tc>
          <w:tcPr>
            <w:tcW w:w="20" w:type="dxa"/>
            <w:vAlign w:val="bottom"/>
            <w:shd w:val="clear" w:color="auto" w:fill="CFF0FC"/>
          </w:tcPr>
          <w:p>
            <w:pPr>
              <w:spacing w:after="0"/>
              <w:rPr>
                <w:sz w:val="18"/>
                <w:szCs w:val="18"/>
                <w:color w:val="auto"/>
              </w:rPr>
            </w:pPr>
          </w:p>
        </w:tc>
        <w:tc>
          <w:tcPr>
            <w:tcW w:w="5700" w:type="dxa"/>
            <w:vAlign w:val="bottom"/>
            <w:tcBorders>
              <w:right w:val="single" w:sz="8" w:color="CFF0FC"/>
            </w:tcBorders>
            <w:gridSpan w:val="4"/>
            <w:shd w:val="clear" w:color="auto" w:fill="CFF0FC"/>
          </w:tcPr>
          <w:p>
            <w:pPr>
              <w:spacing w:after="0" w:line="189" w:lineRule="exact"/>
              <w:rPr>
                <w:sz w:val="20"/>
                <w:szCs w:val="20"/>
                <w:color w:val="auto"/>
              </w:rPr>
            </w:pPr>
            <w:r>
              <w:rPr>
                <w:rFonts w:ascii="Arial" w:cs="Arial" w:eastAsia="Arial" w:hAnsi="Arial"/>
                <w:sz w:val="18"/>
                <w:szCs w:val="18"/>
                <w:color w:val="auto"/>
              </w:rPr>
              <w:t>stock</w:t>
            </w:r>
          </w:p>
        </w:tc>
        <w:tc>
          <w:tcPr>
            <w:tcW w:w="160" w:type="dxa"/>
            <w:vAlign w:val="bottom"/>
            <w:vMerge w:val="continue"/>
            <w:shd w:val="clear" w:color="auto" w:fill="CFF0FC"/>
          </w:tcPr>
          <w:p>
            <w:pPr>
              <w:spacing w:after="0"/>
              <w:rPr>
                <w:sz w:val="18"/>
                <w:szCs w:val="18"/>
                <w:color w:val="auto"/>
              </w:rPr>
            </w:pPr>
          </w:p>
        </w:tc>
        <w:tc>
          <w:tcPr>
            <w:tcW w:w="126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9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-1172210</wp:posOffset>
            </wp:positionV>
            <wp:extent cx="76835"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-1172210</wp:posOffset>
            </wp:positionV>
            <wp:extent cx="68580"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-1172210</wp:posOffset>
            </wp:positionV>
            <wp:extent cx="6858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-598805</wp:posOffset>
            </wp:positionV>
            <wp:extent cx="76835" cy="3251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-598805</wp:posOffset>
            </wp:positionV>
            <wp:extent cx="68580" cy="3251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-598805</wp:posOffset>
            </wp:positionV>
            <wp:extent cx="68580" cy="3251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3251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60" w:hanging="372"/>
        <w:spacing w:after="0" w:line="254"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depreciation expense of the Company’s long-lived tangible assets and amortization expense of its finite-lived intangible assets, as included in the Company’s GAAP results of operations.</w:t>
      </w: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non-cash expense related to stock-based awards granted to employees, as included in the Company’s GAAP results of operations.</w:t>
      </w:r>
    </w:p>
    <w:p>
      <w:pPr>
        <w:spacing w:after="0" w:line="4" w:lineRule="exact"/>
        <w:rPr>
          <w:rFonts w:ascii="Arial" w:cs="Arial" w:eastAsia="Arial" w:hAnsi="Arial"/>
          <w:sz w:val="16"/>
          <w:szCs w:val="16"/>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 is recorded in general and administrative and/or other expenses.</w:t>
      </w:r>
    </w:p>
    <w:p>
      <w:pPr>
        <w:spacing w:after="0" w:line="4" w:lineRule="exact"/>
        <w:rPr>
          <w:rFonts w:ascii="Arial" w:cs="Arial" w:eastAsia="Arial" w:hAnsi="Arial"/>
          <w:sz w:val="16"/>
          <w:szCs w:val="16"/>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adjustments related to purchase accounting, the revaluation of contingent consideration and transaction costs.</w:t>
      </w:r>
    </w:p>
    <w:p>
      <w:pPr>
        <w:spacing w:after="0" w:line="4" w:lineRule="exact"/>
        <w:rPr>
          <w:rFonts w:ascii="Arial" w:cs="Arial" w:eastAsia="Arial" w:hAnsi="Arial"/>
          <w:sz w:val="16"/>
          <w:szCs w:val="16"/>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associated with the May 2023 reduction in workforce.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5" w:lineRule="auto"/>
        <w:rPr>
          <w:sz w:val="20"/>
          <w:szCs w:val="20"/>
          <w:color w:val="auto"/>
        </w:rPr>
      </w:pPr>
      <w:r>
        <w:rPr>
          <w:rFonts w:ascii="Arial" w:cs="Arial" w:eastAsia="Arial" w:hAnsi="Arial"/>
          <w:sz w:val="20"/>
          <w:szCs w:val="20"/>
          <w:color w:val="auto"/>
        </w:rPr>
        <w:t>Unaudited Segment Results</w:t>
      </w:r>
    </w:p>
    <w:p>
      <w:pPr>
        <w:jc w:val="center"/>
        <w:spacing w:after="0"/>
        <w:rPr>
          <w:sz w:val="20"/>
          <w:szCs w:val="20"/>
          <w:color w:val="auto"/>
        </w:rPr>
      </w:pPr>
      <w:r>
        <w:rPr>
          <w:rFonts w:ascii="Arial" w:cs="Arial" w:eastAsia="Arial" w:hAnsi="Arial"/>
          <w:sz w:val="20"/>
          <w:szCs w:val="20"/>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7"/>
                <w:szCs w:val="17"/>
                <w:color w:val="auto"/>
              </w:rPr>
            </w:pPr>
          </w:p>
        </w:tc>
        <w:tc>
          <w:tcPr>
            <w:tcW w:w="30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For the Nine Months Ended</w:t>
            </w:r>
          </w:p>
        </w:tc>
      </w:tr>
      <w:tr>
        <w:trPr>
          <w:trHeight w:val="239"/>
        </w:trPr>
        <w:tc>
          <w:tcPr>
            <w:tcW w:w="4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r>
      <w:tr>
        <w:trPr>
          <w:trHeight w:val="22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103,379</w:t>
            </w:r>
          </w:p>
        </w:tc>
        <w:tc>
          <w:tcPr>
            <w:tcW w:w="2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94,829</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292,715</w:t>
            </w:r>
          </w:p>
        </w:tc>
        <w:tc>
          <w:tcPr>
            <w:tcW w:w="24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258,553</w:t>
            </w:r>
          </w:p>
        </w:tc>
        <w:tc>
          <w:tcPr>
            <w:tcW w:w="100" w:type="dxa"/>
            <w:vAlign w:val="bottom"/>
          </w:tcPr>
          <w:p>
            <w:pPr>
              <w:spacing w:after="0"/>
              <w:rPr>
                <w:sz w:val="19"/>
                <w:szCs w:val="19"/>
                <w:color w:val="auto"/>
              </w:rPr>
            </w:pPr>
          </w:p>
        </w:tc>
      </w:tr>
      <w:tr>
        <w:trPr>
          <w:trHeight w:val="229"/>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15,548</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8,742</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42,546</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5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118,927</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335,261</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282,857</w:t>
            </w:r>
          </w:p>
        </w:tc>
        <w:tc>
          <w:tcPr>
            <w:tcW w:w="10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(7,893 )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(10,732 )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(43,742 )</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(36,977 )</w:t>
            </w:r>
          </w:p>
        </w:tc>
      </w:tr>
      <w:tr>
        <w:trPr>
          <w:trHeight w:val="22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(4,130 )</w:t>
            </w:r>
          </w:p>
        </w:tc>
        <w:tc>
          <w:tcPr>
            <w:tcW w:w="5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(4,305 )</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(13,179 )</w:t>
            </w: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(14,625 )</w:t>
            </w:r>
          </w:p>
        </w:tc>
      </w:tr>
      <w:tr>
        <w:trPr>
          <w:trHeight w:val="20"/>
        </w:trPr>
        <w:tc>
          <w:tcPr>
            <w:tcW w:w="4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520" w:type="dxa"/>
            <w:vAlign w:val="bottom"/>
          </w:tcPr>
          <w:p>
            <w:pPr>
              <w:ind w:left="280"/>
              <w:spacing w:after="0"/>
              <w:rPr>
                <w:sz w:val="20"/>
                <w:szCs w:val="20"/>
                <w:color w:val="auto"/>
              </w:rPr>
            </w:pPr>
            <w:r>
              <w:rPr>
                <w:rFonts w:ascii="Arial" w:cs="Arial" w:eastAsia="Arial" w:hAnsi="Arial"/>
                <w:sz w:val="18"/>
                <w:szCs w:val="18"/>
                <w:color w:val="auto"/>
              </w:rPr>
              <w:t>Total net loss attributable to common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(12,023 )</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(15,037 )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(56,921 )</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(51,602 )</w:t>
            </w:r>
          </w:p>
        </w:tc>
      </w:tr>
      <w:tr>
        <w:trPr>
          <w:trHeight w:val="20"/>
        </w:trPr>
        <w:tc>
          <w:tcPr>
            <w:tcW w:w="4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-941070</wp:posOffset>
            </wp:positionV>
            <wp:extent cx="76835" cy="3251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-941070</wp:posOffset>
            </wp:positionV>
            <wp:extent cx="68580" cy="3251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-941070</wp:posOffset>
            </wp:positionV>
            <wp:extent cx="68580" cy="3251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3251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-179070</wp:posOffset>
            </wp:positionV>
            <wp:extent cx="76835"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-179070</wp:posOffset>
            </wp:positionV>
            <wp:extent cx="6858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-179070</wp:posOffset>
            </wp:positionV>
            <wp:extent cx="6858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5" w:lineRule="auto"/>
        <w:rPr>
          <w:sz w:val="20"/>
          <w:szCs w:val="20"/>
          <w:color w:val="auto"/>
        </w:rPr>
      </w:pPr>
      <w:r>
        <w:rPr>
          <w:rFonts w:ascii="Arial" w:cs="Arial" w:eastAsia="Arial" w:hAnsi="Arial"/>
          <w:sz w:val="20"/>
          <w:szCs w:val="20"/>
          <w:color w:val="auto"/>
        </w:rPr>
        <w:t>Unaudited Supplemental Information</w:t>
      </w:r>
    </w:p>
    <w:p>
      <w:pPr>
        <w:jc w:val="center"/>
        <w:spacing w:after="0"/>
        <w:rPr>
          <w:sz w:val="20"/>
          <w:szCs w:val="20"/>
          <w:color w:val="auto"/>
        </w:rPr>
      </w:pPr>
      <w:r>
        <w:rPr>
          <w:rFonts w:ascii="Arial" w:cs="Arial" w:eastAsia="Arial" w:hAnsi="Arial"/>
          <w:sz w:val="20"/>
          <w:szCs w:val="20"/>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24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For the Three Months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For the Nine Months</w:t>
            </w:r>
          </w:p>
        </w:tc>
        <w:tc>
          <w:tcPr>
            <w:tcW w:w="100" w:type="dxa"/>
            <w:vAlign w:val="bottom"/>
          </w:tcPr>
          <w:p>
            <w:pPr>
              <w:spacing w:after="0"/>
              <w:rPr>
                <w:sz w:val="17"/>
                <w:szCs w:val="17"/>
                <w:color w:val="auto"/>
              </w:rPr>
            </w:pPr>
          </w:p>
        </w:tc>
      </w:tr>
      <w:tr>
        <w:trPr>
          <w:trHeight w:val="239"/>
        </w:trPr>
        <w:tc>
          <w:tcPr>
            <w:tcW w:w="5140" w:type="dxa"/>
            <w:vAlign w:val="bottom"/>
          </w:tcPr>
          <w:p>
            <w:pPr>
              <w:spacing w:after="0"/>
              <w:rPr>
                <w:sz w:val="20"/>
                <w:szCs w:val="20"/>
                <w:color w:val="auto"/>
              </w:rPr>
            </w:pPr>
          </w:p>
        </w:tc>
        <w:tc>
          <w:tcPr>
            <w:tcW w:w="2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Ended September 30,</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Ended September 30,</w:t>
            </w:r>
          </w:p>
        </w:tc>
        <w:tc>
          <w:tcPr>
            <w:tcW w:w="100" w:type="dxa"/>
            <w:vAlign w:val="bottom"/>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Stock-based Compensation Expense</w:t>
            </w:r>
          </w:p>
        </w:tc>
        <w:tc>
          <w:tcPr>
            <w:tcW w:w="8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1,216</w:t>
            </w: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1,135</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3,453</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1,955</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1,715</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4,879</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1,424</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1,097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r>
      <w:tr>
        <w:trPr>
          <w:trHeight w:val="229"/>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1,135</w:t>
            </w:r>
          </w:p>
        </w:tc>
        <w:tc>
          <w:tcPr>
            <w:tcW w:w="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1,166</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5,730</w:t>
            </w: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5,113</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16,222</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1,294</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2,478</w:t>
            </w:r>
          </w:p>
        </w:tc>
        <w:tc>
          <w:tcPr>
            <w:tcW w:w="114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1,909</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100" w:type="dxa"/>
            <w:vAlign w:val="bottom"/>
            <w:shd w:val="clear" w:color="auto" w:fill="CFF0FC"/>
          </w:tcPr>
          <w:p>
            <w:pPr>
              <w:spacing w:after="0"/>
              <w:rPr>
                <w:sz w:val="22"/>
                <w:szCs w:val="22"/>
                <w:color w:val="auto"/>
              </w:rPr>
            </w:pPr>
          </w:p>
        </w:tc>
      </w:tr>
      <w:tr>
        <w:trPr>
          <w:trHeight w:val="466"/>
        </w:trPr>
        <w:tc>
          <w:tcPr>
            <w:tcW w:w="51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Restructuring Charge</w:t>
            </w: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restructuring charge</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628"/>
        </w:trPr>
        <w:tc>
          <w:tcPr>
            <w:tcW w:w="514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12</w:t>
            </w: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-2970530</wp:posOffset>
            </wp:positionV>
            <wp:extent cx="76835" cy="3251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-2970530</wp:posOffset>
            </wp:positionV>
            <wp:extent cx="68580" cy="3251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-2970530</wp:posOffset>
            </wp:positionV>
            <wp:extent cx="68580" cy="3251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-2970530</wp:posOffset>
            </wp:positionV>
            <wp:extent cx="68580" cy="3251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-1617345</wp:posOffset>
            </wp:positionV>
            <wp:extent cx="3030855" cy="3340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30855" cy="33401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-521970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-504825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-521970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-504825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-521970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-504825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2023-11-09T06:44:52Z</dcterms:created>
  <dcterms:modified xsi:type="dcterms:W3CDTF">2023-11-09T06:44:52Z</dcterms:modified>
</cp:coreProperties>
</file>