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Goguen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09/14/2023</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18.4727</w:t>
            </w:r>
            <w:r>
              <w:rPr>
                <w:rFonts w:ascii="Times;serif" w:hAnsi="Times;serif"/>
                <w:color w:val="008000"/>
                <w:position w:val="7"/>
                <w:sz w:val="16"/>
                <w:sz w:val="20"/>
                <w:shd w:fill="FFFFFF" w:val="clear"/>
              </w:rPr>
              <w:t>(1)</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189,113</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$18.47 to $18.51, inclusive. The reporting person undertakes to provide to Xometry, Inc., any security holder of Xometry, Inc. or the staff of the Securities and Exchange Commission, upon request, full information regarding the number of shares sold at each separate price within this price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0011" TargetMode="External"/><Relationship Id="rId4" Type="http://schemas.openxmlformats.org/officeDocument/2006/relationships/hyperlink" Target="http://www.sec.gov/cgi-bin/browse-edgar?action=getcompany&amp;CIK=000165757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630</Words>
  <Characters>3439</Characters>
  <CharactersWithSpaces>4007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