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225425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249555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North Bethesda, Maryland</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255905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2"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6"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On August 8, 2024, Xometry, Inc. (the “Company”) issued a press release announcing its second quarter financial results for the quarterly period ended June 30, 2024. A copy of the press release is furnished as Exhibit 99.1 to this report.</w:t>
      </w:r>
    </w:p>
    <w:p>
      <w:pPr>
        <w:spacing w:after="0" w:line="163"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19"/>
        </w:trPr>
        <w:tc>
          <w:tcPr>
            <w:tcW w:w="180" w:type="dxa"/>
            <w:vAlign w:val="bottom"/>
          </w:tcPr>
          <w:p>
            <w:pPr>
              <w:spacing w:after="0"/>
              <w:rPr>
                <w:sz w:val="24"/>
                <w:szCs w:val="24"/>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0" w:type="dxa"/>
            <w:vAlign w:val="bottom"/>
          </w:tcPr>
          <w:p>
            <w:pPr>
              <w:spacing w:after="0"/>
              <w:rPr>
                <w:sz w:val="16"/>
                <w:szCs w:val="16"/>
                <w:color w:val="auto"/>
              </w:rPr>
            </w:pPr>
          </w:p>
        </w:tc>
        <w:tc>
          <w:tcPr>
            <w:tcW w:w="3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August 8, 2024.</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1"/>
                <w:szCs w:val="21"/>
                <w:color w:val="auto"/>
              </w:rPr>
            </w:pP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1"/>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Second Quarter 2024 Results</w:t>
      </w:r>
    </w:p>
    <w:p>
      <w:pPr>
        <w:spacing w:after="0" w:line="197" w:lineRule="exact"/>
        <w:rPr>
          <w:sz w:val="20"/>
          <w:szCs w:val="20"/>
          <w:color w:val="auto"/>
        </w:rPr>
      </w:pPr>
    </w:p>
    <w:p>
      <w:pPr>
        <w:ind w:left="1020" w:right="10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Q2 revenue increased 19% year-over-year to a record $133 million driven by marketplace growth of 25% year-over-year.</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Q2 gross profit increased 21% year-over-year to a record $52.9 million with a record 39.9% gross margin.</w:t>
      </w:r>
    </w:p>
    <w:p>
      <w:pPr>
        <w:spacing w:after="0" w:line="106" w:lineRule="exact"/>
        <w:rPr>
          <w:rFonts w:ascii="Times New Roman" w:cs="Times New Roman" w:eastAsia="Times New Roman" w:hAnsi="Times New Roman"/>
          <w:sz w:val="20"/>
          <w:szCs w:val="20"/>
          <w:color w:val="auto"/>
        </w:rPr>
      </w:pPr>
    </w:p>
    <w:p>
      <w:pPr>
        <w:ind w:left="1020" w:right="500" w:hanging="504"/>
        <w:spacing w:after="0" w:line="259" w:lineRule="auto"/>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Q2 marketplace gross profit increased 33% year-over-year. Q2 marketplace gross margin increased 180 basis points year-over-year to a record 33.5%. Q2 supplier services gross margin increased 910 basis point to 88.9% </w:t>
      </w:r>
      <w:r>
        <w:rPr>
          <w:rFonts w:ascii="Arial" w:cs="Arial" w:eastAsia="Arial" w:hAnsi="Arial"/>
          <w:sz w:val="19"/>
          <w:szCs w:val="19"/>
          <w:color w:val="1D1C1D"/>
        </w:rPr>
        <w:t>driven by increased focus on the high gross margin Thomas marketing and advertising services business</w:t>
      </w:r>
      <w:r>
        <w:rPr>
          <w:rFonts w:ascii="Arial" w:cs="Arial" w:eastAsia="Arial" w:hAnsi="Arial"/>
          <w:sz w:val="19"/>
          <w:szCs w:val="19"/>
          <w:color w:val="000000"/>
        </w:rPr>
        <w:t>.</w:t>
      </w:r>
    </w:p>
    <w:p>
      <w:pPr>
        <w:spacing w:after="0" w:line="46" w:lineRule="exact"/>
        <w:rPr>
          <w:rFonts w:ascii="Times New Roman" w:cs="Times New Roman" w:eastAsia="Times New Roman" w:hAnsi="Times New Roman"/>
          <w:sz w:val="19"/>
          <w:szCs w:val="19"/>
          <w:color w:val="auto"/>
        </w:rPr>
      </w:pPr>
    </w:p>
    <w:p>
      <w:pPr>
        <w:ind w:left="1020" w:right="16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Q2 Adjusted EBITDA improved 70% year-over-year to a loss of $2.6 million. Q2 Adjusted EBITDA loss represented 2.0% of revenue.</w:t>
      </w:r>
    </w:p>
    <w:p>
      <w:pPr>
        <w:spacing w:after="0" w:line="47" w:lineRule="exact"/>
        <w:rPr>
          <w:rFonts w:ascii="Times New Roman" w:cs="Times New Roman" w:eastAsia="Times New Roman" w:hAnsi="Times New Roman"/>
          <w:sz w:val="20"/>
          <w:szCs w:val="20"/>
          <w:color w:val="auto"/>
        </w:rPr>
      </w:pPr>
    </w:p>
    <w:p>
      <w:pPr>
        <w:ind w:left="1020" w:right="520" w:hanging="504"/>
        <w:spacing w:after="0" w:line="282" w:lineRule="auto"/>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2024 growth initiatives include: expanding buyer and supplier networks; driving deeper enterprise engagement; further expanding the marketplace menu; growing internationally and enhancing supplier services.</w:t>
      </w:r>
    </w:p>
    <w:p>
      <w:pPr>
        <w:spacing w:after="0" w:line="9" w:lineRule="exact"/>
        <w:rPr>
          <w:sz w:val="20"/>
          <w:szCs w:val="20"/>
          <w:color w:val="auto"/>
        </w:rPr>
      </w:pPr>
    </w:p>
    <w:p>
      <w:pPr>
        <w:ind w:right="580"/>
        <w:spacing w:after="0" w:line="242" w:lineRule="auto"/>
        <w:rPr>
          <w:sz w:val="20"/>
          <w:szCs w:val="20"/>
          <w:color w:val="auto"/>
        </w:rPr>
      </w:pPr>
      <w:r>
        <w:rPr>
          <w:rFonts w:ascii="Arial" w:cs="Arial" w:eastAsia="Arial" w:hAnsi="Arial"/>
          <w:sz w:val="20"/>
          <w:szCs w:val="20"/>
          <w:b w:val="1"/>
          <w:bCs w:val="1"/>
          <w:color w:val="auto"/>
        </w:rPr>
        <w:t>NORTH BETHESDA, MD., August 8, 2024 /Globe Newswire/</w:t>
      </w:r>
      <w:r>
        <w:rPr>
          <w:rFonts w:ascii="Arial" w:cs="Arial" w:eastAsia="Arial" w:hAnsi="Arial"/>
          <w:sz w:val="20"/>
          <w:szCs w:val="20"/>
          <w:color w:val="auto"/>
        </w:rPr>
        <w:t>-- Xometry, Inc. (NASDAQ:XMTR), the global AI-powered</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enterprise buyers with suppliers of manufacturing services, today reported financial results for the second quarter ended June 30, 2024.</w:t>
      </w:r>
    </w:p>
    <w:p>
      <w:pPr>
        <w:spacing w:after="0" w:line="169"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color w:val="auto"/>
        </w:rPr>
        <w:t xml:space="preserve">“We delivered </w:t>
      </w:r>
      <w:r>
        <w:rPr>
          <w:rFonts w:ascii="Arial" w:cs="Arial" w:eastAsia="Arial" w:hAnsi="Arial"/>
          <w:sz w:val="20"/>
          <w:szCs w:val="20"/>
          <w:color w:val="222222"/>
        </w:rPr>
        <w:t>record revenue, record gross profit and record gross margins</w:t>
      </w:r>
      <w:r>
        <w:rPr>
          <w:rFonts w:ascii="Arial" w:cs="Arial" w:eastAsia="Arial" w:hAnsi="Arial"/>
          <w:sz w:val="20"/>
          <w:szCs w:val="20"/>
          <w:color w:val="auto"/>
        </w:rPr>
        <w:t xml:space="preserve"> as our AI-powered marketplace continues to gain market share,” said Randy Altschuler, Xometry’s CEO. “In Q2 2024, we grew our marketplace revenue 25%, with accelerated growth in the U.S. and a record 33.5% marketplace gross margin as more customers turn to Xometry for their supply chain solutions. The combination of data-driven AI and supplier network expansion will fuel robust growth and continued margin improvement.”</w:t>
      </w:r>
    </w:p>
    <w:p>
      <w:pPr>
        <w:spacing w:after="0" w:line="173"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“We delivered another strong quarter with better-than-expected results driven by improving marketplace gross margin and significant operating leverage,” said James Miln, Xometry’s CFO. “This resulted in a 70% improvement in our Adjusted EBITDA loss to $2.6 million, or 2.0% of revenue. We remain focused on our path to Adjusted EBITDA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2024 Financial Highlights</w:t>
      </w:r>
    </w:p>
    <w:p>
      <w:pPr>
        <w:spacing w:after="0" w:line="96"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second quarter 2024 was $133 million, an increase of 19%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second quarter of 2024 was $117 million, an increase of 25% year-over-year.</w:t>
      </w:r>
    </w:p>
    <w:p>
      <w:pPr>
        <w:spacing w:after="0" w:line="106" w:lineRule="exact"/>
        <w:rPr>
          <w:rFonts w:ascii="Times New Roman" w:cs="Times New Roman" w:eastAsia="Times New Roman" w:hAnsi="Times New Roman"/>
          <w:sz w:val="20"/>
          <w:szCs w:val="20"/>
          <w:color w:val="auto"/>
        </w:rPr>
      </w:pPr>
    </w:p>
    <w:p>
      <w:pPr>
        <w:ind w:left="1020" w:right="560" w:hanging="504"/>
        <w:spacing w:after="0" w:line="282" w:lineRule="auto"/>
        <w:tabs>
          <w:tab w:leader="none" w:pos="102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Supplier services revenue for the second quarter of 2024 was $15.3 million, a decrease of 13% year-over-year driven primarily by the exit of the lower-margin tools and materials business and non-core supplier services.</w:t>
      </w:r>
    </w:p>
    <w:p>
      <w:pPr>
        <w:spacing w:after="0" w:line="24" w:lineRule="exact"/>
        <w:rPr>
          <w:rFonts w:ascii="Times New Roman" w:cs="Times New Roman" w:eastAsia="Times New Roman" w:hAnsi="Times New Roman"/>
          <w:sz w:val="19"/>
          <w:szCs w:val="19"/>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second quarter 2024 was $52.9 million, an increase of 21%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27% from 48,340 as of June 30, 2023 to 61,530 as of June 30, 2024.</w:t>
      </w:r>
    </w:p>
    <w:p>
      <w:pPr>
        <w:spacing w:after="0" w:line="106" w:lineRule="exact"/>
        <w:rPr>
          <w:rFonts w:ascii="Times New Roman" w:cs="Times New Roman" w:eastAsia="Times New Roman" w:hAnsi="Times New Roman"/>
          <w:sz w:val="20"/>
          <w:szCs w:val="20"/>
          <w:color w:val="auto"/>
        </w:rPr>
      </w:pPr>
    </w:p>
    <w:p>
      <w:pPr>
        <w:ind w:left="1020" w:right="8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24% from 1,159 as of June 30, 2023 to 1,436 as of June 30, 2024.</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Active Paying Suppliers decreased 7% from 7,553 as of June 30, 2023 to 6,992 as of June 30, 2024.</w:t>
      </w:r>
    </w:p>
    <w:p>
      <w:pPr>
        <w:spacing w:after="0" w:line="106" w:lineRule="exact"/>
        <w:rPr>
          <w:rFonts w:ascii="Times New Roman" w:cs="Times New Roman" w:eastAsia="Times New Roman" w:hAnsi="Times New Roman"/>
          <w:sz w:val="20"/>
          <w:szCs w:val="20"/>
          <w:color w:val="auto"/>
        </w:rPr>
      </w:pPr>
    </w:p>
    <w:p>
      <w:pPr>
        <w:ind w:left="1020" w:right="44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$13.7 million for the quarter, a decrease of $12.9 million year-over-year. Net loss for Q2 2024 included $8.1 million of stock-based compensation, $0.8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 w:name="page5"/>
    <w:bookmarkEnd w:id="4"/>
    <w:p>
      <w:pPr>
        <w:ind w:left="1020" w:right="180"/>
        <w:spacing w:after="0" w:line="257" w:lineRule="auto"/>
        <w:rPr>
          <w:sz w:val="20"/>
          <w:szCs w:val="20"/>
          <w:color w:val="auto"/>
        </w:rPr>
      </w:pPr>
      <w:r>
        <w:rPr>
          <w:rFonts w:ascii="Arial" w:cs="Arial" w:eastAsia="Arial" w:hAnsi="Arial"/>
          <w:sz w:val="20"/>
          <w:szCs w:val="20"/>
          <w:color w:val="auto"/>
        </w:rPr>
        <w:t>million of payroll tax expense related to stock-based compensation and $3.3 million of depreciation and amortization expense.</w:t>
      </w:r>
    </w:p>
    <w:p>
      <w:pPr>
        <w:spacing w:after="0" w:line="47"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was negative $2.6 million for the quarter, reflecting an improvement of $6.0 million year-over-year.</w:t>
      </w:r>
    </w:p>
    <w:p>
      <w:pPr>
        <w:spacing w:after="0" w:line="63"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Second Quarter 2024 Business Highlights</w:t>
      </w:r>
    </w:p>
    <w:p>
      <w:pPr>
        <w:spacing w:after="0" w:line="95" w:lineRule="exact"/>
        <w:rPr>
          <w:rFonts w:ascii="Times New Roman" w:cs="Times New Roman" w:eastAsia="Times New Roman" w:hAnsi="Times New Roman"/>
          <w:sz w:val="20"/>
          <w:szCs w:val="20"/>
          <w:color w:val="auto"/>
        </w:rPr>
      </w:pPr>
    </w:p>
    <w:p>
      <w:pPr>
        <w:jc w:val="both"/>
        <w:ind w:left="1020" w:right="320" w:hanging="504"/>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Developed new auto-quote categories. Xometry is now beta-testing new auto-quote tube-bending and tube-cutting processes within Xometry’s AI-powered marketplace which we expect to release later in Q3. Xometry is leveraging Google Cloud Vertex AI to accelerate the development of new instant-quoting capabilities.</w:t>
      </w:r>
    </w:p>
    <w:p>
      <w:pPr>
        <w:spacing w:after="0" w:line="64" w:lineRule="exact"/>
        <w:rPr>
          <w:rFonts w:ascii="Times New Roman" w:cs="Times New Roman" w:eastAsia="Times New Roman" w:hAnsi="Times New Roman"/>
          <w:sz w:val="20"/>
          <w:szCs w:val="20"/>
          <w:color w:val="auto"/>
        </w:rPr>
      </w:pPr>
    </w:p>
    <w:p>
      <w:pPr>
        <w:ind w:left="1020" w:right="300" w:hanging="504"/>
        <w:spacing w:after="0"/>
        <w:tabs>
          <w:tab w:leader="none" w:pos="1020" w:val="left"/>
        </w:tabs>
        <w:numPr>
          <w:ilvl w:val="0"/>
          <w:numId w:val="4"/>
        </w:numPr>
        <w:rPr>
          <w:rFonts w:ascii="Times New Roman" w:cs="Times New Roman" w:eastAsia="Times New Roman" w:hAnsi="Times New Roman"/>
          <w:sz w:val="20"/>
          <w:szCs w:val="20"/>
          <w:color w:val="1D1C1D"/>
        </w:rPr>
      </w:pPr>
      <w:r>
        <w:rPr>
          <w:rFonts w:ascii="Arial" w:cs="Arial" w:eastAsia="Arial" w:hAnsi="Arial"/>
          <w:sz w:val="20"/>
          <w:szCs w:val="20"/>
          <w:color w:val="1D1C1D"/>
        </w:rPr>
        <w:t xml:space="preserve">Expanded offerings in the Asia Pacific region, including new English-speaking countries Australia, Singapore and New Zealand through an upgraded </w:t>
      </w:r>
      <w:r>
        <w:rPr>
          <w:rFonts w:ascii="Arial" w:cs="Arial" w:eastAsia="Arial" w:hAnsi="Arial"/>
          <w:sz w:val="20"/>
          <w:szCs w:val="20"/>
          <w:color w:val="000000"/>
        </w:rPr>
        <w:t>xometry.asia</w:t>
      </w:r>
      <w:r>
        <w:rPr>
          <w:rFonts w:ascii="Arial" w:cs="Arial" w:eastAsia="Arial" w:hAnsi="Arial"/>
          <w:sz w:val="20"/>
          <w:szCs w:val="20"/>
          <w:color w:val="1D1C1D"/>
        </w:rPr>
        <w:t xml:space="preserve"> site. In China, Xometry also launched enhanced customer service capabilities on its WeChat mini app for buyers to quote, order and track deliveries.</w:t>
      </w:r>
    </w:p>
    <w:p>
      <w:pPr>
        <w:spacing w:after="0" w:line="64" w:lineRule="exact"/>
        <w:rPr>
          <w:rFonts w:ascii="Times New Roman" w:cs="Times New Roman" w:eastAsia="Times New Roman" w:hAnsi="Times New Roman"/>
          <w:sz w:val="20"/>
          <w:szCs w:val="20"/>
          <w:color w:val="1D1C1D"/>
        </w:rPr>
      </w:pPr>
    </w:p>
    <w:p>
      <w:pPr>
        <w:ind w:left="1020" w:right="340" w:hanging="504"/>
        <w:spacing w:after="0"/>
        <w:tabs>
          <w:tab w:leader="none" w:pos="1020" w:val="left"/>
        </w:tabs>
        <w:numPr>
          <w:ilvl w:val="0"/>
          <w:numId w:val="4"/>
        </w:numPr>
        <w:rPr>
          <w:rFonts w:ascii="Times New Roman" w:cs="Times New Roman" w:eastAsia="Times New Roman" w:hAnsi="Times New Roman"/>
          <w:sz w:val="20"/>
          <w:szCs w:val="20"/>
          <w:color w:val="1D1C1D"/>
        </w:rPr>
      </w:pPr>
      <w:r>
        <w:rPr>
          <w:rFonts w:ascii="Arial" w:cs="Arial" w:eastAsia="Arial" w:hAnsi="Arial"/>
          <w:sz w:val="20"/>
          <w:szCs w:val="20"/>
          <w:color w:val="1D1C1D"/>
        </w:rPr>
        <w:t>Expanded European marketplace menu with new finishes and materials. For CNC, Xometry Europe added 11 new materials including new steel and aluminum grades. Additionally, the EU site expanded its finishing options for 3D printing. Xometry Europe now offers localized marketplaces in 15 different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line="226" w:lineRule="auto"/>
        <w:rPr>
          <w:sz w:val="20"/>
          <w:szCs w:val="20"/>
          <w:color w:val="auto"/>
        </w:rPr>
      </w:pPr>
      <w:r>
        <w:rPr>
          <w:rFonts w:ascii="Arial" w:cs="Arial" w:eastAsia="Arial" w:hAnsi="Arial"/>
          <w:sz w:val="20"/>
          <w:szCs w:val="20"/>
          <w:b w:val="1"/>
          <w:bCs w:val="1"/>
          <w:color w:val="auto"/>
        </w:rPr>
        <w:t>Financial Summary</w:t>
      </w:r>
    </w:p>
    <w:p>
      <w:pPr>
        <w:jc w:val="center"/>
        <w:ind w:right="100"/>
        <w:spacing w:after="0" w:line="225" w:lineRule="auto"/>
        <w:rPr>
          <w:sz w:val="20"/>
          <w:szCs w:val="20"/>
          <w:color w:val="auto"/>
        </w:rPr>
      </w:pPr>
      <w:r>
        <w:rPr>
          <w:rFonts w:ascii="Arial" w:cs="Arial" w:eastAsia="Arial" w:hAnsi="Arial"/>
          <w:sz w:val="20"/>
          <w:szCs w:val="20"/>
          <w:b w:val="1"/>
          <w:bCs w:val="1"/>
          <w:color w:val="auto"/>
        </w:rPr>
        <w:t>(In thousands, except per share amounts)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For the Three Months</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For the Six Months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Ended June 30,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Ended 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21"/>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Consolidated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132,595</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111,008</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19 % $</w:t>
            </w:r>
          </w:p>
        </w:tc>
        <w:tc>
          <w:tcPr>
            <w:tcW w:w="880" w:type="dxa"/>
            <w:vAlign w:val="bottom"/>
          </w:tcPr>
          <w:p>
            <w:pPr>
              <w:jc w:val="right"/>
              <w:spacing w:after="0"/>
              <w:rPr>
                <w:sz w:val="20"/>
                <w:szCs w:val="20"/>
                <w:color w:val="auto"/>
              </w:rPr>
            </w:pPr>
            <w:r>
              <w:rPr>
                <w:rFonts w:ascii="Arial" w:cs="Arial" w:eastAsia="Arial" w:hAnsi="Arial"/>
                <w:sz w:val="16"/>
                <w:szCs w:val="16"/>
                <w:color w:val="auto"/>
              </w:rPr>
              <w:t>255,285</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216,334</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52,877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43,556</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21 %</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100,779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82,925</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(13,697 )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(26,554 )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48 %</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(30,313 )</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(44,898 )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6"/>
                <w:szCs w:val="16"/>
                <w:color w:val="auto"/>
              </w:rPr>
              <w:t>EPS, basic and diluted, of Class A and Class B</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(0.28 )</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(0.55 )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49 %</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(0.62 )</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(0.94 )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(2,634 )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(8,658 )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70 %</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(10,093 )</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(20,425 )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Non-GAAP net loss</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(606 )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(6,627 )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91 %</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(6,348 )</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(16,393 )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line="202" w:lineRule="exact"/>
              <w:rPr>
                <w:sz w:val="20"/>
                <w:szCs w:val="20"/>
                <w:color w:val="auto"/>
              </w:rPr>
            </w:pPr>
            <w:r>
              <w:rPr>
                <w:rFonts w:ascii="Arial" w:cs="Arial" w:eastAsia="Arial" w:hAnsi="Arial"/>
                <w:sz w:val="16"/>
                <w:szCs w:val="16"/>
                <w:color w:val="auto"/>
              </w:rPr>
              <w:t>Non-GAAP EPS, basic and diluted</w:t>
            </w:r>
            <w:r>
              <w:rPr>
                <w:rFonts w:ascii="Arial" w:cs="Arial" w:eastAsia="Arial" w:hAnsi="Arial"/>
                <w:sz w:val="21"/>
                <w:szCs w:val="21"/>
                <w:color w:val="auto"/>
                <w:vertAlign w:val="superscript"/>
              </w:rPr>
              <w:t>(1)</w:t>
            </w:r>
            <w:r>
              <w:rPr>
                <w:rFonts w:ascii="Arial" w:cs="Arial" w:eastAsia="Arial" w:hAnsi="Arial"/>
                <w:sz w:val="16"/>
                <w:szCs w:val="16"/>
                <w:color w:val="auto"/>
              </w:rPr>
              <w:t>, of Class A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Class B common stock</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(0.01 )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(0.14 )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93 %</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(0.13 )</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(0.34 )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8"/>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Marketplace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117,287</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93,511</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25 % $</w:t>
            </w:r>
          </w:p>
        </w:tc>
        <w:tc>
          <w:tcPr>
            <w:tcW w:w="880" w:type="dxa"/>
            <w:vAlign w:val="bottom"/>
          </w:tcPr>
          <w:p>
            <w:pPr>
              <w:jc w:val="right"/>
              <w:spacing w:after="0"/>
              <w:rPr>
                <w:sz w:val="20"/>
                <w:szCs w:val="20"/>
                <w:color w:val="auto"/>
              </w:rPr>
            </w:pPr>
            <w:r>
              <w:rPr>
                <w:rFonts w:ascii="Arial" w:cs="Arial" w:eastAsia="Arial" w:hAnsi="Arial"/>
                <w:sz w:val="16"/>
                <w:szCs w:val="16"/>
                <w:color w:val="auto"/>
              </w:rPr>
              <w:t>224,473</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180,191</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63,914</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150,931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125,661</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39,263</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29,597</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line="209" w:lineRule="exact"/>
              <w:rPr>
                <w:sz w:val="20"/>
                <w:szCs w:val="20"/>
                <w:color w:val="auto"/>
              </w:rPr>
            </w:pPr>
            <w:r>
              <w:rPr>
                <w:rFonts w:ascii="Arial" w:cs="Arial" w:eastAsia="Arial" w:hAnsi="Arial"/>
                <w:sz w:val="13"/>
                <w:szCs w:val="13"/>
                <w:color w:val="auto"/>
              </w:rPr>
              <w:t xml:space="preserve">33 % </w:t>
            </w:r>
            <w:r>
              <w:rPr>
                <w:rFonts w:ascii="Arial" w:cs="Arial" w:eastAsia="Arial" w:hAnsi="Arial"/>
                <w:sz w:val="24"/>
                <w:szCs w:val="24"/>
                <w:color w:val="auto"/>
                <w:vertAlign w:val="superscript"/>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73,542</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54,530</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1.8 %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2.5 %</w:t>
            </w:r>
          </w:p>
        </w:tc>
        <w:tc>
          <w:tcPr>
            <w:tcW w:w="0" w:type="dxa"/>
            <w:vAlign w:val="bottom"/>
          </w:tcPr>
          <w:p>
            <w:pPr>
              <w:spacing w:after="0" w:line="20" w:lineRule="exact"/>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33.5 %</w:t>
            </w:r>
          </w:p>
        </w:tc>
        <w:tc>
          <w:tcPr>
            <w:tcW w:w="2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31.7 %</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32.8 %</w:t>
            </w:r>
          </w:p>
        </w:tc>
        <w:tc>
          <w:tcPr>
            <w:tcW w:w="2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30.3 %</w:t>
            </w: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Supplier services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15,308</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17,497</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(13 )% $</w:t>
            </w:r>
          </w:p>
        </w:tc>
        <w:tc>
          <w:tcPr>
            <w:tcW w:w="880" w:type="dxa"/>
            <w:vAlign w:val="bottom"/>
          </w:tcPr>
          <w:p>
            <w:pPr>
              <w:jc w:val="right"/>
              <w:spacing w:after="0"/>
              <w:rPr>
                <w:sz w:val="20"/>
                <w:szCs w:val="20"/>
                <w:color w:val="auto"/>
              </w:rPr>
            </w:pPr>
            <w:r>
              <w:rPr>
                <w:rFonts w:ascii="Arial" w:cs="Arial" w:eastAsia="Arial" w:hAnsi="Arial"/>
                <w:sz w:val="16"/>
                <w:szCs w:val="16"/>
                <w:color w:val="auto"/>
              </w:rPr>
              <w:t>30,812</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36,143</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52 %</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7,748</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13,614</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13,959</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line="209" w:lineRule="exact"/>
              <w:rPr>
                <w:sz w:val="20"/>
                <w:szCs w:val="20"/>
                <w:color w:val="auto"/>
              </w:rPr>
            </w:pPr>
            <w:r>
              <w:rPr>
                <w:rFonts w:ascii="Arial" w:cs="Arial" w:eastAsia="Arial" w:hAnsi="Arial"/>
                <w:sz w:val="13"/>
                <w:szCs w:val="13"/>
                <w:color w:val="auto"/>
              </w:rPr>
              <w:t xml:space="preserve">(2 )% </w:t>
            </w:r>
            <w:r>
              <w:rPr>
                <w:rFonts w:ascii="Arial" w:cs="Arial" w:eastAsia="Arial" w:hAnsi="Arial"/>
                <w:sz w:val="24"/>
                <w:szCs w:val="24"/>
                <w:color w:val="auto"/>
                <w:vertAlign w:val="superscript"/>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27,237</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28,395</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9.1 %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9.8 %</w:t>
            </w:r>
          </w:p>
        </w:tc>
        <w:tc>
          <w:tcPr>
            <w:tcW w:w="0" w:type="dxa"/>
            <w:vAlign w:val="bottom"/>
          </w:tcPr>
          <w:p>
            <w:pPr>
              <w:spacing w:after="0" w:line="20" w:lineRule="exact"/>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88.9 %</w:t>
            </w:r>
          </w:p>
        </w:tc>
        <w:tc>
          <w:tcPr>
            <w:tcW w:w="2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79.8 %</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88.4 %</w:t>
            </w:r>
          </w:p>
        </w:tc>
        <w:tc>
          <w:tcPr>
            <w:tcW w:w="2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78.6 %</w:t>
            </w: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-2773045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-2498725</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-2105025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4" w:lineRule="exact"/>
        <w:rPr>
          <w:sz w:val="20"/>
          <w:szCs w:val="20"/>
          <w:color w:val="auto"/>
        </w:rPr>
      </w:pPr>
    </w:p>
    <w:p>
      <w:pPr>
        <w:ind w:left="380" w:right="280" w:hanging="372"/>
        <w:spacing w:after="0" w:line="284"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As of June 30,</w:t>
            </w:r>
          </w:p>
        </w:tc>
        <w:tc>
          <w:tcPr>
            <w:tcW w:w="1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0"/>
        </w:trPr>
        <w:tc>
          <w:tcPr>
            <w:tcW w:w="6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30"/>
              <w:spacing w:after="0" w:line="190"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r>
      <w:tr>
        <w:trPr>
          <w:trHeight w:val="235"/>
        </w:trPr>
        <w:tc>
          <w:tcPr>
            <w:tcW w:w="648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Pr>
          <w:p>
            <w:pPr>
              <w:spacing w:after="0"/>
              <w:rPr>
                <w:sz w:val="20"/>
                <w:szCs w:val="20"/>
                <w:color w:val="auto"/>
              </w:rPr>
            </w:pPr>
          </w:p>
        </w:tc>
      </w:tr>
      <w:tr>
        <w:trPr>
          <w:trHeight w:val="425"/>
        </w:trPr>
        <w:tc>
          <w:tcPr>
            <w:tcW w:w="648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61,530</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48,340</w:t>
            </w:r>
          </w:p>
        </w:tc>
        <w:tc>
          <w:tcPr>
            <w:tcW w:w="22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96 %</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96 %</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1,436</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r>
      <w:tr>
        <w:trPr>
          <w:trHeight w:val="274"/>
        </w:trPr>
        <w:tc>
          <w:tcPr>
            <w:tcW w:w="6480" w:type="dxa"/>
            <w:vAlign w:val="bottom"/>
          </w:tcPr>
          <w:p>
            <w:pPr>
              <w:ind w:left="20"/>
              <w:spacing w:after="0" w:line="274" w:lineRule="exact"/>
              <w:rPr>
                <w:sz w:val="20"/>
                <w:szCs w:val="20"/>
                <w:color w:val="auto"/>
              </w:rPr>
            </w:pPr>
            <w:r>
              <w:rPr>
                <w:rFonts w:ascii="Arial" w:cs="Arial" w:eastAsia="Arial" w:hAnsi="Arial"/>
                <w:sz w:val="18"/>
                <w:szCs w:val="18"/>
                <w:color w:val="auto"/>
              </w:rPr>
              <w:t>Active Paying Suppliers</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6,992</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7,553</w:t>
            </w:r>
          </w:p>
        </w:tc>
        <w:tc>
          <w:tcPr>
            <w:tcW w:w="2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80" w:right="260" w:hanging="372"/>
        <w:spacing w:after="0" w:line="24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key operating metrics are for Marketplace and Supplier Services. See “Key Terms for our Key Metrics and Non-GAAP Financial Measures” below for definitions of these metrics.</w:t>
      </w:r>
    </w:p>
    <w:p>
      <w:pPr>
        <w:ind w:left="380" w:right="420" w:hanging="372"/>
        <w:spacing w:after="0" w:line="324"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shown for Active Buyers, Accounts with Last Twelve-Months Spend of at Least $50,000, and Active Paying Suppliers are as of June 30, 2024 and 2023, and Percentage of Revenue from Existing Accounts is presented for the quarters ended June 30, 2024 and 2023.</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Q3 2024</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(in millions)</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Low</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136</w:t>
            </w:r>
          </w:p>
        </w:tc>
        <w:tc>
          <w:tcPr>
            <w:tcW w:w="5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(3.5 )</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r>
    </w:tbl>
    <w:p>
      <w:pPr>
        <w:spacing w:after="0" w:line="400"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Expect Q3 2024 revenue growth of 14%-16% year-over-year to $136-$138 million.</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Expect Q3 2024 Adjusted EBITDA loss of $1.5-$3.5 million.</w:t>
      </w:r>
    </w:p>
    <w:p>
      <w:pPr>
        <w:spacing w:after="0" w:line="106" w:lineRule="exact"/>
        <w:rPr>
          <w:rFonts w:ascii="Times New Roman" w:cs="Times New Roman" w:eastAsia="Times New Roman" w:hAnsi="Times New Roman"/>
          <w:sz w:val="20"/>
          <w:szCs w:val="20"/>
          <w:color w:val="auto"/>
        </w:rPr>
      </w:pPr>
    </w:p>
    <w:p>
      <w:pPr>
        <w:ind w:left="1020" w:right="780" w:hanging="504"/>
        <w:spacing w:after="0" w:line="25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Reaffirm fiscal 2024 marketplace revenue growth of at least 20% year-over-year and expect supplier services revenue to be down approximately 10% year-over-year.</w:t>
      </w:r>
    </w:p>
    <w:p>
      <w:pPr>
        <w:spacing w:after="0" w:line="47" w:lineRule="exact"/>
        <w:rPr>
          <w:rFonts w:ascii="Times New Roman" w:cs="Times New Roman" w:eastAsia="Times New Roman" w:hAnsi="Times New Roman"/>
          <w:sz w:val="20"/>
          <w:szCs w:val="20"/>
          <w:color w:val="auto"/>
        </w:rPr>
      </w:pPr>
    </w:p>
    <w:p>
      <w:pPr>
        <w:ind w:left="1020" w:right="140" w:hanging="504"/>
        <w:spacing w:after="0" w:line="25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For fiscal 2024, we expect improved operating leverage as compared to fiscal 2023, partly offset by international and enterprise growth investments.</w:t>
      </w:r>
    </w:p>
    <w:p>
      <w:pPr>
        <w:spacing w:after="0" w:line="156"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Xometry’s third quarter 2024 and full year 2024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0" w:lineRule="exact"/>
        <w:rPr>
          <w:sz w:val="20"/>
          <w:szCs w:val="20"/>
          <w:color w:val="auto"/>
        </w:rPr>
      </w:pPr>
    </w:p>
    <w:p>
      <w:pPr>
        <w:ind w:right="320"/>
        <w:spacing w:after="0" w:line="248"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6" w:name="page7"/>
    <w:bookmarkEnd w:id="6"/>
    <w:p>
      <w:pPr>
        <w:spacing w:after="0" w:line="233" w:lineRule="auto"/>
        <w:rPr>
          <w:sz w:val="20"/>
          <w:szCs w:val="20"/>
          <w:color w:val="auto"/>
        </w:rPr>
      </w:pPr>
      <w:r>
        <w:rPr>
          <w:rFonts w:ascii="Arial" w:cs="Arial" w:eastAsia="Arial" w:hAnsi="Arial"/>
          <w:sz w:val="20"/>
          <w:szCs w:val="20"/>
          <w:color w:val="auto"/>
        </w:rPr>
        <w:t>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71"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74" w:lineRule="exact"/>
        <w:rPr>
          <w:sz w:val="20"/>
          <w:szCs w:val="20"/>
          <w:color w:val="auto"/>
        </w:rPr>
      </w:pPr>
    </w:p>
    <w:p>
      <w:pPr>
        <w:ind w:right="4080"/>
        <w:spacing w:after="0" w:line="325"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b w:val="1"/>
          <w:bCs w:val="1"/>
          <w:color w:val="auto"/>
        </w:rPr>
        <w:t xml:space="preserve">Supplier service revenue: </w:t>
      </w:r>
      <w:r>
        <w:rPr>
          <w:rFonts w:ascii="Arial" w:cs="Arial" w:eastAsia="Arial" w:hAnsi="Arial"/>
          <w:sz w:val="19"/>
          <w:szCs w:val="19"/>
          <w:color w:val="auto"/>
        </w:rPr>
        <w:t>includes the sales of marketing and advertising services and, to a lesser extent, financial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SaaS-based solutions and the sale of tools and materials, which was discontinued during the second quarter of 2023.</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 We adjusted the number of our Q2 2023 active buyers in 2024 to reflect an immaterial correction.</w:t>
      </w:r>
    </w:p>
    <w:p>
      <w:pPr>
        <w:spacing w:after="0" w:line="35"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 or buy tools or materials.</w:t>
      </w:r>
    </w:p>
    <w:p>
      <w:pPr>
        <w:spacing w:after="0" w:line="35" w:lineRule="exact"/>
        <w:rPr>
          <w:sz w:val="20"/>
          <w:szCs w:val="20"/>
          <w:color w:val="auto"/>
        </w:rPr>
      </w:pPr>
    </w:p>
    <w:p>
      <w:pPr>
        <w:jc w:val="both"/>
        <w:ind w:right="14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5"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32"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Active Paying Suppliers: </w:t>
      </w:r>
      <w:r>
        <w:rPr>
          <w:rFonts w:ascii="Arial" w:cs="Arial" w:eastAsia="Arial" w:hAnsi="Arial"/>
          <w:sz w:val="20"/>
          <w:szCs w:val="20"/>
          <w:color w:val="auto"/>
        </w:rPr>
        <w:t>The Company defines Active Paying Suppliers as individuals or businesses who have purchased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of our supplier services, including digital marketing services, data services, financial services or tools and materials on our platforms, during the last twelve months.</w:t>
      </w:r>
    </w:p>
    <w:p>
      <w:pPr>
        <w:spacing w:after="0" w:line="32" w:lineRule="exact"/>
        <w:rPr>
          <w:sz w:val="20"/>
          <w:szCs w:val="20"/>
          <w:color w:val="auto"/>
        </w:rPr>
      </w:pPr>
    </w:p>
    <w:p>
      <w:pPr>
        <w:ind w:right="320"/>
        <w:spacing w:after="0" w:line="232"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loss, adjusted for interest expense, interest and dividend income and other expenses, provision (benefit)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unconsolidated joint venture, impairment of assets, restructuring charge, costs to exit the tools and materials business and acquisition and other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700"/>
        <w:spacing w:after="0" w:line="257" w:lineRule="auto"/>
        <w:rPr>
          <w:sz w:val="20"/>
          <w:szCs w:val="20"/>
          <w:color w:val="auto"/>
        </w:rPr>
      </w:pPr>
      <w:r>
        <w:rPr>
          <w:rFonts w:ascii="Arial" w:cs="Arial" w:eastAsia="Arial" w:hAnsi="Arial"/>
          <w:sz w:val="20"/>
          <w:szCs w:val="20"/>
          <w:color w:val="auto"/>
        </w:rPr>
        <w:t>adjustments not reflective of the Company’s ongoing business, such as adjustments related to purchase accounting, the revaluation of contingent consideration, transaction costs and executive severance.</w:t>
      </w:r>
    </w:p>
    <w:p>
      <w:pPr>
        <w:spacing w:after="0" w:line="18"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defines non-GAAP net loss as net loss adjusted for depreciation and amortization, stock-based compensation, payroll tax expense related to stock-based compensation, amortization of lease intangible, amortization of deferred costs on convertible notes, loss (gain) on sale of property and equipment, charitable contributions of common stock, lease abandonment and termination, impairment of assets, restructuring charge, costs to exit the tools and materials business and acquisition and other adjustments not reflective of the Company’s ongoing business, such as adjustments related to purchase accounting, the revaluation of contingent consideration, transaction costs and executive severance.</w:t>
      </w:r>
    </w:p>
    <w:p>
      <w:pPr>
        <w:spacing w:after="0" w:line="36"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loss divided by weighted average number of shares of common stock outstanding.</w:t>
      </w:r>
    </w:p>
    <w:p>
      <w:pPr>
        <w:spacing w:after="0" w:line="3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Xometry’s (NASDAQ:XMTR) AI-powered marketplace, popular Thomasnet® industrial sourcing platform and suite of cloud-based services are rapidly digitizing the $2 trillion manufacturing industry. Xometry provides manufacturers the critical resources they need to grow their business and makes it easy for buyers to create locally resilient supply chains. The Xometry Instant Quoting Engine® leverages millions of pieces of data to analyze complex parts in real-time, matches buyers with the right suppliers globally, and provides accurate pricing and lead times. Learn more at www.xometry.com or follow @xometry.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August 8, 2024. In addition to its press release announcing its second quarter 2024 financial results, Xometry will release an earnings presentation, which will be available on its investor website at investors.xometry.com.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Xometry, Inc. Second Quarter 2024 Earnings Presentation and Conference Call</w:t>
      </w:r>
    </w:p>
    <w:p>
      <w:pPr>
        <w:spacing w:after="0" w:line="2"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Thursday, August 8, 2024</w:t>
      </w:r>
    </w:p>
    <w:p>
      <w:pPr>
        <w:ind w:left="1020" w:hanging="504"/>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4"/>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https://register.vevent.com/register</w:t>
      </w:r>
    </w:p>
    <w:p>
      <w:pPr>
        <w:ind w:left="1020" w:right="140" w:hanging="504"/>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third quarter and full year of 2024; our expectations regarding our growth and margin expansion; our ability to achieve profitability; and statements regarding our strategy,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2023,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20"/>
          </w:cols>
          <w:pgMar w:left="320" w:top="1087" w:right="359" w:bottom="1440" w:gutter="0" w:footer="0" w:header="0"/>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Shawn Milne</w:t>
      </w:r>
    </w:p>
    <w:p>
      <w:pPr>
        <w:ind w:left="20"/>
        <w:spacing w:after="0" w:line="231" w:lineRule="auto"/>
        <w:rPr>
          <w:sz w:val="20"/>
          <w:szCs w:val="20"/>
          <w:color w:val="auto"/>
        </w:rPr>
      </w:pPr>
      <w:r>
        <w:rPr>
          <w:rFonts w:ascii="Arial" w:cs="Arial" w:eastAsia="Arial" w:hAnsi="Arial"/>
          <w:sz w:val="17"/>
          <w:szCs w:val="17"/>
          <w:color w:val="auto"/>
        </w:rPr>
        <w:t>VP Investor Relations</w:t>
      </w:r>
    </w:p>
    <w:p>
      <w:pPr>
        <w:ind w:left="20"/>
        <w:spacing w:after="0" w:line="232" w:lineRule="auto"/>
        <w:rPr>
          <w:sz w:val="20"/>
          <w:szCs w:val="20"/>
          <w:color w:val="auto"/>
        </w:rPr>
      </w:pPr>
      <w:r>
        <w:rPr>
          <w:rFonts w:ascii="Arial" w:cs="Arial" w:eastAsia="Arial" w:hAnsi="Arial"/>
          <w:sz w:val="17"/>
          <w:szCs w:val="17"/>
          <w:color w:val="auto"/>
        </w:rPr>
        <w:t>240-335-8132</w:t>
      </w:r>
    </w:p>
    <w:p>
      <w:pPr>
        <w:ind w:left="20"/>
        <w:spacing w:after="0"/>
        <w:rPr>
          <w:sz w:val="20"/>
          <w:szCs w:val="20"/>
          <w:color w:val="auto"/>
        </w:rPr>
      </w:pPr>
      <w:r>
        <w:rPr>
          <w:rFonts w:ascii="Arial" w:cs="Arial" w:eastAsia="Arial" w:hAnsi="Arial"/>
          <w:sz w:val="16"/>
          <w:szCs w:val="16"/>
          <w:color w:val="auto"/>
        </w:rPr>
        <w:t>shawn.milne@xometry.com</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Matthew Hutchison</w:t>
      </w:r>
    </w:p>
    <w:p>
      <w:pPr>
        <w:spacing w:after="0" w:line="231" w:lineRule="auto"/>
        <w:rPr>
          <w:sz w:val="20"/>
          <w:szCs w:val="20"/>
          <w:color w:val="auto"/>
        </w:rPr>
      </w:pPr>
      <w:r>
        <w:rPr>
          <w:rFonts w:ascii="Arial" w:cs="Arial" w:eastAsia="Arial" w:hAnsi="Arial"/>
          <w:sz w:val="17"/>
          <w:szCs w:val="17"/>
          <w:color w:val="auto"/>
        </w:rPr>
        <w:t>Corporate Communications for Xometry</w:t>
      </w:r>
    </w:p>
    <w:p>
      <w:pPr>
        <w:spacing w:after="0" w:line="232" w:lineRule="auto"/>
        <w:rPr>
          <w:sz w:val="20"/>
          <w:szCs w:val="20"/>
          <w:color w:val="auto"/>
        </w:rPr>
      </w:pPr>
      <w:r>
        <w:rPr>
          <w:rFonts w:ascii="Arial" w:cs="Arial" w:eastAsia="Arial" w:hAnsi="Arial"/>
          <w:sz w:val="17"/>
          <w:szCs w:val="17"/>
          <w:color w:val="auto"/>
        </w:rPr>
        <w:t>415-583-2119</w:t>
      </w:r>
    </w:p>
    <w:p>
      <w:pPr>
        <w:spacing w:after="0"/>
        <w:rPr>
          <w:sz w:val="20"/>
          <w:szCs w:val="20"/>
          <w:color w:val="auto"/>
        </w:rPr>
      </w:pPr>
      <w:r>
        <w:rPr>
          <w:rFonts w:ascii="Arial" w:cs="Arial" w:eastAsia="Arial" w:hAnsi="Arial"/>
          <w:sz w:val="17"/>
          <w:szCs w:val="17"/>
          <w:color w:val="auto"/>
        </w:rPr>
        <w:t>matthew.hutchison@xometry.com</w:t>
      </w:r>
    </w:p>
    <w:p>
      <w:pPr>
        <w:spacing w:after="0" w:line="200" w:lineRule="exact"/>
        <w:rPr>
          <w:sz w:val="20"/>
          <w:szCs w:val="20"/>
          <w:color w:val="auto"/>
        </w:rPr>
      </w:pPr>
    </w:p>
    <w:p>
      <w:pPr>
        <w:sectPr>
          <w:pgSz w:w="11900" w:h="16838" w:orient="portrait"/>
          <w:cols w:equalWidth="0" w:num="2">
            <w:col w:w="4920" w:space="720"/>
            <w:col w:w="5580"/>
          </w:cols>
          <w:pgMar w:left="320" w:top="1087" w:right="35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740"/>
        <w:spacing w:after="0" w:line="231" w:lineRule="auto"/>
        <w:rPr>
          <w:sz w:val="20"/>
          <w:szCs w:val="20"/>
          <w:color w:val="auto"/>
        </w:rPr>
      </w:pPr>
      <w:r>
        <w:rPr>
          <w:rFonts w:ascii="Arial" w:cs="Arial" w:eastAsia="Arial" w:hAnsi="Arial"/>
          <w:sz w:val="20"/>
          <w:szCs w:val="20"/>
          <w:color w:val="auto"/>
        </w:rPr>
        <w:t>Condensed Consolidated Balance Sheets</w:t>
      </w:r>
    </w:p>
    <w:p>
      <w:pPr>
        <w:ind w:left="3520"/>
        <w:spacing w:after="0" w:line="225" w:lineRule="auto"/>
        <w:rPr>
          <w:sz w:val="20"/>
          <w:szCs w:val="20"/>
          <w:color w:val="auto"/>
        </w:rPr>
      </w:pPr>
      <w:r>
        <w:rPr>
          <w:rFonts w:ascii="Arial" w:cs="Arial" w:eastAsia="Arial" w:hAnsi="Arial"/>
          <w:sz w:val="20"/>
          <w:szCs w:val="20"/>
          <w:color w:val="auto"/>
        </w:rPr>
        <w:t>(In thousands, except share and per share data)</w:t>
      </w:r>
    </w:p>
    <w:p>
      <w:pPr>
        <w:jc w:val="center"/>
        <w:spacing w:after="0"/>
        <w:rPr>
          <w:sz w:val="20"/>
          <w:szCs w:val="20"/>
          <w:color w:val="auto"/>
        </w:rPr>
      </w:pPr>
      <w:r>
        <w:rPr>
          <w:rFonts w:ascii="Arial" w:cs="Arial" w:eastAsia="Arial" w:hAnsi="Arial"/>
          <w:sz w:val="20"/>
          <w:szCs w:val="20"/>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22,071</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53,424</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218,833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215,352</w:t>
            </w:r>
          </w:p>
        </w:tc>
        <w:tc>
          <w:tcPr>
            <w:tcW w:w="100" w:type="dxa"/>
            <w:vAlign w:val="bottom"/>
          </w:tcPr>
          <w:p>
            <w:pPr>
              <w:spacing w:after="0"/>
              <w:rPr>
                <w:sz w:val="19"/>
                <w:szCs w:val="19"/>
                <w:color w:val="auto"/>
              </w:rPr>
            </w:pP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Accounts receivable, less allowance for credit losses of $2.8 million and $2.4 million as of</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June 30, 2024 and December 31, 2023</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71,067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70,102</w:t>
            </w:r>
          </w:p>
        </w:tc>
        <w:tc>
          <w:tcPr>
            <w:tcW w:w="100" w:type="dxa"/>
            <w:vAlign w:val="bottom"/>
            <w:shd w:val="clear" w:color="auto" w:fill="CFF0FC"/>
          </w:tcPr>
          <w:p>
            <w:pPr>
              <w:spacing w:after="0"/>
              <w:rPr>
                <w:sz w:val="20"/>
                <w:szCs w:val="20"/>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356,231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35,637</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262,798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262,915</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678,626</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707,387</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24,710</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41,845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70,513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83,195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Convertible notes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282,699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281,769</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r>
      <w:tr>
        <w:trPr>
          <w:trHeight w:val="223"/>
        </w:trPr>
        <w:tc>
          <w:tcPr>
            <w:tcW w:w="79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361,642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$0.000001 par value. Authorized; 50,000,000 shares; zero shares issued and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280"/>
              <w:spacing w:after="0"/>
              <w:rPr>
                <w:sz w:val="20"/>
                <w:szCs w:val="20"/>
                <w:color w:val="auto"/>
              </w:rPr>
            </w:pPr>
            <w:r>
              <w:rPr>
                <w:rFonts w:ascii="Arial" w:cs="Arial" w:eastAsia="Arial" w:hAnsi="Arial"/>
                <w:sz w:val="18"/>
                <w:szCs w:val="18"/>
                <w:color w:val="auto"/>
              </w:rPr>
              <w:t>outstanding as of June 30, 2024 and December 31, 2023, respectively</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Class A Common stock, $0.000001 par value. Authorized; 750,000,000 shares; 46,322,810</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shares and 45,489,379 shares issued and outstanding as of June 30, 2024 and December 31,</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2023, respectively</w:t>
            </w:r>
          </w:p>
        </w:tc>
        <w:tc>
          <w:tcPr>
            <w:tcW w:w="2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280"/>
              <w:spacing w:after="0"/>
              <w:rPr>
                <w:sz w:val="20"/>
                <w:szCs w:val="20"/>
                <w:color w:val="auto"/>
              </w:rPr>
            </w:pPr>
            <w:r>
              <w:rPr>
                <w:rFonts w:ascii="Arial" w:cs="Arial" w:eastAsia="Arial" w:hAnsi="Arial"/>
                <w:sz w:val="18"/>
                <w:szCs w:val="18"/>
                <w:color w:val="auto"/>
              </w:rPr>
              <w:t>shares issued and outstanding as of June 30, 2024 and December 31, 2023, respectively</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665,555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648,317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(350,185 )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(319,872 )</w:t>
            </w:r>
          </w:p>
        </w:tc>
      </w:tr>
      <w:tr>
        <w:trPr>
          <w:trHeight w:val="223"/>
        </w:trPr>
        <w:tc>
          <w:tcPr>
            <w:tcW w:w="7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315,834</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329,300</w:t>
            </w:r>
          </w:p>
        </w:tc>
        <w:tc>
          <w:tcPr>
            <w:tcW w:w="100" w:type="dxa"/>
            <w:vAlign w:val="bottom"/>
            <w:tcBorders>
              <w:top w:val="single" w:sz="8" w:color="CFF0FC"/>
            </w:tcBorders>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330,419</w:t>
            </w:r>
          </w:p>
        </w:tc>
        <w:tc>
          <w:tcPr>
            <w:tcW w:w="100" w:type="dxa"/>
            <w:vAlign w:val="bottom"/>
          </w:tcPr>
          <w:p>
            <w:pPr>
              <w:spacing w:after="0"/>
              <w:rPr>
                <w:sz w:val="19"/>
                <w:szCs w:val="19"/>
                <w:color w:val="auto"/>
              </w:rPr>
            </w:pP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678,626</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707,387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-4408805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-3210560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-2319655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-633095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-333375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Condensed Consolidated Statements of Operations and Comprehensive Loss</w:t>
      </w:r>
    </w:p>
    <w:p>
      <w:pPr>
        <w:jc w:val="center"/>
        <w:spacing w:after="0" w:line="225"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55"/>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right"/>
              <w:ind w:right="980"/>
              <w:spacing w:after="0" w:line="155"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2620" w:type="dxa"/>
            <w:vAlign w:val="bottom"/>
            <w:gridSpan w:val="5"/>
          </w:tcPr>
          <w:p>
            <w:pPr>
              <w:jc w:val="right"/>
              <w:ind w:right="880"/>
              <w:spacing w:after="0" w:line="155"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132,595</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111,008</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255,285</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216,334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79,718</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67,452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154,506</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52,877</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43,556</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100,779</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82,925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27,487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22,666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54,687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14,173</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14,220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28,220</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10,018</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8,922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19,608</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16,488</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25,582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31,410</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Impairment of assets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68,166</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71,609</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133,925</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130,765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(15,289 )</w:t>
            </w:r>
          </w:p>
        </w:tc>
        <w:tc>
          <w:tcPr>
            <w:tcW w:w="3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(28,053 )</w:t>
            </w: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(33,146 )</w:t>
            </w:r>
          </w:p>
        </w:tc>
        <w:tc>
          <w:tcPr>
            <w:tcW w:w="3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(47,840 )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(1,188 )</w:t>
            </w:r>
          </w:p>
        </w:tc>
        <w:tc>
          <w:tcPr>
            <w:tcW w:w="3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(1,193 )</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(2,377 )</w:t>
            </w:r>
          </w:p>
        </w:tc>
        <w:tc>
          <w:tcPr>
            <w:tcW w:w="3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(2,391 )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2,762</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2,959</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5,494</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(233 )</w:t>
            </w:r>
          </w:p>
        </w:tc>
        <w:tc>
          <w:tcPr>
            <w:tcW w:w="3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(576 )</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(620 )</w:t>
            </w:r>
          </w:p>
        </w:tc>
        <w:tc>
          <w:tcPr>
            <w:tcW w:w="3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(559 )</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2,828</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Loss before income taxes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(13,714 )</w:t>
            </w: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(26,626 )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(30,318 )</w:t>
            </w:r>
          </w:p>
        </w:tc>
        <w:tc>
          <w:tcPr>
            <w:tcW w:w="3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(44,833 )</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Benefit (provision) for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(13,704 )</w:t>
            </w:r>
          </w:p>
        </w:tc>
        <w:tc>
          <w:tcPr>
            <w:tcW w:w="3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(26,559 )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(30,308 )</w:t>
            </w:r>
          </w:p>
        </w:tc>
        <w:tc>
          <w:tcPr>
            <w:tcW w:w="3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(44,902 )</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(7 )</w:t>
            </w:r>
          </w:p>
        </w:tc>
        <w:tc>
          <w:tcPr>
            <w:tcW w:w="3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(5 )</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(13,697 )</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(26,554 )</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(30,313 )</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(44,898 )</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80" w:type="dxa"/>
            <w:vAlign w:val="bottom"/>
          </w:tcPr>
          <w:p>
            <w:pPr>
              <w:ind w:left="20"/>
              <w:spacing w:after="0" w:line="147" w:lineRule="exact"/>
              <w:rPr>
                <w:sz w:val="20"/>
                <w:szCs w:val="20"/>
                <w:color w:val="auto"/>
              </w:rPr>
            </w:pPr>
            <w:r>
              <w:rPr>
                <w:rFonts w:ascii="Arial" w:cs="Arial" w:eastAsia="Arial" w:hAnsi="Arial"/>
                <w:sz w:val="14"/>
                <w:szCs w:val="14"/>
                <w:color w:val="auto"/>
              </w:rPr>
              <w:t>Net loss per share, basic and diluted, of Class A and Class B common</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(0.28 )</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(0.55 )</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(0.62 )</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(0.94 )</w:t>
            </w:r>
          </w:p>
        </w:tc>
        <w:tc>
          <w:tcPr>
            <w:tcW w:w="0" w:type="dxa"/>
            <w:vAlign w:val="bottom"/>
          </w:tcPr>
          <w:p>
            <w:pPr>
              <w:spacing w:after="0"/>
              <w:rPr>
                <w:sz w:val="1"/>
                <w:szCs w:val="1"/>
                <w:color w:val="auto"/>
              </w:rPr>
            </w:pPr>
          </w:p>
        </w:tc>
      </w:tr>
      <w:tr>
        <w:trPr>
          <w:trHeight w:val="144"/>
        </w:trPr>
        <w:tc>
          <w:tcPr>
            <w:tcW w:w="5180" w:type="dxa"/>
            <w:vAlign w:val="bottom"/>
          </w:tcPr>
          <w:p>
            <w:pPr>
              <w:ind w:left="140"/>
              <w:spacing w:after="0" w:line="124" w:lineRule="exact"/>
              <w:rPr>
                <w:sz w:val="20"/>
                <w:szCs w:val="20"/>
                <w:color w:val="auto"/>
              </w:rPr>
            </w:pPr>
            <w:r>
              <w:rPr>
                <w:rFonts w:ascii="Arial" w:cs="Arial" w:eastAsia="Arial" w:hAnsi="Arial"/>
                <w:sz w:val="14"/>
                <w:szCs w:val="14"/>
                <w:color w:val="auto"/>
              </w:rPr>
              <w:t>stock</w:t>
            </w:r>
          </w:p>
        </w:tc>
        <w:tc>
          <w:tcPr>
            <w:tcW w:w="30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8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Weighted-average number of shares outstanding used to compute</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loss per share, basic and diluted, of Class A and Class B</w:t>
            </w:r>
          </w:p>
        </w:tc>
        <w:tc>
          <w:tcPr>
            <w:tcW w:w="3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48,840,100</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47,865,990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48,709,040</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47,783,235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CFF0FC"/>
            </w:tcBorders>
            <w:shd w:val="clear" w:color="auto" w:fill="CFF0FC"/>
          </w:tcPr>
          <w:p>
            <w:pPr>
              <w:ind w:left="140"/>
              <w:spacing w:after="0" w:line="124" w:lineRule="exact"/>
              <w:rPr>
                <w:sz w:val="20"/>
                <w:szCs w:val="20"/>
                <w:color w:val="auto"/>
              </w:rPr>
            </w:pPr>
            <w:r>
              <w:rPr>
                <w:rFonts w:ascii="Arial" w:cs="Arial" w:eastAsia="Arial" w:hAnsi="Arial"/>
                <w:sz w:val="14"/>
                <w:szCs w:val="14"/>
                <w:color w:val="auto"/>
              </w:rPr>
              <w:t>common stock</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(13,704 )</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(26,559 )</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(30,308 )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(44,902 )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(365 )</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other comprehensive income (loss)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(365 )</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(13,612 )</w:t>
            </w:r>
          </w:p>
        </w:tc>
        <w:tc>
          <w:tcPr>
            <w:tcW w:w="3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(26,335 )</w:t>
            </w: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(30,673 )</w:t>
            </w:r>
          </w:p>
        </w:tc>
        <w:tc>
          <w:tcPr>
            <w:tcW w:w="3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(44,543 )</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Comprehensive income attributable to noncontrolling interest</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(13,614 )</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(26,354 )</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(30,704 )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(44,567 )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-3801110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-3801110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-3801110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-3801110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-3064510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-3064510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-3064510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-2336800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-2336800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-2336800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-1583690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-1566545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-1583690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-1566545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-1583690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-1566545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-1035685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-1018540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-1035685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-1018540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-1035685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-1018540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-401955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-401955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-401955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-153670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-153670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-153670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Condensed Consolidated Statements of Cash Flows</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77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(30,308 )</w:t>
            </w:r>
          </w:p>
        </w:tc>
        <w:tc>
          <w:tcPr>
            <w:tcW w:w="140" w:type="dxa"/>
            <w:vAlign w:val="bottom"/>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(44,902 )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5,461</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assets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12,179</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14,161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10,492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(203 )</w:t>
            </w: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Donation of common stock</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loss on sale of property and equipment</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Inventory write-off</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Deferred taxes benefit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(15 )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(44 )</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(1,293 )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(8,308 )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(495 )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(2,546 )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(14,428 )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(50 )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Contract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Lease liabilities</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(3,371 )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(2,369 )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Income taxes payable</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(1,154 )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(20,835 )</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(22,607 )</w:t>
            </w:r>
          </w:p>
        </w:tc>
      </w:tr>
      <w:tr>
        <w:trPr>
          <w:trHeight w:val="182"/>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marketable securities</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(13,481 )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(5,641 )</w:t>
            </w: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(8,750 )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(8,492 )</w:t>
            </w: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Distributions in excess of earnings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Cash paid for business combination, net of cash acquired</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(3,349 )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(12,140 )</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12,741</w:t>
            </w:r>
          </w:p>
        </w:tc>
        <w:tc>
          <w:tcPr>
            <w:tcW w:w="100" w:type="dxa"/>
            <w:vAlign w:val="bottom"/>
            <w:shd w:val="clear" w:color="auto" w:fill="CFF0FC"/>
          </w:tcPr>
          <w:p>
            <w:pPr>
              <w:spacing w:after="0"/>
              <w:rPr>
                <w:sz w:val="15"/>
                <w:szCs w:val="15"/>
                <w:color w:val="auto"/>
              </w:rPr>
            </w:pPr>
          </w:p>
        </w:tc>
      </w:tr>
      <w:tr>
        <w:trPr>
          <w:trHeight w:val="182"/>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1,795</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5"/>
                <w:szCs w:val="15"/>
                <w:color w:val="auto"/>
              </w:rPr>
            </w:pPr>
          </w:p>
        </w:tc>
      </w:tr>
      <w:tr>
        <w:trPr>
          <w:trHeight w:val="182"/>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(173 )</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(202 )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4"/>
                <w:szCs w:val="14"/>
                <w:b w:val="1"/>
                <w:bCs w:val="1"/>
                <w:color w:val="auto"/>
              </w:rPr>
              <w:t>Net decrease in cash and cash equivalents</w:t>
            </w:r>
          </w:p>
        </w:tc>
        <w:tc>
          <w:tcPr>
            <w:tcW w:w="10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(31,353 )</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(8,924 )</w:t>
            </w: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53,424</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65,662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56,738</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-2482215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-2482215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-1506220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-1506220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-1257935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-1001395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-753110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5"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tbl>
      <w:tblPr>
        <w:tblLayout w:type="fixed"/>
        <w:tblInd w:w="8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jc w:val="right"/>
              <w:ind w:right="680"/>
              <w:spacing w:after="0" w:line="178" w:lineRule="exact"/>
              <w:rPr>
                <w:sz w:val="20"/>
                <w:szCs w:val="20"/>
                <w:color w:val="auto"/>
              </w:rPr>
            </w:pPr>
            <w:r>
              <w:rPr>
                <w:rFonts w:ascii="Arial" w:cs="Arial" w:eastAsia="Arial" w:hAnsi="Arial"/>
                <w:sz w:val="16"/>
                <w:szCs w:val="16"/>
                <w:b w:val="1"/>
                <w:bCs w:val="1"/>
                <w:color w:val="auto"/>
              </w:rPr>
              <w:t>For the Three Months</w:t>
            </w:r>
          </w:p>
        </w:tc>
        <w:tc>
          <w:tcPr>
            <w:tcW w:w="220" w:type="dxa"/>
            <w:vAlign w:val="bottom"/>
          </w:tcPr>
          <w:p>
            <w:pPr>
              <w:spacing w:after="0"/>
              <w:rPr>
                <w:sz w:val="15"/>
                <w:szCs w:val="15"/>
                <w:color w:val="auto"/>
              </w:rPr>
            </w:pPr>
          </w:p>
        </w:tc>
        <w:tc>
          <w:tcPr>
            <w:tcW w:w="2300" w:type="dxa"/>
            <w:vAlign w:val="bottom"/>
            <w:gridSpan w:val="5"/>
          </w:tcPr>
          <w:p>
            <w:pPr>
              <w:jc w:val="right"/>
              <w:ind w:right="600"/>
              <w:spacing w:after="0" w:line="178" w:lineRule="exact"/>
              <w:rPr>
                <w:sz w:val="20"/>
                <w:szCs w:val="20"/>
                <w:color w:val="auto"/>
              </w:rPr>
            </w:pPr>
            <w:r>
              <w:rPr>
                <w:rFonts w:ascii="Arial" w:cs="Arial" w:eastAsia="Arial" w:hAnsi="Arial"/>
                <w:sz w:val="16"/>
                <w:szCs w:val="16"/>
                <w:b w:val="1"/>
                <w:bCs w:val="1"/>
                <w:color w:val="auto"/>
              </w:rPr>
              <w:t>For the Six Months</w:t>
            </w:r>
          </w:p>
        </w:tc>
      </w:tr>
      <w:tr>
        <w:trPr>
          <w:trHeight w:val="216"/>
        </w:trPr>
        <w:tc>
          <w:tcPr>
            <w:tcW w:w="14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Ended June 30,</w:t>
            </w:r>
          </w:p>
        </w:tc>
        <w:tc>
          <w:tcPr>
            <w:tcW w:w="220" w:type="dxa"/>
            <w:vAlign w:val="bottom"/>
          </w:tcPr>
          <w:p>
            <w:pPr>
              <w:spacing w:after="0"/>
              <w:rPr>
                <w:sz w:val="18"/>
                <w:szCs w:val="18"/>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Ended June 30,</w:t>
            </w:r>
          </w:p>
        </w:tc>
      </w:tr>
      <w:tr>
        <w:trPr>
          <w:trHeight w:val="209"/>
        </w:trPr>
        <w:tc>
          <w:tcPr>
            <w:tcW w:w="14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189"/>
        </w:trPr>
        <w:tc>
          <w:tcPr>
            <w:tcW w:w="140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Adjusted EBITDA:</w:t>
            </w:r>
          </w:p>
        </w:tc>
        <w:tc>
          <w:tcPr>
            <w:tcW w:w="4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(13,704 )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(26,559 )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(30,308 )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(44,902 )</w:t>
            </w:r>
          </w:p>
        </w:tc>
      </w:tr>
      <w:tr>
        <w:trPr>
          <w:trHeight w:val="216"/>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(deduct):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Interest expense, interest and dividend income and other expenses</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(1,341 )</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(1,190 )</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(2,497 )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(2,704 )</w:t>
            </w:r>
          </w:p>
        </w:tc>
      </w:tr>
      <w:tr>
        <w:trPr>
          <w:trHeight w:val="216"/>
        </w:trPr>
        <w:tc>
          <w:tcPr>
            <w:tcW w:w="584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5,461</w:t>
            </w:r>
          </w:p>
        </w:tc>
        <w:tc>
          <w:tcPr>
            <w:tcW w:w="100" w:type="dxa"/>
            <w:vAlign w:val="bottom"/>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Amortization of lease intangible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(10 )</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gridSpan w:val="2"/>
          </w:tcPr>
          <w:p>
            <w:pPr>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10,492</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Payroll tax expense related to stock-based compensation</w:t>
            </w:r>
            <w:r>
              <w:rPr>
                <w:rFonts w:ascii="Arial" w:cs="Arial" w:eastAsia="Arial" w:hAnsi="Arial"/>
                <w:sz w:val="21"/>
                <w:szCs w:val="21"/>
                <w:color w:val="auto"/>
                <w:vertAlign w:val="superscript"/>
              </w:rPr>
              <w:t>(3)</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840" w:type="dxa"/>
            <w:vAlign w:val="bottom"/>
            <w:gridSpan w:val="2"/>
          </w:tcPr>
          <w:p>
            <w:pPr>
              <w:spacing w:after="0" w:line="216" w:lineRule="exact"/>
              <w:rPr>
                <w:sz w:val="20"/>
                <w:szCs w:val="20"/>
                <w:color w:val="auto"/>
              </w:rPr>
            </w:pPr>
            <w:r>
              <w:rPr>
                <w:rFonts w:ascii="Arial" w:cs="Arial" w:eastAsia="Arial" w:hAnsi="Arial"/>
                <w:sz w:val="16"/>
                <w:szCs w:val="16"/>
                <w:color w:val="auto"/>
              </w:rPr>
              <w:t>Lease abandonment</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8,706</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Acquisition and other</w:t>
            </w:r>
            <w:r>
              <w:rPr>
                <w:rFonts w:ascii="Arial" w:cs="Arial" w:eastAsia="Arial" w:hAnsi="Arial"/>
                <w:sz w:val="21"/>
                <w:szCs w:val="21"/>
                <w:color w:val="auto"/>
                <w:vertAlign w:val="superscript"/>
              </w:rPr>
              <w:t>(5)</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Charitable contribution of common stock</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from unconsolidated joint venture</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(234 )</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(237 )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(331 )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(303 )</w:t>
            </w: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Impairment of assets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(6)</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Costs to exit the tools and materials business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(2,634 )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(8,658 )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(10,093 )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(20,425 )</w:t>
            </w:r>
          </w:p>
        </w:tc>
      </w:tr>
      <w:tr>
        <w:trPr>
          <w:trHeight w:val="20"/>
        </w:trPr>
        <w:tc>
          <w:tcPr>
            <w:tcW w:w="1400" w:type="dxa"/>
            <w:vAlign w:val="bottom"/>
            <w:tcBorders>
              <w:top w:val="single" w:sz="8" w:color="CFF0FC"/>
            </w:tcBorders>
            <w:shd w:val="clear" w:color="auto" w:fill="CFF0FC"/>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For the Three Months</w:t>
            </w:r>
          </w:p>
        </w:tc>
        <w:tc>
          <w:tcPr>
            <w:tcW w:w="200" w:type="dxa"/>
            <w:vAlign w:val="bottom"/>
          </w:tcPr>
          <w:p>
            <w:pPr>
              <w:spacing w:after="0"/>
              <w:rPr>
                <w:sz w:val="16"/>
                <w:szCs w:val="16"/>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Ended June 30,</w:t>
            </w:r>
          </w:p>
        </w:tc>
        <w:tc>
          <w:tcPr>
            <w:tcW w:w="200" w:type="dxa"/>
            <w:vAlign w:val="bottom"/>
          </w:tcPr>
          <w:p>
            <w:pPr>
              <w:spacing w:after="0"/>
              <w:rPr>
                <w:sz w:val="18"/>
                <w:szCs w:val="18"/>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Non-GAAP Net Loss:</w:t>
            </w:r>
          </w:p>
        </w:tc>
        <w:tc>
          <w:tcPr>
            <w:tcW w:w="43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(13,704 )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(26,559 )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(30,308 )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(44,902 )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(deduct):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21"/>
                <w:szCs w:val="21"/>
                <w:color w:val="auto"/>
                <w:vertAlign w:val="superscript"/>
              </w:rPr>
              <w:t>(2)</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Payroll tax expense related to stock-based compensation</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lease intangible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Amortization of deferred costs on convertible notes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Acquisition and other</w:t>
            </w:r>
            <w:r>
              <w:rPr>
                <w:rFonts w:ascii="Arial" w:cs="Arial" w:eastAsia="Arial" w:hAnsi="Arial"/>
                <w:sz w:val="21"/>
                <w:szCs w:val="21"/>
                <w:color w:val="auto"/>
                <w:vertAlign w:val="superscript"/>
              </w:rPr>
              <w:t>(5)</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(Gain) loss on sale of property and equipment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(23 )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(23 )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Charitable contribution of common stock</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Lease abandonment and termination</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(6)</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FF0FC"/>
            </w:tcBorders>
            <w:shd w:val="clear" w:color="auto" w:fill="CFF0FC"/>
          </w:tcPr>
          <w:p>
            <w:pPr>
              <w:spacing w:after="0"/>
              <w:rPr>
                <w:sz w:val="18"/>
                <w:szCs w:val="18"/>
                <w:color w:val="auto"/>
              </w:rPr>
            </w:pPr>
          </w:p>
        </w:tc>
        <w:tc>
          <w:tcPr>
            <w:tcW w:w="5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Costs to exit the tools and materials business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Non-GAAP 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(606 )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(6,627 )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(6,348 )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(16,393 )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980" w:type="dxa"/>
            <w:vAlign w:val="bottom"/>
            <w:gridSpan w:val="2"/>
            <w:shd w:val="clear" w:color="auto" w:fill="CFF0FC"/>
          </w:tcPr>
          <w:p>
            <w:pPr>
              <w:spacing w:after="0" w:line="168" w:lineRule="exact"/>
              <w:rPr>
                <w:sz w:val="20"/>
                <w:szCs w:val="20"/>
                <w:color w:val="auto"/>
              </w:rPr>
            </w:pPr>
            <w:r>
              <w:rPr>
                <w:rFonts w:ascii="Arial" w:cs="Arial" w:eastAsia="Arial" w:hAnsi="Arial"/>
                <w:sz w:val="16"/>
                <w:szCs w:val="16"/>
                <w:color w:val="auto"/>
              </w:rPr>
              <w:t>Weighted-average number of shares outstanding used to compute Non-GAAP</w:t>
            </w:r>
          </w:p>
        </w:tc>
        <w:tc>
          <w:tcPr>
            <w:tcW w:w="20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48,840,100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47,865,990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48,709,040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47,783,235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Loss per share, basic and diluted, of Class A and Class B common stock</w:t>
            </w: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EPS, basic and diluted, of Class A and Class B common 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(0.28 )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(0.55 )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(0.62 )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(0.94 )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Non-GAAP EPS, basic and diluted, of Class A and Class B common stock</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(0.01 )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(0.14 )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(0.13 )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(0.34 )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4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-889635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-889635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-889635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-470535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-470535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-470535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20" w:hanging="372"/>
        <w:spacing w:after="0" w:line="25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ind w:left="380" w:hanging="372"/>
        <w:spacing w:after="0" w:line="242"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second quarter of 2024, we changed the definition of Adjusted EBITDA and Non-GAAP Net Loss to exclude payroll tax expense related to stock-based compensation. For prior periods, this amount was considered de minimis and, accordingly, we have not adjusted the Adjusted EBITDA or Non-GAAP Net Loss amounts for such periods.</w:t>
      </w:r>
    </w:p>
    <w:p>
      <w:pPr>
        <w:spacing w:after="0" w:line="160"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 is recorded in general and administrative and/or other expenses.</w:t>
      </w: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associated with the May 2023 reduction in workforce.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80" w:type="dxa"/>
            <w:vAlign w:val="bottom"/>
          </w:tcPr>
          <w:p>
            <w:pPr>
              <w:spacing w:after="0"/>
              <w:rPr>
                <w:sz w:val="20"/>
                <w:szCs w:val="20"/>
                <w:color w:val="auto"/>
              </w:rPr>
            </w:pPr>
          </w:p>
        </w:tc>
        <w:tc>
          <w:tcPr>
            <w:tcW w:w="350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32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For the Six Months Ended June 30,</w:t>
            </w:r>
          </w:p>
        </w:tc>
      </w:tr>
      <w:tr>
        <w:trPr>
          <w:trHeight w:val="223"/>
        </w:trPr>
        <w:tc>
          <w:tcPr>
            <w:tcW w:w="44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112,166</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95,433</w:t>
            </w:r>
          </w:p>
        </w:tc>
        <w:tc>
          <w:tcPr>
            <w:tcW w:w="2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215,529</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189,336</w:t>
            </w:r>
          </w:p>
        </w:tc>
        <w:tc>
          <w:tcPr>
            <w:tcW w:w="100" w:type="dxa"/>
            <w:vAlign w:val="bottom"/>
          </w:tcPr>
          <w:p>
            <w:pPr>
              <w:spacing w:after="0"/>
              <w:rPr>
                <w:sz w:val="19"/>
                <w:szCs w:val="19"/>
                <w:color w:val="auto"/>
              </w:rPr>
            </w:pPr>
          </w:p>
        </w:tc>
      </w:tr>
      <w:tr>
        <w:trPr>
          <w:trHeight w:val="22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20,429</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15,575</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4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111,008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255,285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216,334</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(7,114 )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(22,912 )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(18,932 )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(35,849 )</w:t>
            </w: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(6,583 )</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(3,642 )</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(11,381 )</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(9,049 )</w:t>
            </w:r>
          </w:p>
        </w:tc>
      </w:tr>
      <w:tr>
        <w:trPr>
          <w:trHeight w:val="20"/>
        </w:trPr>
        <w:tc>
          <w:tcPr>
            <w:tcW w:w="44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480" w:type="dxa"/>
            <w:vAlign w:val="bottom"/>
          </w:tcPr>
          <w:p>
            <w:pPr>
              <w:ind w:left="280"/>
              <w:spacing w:after="0"/>
              <w:rPr>
                <w:sz w:val="20"/>
                <w:szCs w:val="20"/>
                <w:color w:val="auto"/>
              </w:rPr>
            </w:pPr>
            <w:r>
              <w:rPr>
                <w:rFonts w:ascii="Arial" w:cs="Arial" w:eastAsia="Arial" w:hAnsi="Arial"/>
                <w:sz w:val="18"/>
                <w:szCs w:val="18"/>
                <w:color w:val="auto"/>
              </w:rPr>
              <w:t>Total net loss attributable to common stockholders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(13,697 )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(26,554 )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(30,313 )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(44,898 )</w:t>
            </w:r>
          </w:p>
        </w:tc>
      </w:tr>
      <w:tr>
        <w:trPr>
          <w:trHeight w:val="20"/>
        </w:trPr>
        <w:tc>
          <w:tcPr>
            <w:tcW w:w="4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-941070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-941070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-941070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-179070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-179070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-179070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For the Three Months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For the Six Months</w:t>
            </w:r>
          </w:p>
        </w:tc>
        <w:tc>
          <w:tcPr>
            <w:tcW w:w="0" w:type="dxa"/>
            <w:vAlign w:val="bottom"/>
          </w:tcPr>
          <w:p>
            <w:pPr>
              <w:spacing w:after="0"/>
              <w:rPr>
                <w:sz w:val="1"/>
                <w:szCs w:val="1"/>
                <w:color w:val="auto"/>
              </w:rPr>
            </w:pPr>
          </w:p>
        </w:tc>
      </w:tr>
      <w:tr>
        <w:trPr>
          <w:trHeight w:val="235"/>
        </w:trPr>
        <w:tc>
          <w:tcPr>
            <w:tcW w:w="5140" w:type="dxa"/>
            <w:vAlign w:val="bottom"/>
          </w:tcPr>
          <w:p>
            <w:pPr>
              <w:spacing w:after="0"/>
              <w:rPr>
                <w:sz w:val="20"/>
                <w:szCs w:val="20"/>
                <w:color w:val="auto"/>
              </w:rPr>
            </w:pPr>
          </w:p>
        </w:tc>
        <w:tc>
          <w:tcPr>
            <w:tcW w:w="24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Ended June 30,</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8"/>
              </w:rPr>
              <w:t>Ended June 30,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b w:val="1"/>
                <w:bCs w:val="1"/>
                <w:color w:val="auto"/>
              </w:rPr>
              <w:t>Summary of Stock-based Compensation Expense and</w:t>
            </w:r>
          </w:p>
        </w:tc>
        <w:tc>
          <w:tcPr>
            <w:tcW w:w="88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Payroll Taxes Related to Stock-based Compensation</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Expense</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2,567</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2,492</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2,088</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1,758</w:t>
            </w: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tcPr>
          <w:p>
            <w:pPr>
              <w:ind w:left="20"/>
              <w:spacing w:after="0" w:line="190" w:lineRule="exact"/>
              <w:rPr>
                <w:sz w:val="20"/>
                <w:szCs w:val="20"/>
                <w:color w:val="auto"/>
              </w:rPr>
            </w:pPr>
            <w:r>
              <w:rPr>
                <w:rFonts w:ascii="Arial" w:cs="Arial" w:eastAsia="Arial" w:hAnsi="Arial"/>
                <w:sz w:val="18"/>
                <w:szCs w:val="18"/>
                <w:color w:val="auto"/>
              </w:rPr>
              <w:t>Total stock-based compensation expense and payroll taxes</w:t>
            </w:r>
          </w:p>
        </w:tc>
        <w:tc>
          <w:tcPr>
            <w:tcW w:w="880" w:type="dxa"/>
            <w:vAlign w:val="bottom"/>
            <w:vMerge w:val="restart"/>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3"/>
              </w:rPr>
              <w:t>8,905</w:t>
            </w:r>
          </w:p>
        </w:tc>
        <w:tc>
          <w:tcPr>
            <w:tcW w:w="108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5,798</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14,941</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10,492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related to stock-based compensation</w:t>
            </w:r>
          </w:p>
        </w:tc>
        <w:tc>
          <w:tcPr>
            <w:tcW w:w="8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181</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2,017</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3,256</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Summary of Restructuring Charge</w:t>
            </w: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restructuring charge</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514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-3484245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-3484245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-3484245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-3484245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-2028825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-2011680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-2028825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-2011680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-2028825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-2011680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-932815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-915670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-932815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-915670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-932815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-915670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2024-08-08T06:35:36Z</dcterms:created>
  <dcterms:modified xsi:type="dcterms:W3CDTF">2024-08-08T06:35:36Z</dcterms:modified>
</cp:coreProperties>
</file>