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-232410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13335</wp:posOffset>
            </wp:positionV>
            <wp:extent cx="6995795" cy="4935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493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Rollins Emily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Xometry,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XMTR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7529 STANDISH PLACE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07/02/2021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SUITE 200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DERWOOD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MD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20855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1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12.32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07/02/2021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70,000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02/24/2031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94"/>
              </w:rPr>
              <w:t>Stock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12.32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07/02/2021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70,000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02/24/2031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223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70,000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-2338070</wp:posOffset>
            </wp:positionV>
            <wp:extent cx="28575" cy="23437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343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Vests in 48 equal monthly installments, commencing on March 2, 2021, subject to the Reporting Person's continuous service.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Immediately prior to the closing of the Issuer's initial public offering, each share of Common Stock was reclassified into one share of Class A Common Stock in an exempt transaction pursuant to Rule 16b-7.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Dorothy Vinsky, Attorney-in-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07/07/2021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646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-14605</wp:posOffset>
            </wp:positionV>
            <wp:extent cx="1803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-79375</wp:posOffset>
            </wp:positionV>
            <wp:extent cx="476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27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47014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2021-07-07T18:09:41Z</dcterms:created>
  <dcterms:modified xsi:type="dcterms:W3CDTF">2021-07-07T18:09:41Z</dcterms:modified>
</cp:coreProperties>
</file>