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Xometry,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40" w:type="dxa"/>
        <w:tblCellMar>
          <w:top w:w="0" w:type="dxa"/>
          <w:left w:w="0" w:type="dxa"/>
          <w:bottom w:w="0" w:type="dxa"/>
          <w:right w:w="0" w:type="dxa"/>
        </w:tblCellMar>
      </w:tblPr>
      <w:tr>
        <w:trPr>
          <w:trHeight w:val="222"/>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4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001-40546</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32-0415449</w:t>
            </w:r>
          </w:p>
        </w:tc>
      </w:tr>
      <w:tr>
        <w:trPr>
          <w:trHeight w:val="149"/>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40" w:type="dxa"/>
            <w:vAlign w:val="bottom"/>
          </w:tcPr>
          <w:p>
            <w:pPr>
              <w:jc w:val="center"/>
              <w:ind w:right="26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4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6116 Executive Blvd, Suite 800</w:t>
            </w:r>
          </w:p>
        </w:tc>
        <w:tc>
          <w:tcPr>
            <w:tcW w:w="32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North Bethesda, Maryland</w:t>
            </w:r>
          </w:p>
        </w:tc>
        <w:tc>
          <w:tcPr>
            <w:tcW w:w="324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20852</w:t>
            </w:r>
          </w:p>
        </w:tc>
      </w:tr>
      <w:tr>
        <w:trPr>
          <w:trHeight w:val="178"/>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4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(240) 252-1138</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 $0.000001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XMTR</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337" w:lineRule="exact"/>
        <w:rPr>
          <w:sz w:val="20"/>
          <w:szCs w:val="20"/>
          <w:color w:val="auto"/>
        </w:rPr>
      </w:pPr>
    </w:p>
    <w:p>
      <w:pPr>
        <w:ind w:right="20" w:firstLine="644"/>
        <w:spacing w:after="0" w:line="282" w:lineRule="auto"/>
        <w:rPr>
          <w:sz w:val="20"/>
          <w:szCs w:val="20"/>
          <w:color w:val="auto"/>
        </w:rPr>
      </w:pPr>
      <w:r>
        <w:rPr>
          <w:rFonts w:ascii="Times New Roman" w:cs="Times New Roman" w:eastAsia="Times New Roman" w:hAnsi="Times New Roman"/>
          <w:sz w:val="18"/>
          <w:szCs w:val="18"/>
          <w:color w:val="auto"/>
        </w:rPr>
        <w:t>On February 25, 2025, Xometry, Inc. (the “Company”) issued a press release announcing its fourth quarter and full year ended December 31, 2024 financial results. A copy of the press release is furnished as Exhibit 99.1 to this report.</w:t>
      </w:r>
    </w:p>
    <w:p>
      <w:pPr>
        <w:spacing w:after="0" w:line="162" w:lineRule="exact"/>
        <w:rPr>
          <w:sz w:val="20"/>
          <w:szCs w:val="20"/>
          <w:color w:val="auto"/>
        </w:rPr>
      </w:pPr>
    </w:p>
    <w:p>
      <w:pPr>
        <w:ind w:right="80" w:firstLine="644"/>
        <w:spacing w:after="0" w:line="261" w:lineRule="auto"/>
        <w:rPr>
          <w:sz w:val="20"/>
          <w:szCs w:val="20"/>
          <w:color w:val="auto"/>
        </w:rPr>
      </w:pPr>
      <w:r>
        <w:rPr>
          <w:rFonts w:ascii="Times New Roman" w:cs="Times New Roman" w:eastAsia="Times New Roman" w:hAnsi="Times New Roman"/>
          <w:sz w:val="18"/>
          <w:szCs w:val="18"/>
          <w:color w:val="auto"/>
        </w:rPr>
        <w:t>The information set forth under this Item 2.02 and in the accompanying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 except as otherwise expressly stated in such filing.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436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306"/>
        </w:trPr>
        <w:tc>
          <w:tcPr>
            <w:tcW w:w="22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3900" w:type="dxa"/>
            <w:vAlign w:val="bottom"/>
            <w:gridSpan w:val="3"/>
          </w:tcPr>
          <w:p>
            <w:pPr>
              <w:ind w:left="200"/>
              <w:spacing w:after="0" w:line="194"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73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rPr>
              <w:t>Press Release of Xometry, Inc. issued on February 25, 2025.</w:t>
            </w:r>
          </w:p>
        </w:tc>
      </w:tr>
      <w:tr>
        <w:trPr>
          <w:trHeight w:val="20"/>
        </w:trPr>
        <w:tc>
          <w:tcPr>
            <w:tcW w:w="22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360" w:type="dxa"/>
            <w:vAlign w:val="bottom"/>
            <w:shd w:val="clear" w:color="auto" w:fill="0000FF"/>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237"/>
        </w:trPr>
        <w:tc>
          <w:tcPr>
            <w:tcW w:w="5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104</w:t>
            </w:r>
          </w:p>
        </w:tc>
        <w:tc>
          <w:tcPr>
            <w:tcW w:w="3400" w:type="dxa"/>
            <w:vAlign w:val="bottom"/>
          </w:tcPr>
          <w:p>
            <w:pPr>
              <w:spacing w:after="0"/>
              <w:rPr>
                <w:sz w:val="20"/>
                <w:szCs w:val="20"/>
                <w:color w:val="auto"/>
              </w:rPr>
            </w:pPr>
          </w:p>
        </w:tc>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XOMETRY, INC.</w:t>
      </w:r>
    </w:p>
    <w:p>
      <w:pPr>
        <w:spacing w:after="0" w:line="378"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Randolph Altschuler</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Xometry Reports Fourth Quarter and Full Year 2024 Results</w:t>
      </w:r>
    </w:p>
    <w:p>
      <w:pPr>
        <w:spacing w:after="0" w:line="198" w:lineRule="exact"/>
        <w:rPr>
          <w:sz w:val="20"/>
          <w:szCs w:val="20"/>
          <w:color w:val="auto"/>
        </w:rPr>
      </w:pPr>
    </w:p>
    <w:p>
      <w:pPr>
        <w:ind w:left="1020" w:right="100" w:hanging="503"/>
        <w:spacing w:after="0" w:line="256" w:lineRule="auto"/>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Q4 revenue increased 16% year-over-year to a record $149 million driven by marketplace growth of 20% year-over-year.</w:t>
      </w:r>
    </w:p>
    <w:p>
      <w:pPr>
        <w:spacing w:after="0" w:line="48"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Q4 gross profit increased 20% year-over-year to a record $59.0 million.</w:t>
      </w:r>
    </w:p>
    <w:p>
      <w:pPr>
        <w:spacing w:after="0" w:line="106" w:lineRule="exact"/>
        <w:rPr>
          <w:rFonts w:ascii="Times New Roman" w:cs="Times New Roman" w:eastAsia="Times New Roman" w:hAnsi="Times New Roman"/>
          <w:sz w:val="20"/>
          <w:szCs w:val="20"/>
          <w:color w:val="auto"/>
        </w:rPr>
      </w:pPr>
    </w:p>
    <w:p>
      <w:pPr>
        <w:ind w:left="1020" w:right="520" w:hanging="503"/>
        <w:spacing w:after="0" w:line="256" w:lineRule="auto"/>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Q4 marketplace gross profit increased 32% year-over-year driven by our AI technology and expanding supplier network. Q4 marketplace gross margin increased 320 basis points year-over-year to a record 34.5%.</w:t>
      </w:r>
    </w:p>
    <w:p>
      <w:pPr>
        <w:spacing w:after="0" w:line="48"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Q4 Adjusted EBITDA improved $3.9 million year-over-year to a profit of $1.0 million.</w:t>
      </w:r>
    </w:p>
    <w:p>
      <w:pPr>
        <w:spacing w:after="0" w:line="106" w:lineRule="exact"/>
        <w:rPr>
          <w:rFonts w:ascii="Times New Roman" w:cs="Times New Roman" w:eastAsia="Times New Roman" w:hAnsi="Times New Roman"/>
          <w:sz w:val="20"/>
          <w:szCs w:val="20"/>
          <w:color w:val="auto"/>
        </w:rPr>
      </w:pPr>
    </w:p>
    <w:p>
      <w:pPr>
        <w:ind w:left="1020" w:right="340" w:hanging="503"/>
        <w:spacing w:after="0" w:line="256" w:lineRule="auto"/>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Growth initiatives include: expanding buyer and supplier networks; driving deeper enterprise engagement; further expanding the marketplace menu; growing internationally and enhancing supplier services.</w:t>
      </w:r>
    </w:p>
    <w:p>
      <w:pPr>
        <w:spacing w:after="0" w:line="33" w:lineRule="exact"/>
        <w:rPr>
          <w:sz w:val="20"/>
          <w:szCs w:val="20"/>
          <w:color w:val="auto"/>
        </w:rPr>
      </w:pPr>
    </w:p>
    <w:p>
      <w:pPr>
        <w:ind w:right="260"/>
        <w:spacing w:after="0" w:line="242" w:lineRule="auto"/>
        <w:rPr>
          <w:sz w:val="20"/>
          <w:szCs w:val="20"/>
          <w:color w:val="auto"/>
        </w:rPr>
      </w:pPr>
      <w:r>
        <w:rPr>
          <w:rFonts w:ascii="Arial" w:cs="Arial" w:eastAsia="Arial" w:hAnsi="Arial"/>
          <w:sz w:val="20"/>
          <w:szCs w:val="20"/>
          <w:b w:val="1"/>
          <w:bCs w:val="1"/>
          <w:color w:val="auto"/>
        </w:rPr>
        <w:t>NORTH BETHESDA, MD., February 25, 2025 /Globe Newswire/</w:t>
      </w:r>
      <w:r>
        <w:rPr>
          <w:rFonts w:ascii="Arial" w:cs="Arial" w:eastAsia="Arial" w:hAnsi="Arial"/>
          <w:sz w:val="20"/>
          <w:szCs w:val="20"/>
          <w:color w:val="auto"/>
        </w:rPr>
        <w:t>-- Xometry, Inc. (NASDAQ:XMTR), the global AI-powered</w:t>
      </w:r>
      <w:r>
        <w:rPr>
          <w:rFonts w:ascii="Arial" w:cs="Arial" w:eastAsia="Arial" w:hAnsi="Arial"/>
          <w:sz w:val="20"/>
          <w:szCs w:val="20"/>
          <w:b w:val="1"/>
          <w:bCs w:val="1"/>
          <w:color w:val="auto"/>
        </w:rPr>
        <w:t xml:space="preserve"> </w:t>
      </w:r>
      <w:r>
        <w:rPr>
          <w:rFonts w:ascii="Arial" w:cs="Arial" w:eastAsia="Arial" w:hAnsi="Arial"/>
          <w:sz w:val="20"/>
          <w:szCs w:val="20"/>
          <w:color w:val="auto"/>
        </w:rPr>
        <w:t>marketplace connecting buyers with suppliers of manufacturing services, today reported financial results for the fourth quarter and full year ended December 31, 2024.</w:t>
      </w:r>
    </w:p>
    <w:p>
      <w:pPr>
        <w:spacing w:after="0" w:line="170" w:lineRule="exact"/>
        <w:rPr>
          <w:sz w:val="20"/>
          <w:szCs w:val="20"/>
          <w:color w:val="auto"/>
        </w:rPr>
      </w:pPr>
    </w:p>
    <w:p>
      <w:pPr>
        <w:ind w:right="280"/>
        <w:spacing w:after="0" w:line="237" w:lineRule="auto"/>
        <w:rPr>
          <w:sz w:val="20"/>
          <w:szCs w:val="20"/>
          <w:color w:val="auto"/>
        </w:rPr>
      </w:pPr>
      <w:r>
        <w:rPr>
          <w:rFonts w:ascii="Arial" w:cs="Arial" w:eastAsia="Arial" w:hAnsi="Arial"/>
          <w:sz w:val="20"/>
          <w:szCs w:val="20"/>
          <w:color w:val="auto"/>
        </w:rPr>
        <w:t>“Our AI powered marketplace continues to gain share and deliver record financial results,” said Randy Altschuler, Xometry’s CEO. “In Q4, we delivered stronger-than-expected marketplace growth and generated positive Adjusted EBITDA as our customers increasingly rely on Xometry for their supply chain resiliency. In 2025, we remain focused on driving global growth, scale and operating excellence.”</w:t>
      </w:r>
    </w:p>
    <w:p>
      <w:pPr>
        <w:spacing w:after="0" w:line="172"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“In Q4, we delivered strong marketplace revenue growth, operating leverage and positive Adjusted EBITDA,” said James Miln, Xometry’s CFO. “Our record marketplace gross margin of 34.5% and operating efficiencies drove Adjusted EBITDA to a profit of $1.0 million, a $3.9 million improvement year-over-year.”</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2024 Financial Highlights</w:t>
      </w:r>
    </w:p>
    <w:p>
      <w:pPr>
        <w:spacing w:after="0" w:line="96"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Marketplace revenue for the fourth quarter of 2024 was $135 million, an increase of 20% year-over-year.</w:t>
      </w:r>
    </w:p>
    <w:p>
      <w:pPr>
        <w:spacing w:after="0" w:line="106" w:lineRule="exact"/>
        <w:rPr>
          <w:rFonts w:ascii="Times New Roman" w:cs="Times New Roman" w:eastAsia="Times New Roman" w:hAnsi="Times New Roman"/>
          <w:sz w:val="20"/>
          <w:szCs w:val="20"/>
          <w:color w:val="auto"/>
        </w:rPr>
      </w:pPr>
    </w:p>
    <w:p>
      <w:pPr>
        <w:ind w:left="1020" w:right="460" w:hanging="503"/>
        <w:spacing w:after="0" w:line="256"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Marketplace Active Buyers increased 23% from 55,325 as of December 31, 2023 to 68,267 as of December 31, 2024.</w:t>
      </w:r>
    </w:p>
    <w:p>
      <w:pPr>
        <w:spacing w:after="0" w:line="48" w:lineRule="exact"/>
        <w:rPr>
          <w:rFonts w:ascii="Times New Roman" w:cs="Times New Roman" w:eastAsia="Times New Roman" w:hAnsi="Times New Roman"/>
          <w:sz w:val="20"/>
          <w:szCs w:val="20"/>
          <w:color w:val="auto"/>
        </w:rPr>
      </w:pPr>
    </w:p>
    <w:p>
      <w:pPr>
        <w:ind w:left="1020" w:right="880" w:hanging="503"/>
        <w:spacing w:after="0" w:line="256"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Marketplace Accounts with Last Twelve-Months Spend of at least $50,000 increased 12% from 1,331 as of December 31, 2023 to 1,495 as of December 31, 2024.</w:t>
      </w:r>
    </w:p>
    <w:p>
      <w:pPr>
        <w:spacing w:after="0" w:line="48" w:lineRule="exact"/>
        <w:rPr>
          <w:rFonts w:ascii="Times New Roman" w:cs="Times New Roman" w:eastAsia="Times New Roman" w:hAnsi="Times New Roman"/>
          <w:sz w:val="20"/>
          <w:szCs w:val="20"/>
          <w:color w:val="auto"/>
        </w:rPr>
      </w:pPr>
    </w:p>
    <w:p>
      <w:pPr>
        <w:ind w:left="1020" w:right="100" w:hanging="503"/>
        <w:spacing w:after="0" w:line="256"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Supplier services revenue for the fourth quarter of 2024 was $14.0 million, a decrease of 13% year-over-year driven primarily by the exit of non-core supplier services and to a lesser extent advertising and marketing services.</w:t>
      </w:r>
    </w:p>
    <w:p>
      <w:pPr>
        <w:spacing w:after="0" w:line="48" w:lineRule="exact"/>
        <w:rPr>
          <w:rFonts w:ascii="Times New Roman" w:cs="Times New Roman" w:eastAsia="Times New Roman" w:hAnsi="Times New Roman"/>
          <w:sz w:val="20"/>
          <w:szCs w:val="20"/>
          <w:color w:val="auto"/>
        </w:rPr>
      </w:pPr>
    </w:p>
    <w:p>
      <w:pPr>
        <w:ind w:left="1020" w:right="380" w:hanging="503"/>
        <w:spacing w:after="0" w:line="236"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Net loss attributable to common stockholders for the fourth quarter of 2024 was $9.9 million, a decrease of $0.7 million year-over-year. Net loss for the fourth quarter of 2024 included $8.2 million of stock-based compensation, $0.1 million of payroll tax expense related to stock-based compensation and $3.4 million of depreciation and amortization expense.</w:t>
      </w:r>
    </w:p>
    <w:p>
      <w:pPr>
        <w:spacing w:after="0" w:line="66" w:lineRule="exact"/>
        <w:rPr>
          <w:rFonts w:ascii="Times New Roman" w:cs="Times New Roman" w:eastAsia="Times New Roman" w:hAnsi="Times New Roman"/>
          <w:sz w:val="20"/>
          <w:szCs w:val="20"/>
          <w:color w:val="auto"/>
        </w:rPr>
      </w:pPr>
    </w:p>
    <w:p>
      <w:pPr>
        <w:ind w:left="1020" w:right="320" w:hanging="503"/>
        <w:spacing w:after="0" w:line="256"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Adjusted EBITDA for the fourth quarter of 2024 was a profit $1.0 million, reflecting an improvement of $3.9 million year-over-year.</w:t>
      </w:r>
    </w:p>
    <w:p>
      <w:pPr>
        <w:spacing w:after="0" w:line="48" w:lineRule="exact"/>
        <w:rPr>
          <w:rFonts w:ascii="Times New Roman" w:cs="Times New Roman" w:eastAsia="Times New Roman" w:hAnsi="Times New Roman"/>
          <w:sz w:val="20"/>
          <w:szCs w:val="20"/>
          <w:color w:val="auto"/>
        </w:rPr>
      </w:pPr>
    </w:p>
    <w:p>
      <w:pPr>
        <w:ind w:left="1020" w:right="100" w:hanging="503"/>
        <w:spacing w:after="0" w:line="256"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Non-GAAP net income for the fourth quarter of 2024 was $3.2 million, as compared to a Non-GAAP net loss of $0.4 million in the fourth quarter of 2023.</w:t>
      </w:r>
    </w:p>
    <w:p>
      <w:pPr>
        <w:spacing w:after="0" w:line="48" w:lineRule="exact"/>
        <w:rPr>
          <w:rFonts w:ascii="Times New Roman" w:cs="Times New Roman" w:eastAsia="Times New Roman" w:hAnsi="Times New Roman"/>
          <w:sz w:val="20"/>
          <w:szCs w:val="20"/>
          <w:color w:val="auto"/>
        </w:rPr>
      </w:pPr>
    </w:p>
    <w:p>
      <w:pPr>
        <w:ind w:left="1020" w:right="200" w:hanging="503"/>
        <w:spacing w:after="0" w:line="256"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Cash, cash equivalents and marketable securities were $240 million as of December 31, 2024, an increase of $5.8 million from September 30, 2024.</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Fourth Quarter 2024 Business Highlights</w:t>
      </w:r>
    </w:p>
    <w:p>
      <w:pPr>
        <w:spacing w:after="0" w:line="96" w:lineRule="exact"/>
        <w:rPr>
          <w:sz w:val="20"/>
          <w:szCs w:val="20"/>
          <w:color w:val="auto"/>
        </w:rPr>
      </w:pPr>
    </w:p>
    <w:p>
      <w:pPr>
        <w:ind w:left="1020" w:right="280" w:hanging="503"/>
        <w:spacing w:after="0" w:line="241" w:lineRule="auto"/>
        <w:tabs>
          <w:tab w:leader="none" w:pos="1020" w:val="left"/>
        </w:tabs>
        <w:numPr>
          <w:ilvl w:val="0"/>
          <w:numId w:val="4"/>
        </w:numPr>
        <w:rPr>
          <w:rFonts w:ascii="Times New Roman" w:cs="Times New Roman" w:eastAsia="Times New Roman" w:hAnsi="Times New Roman"/>
          <w:sz w:val="20"/>
          <w:szCs w:val="20"/>
          <w:color w:val="1D1C1D"/>
        </w:rPr>
      </w:pPr>
      <w:r>
        <w:rPr>
          <w:rFonts w:ascii="Arial" w:cs="Arial" w:eastAsia="Arial" w:hAnsi="Arial"/>
          <w:sz w:val="20"/>
          <w:szCs w:val="20"/>
          <w:color w:val="1D1C1D"/>
        </w:rPr>
        <w:t>Grew the number of Active Suppliers 28% year-over-year from 3,429 to 4,375. In the fourth quarter, we expanded our supplier base in the U.S. with a focus on key quality certifications to serve the needs of our larger customers across key industries.</w:t>
      </w:r>
    </w:p>
    <w:p>
      <w:pPr>
        <w:spacing w:after="0" w:line="62" w:lineRule="exact"/>
        <w:rPr>
          <w:rFonts w:ascii="Times New Roman" w:cs="Times New Roman" w:eastAsia="Times New Roman" w:hAnsi="Times New Roman"/>
          <w:sz w:val="20"/>
          <w:szCs w:val="20"/>
          <w:color w:val="1D1C1D"/>
        </w:rPr>
      </w:pPr>
    </w:p>
    <w:p>
      <w:pPr>
        <w:ind w:left="1020" w:right="40" w:hanging="503"/>
        <w:spacing w:after="0" w:line="241"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Expanded international economy pricing on Xometry marketplace, giving our domestic customers the ability to instantly quote additive processes with global suppliers. This move reflects our growing operational capacities in key manufacturing regions such as Turkey and India.</w:t>
      </w:r>
    </w:p>
    <w:p>
      <w:pPr>
        <w:spacing w:after="0" w:line="62" w:lineRule="exact"/>
        <w:rPr>
          <w:rFonts w:ascii="Times New Roman" w:cs="Times New Roman" w:eastAsia="Times New Roman" w:hAnsi="Times New Roman"/>
          <w:sz w:val="20"/>
          <w:szCs w:val="20"/>
          <w:color w:val="auto"/>
        </w:rPr>
      </w:pPr>
    </w:p>
    <w:p>
      <w:pPr>
        <w:ind w:left="1020" w:right="300" w:hanging="503"/>
        <w:spacing w:after="0" w:line="234"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Enhanced marketplace certifications for a range of industries furthering our capabilities for enterprise accounts. Xometry retained a key certification for the automotive industry – IATF 16949, an international quality standard enabling the company to expand the breadth of automotive manufacturing on the Xometry marketplace. This certification joins our other key certifications – AS9100 certification for the aerospace and defense industries, and the ISO13485 certification for medical devices which underscores the quality of the Xometry marketplace.</w:t>
      </w:r>
    </w:p>
    <w:p>
      <w:pPr>
        <w:spacing w:after="0" w:line="66" w:lineRule="exact"/>
        <w:rPr>
          <w:rFonts w:ascii="Times New Roman" w:cs="Times New Roman" w:eastAsia="Times New Roman" w:hAnsi="Times New Roman"/>
          <w:sz w:val="20"/>
          <w:szCs w:val="20"/>
          <w:color w:val="auto"/>
        </w:rPr>
      </w:pPr>
    </w:p>
    <w:p>
      <w:pPr>
        <w:ind w:left="1020" w:hanging="503"/>
        <w:spacing w:after="0" w:line="236"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Received a new patent for our Xometry Instant Quoting Engine® entitled "Methods and Apparatus for Machine Learning Predictions of Manufacturing Processes." Xometry now owns 12 U.S. patents related to the use of machine learning for generating fabrication and manufacturing predictions, such as price, manufacturability and suitable materials.</w:t>
      </w:r>
    </w:p>
    <w:p>
      <w:pPr>
        <w:spacing w:after="0" w:line="3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 Year 2024 Financial Highlights</w:t>
      </w:r>
    </w:p>
    <w:p>
      <w:pPr>
        <w:spacing w:after="0" w:line="96"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Marketplace revenue for the full year of 2024 was $486 million, an increase of 23% year-over-year.</w:t>
      </w:r>
    </w:p>
    <w:p>
      <w:pPr>
        <w:spacing w:after="0" w:line="106" w:lineRule="exact"/>
        <w:rPr>
          <w:rFonts w:ascii="Times New Roman" w:cs="Times New Roman" w:eastAsia="Times New Roman" w:hAnsi="Times New Roman"/>
          <w:sz w:val="20"/>
          <w:szCs w:val="20"/>
          <w:color w:val="auto"/>
        </w:rPr>
      </w:pPr>
    </w:p>
    <w:p>
      <w:pPr>
        <w:ind w:left="1020" w:right="580" w:hanging="503"/>
        <w:spacing w:after="0" w:line="283" w:lineRule="auto"/>
        <w:tabs>
          <w:tab w:leader="none" w:pos="1020" w:val="left"/>
        </w:tabs>
        <w:numPr>
          <w:ilvl w:val="0"/>
          <w:numId w:val="5"/>
        </w:numPr>
        <w:rPr>
          <w:rFonts w:ascii="Times New Roman" w:cs="Times New Roman" w:eastAsia="Times New Roman" w:hAnsi="Times New Roman"/>
          <w:sz w:val="19"/>
          <w:szCs w:val="19"/>
          <w:color w:val="auto"/>
        </w:rPr>
      </w:pPr>
      <w:r>
        <w:rPr>
          <w:rFonts w:ascii="Arial" w:cs="Arial" w:eastAsia="Arial" w:hAnsi="Arial"/>
          <w:sz w:val="19"/>
          <w:szCs w:val="19"/>
          <w:color w:val="auto"/>
        </w:rPr>
        <w:t>Supplier services revenue for the full year of 2024 was $59.6 million, a decrease of 13% year-over-year driven primarily by the exit of non-core supplier services and to a lesser extent advertising and marketing services.</w:t>
      </w:r>
    </w:p>
    <w:p>
      <w:pPr>
        <w:spacing w:after="0" w:line="23" w:lineRule="exact"/>
        <w:rPr>
          <w:rFonts w:ascii="Times New Roman" w:cs="Times New Roman" w:eastAsia="Times New Roman" w:hAnsi="Times New Roman"/>
          <w:sz w:val="19"/>
          <w:szCs w:val="19"/>
          <w:color w:val="auto"/>
        </w:rPr>
      </w:pPr>
    </w:p>
    <w:p>
      <w:pPr>
        <w:ind w:left="1020" w:right="80" w:hanging="503"/>
        <w:spacing w:after="0" w:line="236" w:lineRule="auto"/>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Net loss attributable to common stockholders for the full year of 2024 was $50.4 million, a decrease of $17.1 million year-over-year. Net loss for the full year of 2024 included $29.3 million of stock-based compensation, $1.0 million of payroll tax expense related to stock-based compensation and $13.0 million of depreciation and amortization expense.</w:t>
      </w:r>
    </w:p>
    <w:p>
      <w:pPr>
        <w:spacing w:after="0" w:line="66" w:lineRule="exact"/>
        <w:rPr>
          <w:rFonts w:ascii="Times New Roman" w:cs="Times New Roman" w:eastAsia="Times New Roman" w:hAnsi="Times New Roman"/>
          <w:sz w:val="20"/>
          <w:szCs w:val="20"/>
          <w:color w:val="auto"/>
        </w:rPr>
      </w:pPr>
    </w:p>
    <w:p>
      <w:pPr>
        <w:ind w:left="1020" w:right="40" w:hanging="503"/>
        <w:spacing w:after="0" w:line="256" w:lineRule="auto"/>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Adjusted EBITDA for the full year of 2024 was a loss of $9.7 million, reflecting an improvement of $17.8 million year-over-year.</w:t>
      </w:r>
    </w:p>
    <w:p>
      <w:pPr>
        <w:spacing w:after="0" w:line="48" w:lineRule="exact"/>
        <w:rPr>
          <w:rFonts w:ascii="Times New Roman" w:cs="Times New Roman" w:eastAsia="Times New Roman" w:hAnsi="Times New Roman"/>
          <w:sz w:val="20"/>
          <w:szCs w:val="20"/>
          <w:color w:val="auto"/>
        </w:rPr>
      </w:pPr>
    </w:p>
    <w:p>
      <w:pPr>
        <w:ind w:left="1020" w:right="140" w:hanging="503"/>
        <w:spacing w:after="0" w:line="256" w:lineRule="auto"/>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Non-GAAP net loss for the full year of 2024 was $2.1 million, as compared to a Non-GAAP net loss of $19.4 million for the full year of 2023.</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 Year 2024 Business Highlights</w:t>
      </w:r>
    </w:p>
    <w:p>
      <w:pPr>
        <w:spacing w:after="0" w:line="96" w:lineRule="exact"/>
        <w:rPr>
          <w:sz w:val="20"/>
          <w:szCs w:val="20"/>
          <w:color w:val="auto"/>
        </w:rPr>
      </w:pPr>
    </w:p>
    <w:p>
      <w:pPr>
        <w:ind w:left="1020" w:right="20" w:hanging="503"/>
        <w:spacing w:after="0" w:line="241" w:lineRule="auto"/>
        <w:tabs>
          <w:tab w:leader="none" w:pos="102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Expanded our US marketplace menu with instant pricing and lead time auto-quote offerings for tube cutting and tube bending. Through our partnership with Google Cloud, Xometry is leveraging Vertex AI to accelerate the deployment of new auto-quote methods and models on our marketplace.</w:t>
      </w:r>
    </w:p>
    <w:p>
      <w:pPr>
        <w:spacing w:after="0" w:line="62" w:lineRule="exact"/>
        <w:rPr>
          <w:rFonts w:ascii="Times New Roman" w:cs="Times New Roman" w:eastAsia="Times New Roman" w:hAnsi="Times New Roman"/>
          <w:sz w:val="20"/>
          <w:szCs w:val="20"/>
          <w:color w:val="auto"/>
        </w:rPr>
      </w:pPr>
    </w:p>
    <w:p>
      <w:pPr>
        <w:ind w:left="1020" w:right="160" w:hanging="503"/>
        <w:spacing w:after="0" w:line="236" w:lineRule="auto"/>
        <w:tabs>
          <w:tab w:leader="none" w:pos="102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Introduced new features for our Teamspace enterprise collaboration software. Teamspace moves the Xometry marketplace from a focus on individual buyers and parts to procurement teams managing essential programs. New features include expanded collaboration, order management tools and comprehensive quote histories. Since launching Teamspace, over 5,000 teams have been created.</w:t>
      </w:r>
    </w:p>
    <w:p>
      <w:pPr>
        <w:spacing w:after="0" w:line="66" w:lineRule="exact"/>
        <w:rPr>
          <w:rFonts w:ascii="Times New Roman" w:cs="Times New Roman" w:eastAsia="Times New Roman" w:hAnsi="Times New Roman"/>
          <w:sz w:val="20"/>
          <w:szCs w:val="20"/>
          <w:color w:val="auto"/>
        </w:rPr>
      </w:pPr>
    </w:p>
    <w:p>
      <w:pPr>
        <w:ind w:left="1020" w:right="320" w:hanging="503"/>
        <w:spacing w:after="0" w:line="236" w:lineRule="auto"/>
        <w:tabs>
          <w:tab w:leader="none" w:pos="102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Launched a marketplace buyer dashboard for tooling processes, including injection molding. The new dashboard provides engineers and procurement professionals details about their various tools, and a view of their tool production workflow (tracking everything from quoting, design-for-manufacturability, tool production and part production).</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5" w:name="page6"/>
    <w:bookmarkEnd w:id="5"/>
    <w:p>
      <w:pPr>
        <w:ind w:left="1020" w:right="100" w:hanging="503"/>
        <w:spacing w:after="0" w:line="236" w:lineRule="auto"/>
        <w:tabs>
          <w:tab w:leader="none" w:pos="102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Expanded European marketplace menu including new processes, materials and languages. Xometry Europe added vacuum casting to the Xometry Instant Quoting Engine, new steel and aluminum grades options and expanded its finishing options for 3D printing. Xometry Europe launched the Czech and Hungarian languages on the site. Worldwide, the Xometry marketplace is available in 18 languages.</w:t>
      </w:r>
    </w:p>
    <w:p>
      <w:pPr>
        <w:spacing w:after="0" w:line="66" w:lineRule="exact"/>
        <w:rPr>
          <w:rFonts w:ascii="Times New Roman" w:cs="Times New Roman" w:eastAsia="Times New Roman" w:hAnsi="Times New Roman"/>
          <w:sz w:val="20"/>
          <w:szCs w:val="20"/>
          <w:color w:val="auto"/>
        </w:rPr>
      </w:pPr>
    </w:p>
    <w:p>
      <w:pPr>
        <w:ind w:left="1020" w:right="200" w:hanging="503"/>
        <w:spacing w:after="0" w:line="260" w:lineRule="auto"/>
        <w:tabs>
          <w:tab w:leader="none" w:pos="1020" w:val="left"/>
        </w:tabs>
        <w:numPr>
          <w:ilvl w:val="0"/>
          <w:numId w:val="7"/>
        </w:numPr>
        <w:rPr>
          <w:rFonts w:ascii="Times New Roman" w:cs="Times New Roman" w:eastAsia="Times New Roman" w:hAnsi="Times New Roman"/>
          <w:sz w:val="19"/>
          <w:szCs w:val="19"/>
          <w:color w:val="auto"/>
        </w:rPr>
      </w:pPr>
      <w:r>
        <w:rPr>
          <w:rFonts w:ascii="Arial" w:cs="Arial" w:eastAsia="Arial" w:hAnsi="Arial"/>
          <w:sz w:val="19"/>
          <w:szCs w:val="19"/>
          <w:color w:val="auto"/>
        </w:rPr>
        <w:t>Delivered a suite of tools on the European marketplace that makes it easier for enterprise customers to order parts for their high-volume manufacturing projects. The tools give engineers, designers, procurement professionals and project managers everything they need to coordinate, collaborate and manage complex orders.</w:t>
      </w:r>
    </w:p>
    <w:p>
      <w:pPr>
        <w:spacing w:after="0" w:line="45" w:lineRule="exact"/>
        <w:rPr>
          <w:rFonts w:ascii="Times New Roman" w:cs="Times New Roman" w:eastAsia="Times New Roman" w:hAnsi="Times New Roman"/>
          <w:sz w:val="19"/>
          <w:szCs w:val="19"/>
          <w:color w:val="auto"/>
        </w:rPr>
      </w:pPr>
    </w:p>
    <w:p>
      <w:pPr>
        <w:ind w:left="1020" w:right="200" w:hanging="503"/>
        <w:spacing w:after="0" w:line="256" w:lineRule="auto"/>
        <w:tabs>
          <w:tab w:leader="none" w:pos="102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In China, launched enhanced customer service capabilities on our WeChat mini app for buyers to quote, order and track deliveries.</w:t>
      </w:r>
    </w:p>
    <w:p>
      <w:pPr>
        <w:spacing w:after="0" w:line="48" w:lineRule="exact"/>
        <w:rPr>
          <w:rFonts w:ascii="Times New Roman" w:cs="Times New Roman" w:eastAsia="Times New Roman" w:hAnsi="Times New Roman"/>
          <w:sz w:val="20"/>
          <w:szCs w:val="20"/>
          <w:color w:val="auto"/>
        </w:rPr>
      </w:pPr>
    </w:p>
    <w:p>
      <w:pPr>
        <w:ind w:left="1020" w:right="120" w:hanging="503"/>
        <w:spacing w:after="0" w:line="260" w:lineRule="auto"/>
        <w:tabs>
          <w:tab w:leader="none" w:pos="1020" w:val="left"/>
        </w:tabs>
        <w:numPr>
          <w:ilvl w:val="0"/>
          <w:numId w:val="7"/>
        </w:numPr>
        <w:rPr>
          <w:rFonts w:ascii="Times New Roman" w:cs="Times New Roman" w:eastAsia="Times New Roman" w:hAnsi="Times New Roman"/>
          <w:sz w:val="19"/>
          <w:szCs w:val="19"/>
          <w:color w:val="auto"/>
        </w:rPr>
      </w:pPr>
      <w:r>
        <w:rPr>
          <w:rFonts w:ascii="Arial" w:cs="Arial" w:eastAsia="Arial" w:hAnsi="Arial"/>
          <w:sz w:val="19"/>
          <w:szCs w:val="19"/>
          <w:color w:val="auto"/>
        </w:rPr>
        <w:t>Released new features for Thomas, including new self-serve tools for suppliers to create custom advertising campaigns on Thomasnet®. The new tools let suppliers select from among 78,000 categories and keywords that best reflect their products and services and present a range of suggested budgets tailored to their marketing spend.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Financial Summary</w:t>
      </w:r>
    </w:p>
    <w:p>
      <w:pPr>
        <w:jc w:val="center"/>
        <w:spacing w:after="0" w:line="231" w:lineRule="auto"/>
        <w:rPr>
          <w:sz w:val="20"/>
          <w:szCs w:val="20"/>
          <w:color w:val="auto"/>
        </w:rPr>
      </w:pPr>
      <w:r>
        <w:rPr>
          <w:rFonts w:ascii="Arial" w:cs="Arial" w:eastAsia="Arial" w:hAnsi="Arial"/>
          <w:sz w:val="20"/>
          <w:szCs w:val="20"/>
          <w:b w:val="1"/>
          <w:bCs w:val="1"/>
          <w:color w:val="auto"/>
        </w:rPr>
        <w:t>(In thousands,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60" w:type="dxa"/>
            <w:vAlign w:val="bottom"/>
            <w:gridSpan w:val="5"/>
          </w:tcPr>
          <w:p>
            <w:pPr>
              <w:jc w:val="right"/>
              <w:ind w:right="660"/>
              <w:spacing w:after="0"/>
              <w:rPr>
                <w:sz w:val="20"/>
                <w:szCs w:val="20"/>
                <w:color w:val="auto"/>
              </w:rPr>
            </w:pPr>
            <w:r>
              <w:rPr>
                <w:rFonts w:ascii="Arial" w:cs="Arial" w:eastAsia="Arial" w:hAnsi="Arial"/>
                <w:sz w:val="16"/>
                <w:szCs w:val="16"/>
                <w:b w:val="1"/>
                <w:bCs w:val="1"/>
                <w:color w:val="auto"/>
              </w:rPr>
              <w:t>For the Three Months</w:t>
            </w: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For the Year</w:t>
            </w: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60" w:type="dxa"/>
            <w:vAlign w:val="bottom"/>
            <w:gridSpan w:val="5"/>
          </w:tcPr>
          <w:p>
            <w:pPr>
              <w:jc w:val="right"/>
              <w:ind w:right="700"/>
              <w:spacing w:after="0"/>
              <w:rPr>
                <w:sz w:val="20"/>
                <w:szCs w:val="20"/>
                <w:color w:val="auto"/>
              </w:rPr>
            </w:pPr>
            <w:r>
              <w:rPr>
                <w:rFonts w:ascii="Arial" w:cs="Arial" w:eastAsia="Arial" w:hAnsi="Arial"/>
                <w:sz w:val="16"/>
                <w:szCs w:val="16"/>
                <w:b w:val="1"/>
                <w:bCs w:val="1"/>
                <w:color w:val="auto"/>
              </w:rPr>
              <w:t>Ended December 31,</w:t>
            </w:r>
          </w:p>
        </w:tc>
        <w:tc>
          <w:tcPr>
            <w:tcW w:w="68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60" w:type="dxa"/>
            <w:vAlign w:val="bottom"/>
            <w:gridSpan w:val="5"/>
          </w:tcPr>
          <w:p>
            <w:pPr>
              <w:jc w:val="right"/>
              <w:ind w:right="700"/>
              <w:spacing w:after="0"/>
              <w:rPr>
                <w:sz w:val="20"/>
                <w:szCs w:val="20"/>
                <w:color w:val="auto"/>
              </w:rPr>
            </w:pPr>
            <w:r>
              <w:rPr>
                <w:rFonts w:ascii="Arial" w:cs="Arial" w:eastAsia="Arial" w:hAnsi="Arial"/>
                <w:sz w:val="16"/>
                <w:szCs w:val="16"/>
                <w:b w:val="1"/>
                <w:bCs w:val="1"/>
                <w:color w:val="auto"/>
              </w:rPr>
              <w:t>Ended December 31,</w:t>
            </w:r>
          </w:p>
        </w:tc>
        <w:tc>
          <w:tcPr>
            <w:tcW w:w="74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8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280" w:type="dxa"/>
            <w:vAlign w:val="bottom"/>
          </w:tcPr>
          <w:p>
            <w:pPr>
              <w:spacing w:after="0"/>
              <w:rPr>
                <w:sz w:val="17"/>
                <w:szCs w:val="17"/>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Change</w:t>
            </w:r>
          </w:p>
        </w:tc>
        <w:tc>
          <w:tcPr>
            <w:tcW w:w="240" w:type="dxa"/>
            <w:vAlign w:val="bottom"/>
          </w:tcPr>
          <w:p>
            <w:pPr>
              <w:spacing w:after="0"/>
              <w:rPr>
                <w:sz w:val="17"/>
                <w:szCs w:val="17"/>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28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3"/>
        </w:trPr>
        <w:tc>
          <w:tcPr>
            <w:tcW w:w="38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Consolidated</w:t>
            </w: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148,546</w:t>
            </w:r>
          </w:p>
        </w:tc>
        <w:tc>
          <w:tcPr>
            <w:tcW w:w="30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128,145</w:t>
            </w:r>
          </w:p>
        </w:tc>
        <w:tc>
          <w:tcPr>
            <w:tcW w:w="2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16 %</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545,529</w:t>
            </w:r>
          </w:p>
        </w:tc>
        <w:tc>
          <w:tcPr>
            <w:tcW w:w="280" w:type="dxa"/>
            <w:vAlign w:val="bottom"/>
          </w:tcPr>
          <w:p>
            <w:pPr>
              <w:spacing w:after="0"/>
              <w:rPr>
                <w:sz w:val="16"/>
                <w:szCs w:val="16"/>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463,406</w:t>
            </w:r>
          </w:p>
        </w:tc>
        <w:tc>
          <w:tcPr>
            <w:tcW w:w="28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189"/>
        </w:trPr>
        <w:tc>
          <w:tcPr>
            <w:tcW w:w="3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59,020</w:t>
            </w: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49,085</w:t>
            </w:r>
          </w:p>
        </w:tc>
        <w:tc>
          <w:tcPr>
            <w:tcW w:w="2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20 %</w:t>
            </w: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215,624</w:t>
            </w:r>
          </w:p>
        </w:tc>
        <w:tc>
          <w:tcPr>
            <w:tcW w:w="2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178,259</w:t>
            </w:r>
          </w:p>
        </w:tc>
        <w:tc>
          <w:tcPr>
            <w:tcW w:w="28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189"/>
        </w:trPr>
        <w:tc>
          <w:tcPr>
            <w:tcW w:w="3860" w:type="dxa"/>
            <w:vAlign w:val="bottom"/>
          </w:tcPr>
          <w:p>
            <w:pPr>
              <w:ind w:left="20"/>
              <w:spacing w:after="0"/>
              <w:rPr>
                <w:sz w:val="20"/>
                <w:szCs w:val="20"/>
                <w:color w:val="auto"/>
              </w:rPr>
            </w:pPr>
            <w:r>
              <w:rPr>
                <w:rFonts w:ascii="Arial" w:cs="Arial" w:eastAsia="Arial" w:hAnsi="Arial"/>
                <w:sz w:val="16"/>
                <w:szCs w:val="16"/>
                <w:color w:val="auto"/>
              </w:rPr>
              <w:t>Net loss attributable to common stockholders</w:t>
            </w:r>
          </w:p>
        </w:tc>
        <w:tc>
          <w:tcPr>
            <w:tcW w:w="24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(9,889 )</w:t>
            </w:r>
          </w:p>
        </w:tc>
        <w:tc>
          <w:tcPr>
            <w:tcW w:w="22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(10,551 )</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6 %</w:t>
            </w:r>
          </w:p>
        </w:tc>
        <w:tc>
          <w:tcPr>
            <w:tcW w:w="24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(50,401 )</w:t>
            </w:r>
          </w:p>
        </w:tc>
        <w:tc>
          <w:tcPr>
            <w:tcW w:w="3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(67,472 )</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175"/>
        </w:trPr>
        <w:tc>
          <w:tcPr>
            <w:tcW w:w="3860" w:type="dxa"/>
            <w:vAlign w:val="bottom"/>
            <w:shd w:val="clear" w:color="auto" w:fill="CFF0FC"/>
          </w:tcPr>
          <w:p>
            <w:pPr>
              <w:ind w:left="20"/>
              <w:spacing w:after="0" w:line="175" w:lineRule="exact"/>
              <w:rPr>
                <w:sz w:val="20"/>
                <w:szCs w:val="20"/>
                <w:color w:val="auto"/>
              </w:rPr>
            </w:pPr>
            <w:r>
              <w:rPr>
                <w:rFonts w:ascii="Arial" w:cs="Arial" w:eastAsia="Arial" w:hAnsi="Arial"/>
                <w:sz w:val="16"/>
                <w:szCs w:val="16"/>
                <w:color w:val="auto"/>
              </w:rPr>
              <w:t>EPS, basic and diluted, of Class A and Class B</w:t>
            </w: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common stock</w:t>
            </w:r>
          </w:p>
        </w:tc>
        <w:tc>
          <w:tcPr>
            <w:tcW w:w="2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(0.20 )</w:t>
            </w:r>
          </w:p>
        </w:tc>
        <w:tc>
          <w:tcPr>
            <w:tcW w:w="2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(0.22 )</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9 %</w:t>
            </w:r>
          </w:p>
        </w:tc>
        <w:tc>
          <w:tcPr>
            <w:tcW w:w="2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(1.03 )</w:t>
            </w:r>
          </w:p>
        </w:tc>
        <w:tc>
          <w:tcPr>
            <w:tcW w:w="3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(1.41 )</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27 %</w:t>
            </w:r>
          </w:p>
        </w:tc>
        <w:tc>
          <w:tcPr>
            <w:tcW w:w="0" w:type="dxa"/>
            <w:vAlign w:val="bottom"/>
          </w:tcPr>
          <w:p>
            <w:pPr>
              <w:spacing w:after="0"/>
              <w:rPr>
                <w:sz w:val="1"/>
                <w:szCs w:val="1"/>
                <w:color w:val="auto"/>
              </w:rPr>
            </w:pPr>
          </w:p>
        </w:tc>
      </w:tr>
      <w:tr>
        <w:trPr>
          <w:trHeight w:val="189"/>
        </w:trPr>
        <w:tc>
          <w:tcPr>
            <w:tcW w:w="3860" w:type="dxa"/>
            <w:vAlign w:val="bottom"/>
          </w:tcPr>
          <w:p>
            <w:pPr>
              <w:ind w:left="20"/>
              <w:spacing w:after="0" w:line="189" w:lineRule="exact"/>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(1)</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1,049</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(2,850 )</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137 %</w:t>
            </w:r>
          </w:p>
        </w:tc>
        <w:tc>
          <w:tcPr>
            <w:tcW w:w="24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(9,676 )</w:t>
            </w:r>
          </w:p>
        </w:tc>
        <w:tc>
          <w:tcPr>
            <w:tcW w:w="3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(27,490 )</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65 %</w:t>
            </w:r>
          </w:p>
        </w:tc>
        <w:tc>
          <w:tcPr>
            <w:tcW w:w="0" w:type="dxa"/>
            <w:vAlign w:val="bottom"/>
          </w:tcPr>
          <w:p>
            <w:pPr>
              <w:spacing w:after="0"/>
              <w:rPr>
                <w:sz w:val="1"/>
                <w:szCs w:val="1"/>
                <w:color w:val="auto"/>
              </w:rPr>
            </w:pPr>
          </w:p>
        </w:tc>
      </w:tr>
      <w:tr>
        <w:trPr>
          <w:trHeight w:val="189"/>
        </w:trPr>
        <w:tc>
          <w:tcPr>
            <w:tcW w:w="3860" w:type="dxa"/>
            <w:vAlign w:val="bottom"/>
            <w:shd w:val="clear" w:color="auto" w:fill="CFF0FC"/>
          </w:tcPr>
          <w:p>
            <w:pPr>
              <w:ind w:left="20"/>
              <w:spacing w:after="0" w:line="189" w:lineRule="exact"/>
              <w:rPr>
                <w:sz w:val="20"/>
                <w:szCs w:val="20"/>
                <w:color w:val="auto"/>
              </w:rPr>
            </w:pPr>
            <w:r>
              <w:rPr>
                <w:rFonts w:ascii="Arial" w:cs="Arial" w:eastAsia="Arial" w:hAnsi="Arial"/>
                <w:sz w:val="16"/>
                <w:szCs w:val="16"/>
                <w:color w:val="auto"/>
              </w:rPr>
              <w:t>Non-GAAP net income (loss)</w:t>
            </w:r>
            <w:r>
              <w:rPr>
                <w:rFonts w:ascii="Arial" w:cs="Arial" w:eastAsia="Arial" w:hAnsi="Arial"/>
                <w:sz w:val="21"/>
                <w:szCs w:val="21"/>
                <w:color w:val="auto"/>
                <w:vertAlign w:val="superscript"/>
              </w:rPr>
              <w:t>(1)</w:t>
            </w: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3,165</w:t>
            </w: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(400 )</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891 %</w:t>
            </w:r>
          </w:p>
        </w:tc>
        <w:tc>
          <w:tcPr>
            <w:tcW w:w="24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(2,069 )</w:t>
            </w:r>
          </w:p>
        </w:tc>
        <w:tc>
          <w:tcPr>
            <w:tcW w:w="32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(19,355 )</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89 %</w:t>
            </w:r>
          </w:p>
        </w:tc>
        <w:tc>
          <w:tcPr>
            <w:tcW w:w="0" w:type="dxa"/>
            <w:vAlign w:val="bottom"/>
          </w:tcPr>
          <w:p>
            <w:pPr>
              <w:spacing w:after="0"/>
              <w:rPr>
                <w:sz w:val="1"/>
                <w:szCs w:val="1"/>
                <w:color w:val="auto"/>
              </w:rPr>
            </w:pPr>
          </w:p>
        </w:tc>
      </w:tr>
      <w:tr>
        <w:trPr>
          <w:trHeight w:val="175"/>
        </w:trPr>
        <w:tc>
          <w:tcPr>
            <w:tcW w:w="3860" w:type="dxa"/>
            <w:vAlign w:val="bottom"/>
          </w:tcPr>
          <w:p>
            <w:pPr>
              <w:ind w:left="20"/>
              <w:spacing w:after="0" w:line="175" w:lineRule="exact"/>
              <w:rPr>
                <w:sz w:val="20"/>
                <w:szCs w:val="20"/>
                <w:color w:val="auto"/>
              </w:rPr>
            </w:pPr>
            <w:r>
              <w:rPr>
                <w:rFonts w:ascii="Arial" w:cs="Arial" w:eastAsia="Arial" w:hAnsi="Arial"/>
                <w:sz w:val="15"/>
                <w:szCs w:val="15"/>
                <w:color w:val="auto"/>
              </w:rPr>
              <w:t>Non-GAAP EPS, basic and diluted</w:t>
            </w:r>
            <w:r>
              <w:rPr>
                <w:rFonts w:ascii="Arial" w:cs="Arial" w:eastAsia="Arial" w:hAnsi="Arial"/>
                <w:sz w:val="20"/>
                <w:szCs w:val="20"/>
                <w:color w:val="auto"/>
                <w:vertAlign w:val="superscript"/>
              </w:rPr>
              <w:t>(1)</w:t>
            </w:r>
            <w:r>
              <w:rPr>
                <w:rFonts w:ascii="Arial" w:cs="Arial" w:eastAsia="Arial" w:hAnsi="Arial"/>
                <w:sz w:val="15"/>
                <w:szCs w:val="15"/>
                <w:color w:val="auto"/>
              </w:rPr>
              <w:t>, of Class A</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860" w:type="dxa"/>
            <w:vAlign w:val="bottom"/>
          </w:tcPr>
          <w:p>
            <w:pPr>
              <w:ind w:left="20"/>
              <w:spacing w:after="0"/>
              <w:rPr>
                <w:sz w:val="20"/>
                <w:szCs w:val="20"/>
                <w:color w:val="auto"/>
              </w:rPr>
            </w:pPr>
            <w:r>
              <w:rPr>
                <w:rFonts w:ascii="Arial" w:cs="Arial" w:eastAsia="Arial" w:hAnsi="Arial"/>
                <w:sz w:val="16"/>
                <w:szCs w:val="16"/>
                <w:color w:val="auto"/>
              </w:rPr>
              <w:t>and Class B common stock</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0.06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(0.01 )</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700 %</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(0.04 )</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(0.40 )</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178"/>
        </w:trPr>
        <w:tc>
          <w:tcPr>
            <w:tcW w:w="3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Marketplace</w:t>
            </w: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134,508</w:t>
            </w:r>
          </w:p>
        </w:tc>
        <w:tc>
          <w:tcPr>
            <w:tcW w:w="30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112,090</w:t>
            </w:r>
          </w:p>
        </w:tc>
        <w:tc>
          <w:tcPr>
            <w:tcW w:w="2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20 %</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485,946</w:t>
            </w:r>
          </w:p>
        </w:tc>
        <w:tc>
          <w:tcPr>
            <w:tcW w:w="280" w:type="dxa"/>
            <w:vAlign w:val="bottom"/>
          </w:tcPr>
          <w:p>
            <w:pPr>
              <w:spacing w:after="0"/>
              <w:rPr>
                <w:sz w:val="16"/>
                <w:szCs w:val="16"/>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394,754</w:t>
            </w:r>
          </w:p>
        </w:tc>
        <w:tc>
          <w:tcPr>
            <w:tcW w:w="28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189"/>
        </w:trPr>
        <w:tc>
          <w:tcPr>
            <w:tcW w:w="3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Cost of revenue</w:t>
            </w:r>
          </w:p>
        </w:tc>
        <w:tc>
          <w:tcPr>
            <w:tcW w:w="24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88,087</w:t>
            </w:r>
          </w:p>
        </w:tc>
        <w:tc>
          <w:tcPr>
            <w:tcW w:w="3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77,024</w:t>
            </w:r>
          </w:p>
        </w:tc>
        <w:tc>
          <w:tcPr>
            <w:tcW w:w="28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(14 )%</w:t>
            </w:r>
          </w:p>
        </w:tc>
        <w:tc>
          <w:tcPr>
            <w:tcW w:w="24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323,365</w:t>
            </w:r>
          </w:p>
        </w:tc>
        <w:tc>
          <w:tcPr>
            <w:tcW w:w="28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273,264</w:t>
            </w:r>
          </w:p>
        </w:tc>
        <w:tc>
          <w:tcPr>
            <w:tcW w:w="28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183"/>
        </w:trPr>
        <w:tc>
          <w:tcPr>
            <w:tcW w:w="3860" w:type="dxa"/>
            <w:vAlign w:val="bottom"/>
          </w:tcPr>
          <w:p>
            <w:pPr>
              <w:ind w:left="20"/>
              <w:spacing w:after="0" w:line="169" w:lineRule="exact"/>
              <w:rPr>
                <w:sz w:val="20"/>
                <w:szCs w:val="20"/>
                <w:color w:val="auto"/>
              </w:rPr>
            </w:pPr>
            <w:r>
              <w:rPr>
                <w:rFonts w:ascii="Arial" w:cs="Arial" w:eastAsia="Arial" w:hAnsi="Arial"/>
                <w:sz w:val="16"/>
                <w:szCs w:val="16"/>
                <w:color w:val="auto"/>
              </w:rPr>
              <w:t>Gross Profit</w:t>
            </w:r>
          </w:p>
        </w:tc>
        <w:tc>
          <w:tcPr>
            <w:tcW w:w="240" w:type="dxa"/>
            <w:vAlign w:val="bottom"/>
            <w:tcBorders>
              <w:bottom w:val="single" w:sz="8" w:color="auto"/>
            </w:tcBorders>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46,421</w:t>
            </w:r>
          </w:p>
        </w:tc>
        <w:tc>
          <w:tcPr>
            <w:tcW w:w="300" w:type="dxa"/>
            <w:vAlign w:val="bottom"/>
          </w:tcPr>
          <w:p>
            <w:pPr>
              <w:spacing w:after="0"/>
              <w:rPr>
                <w:sz w:val="15"/>
                <w:szCs w:val="15"/>
                <w:color w:val="auto"/>
              </w:rPr>
            </w:pPr>
          </w:p>
        </w:tc>
        <w:tc>
          <w:tcPr>
            <w:tcW w:w="220" w:type="dxa"/>
            <w:vAlign w:val="bottom"/>
            <w:tcBorders>
              <w:bottom w:val="single" w:sz="8" w:color="auto"/>
            </w:tcBorders>
          </w:tcPr>
          <w:p>
            <w:pPr>
              <w:jc w:val="right"/>
              <w:ind w:right="39"/>
              <w:spacing w:after="0" w:line="169" w:lineRule="exact"/>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35,066</w:t>
            </w:r>
          </w:p>
        </w:tc>
        <w:tc>
          <w:tcPr>
            <w:tcW w:w="280" w:type="dxa"/>
            <w:vAlign w:val="bottom"/>
          </w:tcPr>
          <w:p>
            <w:pPr>
              <w:spacing w:after="0"/>
              <w:rPr>
                <w:sz w:val="15"/>
                <w:szCs w:val="15"/>
                <w:color w:val="auto"/>
              </w:rPr>
            </w:pPr>
          </w:p>
        </w:tc>
        <w:tc>
          <w:tcPr>
            <w:tcW w:w="1020" w:type="dxa"/>
            <w:vAlign w:val="bottom"/>
            <w:gridSpan w:val="2"/>
          </w:tcPr>
          <w:p>
            <w:pPr>
              <w:jc w:val="right"/>
              <w:ind w:right="180"/>
              <w:spacing w:after="0" w:line="169" w:lineRule="exact"/>
              <w:rPr>
                <w:sz w:val="20"/>
                <w:szCs w:val="20"/>
                <w:color w:val="auto"/>
              </w:rPr>
            </w:pPr>
            <w:r>
              <w:rPr>
                <w:rFonts w:ascii="Arial" w:cs="Arial" w:eastAsia="Arial" w:hAnsi="Arial"/>
                <w:sz w:val="16"/>
                <w:szCs w:val="16"/>
                <w:color w:val="auto"/>
              </w:rPr>
              <w:t>32 %</w:t>
            </w:r>
          </w:p>
        </w:tc>
        <w:tc>
          <w:tcPr>
            <w:tcW w:w="240" w:type="dxa"/>
            <w:vAlign w:val="bottom"/>
            <w:tcBorders>
              <w:bottom w:val="single" w:sz="8" w:color="auto"/>
            </w:tcBorders>
          </w:tcPr>
          <w:p>
            <w:pPr>
              <w:jc w:val="right"/>
              <w:ind w:right="59"/>
              <w:spacing w:after="0" w:line="169"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162,581</w:t>
            </w:r>
          </w:p>
        </w:tc>
        <w:tc>
          <w:tcPr>
            <w:tcW w:w="280" w:type="dxa"/>
            <w:vAlign w:val="bottom"/>
          </w:tcPr>
          <w:p>
            <w:pPr>
              <w:spacing w:after="0"/>
              <w:rPr>
                <w:sz w:val="15"/>
                <w:szCs w:val="15"/>
                <w:color w:val="auto"/>
              </w:rPr>
            </w:pPr>
          </w:p>
        </w:tc>
        <w:tc>
          <w:tcPr>
            <w:tcW w:w="320" w:type="dxa"/>
            <w:vAlign w:val="bottom"/>
            <w:tcBorders>
              <w:bottom w:val="single" w:sz="8" w:color="auto"/>
            </w:tcBorders>
          </w:tcPr>
          <w:p>
            <w:pPr>
              <w:jc w:val="right"/>
              <w:ind w:right="139"/>
              <w:spacing w:after="0" w:line="169" w:lineRule="exact"/>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121,490</w:t>
            </w:r>
          </w:p>
        </w:tc>
        <w:tc>
          <w:tcPr>
            <w:tcW w:w="280" w:type="dxa"/>
            <w:vAlign w:val="bottom"/>
          </w:tcPr>
          <w:p>
            <w:pPr>
              <w:spacing w:after="0"/>
              <w:rPr>
                <w:sz w:val="15"/>
                <w:szCs w:val="15"/>
                <w:color w:val="auto"/>
              </w:rPr>
            </w:pPr>
          </w:p>
        </w:tc>
        <w:tc>
          <w:tcPr>
            <w:tcW w:w="960" w:type="dxa"/>
            <w:vAlign w:val="bottom"/>
            <w:gridSpan w:val="2"/>
          </w:tcPr>
          <w:p>
            <w:pPr>
              <w:jc w:val="right"/>
              <w:ind w:right="80"/>
              <w:spacing w:after="0" w:line="169" w:lineRule="exact"/>
              <w:rPr>
                <w:sz w:val="20"/>
                <w:szCs w:val="20"/>
                <w:color w:val="auto"/>
              </w:rPr>
            </w:pPr>
            <w:r>
              <w:rPr>
                <w:rFonts w:ascii="Arial" w:cs="Arial" w:eastAsia="Arial" w:hAnsi="Arial"/>
                <w:sz w:val="16"/>
                <w:szCs w:val="16"/>
                <w:color w:val="auto"/>
              </w:rPr>
              <w:t>34 %</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60" w:type="dxa"/>
            <w:vAlign w:val="bottom"/>
            <w:shd w:val="clear" w:color="auto" w:fill="CFF0FC"/>
          </w:tcPr>
          <w:p>
            <w:pPr>
              <w:ind w:left="20"/>
              <w:spacing w:after="0" w:line="170" w:lineRule="exact"/>
              <w:rPr>
                <w:sz w:val="20"/>
                <w:szCs w:val="20"/>
                <w:color w:val="auto"/>
              </w:rPr>
            </w:pPr>
            <w:r>
              <w:rPr>
                <w:rFonts w:ascii="Arial" w:cs="Arial" w:eastAsia="Arial" w:hAnsi="Arial"/>
                <w:sz w:val="16"/>
                <w:szCs w:val="16"/>
                <w:color w:val="auto"/>
              </w:rPr>
              <w:t>Gross Margin</w:t>
            </w:r>
          </w:p>
        </w:tc>
        <w:tc>
          <w:tcPr>
            <w:tcW w:w="2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line="170" w:lineRule="exact"/>
              <w:rPr>
                <w:sz w:val="20"/>
                <w:szCs w:val="20"/>
                <w:color w:val="auto"/>
              </w:rPr>
            </w:pPr>
            <w:r>
              <w:rPr>
                <w:rFonts w:ascii="Arial" w:cs="Arial" w:eastAsia="Arial" w:hAnsi="Arial"/>
                <w:sz w:val="16"/>
                <w:szCs w:val="16"/>
                <w:color w:val="auto"/>
              </w:rPr>
              <w:t>34.5 %</w:t>
            </w:r>
          </w:p>
        </w:tc>
        <w:tc>
          <w:tcPr>
            <w:tcW w:w="2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40"/>
              <w:spacing w:after="0" w:line="170" w:lineRule="exact"/>
              <w:rPr>
                <w:sz w:val="20"/>
                <w:szCs w:val="20"/>
                <w:color w:val="auto"/>
              </w:rPr>
            </w:pPr>
            <w:r>
              <w:rPr>
                <w:rFonts w:ascii="Arial" w:cs="Arial" w:eastAsia="Arial" w:hAnsi="Arial"/>
                <w:sz w:val="16"/>
                <w:szCs w:val="16"/>
                <w:color w:val="auto"/>
              </w:rPr>
              <w:t>31.3 %</w:t>
            </w:r>
          </w:p>
        </w:tc>
        <w:tc>
          <w:tcPr>
            <w:tcW w:w="1020" w:type="dxa"/>
            <w:vAlign w:val="bottom"/>
            <w:gridSpan w:val="2"/>
            <w:shd w:val="clear" w:color="auto" w:fill="CFF0FC"/>
          </w:tcPr>
          <w:p>
            <w:pPr>
              <w:jc w:val="right"/>
              <w:ind w:right="180"/>
              <w:spacing w:after="0" w:line="170" w:lineRule="exact"/>
              <w:rPr>
                <w:sz w:val="20"/>
                <w:szCs w:val="20"/>
                <w:color w:val="auto"/>
              </w:rPr>
            </w:pPr>
            <w:r>
              <w:rPr>
                <w:rFonts w:ascii="Arial" w:cs="Arial" w:eastAsia="Arial" w:hAnsi="Arial"/>
                <w:sz w:val="16"/>
                <w:szCs w:val="16"/>
                <w:color w:val="auto"/>
              </w:rPr>
              <w:t>3.2 %</w:t>
            </w:r>
          </w:p>
        </w:tc>
        <w:tc>
          <w:tcPr>
            <w:tcW w:w="2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line="170" w:lineRule="exact"/>
              <w:rPr>
                <w:sz w:val="20"/>
                <w:szCs w:val="20"/>
                <w:color w:val="auto"/>
              </w:rPr>
            </w:pPr>
            <w:r>
              <w:rPr>
                <w:rFonts w:ascii="Arial" w:cs="Arial" w:eastAsia="Arial" w:hAnsi="Arial"/>
                <w:sz w:val="16"/>
                <w:szCs w:val="16"/>
                <w:color w:val="auto"/>
              </w:rPr>
              <w:t>33.5 %</w:t>
            </w:r>
          </w:p>
        </w:tc>
        <w:tc>
          <w:tcPr>
            <w:tcW w:w="3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20"/>
              <w:spacing w:after="0" w:line="170" w:lineRule="exact"/>
              <w:rPr>
                <w:sz w:val="20"/>
                <w:szCs w:val="20"/>
                <w:color w:val="auto"/>
              </w:rPr>
            </w:pPr>
            <w:r>
              <w:rPr>
                <w:rFonts w:ascii="Arial" w:cs="Arial" w:eastAsia="Arial" w:hAnsi="Arial"/>
                <w:sz w:val="16"/>
                <w:szCs w:val="16"/>
                <w:color w:val="auto"/>
              </w:rPr>
              <w:t>30.8 %</w:t>
            </w:r>
          </w:p>
        </w:tc>
        <w:tc>
          <w:tcPr>
            <w:tcW w:w="960" w:type="dxa"/>
            <w:vAlign w:val="bottom"/>
            <w:gridSpan w:val="2"/>
            <w:shd w:val="clear" w:color="auto" w:fill="CFF0FC"/>
          </w:tcPr>
          <w:p>
            <w:pPr>
              <w:jc w:val="right"/>
              <w:ind w:right="80"/>
              <w:spacing w:after="0" w:line="170" w:lineRule="exact"/>
              <w:rPr>
                <w:sz w:val="20"/>
                <w:szCs w:val="20"/>
                <w:color w:val="auto"/>
              </w:rPr>
            </w:pPr>
            <w:r>
              <w:rPr>
                <w:rFonts w:ascii="Arial" w:cs="Arial" w:eastAsia="Arial" w:hAnsi="Arial"/>
                <w:sz w:val="16"/>
                <w:szCs w:val="16"/>
                <w:color w:val="auto"/>
              </w:rPr>
              <w:t>2.7 %</w:t>
            </w:r>
          </w:p>
        </w:tc>
        <w:tc>
          <w:tcPr>
            <w:tcW w:w="0" w:type="dxa"/>
            <w:vAlign w:val="bottom"/>
          </w:tcPr>
          <w:p>
            <w:pPr>
              <w:spacing w:after="0"/>
              <w:rPr>
                <w:sz w:val="1"/>
                <w:szCs w:val="1"/>
                <w:color w:val="auto"/>
              </w:rPr>
            </w:pPr>
          </w:p>
        </w:tc>
      </w:tr>
      <w:tr>
        <w:trPr>
          <w:trHeight w:val="378"/>
        </w:trPr>
        <w:tc>
          <w:tcPr>
            <w:tcW w:w="3860" w:type="dxa"/>
            <w:vAlign w:val="bottom"/>
          </w:tcPr>
          <w:p>
            <w:pPr>
              <w:ind w:left="20"/>
              <w:spacing w:after="0"/>
              <w:rPr>
                <w:sz w:val="20"/>
                <w:szCs w:val="20"/>
                <w:color w:val="auto"/>
              </w:rPr>
            </w:pPr>
            <w:r>
              <w:rPr>
                <w:rFonts w:ascii="Arial" w:cs="Arial" w:eastAsia="Arial" w:hAnsi="Arial"/>
                <w:sz w:val="16"/>
                <w:szCs w:val="16"/>
                <w:b w:val="1"/>
                <w:bCs w:val="1"/>
                <w:color w:val="auto"/>
              </w:rPr>
              <w:t>Supplier services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14,038</w:t>
            </w: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16,055</w:t>
            </w:r>
          </w:p>
        </w:tc>
        <w:tc>
          <w:tcPr>
            <w:tcW w:w="2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(13 )%</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59,583</w:t>
            </w:r>
          </w:p>
        </w:tc>
        <w:tc>
          <w:tcPr>
            <w:tcW w:w="280" w:type="dxa"/>
            <w:vAlign w:val="bottom"/>
            <w:shd w:val="clear" w:color="auto" w:fill="CFF0FC"/>
          </w:tcPr>
          <w:p>
            <w:pPr>
              <w:spacing w:after="0"/>
              <w:rPr>
                <w:sz w:val="16"/>
                <w:szCs w:val="16"/>
                <w:color w:val="auto"/>
              </w:rPr>
            </w:pP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68,652</w:t>
            </w:r>
          </w:p>
        </w:tc>
        <w:tc>
          <w:tcPr>
            <w:tcW w:w="28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189"/>
        </w:trPr>
        <w:tc>
          <w:tcPr>
            <w:tcW w:w="386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1,439</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2,036</w:t>
            </w:r>
          </w:p>
        </w:tc>
        <w:tc>
          <w:tcPr>
            <w:tcW w:w="2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29 %</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6,540</w:t>
            </w: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11,883</w:t>
            </w:r>
          </w:p>
        </w:tc>
        <w:tc>
          <w:tcPr>
            <w:tcW w:w="28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45 %</w:t>
            </w:r>
          </w:p>
        </w:tc>
        <w:tc>
          <w:tcPr>
            <w:tcW w:w="0" w:type="dxa"/>
            <w:vAlign w:val="bottom"/>
          </w:tcPr>
          <w:p>
            <w:pPr>
              <w:spacing w:after="0"/>
              <w:rPr>
                <w:sz w:val="1"/>
                <w:szCs w:val="1"/>
                <w:color w:val="auto"/>
              </w:rPr>
            </w:pPr>
          </w:p>
        </w:tc>
      </w:tr>
      <w:tr>
        <w:trPr>
          <w:trHeight w:val="222"/>
        </w:trPr>
        <w:tc>
          <w:tcPr>
            <w:tcW w:w="3860" w:type="dxa"/>
            <w:vAlign w:val="bottom"/>
            <w:tcBorders>
              <w:bottom w:val="single" w:sz="8" w:color="CFF0FC"/>
            </w:tcBorders>
            <w:shd w:val="clear" w:color="auto" w:fill="CFF0FC"/>
          </w:tcPr>
          <w:p>
            <w:pPr>
              <w:ind w:left="20"/>
              <w:spacing w:after="0" w:line="169" w:lineRule="exact"/>
              <w:rPr>
                <w:sz w:val="20"/>
                <w:szCs w:val="20"/>
                <w:color w:val="auto"/>
              </w:rPr>
            </w:pPr>
            <w:r>
              <w:rPr>
                <w:rFonts w:ascii="Arial" w:cs="Arial" w:eastAsia="Arial" w:hAnsi="Arial"/>
                <w:sz w:val="16"/>
                <w:szCs w:val="16"/>
                <w:color w:val="auto"/>
              </w:rPr>
              <w:t>Gross Profit</w:t>
            </w:r>
          </w:p>
        </w:tc>
        <w:tc>
          <w:tcPr>
            <w:tcW w:w="24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12,599</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14,019</w:t>
            </w:r>
          </w:p>
        </w:tc>
        <w:tc>
          <w:tcPr>
            <w:tcW w:w="28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gridSpan w:val="2"/>
            <w:shd w:val="clear" w:color="auto" w:fill="CFF0FC"/>
          </w:tcPr>
          <w:p>
            <w:pPr>
              <w:jc w:val="right"/>
              <w:ind w:right="120"/>
              <w:spacing w:after="0" w:line="169" w:lineRule="exact"/>
              <w:rPr>
                <w:sz w:val="20"/>
                <w:szCs w:val="20"/>
                <w:color w:val="auto"/>
              </w:rPr>
            </w:pPr>
            <w:r>
              <w:rPr>
                <w:rFonts w:ascii="Arial" w:cs="Arial" w:eastAsia="Arial" w:hAnsi="Arial"/>
                <w:sz w:val="16"/>
                <w:szCs w:val="16"/>
                <w:color w:val="auto"/>
              </w:rPr>
              <w:t>(10 )%</w:t>
            </w:r>
          </w:p>
        </w:tc>
        <w:tc>
          <w:tcPr>
            <w:tcW w:w="240" w:type="dxa"/>
            <w:vAlign w:val="bottom"/>
            <w:tcBorders>
              <w:bottom w:val="single" w:sz="8" w:color="auto"/>
            </w:tcBorders>
            <w:shd w:val="clear" w:color="auto" w:fill="CFF0FC"/>
          </w:tcPr>
          <w:p>
            <w:pPr>
              <w:jc w:val="right"/>
              <w:ind w:right="59"/>
              <w:spacing w:after="0" w:line="169"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53,043</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9"/>
              <w:spacing w:after="0" w:line="169" w:lineRule="exact"/>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56,769</w:t>
            </w:r>
          </w:p>
        </w:tc>
        <w:tc>
          <w:tcPr>
            <w:tcW w:w="2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gridSpan w:val="2"/>
            <w:shd w:val="clear" w:color="auto" w:fill="CFF0FC"/>
          </w:tcPr>
          <w:p>
            <w:pPr>
              <w:jc w:val="right"/>
              <w:ind w:right="20"/>
              <w:spacing w:after="0" w:line="169" w:lineRule="exact"/>
              <w:rPr>
                <w:sz w:val="20"/>
                <w:szCs w:val="20"/>
                <w:color w:val="auto"/>
              </w:rPr>
            </w:pPr>
            <w:r>
              <w:rPr>
                <w:rFonts w:ascii="Arial" w:cs="Arial" w:eastAsia="Arial" w:hAnsi="Arial"/>
                <w:sz w:val="16"/>
                <w:szCs w:val="16"/>
                <w:color w:val="auto"/>
              </w:rPr>
              <w:t>(7 )%</w:t>
            </w:r>
          </w:p>
        </w:tc>
        <w:tc>
          <w:tcPr>
            <w:tcW w:w="0" w:type="dxa"/>
            <w:vAlign w:val="bottom"/>
          </w:tcPr>
          <w:p>
            <w:pPr>
              <w:spacing w:after="0"/>
              <w:rPr>
                <w:sz w:val="1"/>
                <w:szCs w:val="1"/>
                <w:color w:val="auto"/>
              </w:rPr>
            </w:pPr>
          </w:p>
        </w:tc>
      </w:tr>
      <w:tr>
        <w:trPr>
          <w:trHeight w:val="195"/>
        </w:trPr>
        <w:tc>
          <w:tcPr>
            <w:tcW w:w="3860" w:type="dxa"/>
            <w:vAlign w:val="bottom"/>
          </w:tcPr>
          <w:p>
            <w:pPr>
              <w:ind w:left="20"/>
              <w:spacing w:after="0"/>
              <w:rPr>
                <w:sz w:val="20"/>
                <w:szCs w:val="20"/>
                <w:color w:val="auto"/>
              </w:rPr>
            </w:pPr>
            <w:r>
              <w:rPr>
                <w:rFonts w:ascii="Arial" w:cs="Arial" w:eastAsia="Arial" w:hAnsi="Arial"/>
                <w:sz w:val="16"/>
                <w:szCs w:val="16"/>
                <w:color w:val="auto"/>
              </w:rPr>
              <w:t>Gross Margin</w:t>
            </w:r>
          </w:p>
        </w:tc>
        <w:tc>
          <w:tcPr>
            <w:tcW w:w="2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89.7 %</w:t>
            </w:r>
          </w:p>
        </w:tc>
        <w:tc>
          <w:tcPr>
            <w:tcW w:w="2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87.3 %</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2.4 %</w:t>
            </w:r>
          </w:p>
        </w:tc>
        <w:tc>
          <w:tcPr>
            <w:tcW w:w="24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89.0 %</w:t>
            </w:r>
          </w:p>
        </w:tc>
        <w:tc>
          <w:tcPr>
            <w:tcW w:w="3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82.7 %</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6.3 %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-1044575</wp:posOffset>
            </wp:positionV>
            <wp:extent cx="1111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-1044575</wp:posOffset>
            </wp:positionV>
            <wp:extent cx="1111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-1044575</wp:posOffset>
            </wp:positionV>
            <wp:extent cx="1117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-1044575</wp:posOffset>
            </wp:positionV>
            <wp:extent cx="1111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-161290</wp:posOffset>
            </wp:positionV>
            <wp:extent cx="1111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-144145</wp:posOffset>
            </wp:positionV>
            <wp:extent cx="1111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-161290</wp:posOffset>
            </wp:positionV>
            <wp:extent cx="1111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-144145</wp:posOffset>
            </wp:positionV>
            <wp:extent cx="1111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-161290</wp:posOffset>
            </wp:positionV>
            <wp:extent cx="1117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-144145</wp:posOffset>
            </wp:positionV>
            <wp:extent cx="1117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-161290</wp:posOffset>
            </wp:positionV>
            <wp:extent cx="1111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-144145</wp:posOffset>
            </wp:positionV>
            <wp:extent cx="1111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07" w:lineRule="exact"/>
        <w:rPr>
          <w:sz w:val="20"/>
          <w:szCs w:val="20"/>
          <w:color w:val="auto"/>
        </w:rPr>
      </w:pPr>
    </w:p>
    <w:p>
      <w:pPr>
        <w:ind w:left="380" w:right="160" w:hanging="372"/>
        <w:spacing w:after="0" w:line="285" w:lineRule="auto"/>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These non-GAAP financial measures, and the reasons why we believe these non-GAAP financial measures are useful, are described below and reconciled to their most directly comparable GAAP measures in the accompanying tables.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Key Operating Metrics</w:t>
      </w:r>
      <w:r>
        <w:rPr>
          <w:rFonts w:ascii="Arial" w:cs="Arial" w:eastAsia="Arial" w:hAnsi="Arial"/>
          <w:sz w:val="26"/>
          <w:szCs w:val="26"/>
          <w:b w:val="1"/>
          <w:bCs w:val="1"/>
          <w:color w:val="auto"/>
          <w:vertAlign w:val="superscript"/>
        </w:rPr>
        <w:t>(2)</w:t>
      </w:r>
      <w:r>
        <w:rPr>
          <w:rFonts w:ascii="Arial" w:cs="Arial" w:eastAsia="Arial" w:hAnsi="Arial"/>
          <w:sz w:val="20"/>
          <w:szCs w:val="20"/>
          <w:b w:val="1"/>
          <w:bCs w:val="1"/>
          <w:color w:val="auto"/>
        </w:rPr>
        <w:t>:</w:t>
      </w:r>
    </w:p>
    <w:tbl>
      <w:tblPr>
        <w:tblLayout w:type="fixed"/>
        <w:tblInd w:w="0" w:type="dxa"/>
        <w:tblCellMar>
          <w:top w:w="0" w:type="dxa"/>
          <w:left w:w="0" w:type="dxa"/>
          <w:bottom w:w="0" w:type="dxa"/>
          <w:right w:w="0" w:type="dxa"/>
        </w:tblCellMar>
      </w:tblPr>
      <w:tr>
        <w:trPr>
          <w:trHeight w:val="203"/>
        </w:trPr>
        <w:tc>
          <w:tcPr>
            <w:tcW w:w="6280" w:type="dxa"/>
            <w:vAlign w:val="bottom"/>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220"/>
              <w:spacing w:after="0" w:line="203" w:lineRule="exact"/>
              <w:rPr>
                <w:sz w:val="20"/>
                <w:szCs w:val="20"/>
                <w:color w:val="auto"/>
              </w:rPr>
            </w:pPr>
            <w:r>
              <w:rPr>
                <w:rFonts w:ascii="Arial" w:cs="Arial" w:eastAsia="Arial" w:hAnsi="Arial"/>
                <w:sz w:val="18"/>
                <w:szCs w:val="18"/>
                <w:b w:val="1"/>
                <w:bCs w:val="1"/>
                <w:color w:val="auto"/>
                <w:w w:val="99"/>
              </w:rPr>
              <w:t>As of December 31,</w:t>
            </w:r>
          </w:p>
        </w:tc>
        <w:tc>
          <w:tcPr>
            <w:tcW w:w="13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r>
      <w:tr>
        <w:trPr>
          <w:trHeight w:val="177"/>
        </w:trPr>
        <w:tc>
          <w:tcPr>
            <w:tcW w:w="6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right"/>
              <w:ind w:right="510"/>
              <w:spacing w:after="0" w:line="177" w:lineRule="exact"/>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5"/>
                <w:szCs w:val="15"/>
                <w:color w:val="auto"/>
              </w:rPr>
            </w:pPr>
          </w:p>
        </w:tc>
      </w:tr>
      <w:tr>
        <w:trPr>
          <w:trHeight w:val="221"/>
        </w:trPr>
        <w:tc>
          <w:tcPr>
            <w:tcW w:w="6280" w:type="dxa"/>
            <w:vAlign w:val="bottom"/>
          </w:tcPr>
          <w:p>
            <w:pPr>
              <w:spacing w:after="0"/>
              <w:rPr>
                <w:sz w:val="19"/>
                <w:szCs w:val="19"/>
                <w:color w:val="auto"/>
              </w:rPr>
            </w:pPr>
          </w:p>
        </w:tc>
        <w:tc>
          <w:tcPr>
            <w:tcW w:w="13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180" w:type="dxa"/>
            <w:vAlign w:val="bottom"/>
          </w:tcPr>
          <w:p>
            <w:pPr>
              <w:spacing w:after="0"/>
              <w:rPr>
                <w:sz w:val="19"/>
                <w:szCs w:val="19"/>
                <w:color w:val="auto"/>
              </w:rPr>
            </w:pPr>
          </w:p>
        </w:tc>
        <w:tc>
          <w:tcPr>
            <w:tcW w:w="16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2023</w:t>
            </w:r>
          </w:p>
        </w:tc>
        <w:tc>
          <w:tcPr>
            <w:tcW w:w="300" w:type="dxa"/>
            <w:vAlign w:val="bottom"/>
          </w:tcPr>
          <w:p>
            <w:pPr>
              <w:spacing w:after="0"/>
              <w:rPr>
                <w:sz w:val="19"/>
                <w:szCs w:val="19"/>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Change</w:t>
            </w:r>
          </w:p>
        </w:tc>
      </w:tr>
      <w:tr>
        <w:trPr>
          <w:trHeight w:val="196"/>
        </w:trPr>
        <w:tc>
          <w:tcPr>
            <w:tcW w:w="628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628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Active Buyers</w:t>
            </w:r>
            <w:r>
              <w:rPr>
                <w:rFonts w:ascii="Arial" w:cs="Arial" w:eastAsia="Arial" w:hAnsi="Arial"/>
                <w:sz w:val="23"/>
                <w:szCs w:val="23"/>
                <w:color w:val="auto"/>
                <w:vertAlign w:val="superscript"/>
              </w:rPr>
              <w:t>(3)</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68,267</w:t>
            </w:r>
          </w:p>
        </w:tc>
        <w:tc>
          <w:tcPr>
            <w:tcW w:w="18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55,325</w:t>
            </w:r>
          </w:p>
        </w:tc>
        <w:tc>
          <w:tcPr>
            <w:tcW w:w="3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23 %</w:t>
            </w:r>
          </w:p>
        </w:tc>
      </w:tr>
      <w:tr>
        <w:trPr>
          <w:trHeight w:val="203"/>
        </w:trPr>
        <w:tc>
          <w:tcPr>
            <w:tcW w:w="6280" w:type="dxa"/>
            <w:vAlign w:val="bottom"/>
          </w:tcPr>
          <w:p>
            <w:pPr>
              <w:ind w:left="20"/>
              <w:spacing w:after="0" w:line="202" w:lineRule="exact"/>
              <w:rPr>
                <w:sz w:val="20"/>
                <w:szCs w:val="20"/>
                <w:color w:val="auto"/>
              </w:rPr>
            </w:pPr>
            <w:r>
              <w:rPr>
                <w:rFonts w:ascii="Arial" w:cs="Arial" w:eastAsia="Arial" w:hAnsi="Arial"/>
                <w:sz w:val="17"/>
                <w:szCs w:val="17"/>
                <w:color w:val="auto"/>
              </w:rPr>
              <w:t>Percentage of Revenue from Existing Accounts</w:t>
            </w:r>
            <w:r>
              <w:rPr>
                <w:rFonts w:ascii="Arial" w:cs="Arial" w:eastAsia="Arial" w:hAnsi="Arial"/>
                <w:sz w:val="23"/>
                <w:szCs w:val="23"/>
                <w:color w:val="auto"/>
                <w:vertAlign w:val="superscript"/>
              </w:rPr>
              <w:t>(3)</w:t>
            </w:r>
          </w:p>
        </w:tc>
        <w:tc>
          <w:tcPr>
            <w:tcW w:w="1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97 %</w:t>
            </w:r>
          </w:p>
        </w:tc>
        <w:tc>
          <w:tcPr>
            <w:tcW w:w="19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96 %</w:t>
            </w: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628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Accounts with Last Twelve-Months Spend of at Least $50,000</w:t>
            </w:r>
            <w:r>
              <w:rPr>
                <w:rFonts w:ascii="Arial" w:cs="Arial" w:eastAsia="Arial" w:hAnsi="Arial"/>
                <w:sz w:val="23"/>
                <w:szCs w:val="23"/>
                <w:color w:val="auto"/>
                <w:vertAlign w:val="superscript"/>
              </w:rPr>
              <w:t>(3)</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1,495</w:t>
            </w:r>
          </w:p>
        </w:tc>
        <w:tc>
          <w:tcPr>
            <w:tcW w:w="18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1,331</w:t>
            </w:r>
          </w:p>
        </w:tc>
        <w:tc>
          <w:tcPr>
            <w:tcW w:w="3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12 %</w:t>
            </w:r>
          </w:p>
        </w:tc>
      </w:tr>
      <w:tr>
        <w:trPr>
          <w:trHeight w:val="221"/>
        </w:trPr>
        <w:tc>
          <w:tcPr>
            <w:tcW w:w="6280" w:type="dxa"/>
            <w:vAlign w:val="bottom"/>
          </w:tcPr>
          <w:p>
            <w:pPr>
              <w:ind w:left="20"/>
              <w:spacing w:after="0" w:line="220" w:lineRule="exact"/>
              <w:rPr>
                <w:sz w:val="20"/>
                <w:szCs w:val="20"/>
                <w:color w:val="auto"/>
              </w:rPr>
            </w:pPr>
            <w:r>
              <w:rPr>
                <w:rFonts w:ascii="Arial" w:cs="Arial" w:eastAsia="Arial" w:hAnsi="Arial"/>
                <w:sz w:val="18"/>
                <w:szCs w:val="18"/>
                <w:color w:val="auto"/>
              </w:rPr>
              <w:t>Active Paying Suppliers</w:t>
            </w:r>
            <w:r>
              <w:rPr>
                <w:rFonts w:ascii="Arial" w:cs="Arial" w:eastAsia="Arial" w:hAnsi="Arial"/>
                <w:sz w:val="24"/>
                <w:szCs w:val="24"/>
                <w:color w:val="auto"/>
                <w:vertAlign w:val="superscript"/>
              </w:rPr>
              <w:t>(3)</w:t>
            </w:r>
          </w:p>
        </w:tc>
        <w:tc>
          <w:tcPr>
            <w:tcW w:w="1320" w:type="dxa"/>
            <w:vAlign w:val="bottom"/>
          </w:tcPr>
          <w:p>
            <w:pPr>
              <w:jc w:val="right"/>
              <w:spacing w:after="0"/>
              <w:rPr>
                <w:sz w:val="20"/>
                <w:szCs w:val="20"/>
                <w:color w:val="auto"/>
              </w:rPr>
            </w:pPr>
            <w:r>
              <w:rPr>
                <w:rFonts w:ascii="Arial" w:cs="Arial" w:eastAsia="Arial" w:hAnsi="Arial"/>
                <w:sz w:val="18"/>
                <w:szCs w:val="18"/>
                <w:color w:val="auto"/>
              </w:rPr>
              <w:t>6,582</w:t>
            </w:r>
          </w:p>
        </w:tc>
        <w:tc>
          <w:tcPr>
            <w:tcW w:w="180" w:type="dxa"/>
            <w:vAlign w:val="bottom"/>
          </w:tcPr>
          <w:p>
            <w:pPr>
              <w:spacing w:after="0"/>
              <w:rPr>
                <w:sz w:val="19"/>
                <w:szCs w:val="19"/>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7,271</w:t>
            </w:r>
          </w:p>
        </w:tc>
        <w:tc>
          <w:tcPr>
            <w:tcW w:w="30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(9 )%</w:t>
            </w:r>
          </w:p>
        </w:tc>
      </w:tr>
    </w:tbl>
    <w:p>
      <w:pPr>
        <w:ind w:left="380" w:right="120" w:hanging="372"/>
        <w:spacing w:after="0" w:line="241" w:lineRule="auto"/>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These key operating metrics are for Marketplace and Supplier Services. See “Key Terms for our Key Metrics and Non-GAAP Financial Measures” below for definitions of these metrics.</w:t>
      </w:r>
    </w:p>
    <w:p>
      <w:pPr>
        <w:ind w:left="380" w:right="240" w:hanging="372"/>
        <w:spacing w:after="0" w:line="324" w:lineRule="auto"/>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Amounts shown for Active Buyers, Accounts with Last Twelve-Months Spend of at Least $50,000, and Active Paying Suppliers are as of December 31, 2024 and 2023, and Percentage of Revenue from Existing Accounts is presented for the quarters ended December 31, 2024 and 2023.</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Guidance and Outlook:</w:t>
      </w:r>
    </w:p>
    <w:p>
      <w:pPr>
        <w:spacing w:after="0" w:line="166" w:lineRule="exact"/>
        <w:rPr>
          <w:sz w:val="20"/>
          <w:szCs w:val="20"/>
          <w:color w:val="auto"/>
        </w:rPr>
      </w:pPr>
    </w:p>
    <w:p>
      <w:pPr>
        <w:jc w:val="center"/>
        <w:ind w:left="7400"/>
        <w:spacing w:after="0"/>
        <w:rPr>
          <w:sz w:val="20"/>
          <w:szCs w:val="20"/>
          <w:color w:val="auto"/>
        </w:rPr>
      </w:pPr>
      <w:r>
        <w:rPr>
          <w:rFonts w:ascii="Arial" w:cs="Arial" w:eastAsia="Arial" w:hAnsi="Arial"/>
          <w:sz w:val="18"/>
          <w:szCs w:val="18"/>
          <w:b w:val="1"/>
          <w:bCs w:val="1"/>
          <w:color w:val="auto"/>
        </w:rPr>
        <w:t>Q1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8890</wp:posOffset>
            </wp:positionV>
            <wp:extent cx="22885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7" w:lineRule="exact"/>
        <w:rPr>
          <w:sz w:val="20"/>
          <w:szCs w:val="20"/>
          <w:color w:val="auto"/>
        </w:rPr>
      </w:pPr>
    </w:p>
    <w:p>
      <w:pPr>
        <w:jc w:val="center"/>
        <w:ind w:left="7400"/>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-1905</wp:posOffset>
            </wp:positionV>
            <wp:extent cx="22885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ind w:left="8180"/>
        <w:spacing w:after="0"/>
        <w:tabs>
          <w:tab w:leader="none" w:pos="10080" w:val="left"/>
        </w:tabs>
        <w:rPr>
          <w:sz w:val="20"/>
          <w:szCs w:val="20"/>
          <w:color w:val="auto"/>
        </w:rPr>
      </w:pPr>
      <w:r>
        <w:rPr>
          <w:rFonts w:ascii="Arial" w:cs="Arial" w:eastAsia="Arial" w:hAnsi="Arial"/>
          <w:sz w:val="18"/>
          <w:szCs w:val="18"/>
          <w:b w:val="1"/>
          <w:bCs w:val="1"/>
          <w:color w:val="auto"/>
        </w:rPr>
        <w:t>Low</w:t>
      </w:r>
      <w:r>
        <w:rPr>
          <w:sz w:val="20"/>
          <w:szCs w:val="20"/>
          <w:color w:val="auto"/>
        </w:rPr>
        <w:tab/>
      </w:r>
      <w:r>
        <w:rPr>
          <w:rFonts w:ascii="Arial" w:cs="Arial" w:eastAsia="Arial" w:hAnsi="Arial"/>
          <w:sz w:val="18"/>
          <w:szCs w:val="18"/>
          <w:b w:val="1"/>
          <w:bCs w:val="1"/>
          <w:color w:val="auto"/>
        </w:rPr>
        <w:t>High</w:t>
      </w:r>
    </w:p>
    <w:p>
      <w:pPr>
        <w:ind w:left="20"/>
        <w:spacing w:after="0"/>
        <w:tabs>
          <w:tab w:leader="none" w:pos="7520" w:val="left"/>
          <w:tab w:leader="none" w:pos="8860" w:val="left"/>
          <w:tab w:leader="none" w:pos="9460" w:val="left"/>
          <w:tab w:leader="none" w:pos="10800" w:val="left"/>
        </w:tabs>
        <w:rPr>
          <w:sz w:val="20"/>
          <w:szCs w:val="20"/>
          <w:color w:val="auto"/>
        </w:rPr>
      </w:pPr>
      <w:r>
        <w:rPr>
          <w:rFonts w:ascii="Arial" w:cs="Arial" w:eastAsia="Arial" w:hAnsi="Arial"/>
          <w:sz w:val="18"/>
          <w:szCs w:val="18"/>
          <w:color w:val="auto"/>
        </w:rPr>
        <w:t>Revenue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79" w:lineRule="exact"/>
        <w:rPr>
          <w:sz w:val="20"/>
          <w:szCs w:val="20"/>
          <w:color w:val="auto"/>
        </w:rPr>
      </w:pPr>
    </w:p>
    <w:p>
      <w:pPr>
        <w:ind w:left="1020" w:right="320" w:hanging="503"/>
        <w:spacing w:after="0" w:line="256" w:lineRule="auto"/>
        <w:tabs>
          <w:tab w:leader="none" w:pos="1020" w:val="left"/>
        </w:tabs>
        <w:numPr>
          <w:ilvl w:val="0"/>
          <w:numId w:val="10"/>
        </w:numPr>
        <w:rPr>
          <w:rFonts w:ascii="Times New Roman" w:cs="Times New Roman" w:eastAsia="Times New Roman" w:hAnsi="Times New Roman"/>
          <w:sz w:val="20"/>
          <w:szCs w:val="20"/>
          <w:color w:val="1D1C1D"/>
        </w:rPr>
      </w:pPr>
      <w:r>
        <w:rPr>
          <w:rFonts w:ascii="Arial" w:cs="Arial" w:eastAsia="Arial" w:hAnsi="Arial"/>
          <w:sz w:val="20"/>
          <w:szCs w:val="20"/>
          <w:color w:val="1D1C1D"/>
        </w:rPr>
        <w:t>For Q1 2025, expect revenue of $147-$149 million, representing 20-21% growth year-over-year. This includes an unfavorable foreign exchange impact of approximately $1.0 million.</w:t>
      </w:r>
    </w:p>
    <w:p>
      <w:pPr>
        <w:spacing w:after="0" w:line="48" w:lineRule="exact"/>
        <w:rPr>
          <w:rFonts w:ascii="Times New Roman" w:cs="Times New Roman" w:eastAsia="Times New Roman" w:hAnsi="Times New Roman"/>
          <w:sz w:val="20"/>
          <w:szCs w:val="20"/>
          <w:color w:val="1D1C1D"/>
        </w:rPr>
      </w:pPr>
    </w:p>
    <w:p>
      <w:pPr>
        <w:ind w:left="1020" w:right="380" w:hanging="503"/>
        <w:spacing w:after="0" w:line="256" w:lineRule="auto"/>
        <w:tabs>
          <w:tab w:leader="none" w:pos="1020" w:val="left"/>
        </w:tabs>
        <w:numPr>
          <w:ilvl w:val="0"/>
          <w:numId w:val="10"/>
        </w:numPr>
        <w:rPr>
          <w:rFonts w:ascii="Times New Roman" w:cs="Times New Roman" w:eastAsia="Times New Roman" w:hAnsi="Times New Roman"/>
          <w:sz w:val="20"/>
          <w:szCs w:val="20"/>
          <w:color w:val="1D1C1D"/>
        </w:rPr>
      </w:pPr>
      <w:r>
        <w:rPr>
          <w:rFonts w:ascii="Arial" w:cs="Arial" w:eastAsia="Arial" w:hAnsi="Arial"/>
          <w:sz w:val="20"/>
          <w:szCs w:val="20"/>
          <w:color w:val="1D1C1D"/>
        </w:rPr>
        <w:t>For Q1 2025, expect Adjusted EBITDA loss of approximately $1.5 million, an improvement of approximately $6.0 million from an Adjusted EBITDA loss of $7.5 million in Q1 2024.</w:t>
      </w:r>
    </w:p>
    <w:p>
      <w:pPr>
        <w:spacing w:after="0" w:line="48" w:lineRule="exact"/>
        <w:rPr>
          <w:rFonts w:ascii="Times New Roman" w:cs="Times New Roman" w:eastAsia="Times New Roman" w:hAnsi="Times New Roman"/>
          <w:sz w:val="20"/>
          <w:szCs w:val="20"/>
          <w:color w:val="1D1C1D"/>
        </w:rPr>
      </w:pPr>
    </w:p>
    <w:p>
      <w:pPr>
        <w:ind w:left="1020" w:right="160" w:hanging="503"/>
        <w:spacing w:after="0" w:line="241" w:lineRule="auto"/>
        <w:tabs>
          <w:tab w:leader="none" w:pos="1020" w:val="left"/>
        </w:tabs>
        <w:numPr>
          <w:ilvl w:val="0"/>
          <w:numId w:val="10"/>
        </w:numPr>
        <w:rPr>
          <w:rFonts w:ascii="Times New Roman" w:cs="Times New Roman" w:eastAsia="Times New Roman" w:hAnsi="Times New Roman"/>
          <w:sz w:val="20"/>
          <w:szCs w:val="20"/>
          <w:color w:val="1D1C1D"/>
        </w:rPr>
      </w:pPr>
      <w:r>
        <w:rPr>
          <w:rFonts w:ascii="Arial" w:cs="Arial" w:eastAsia="Arial" w:hAnsi="Arial"/>
          <w:sz w:val="20"/>
          <w:szCs w:val="20"/>
          <w:color w:val="1D1C1D"/>
        </w:rPr>
        <w:t>For FY 2025, expect total revenue growth to exceed revenue growth in 2024. We expect marketplace revenue growth of at least 20% year-over-year and expect supplier services revenue to be down approximately 5-10% year-over-year.</w:t>
      </w:r>
    </w:p>
    <w:p>
      <w:pPr>
        <w:spacing w:after="0" w:line="62" w:lineRule="exact"/>
        <w:rPr>
          <w:rFonts w:ascii="Times New Roman" w:cs="Times New Roman" w:eastAsia="Times New Roman" w:hAnsi="Times New Roman"/>
          <w:sz w:val="20"/>
          <w:szCs w:val="20"/>
          <w:color w:val="1D1C1D"/>
        </w:rPr>
      </w:pPr>
    </w:p>
    <w:p>
      <w:pPr>
        <w:ind w:left="1020" w:hanging="503"/>
        <w:spacing w:after="0"/>
        <w:tabs>
          <w:tab w:leader="none" w:pos="1020" w:val="left"/>
        </w:tabs>
        <w:numPr>
          <w:ilvl w:val="0"/>
          <w:numId w:val="10"/>
        </w:numPr>
        <w:rPr>
          <w:rFonts w:ascii="Times New Roman" w:cs="Times New Roman" w:eastAsia="Times New Roman" w:hAnsi="Times New Roman"/>
          <w:sz w:val="20"/>
          <w:szCs w:val="20"/>
          <w:color w:val="1D1C1D"/>
        </w:rPr>
      </w:pPr>
      <w:r>
        <w:rPr>
          <w:rFonts w:ascii="Arial" w:cs="Arial" w:eastAsia="Arial" w:hAnsi="Arial"/>
          <w:sz w:val="20"/>
          <w:szCs w:val="20"/>
          <w:color w:val="1D1C1D"/>
        </w:rPr>
        <w:t>For FY 2025, expect to be Adjusted EBITDA positive for the full year.</w:t>
      </w:r>
    </w:p>
    <w:p>
      <w:pPr>
        <w:spacing w:after="0" w:line="215"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Xometry’s first quarter 2025 and full year 2025 financial outlook is based on a number of assumptions that are subject to change and many of which are outside of its control. If actual results vary from these assumptions, Xometry’s expectations may change. There can be no assurance that Xometry will achieve these results.</w:t>
      </w:r>
    </w:p>
    <w:p>
      <w:pPr>
        <w:spacing w:after="0" w:line="171" w:lineRule="exact"/>
        <w:rPr>
          <w:sz w:val="20"/>
          <w:szCs w:val="20"/>
          <w:color w:val="auto"/>
        </w:rPr>
      </w:pPr>
    </w:p>
    <w:p>
      <w:pPr>
        <w:ind w:right="40"/>
        <w:spacing w:after="0" w:line="234" w:lineRule="auto"/>
        <w:rPr>
          <w:sz w:val="20"/>
          <w:szCs w:val="20"/>
          <w:color w:val="auto"/>
        </w:rPr>
      </w:pPr>
      <w:r>
        <w:rPr>
          <w:rFonts w:ascii="Arial" w:cs="Arial" w:eastAsia="Arial" w:hAnsi="Arial"/>
          <w:sz w:val="20"/>
          <w:szCs w:val="20"/>
          <w:color w:val="auto"/>
        </w:rPr>
        <w:t>Reconciliation of Adjusted EBITDA on a forward-looking basis to net loss, the most directly comparable GAAP measure, is not available without unreasonable efforts due to the high variability and complexity and low visibility with respect to certain charges excluded from this non-GAAP measure, including interest and dividend income, benefit for income taxes, charitable contributions of common stock and impairment of assets. Xometry expects the variability of these items could have a significant, and potentially unpredictable, impact on its future GAAP financial results.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Measures</w:t>
      </w:r>
    </w:p>
    <w:p>
      <w:pPr>
        <w:spacing w:after="0" w:line="6" w:lineRule="exact"/>
        <w:rPr>
          <w:sz w:val="20"/>
          <w:szCs w:val="20"/>
          <w:color w:val="auto"/>
        </w:rPr>
      </w:pPr>
    </w:p>
    <w:p>
      <w:pPr>
        <w:ind w:right="100"/>
        <w:spacing w:after="0" w:line="227" w:lineRule="auto"/>
        <w:rPr>
          <w:sz w:val="20"/>
          <w:szCs w:val="20"/>
          <w:color w:val="auto"/>
        </w:rPr>
      </w:pPr>
      <w:r>
        <w:rPr>
          <w:rFonts w:ascii="Arial" w:cs="Arial" w:eastAsia="Arial" w:hAnsi="Arial"/>
          <w:sz w:val="20"/>
          <w:szCs w:val="20"/>
          <w:color w:val="auto"/>
        </w:rPr>
        <w:t>To supplement its consolidated financial statements, which are prepared and presented in accordance with generally accepted accounting principles in the United States of America (“GAAP”), Xometry, Inc. (“Xometry”, the “Company”, “we” or “our”) uses Adjusted EBITDA, non-GAAP net income (loss) and non-GAAP Earnings Per Share basic and diluted, which are considered non-GAAP financial measures, as described below. These non-GAAP financial measures are presented to enhance the user’s overall understanding of Xometry’s financial performance and should not be considered a substitute for, nor superior to, the financial information prepared and presented in accordance with GAAP. The non-GAAP financial measures presented in this release, together with the GAAP financial results, are the primary measures used by the Company’s management and board of directors to understand and evaluate the Company’s financial performance and operating trends, including period-to-period comparisons, because they exclude certain expenses and gains that management believes are not indicative of the Company’s core operating results. Management also uses these measures to prepare and update the Company’s short and long term financial and operational plans, to</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7" w:name="page8"/>
    <w:bookmarkEnd w:id="7"/>
    <w:p>
      <w:pPr>
        <w:ind w:right="80"/>
        <w:spacing w:after="0" w:line="233" w:lineRule="auto"/>
        <w:rPr>
          <w:sz w:val="20"/>
          <w:szCs w:val="20"/>
          <w:color w:val="auto"/>
        </w:rPr>
      </w:pPr>
      <w:r>
        <w:rPr>
          <w:rFonts w:ascii="Arial" w:cs="Arial" w:eastAsia="Arial" w:hAnsi="Arial"/>
          <w:sz w:val="20"/>
          <w:szCs w:val="20"/>
          <w:color w:val="auto"/>
        </w:rPr>
        <w:t>evaluate investment decisions, and in its discussions with investors, commercial bankers, equity research analysts and other users of the Company’s financial statements. Accordingly, the Company believes that these non-GAAP financial measures provide useful information to investors and others in understanding and evaluating the Company’s operating results in the same manner as the Company’s management and in comparing operating results across periods and to those of Xometry’s peer companies. In addition, from time to time we may present adjusted information (for example, revenue growth) to exclude the impact of certain gains, losses or other changes that affect period-to-period comparability of our operating performance.</w:t>
      </w:r>
    </w:p>
    <w:p>
      <w:pPr>
        <w:spacing w:after="0" w:line="172" w:lineRule="exact"/>
        <w:rPr>
          <w:sz w:val="20"/>
          <w:szCs w:val="20"/>
          <w:color w:val="auto"/>
        </w:rPr>
      </w:pPr>
    </w:p>
    <w:p>
      <w:pPr>
        <w:ind w:right="40"/>
        <w:spacing w:after="0" w:line="232" w:lineRule="auto"/>
        <w:rPr>
          <w:sz w:val="20"/>
          <w:szCs w:val="20"/>
          <w:color w:val="auto"/>
        </w:rPr>
      </w:pPr>
      <w:r>
        <w:rPr>
          <w:rFonts w:ascii="Arial" w:cs="Arial" w:eastAsia="Arial" w:hAnsi="Arial"/>
          <w:sz w:val="20"/>
          <w:szCs w:val="20"/>
          <w:color w:val="auto"/>
        </w:rPr>
        <w:t>The use of non-GAAP financial measures has certain limitations because they do not reflect all items of income and expense, or cash flows, that affect the Company’s financial performance and operations. Additionally, non-GAAP financial measures do not have standardized meanings, and therefore other companies, including peer companies, may use the same or similarly named measures but exclude or include different items or use different computations. Management compensates for these limitations by reconciling these non-GAAP financial measures to their most comparable GAAP financial measures in the tables captioned “Reconciliations of Non-GAAP Financial Measures” included at the end of this release. Investors and others are encouraged to review the Company’s financial information in its entirety and not rely on a single financial measure.</w:t>
      </w:r>
    </w:p>
    <w:p>
      <w:pPr>
        <w:spacing w:after="0" w:line="170" w:lineRule="exact"/>
        <w:rPr>
          <w:sz w:val="20"/>
          <w:szCs w:val="20"/>
          <w:color w:val="auto"/>
        </w:rPr>
      </w:pPr>
    </w:p>
    <w:p>
      <w:pPr>
        <w:ind w:right="4100"/>
        <w:spacing w:after="0" w:line="326" w:lineRule="auto"/>
        <w:rPr>
          <w:sz w:val="20"/>
          <w:szCs w:val="20"/>
          <w:color w:val="auto"/>
        </w:rPr>
      </w:pPr>
      <w:r>
        <w:rPr>
          <w:rFonts w:ascii="Arial" w:cs="Arial" w:eastAsia="Arial" w:hAnsi="Arial"/>
          <w:sz w:val="19"/>
          <w:szCs w:val="19"/>
          <w:b w:val="1"/>
          <w:bCs w:val="1"/>
          <w:color w:val="auto"/>
        </w:rPr>
        <w:t xml:space="preserve">Key Terms for our Key Metrics and Non-GAAP Financial Measures Marketplace revenue: </w:t>
      </w:r>
      <w:r>
        <w:rPr>
          <w:rFonts w:ascii="Arial" w:cs="Arial" w:eastAsia="Arial" w:hAnsi="Arial"/>
          <w:sz w:val="19"/>
          <w:szCs w:val="19"/>
          <w:color w:val="auto"/>
        </w:rPr>
        <w:t>includes the sale of parts and assemblies on our platform.</w:t>
      </w:r>
    </w:p>
    <w:p>
      <w:pPr>
        <w:ind w:right="100"/>
        <w:spacing w:after="0" w:line="281" w:lineRule="auto"/>
        <w:rPr>
          <w:sz w:val="20"/>
          <w:szCs w:val="20"/>
          <w:color w:val="auto"/>
        </w:rPr>
      </w:pPr>
      <w:r>
        <w:rPr>
          <w:rFonts w:ascii="Arial" w:cs="Arial" w:eastAsia="Arial" w:hAnsi="Arial"/>
          <w:sz w:val="19"/>
          <w:szCs w:val="19"/>
          <w:b w:val="1"/>
          <w:bCs w:val="1"/>
          <w:color w:val="auto"/>
        </w:rPr>
        <w:t xml:space="preserve">Supplier service revenue: </w:t>
      </w:r>
      <w:r>
        <w:rPr>
          <w:rFonts w:ascii="Arial" w:cs="Arial" w:eastAsia="Arial" w:hAnsi="Arial"/>
          <w:sz w:val="19"/>
          <w:szCs w:val="19"/>
          <w:color w:val="auto"/>
        </w:rPr>
        <w:t>includes the sales of marketing and advertising services and, to a lesser extent, financial service</w:t>
      </w:r>
      <w:r>
        <w:rPr>
          <w:rFonts w:ascii="Arial" w:cs="Arial" w:eastAsia="Arial" w:hAnsi="Arial"/>
          <w:sz w:val="19"/>
          <w:szCs w:val="19"/>
          <w:b w:val="1"/>
          <w:bCs w:val="1"/>
          <w:color w:val="auto"/>
        </w:rPr>
        <w:t xml:space="preserve"> </w:t>
      </w:r>
      <w:r>
        <w:rPr>
          <w:rFonts w:ascii="Arial" w:cs="Arial" w:eastAsia="Arial" w:hAnsi="Arial"/>
          <w:sz w:val="19"/>
          <w:szCs w:val="19"/>
          <w:color w:val="auto"/>
        </w:rPr>
        <w:t>products, SaaS-based solutions and the sale of tools and materials, which was discontinued during the second quarter of 2023.</w:t>
      </w:r>
    </w:p>
    <w:p>
      <w:pPr>
        <w:spacing w:after="0" w:line="1" w:lineRule="exact"/>
        <w:rPr>
          <w:sz w:val="20"/>
          <w:szCs w:val="20"/>
          <w:color w:val="auto"/>
        </w:rPr>
      </w:pPr>
    </w:p>
    <w:p>
      <w:pPr>
        <w:ind w:right="260"/>
        <w:spacing w:after="0" w:line="237" w:lineRule="auto"/>
        <w:rPr>
          <w:sz w:val="20"/>
          <w:szCs w:val="20"/>
          <w:color w:val="auto"/>
        </w:rPr>
      </w:pPr>
      <w:r>
        <w:rPr>
          <w:rFonts w:ascii="Arial" w:cs="Arial" w:eastAsia="Arial" w:hAnsi="Arial"/>
          <w:sz w:val="20"/>
          <w:szCs w:val="20"/>
          <w:b w:val="1"/>
          <w:bCs w:val="1"/>
          <w:color w:val="auto"/>
        </w:rPr>
        <w:t xml:space="preserve">Active Buyers: </w:t>
      </w:r>
      <w:r>
        <w:rPr>
          <w:rFonts w:ascii="Arial" w:cs="Arial" w:eastAsia="Arial" w:hAnsi="Arial"/>
          <w:sz w:val="20"/>
          <w:szCs w:val="20"/>
          <w:color w:val="auto"/>
        </w:rPr>
        <w:t>The Company defines “buyers” as individuals who have placed an order to purchase on-demand parts or</w:t>
      </w:r>
      <w:r>
        <w:rPr>
          <w:rFonts w:ascii="Arial" w:cs="Arial" w:eastAsia="Arial" w:hAnsi="Arial"/>
          <w:sz w:val="20"/>
          <w:szCs w:val="20"/>
          <w:b w:val="1"/>
          <w:bCs w:val="1"/>
          <w:color w:val="auto"/>
        </w:rPr>
        <w:t xml:space="preserve"> </w:t>
      </w:r>
      <w:r>
        <w:rPr>
          <w:rFonts w:ascii="Arial" w:cs="Arial" w:eastAsia="Arial" w:hAnsi="Arial"/>
          <w:sz w:val="20"/>
          <w:szCs w:val="20"/>
          <w:color w:val="auto"/>
        </w:rPr>
        <w:t>assemblies on our marketplace. The Company defines Active Buyers as the number of buyers who have made at least one purchase on our marketplace during the last twelve months. We adjusted the number of our Q4 2023 active buyers in 2024 to reflect an immaterial correction.</w:t>
      </w:r>
    </w:p>
    <w:p>
      <w:pPr>
        <w:spacing w:after="0" w:line="37" w:lineRule="exact"/>
        <w:rPr>
          <w:sz w:val="20"/>
          <w:szCs w:val="20"/>
          <w:color w:val="auto"/>
        </w:rPr>
      </w:pPr>
    </w:p>
    <w:p>
      <w:pPr>
        <w:ind w:right="40"/>
        <w:spacing w:after="0" w:line="237" w:lineRule="auto"/>
        <w:rPr>
          <w:sz w:val="20"/>
          <w:szCs w:val="20"/>
          <w:color w:val="auto"/>
        </w:rPr>
      </w:pPr>
      <w:r>
        <w:rPr>
          <w:rFonts w:ascii="Arial" w:cs="Arial" w:eastAsia="Arial" w:hAnsi="Arial"/>
          <w:sz w:val="20"/>
          <w:szCs w:val="20"/>
          <w:b w:val="1"/>
          <w:bCs w:val="1"/>
          <w:color w:val="auto"/>
        </w:rPr>
        <w:t xml:space="preserve">Active Suppliers: </w:t>
      </w:r>
      <w:r>
        <w:rPr>
          <w:rFonts w:ascii="Arial" w:cs="Arial" w:eastAsia="Arial" w:hAnsi="Arial"/>
          <w:sz w:val="20"/>
          <w:szCs w:val="20"/>
          <w:color w:val="auto"/>
        </w:rPr>
        <w:t>The Company defines “suppliers” as individuals or businesses that have been approved by us to either</w:t>
      </w:r>
      <w:r>
        <w:rPr>
          <w:rFonts w:ascii="Arial" w:cs="Arial" w:eastAsia="Arial" w:hAnsi="Arial"/>
          <w:sz w:val="20"/>
          <w:szCs w:val="20"/>
          <w:b w:val="1"/>
          <w:bCs w:val="1"/>
          <w:color w:val="auto"/>
        </w:rPr>
        <w:t xml:space="preserve"> </w:t>
      </w:r>
      <w:r>
        <w:rPr>
          <w:rFonts w:ascii="Arial" w:cs="Arial" w:eastAsia="Arial" w:hAnsi="Arial"/>
          <w:sz w:val="20"/>
          <w:szCs w:val="20"/>
          <w:color w:val="auto"/>
        </w:rPr>
        <w:t>manufacture a product on our platform for a buyer or have utilized our supplier services, including our digital marketing services, data services, financial services or tools and materials. The Company defines Active Suppliers as suppliers that have used our platform at least once during the last twelve months to manufacture a product.</w:t>
      </w:r>
    </w:p>
    <w:p>
      <w:pPr>
        <w:spacing w:after="0" w:line="37" w:lineRule="exact"/>
        <w:rPr>
          <w:sz w:val="20"/>
          <w:szCs w:val="20"/>
          <w:color w:val="auto"/>
        </w:rPr>
      </w:pPr>
    </w:p>
    <w:p>
      <w:pPr>
        <w:jc w:val="both"/>
        <w:ind w:right="140"/>
        <w:spacing w:after="0" w:line="261" w:lineRule="auto"/>
        <w:rPr>
          <w:sz w:val="20"/>
          <w:szCs w:val="20"/>
          <w:color w:val="auto"/>
        </w:rPr>
      </w:pPr>
      <w:r>
        <w:rPr>
          <w:rFonts w:ascii="Arial" w:cs="Arial" w:eastAsia="Arial" w:hAnsi="Arial"/>
          <w:sz w:val="19"/>
          <w:szCs w:val="19"/>
          <w:b w:val="1"/>
          <w:bCs w:val="1"/>
          <w:color w:val="auto"/>
        </w:rPr>
        <w:t xml:space="preserve">Percentage of Revenue from Existing Accounts: </w:t>
      </w:r>
      <w:r>
        <w:rPr>
          <w:rFonts w:ascii="Arial" w:cs="Arial" w:eastAsia="Arial" w:hAnsi="Arial"/>
          <w:sz w:val="19"/>
          <w:szCs w:val="19"/>
          <w:color w:val="auto"/>
        </w:rPr>
        <w:t>The Company defines an “account” as an individual entity, such as a sole</w:t>
      </w:r>
      <w:r>
        <w:rPr>
          <w:rFonts w:ascii="Arial" w:cs="Arial" w:eastAsia="Arial" w:hAnsi="Arial"/>
          <w:sz w:val="19"/>
          <w:szCs w:val="19"/>
          <w:b w:val="1"/>
          <w:bCs w:val="1"/>
          <w:color w:val="auto"/>
        </w:rPr>
        <w:t xml:space="preserve"> </w:t>
      </w:r>
      <w:r>
        <w:rPr>
          <w:rFonts w:ascii="Arial" w:cs="Arial" w:eastAsia="Arial" w:hAnsi="Arial"/>
          <w:sz w:val="19"/>
          <w:szCs w:val="19"/>
          <w:color w:val="auto"/>
        </w:rPr>
        <w:t>proprietor with a single buyer or corporate entities with multiple buyers, having purchased at least one part on our marketplace. The Company defines an existing account as an account where at least one buyer has made a purchase on our marketplace.</w:t>
      </w:r>
    </w:p>
    <w:p>
      <w:pPr>
        <w:spacing w:after="0" w:line="16" w:lineRule="exact"/>
        <w:rPr>
          <w:sz w:val="20"/>
          <w:szCs w:val="20"/>
          <w:color w:val="auto"/>
        </w:rPr>
      </w:pPr>
    </w:p>
    <w:p>
      <w:pPr>
        <w:ind w:right="240"/>
        <w:spacing w:after="0" w:line="242" w:lineRule="auto"/>
        <w:rPr>
          <w:sz w:val="20"/>
          <w:szCs w:val="20"/>
          <w:color w:val="auto"/>
        </w:rPr>
      </w:pPr>
      <w:r>
        <w:rPr>
          <w:rFonts w:ascii="Arial" w:cs="Arial" w:eastAsia="Arial" w:hAnsi="Arial"/>
          <w:sz w:val="20"/>
          <w:szCs w:val="20"/>
          <w:b w:val="1"/>
          <w:bCs w:val="1"/>
          <w:color w:val="auto"/>
        </w:rPr>
        <w:t xml:space="preserve">Accounts with Last Twelve-Month Spend of At Least $50,000: </w:t>
      </w:r>
      <w:r>
        <w:rPr>
          <w:rFonts w:ascii="Arial" w:cs="Arial" w:eastAsia="Arial" w:hAnsi="Arial"/>
          <w:sz w:val="20"/>
          <w:szCs w:val="20"/>
          <w:color w:val="auto"/>
        </w:rPr>
        <w:t>The Company defines Accounts with Last Twelve-Month</w:t>
      </w:r>
      <w:r>
        <w:rPr>
          <w:rFonts w:ascii="Arial" w:cs="Arial" w:eastAsia="Arial" w:hAnsi="Arial"/>
          <w:sz w:val="20"/>
          <w:szCs w:val="20"/>
          <w:b w:val="1"/>
          <w:bCs w:val="1"/>
          <w:color w:val="auto"/>
        </w:rPr>
        <w:t xml:space="preserve"> </w:t>
      </w:r>
      <w:r>
        <w:rPr>
          <w:rFonts w:ascii="Arial" w:cs="Arial" w:eastAsia="Arial" w:hAnsi="Arial"/>
          <w:sz w:val="20"/>
          <w:szCs w:val="20"/>
          <w:color w:val="auto"/>
        </w:rPr>
        <w:t>Spend of At Least $50,000 as an account that has spent at least $50,000 on our marketplace in the most recent twelve-month period.</w:t>
      </w:r>
    </w:p>
    <w:p>
      <w:pPr>
        <w:spacing w:after="0" w:line="33" w:lineRule="exact"/>
        <w:rPr>
          <w:sz w:val="20"/>
          <w:szCs w:val="20"/>
          <w:color w:val="auto"/>
        </w:rPr>
      </w:pPr>
    </w:p>
    <w:p>
      <w:pPr>
        <w:spacing w:after="0" w:line="242" w:lineRule="auto"/>
        <w:rPr>
          <w:sz w:val="20"/>
          <w:szCs w:val="20"/>
          <w:color w:val="auto"/>
        </w:rPr>
      </w:pPr>
      <w:r>
        <w:rPr>
          <w:rFonts w:ascii="Arial" w:cs="Arial" w:eastAsia="Arial" w:hAnsi="Arial"/>
          <w:sz w:val="20"/>
          <w:szCs w:val="20"/>
          <w:b w:val="1"/>
          <w:bCs w:val="1"/>
          <w:color w:val="auto"/>
        </w:rPr>
        <w:t xml:space="preserve">Active Paying Suppliers: </w:t>
      </w:r>
      <w:r>
        <w:rPr>
          <w:rFonts w:ascii="Arial" w:cs="Arial" w:eastAsia="Arial" w:hAnsi="Arial"/>
          <w:sz w:val="20"/>
          <w:szCs w:val="20"/>
          <w:color w:val="auto"/>
        </w:rPr>
        <w:t>The Company defines Active Paying Suppliers as individuals or businesses who have purchased one</w:t>
      </w:r>
      <w:r>
        <w:rPr>
          <w:rFonts w:ascii="Arial" w:cs="Arial" w:eastAsia="Arial" w:hAnsi="Arial"/>
          <w:sz w:val="20"/>
          <w:szCs w:val="20"/>
          <w:b w:val="1"/>
          <w:bCs w:val="1"/>
          <w:color w:val="auto"/>
        </w:rPr>
        <w:t xml:space="preserve"> </w:t>
      </w:r>
      <w:r>
        <w:rPr>
          <w:rFonts w:ascii="Arial" w:cs="Arial" w:eastAsia="Arial" w:hAnsi="Arial"/>
          <w:sz w:val="20"/>
          <w:szCs w:val="20"/>
          <w:color w:val="auto"/>
        </w:rPr>
        <w:t>or more of our supplier services, including digital marketing services, data services, financial services or tools and materials on our platforms, during the last twelve months.</w:t>
      </w:r>
    </w:p>
    <w:p>
      <w:pPr>
        <w:spacing w:after="0" w:line="33" w:lineRule="exact"/>
        <w:rPr>
          <w:sz w:val="20"/>
          <w:szCs w:val="20"/>
          <w:color w:val="auto"/>
        </w:rPr>
      </w:pPr>
    </w:p>
    <w:p>
      <w:pPr>
        <w:ind w:right="20"/>
        <w:spacing w:after="0" w:line="232" w:lineRule="auto"/>
        <w:rPr>
          <w:sz w:val="20"/>
          <w:szCs w:val="20"/>
          <w:color w:val="auto"/>
        </w:rPr>
      </w:pPr>
      <w:r>
        <w:rPr>
          <w:rFonts w:ascii="Arial" w:cs="Arial" w:eastAsia="Arial" w:hAnsi="Arial"/>
          <w:sz w:val="20"/>
          <w:szCs w:val="20"/>
          <w:b w:val="1"/>
          <w:bCs w:val="1"/>
          <w:color w:val="auto"/>
        </w:rPr>
        <w:t>Adjusted earnings before interest, taxes, depreciation and amortization (Adjusted EBITDA)</w:t>
      </w:r>
      <w:r>
        <w:rPr>
          <w:rFonts w:ascii="Arial" w:cs="Arial" w:eastAsia="Arial" w:hAnsi="Arial"/>
          <w:sz w:val="20"/>
          <w:szCs w:val="20"/>
          <w:color w:val="auto"/>
        </w:rPr>
        <w:t>: The Company defines</w:t>
      </w:r>
      <w:r>
        <w:rPr>
          <w:rFonts w:ascii="Arial" w:cs="Arial" w:eastAsia="Arial" w:hAnsi="Arial"/>
          <w:sz w:val="20"/>
          <w:szCs w:val="20"/>
          <w:b w:val="1"/>
          <w:bCs w:val="1"/>
          <w:color w:val="auto"/>
        </w:rPr>
        <w:t xml:space="preserve"> </w:t>
      </w:r>
      <w:r>
        <w:rPr>
          <w:rFonts w:ascii="Arial" w:cs="Arial" w:eastAsia="Arial" w:hAnsi="Arial"/>
          <w:sz w:val="20"/>
          <w:szCs w:val="20"/>
          <w:color w:val="auto"/>
        </w:rPr>
        <w:t>Adjusted EBITDA as net loss, adjusted for interest expense, interest and dividend income and other expenses, benefit for income taxes, and certain other non-cash or non-recurring items impacting net loss from time to time, principally comprised of depreciation and amortization, amortization of lease intangible, stock-based compensation, payroll tax expense related to stock-based compensation, lease abandonment, charitable contributions of common stock, income from unconsolidated joint venture, impairment of assets, restructuring charges, costs to exit the tools and materials business and acquisition and other adjustments not</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8" w:name="page9"/>
    <w:bookmarkEnd w:id="8"/>
    <w:p>
      <w:pPr>
        <w:ind w:right="920"/>
        <w:spacing w:after="0" w:line="257" w:lineRule="auto"/>
        <w:rPr>
          <w:sz w:val="20"/>
          <w:szCs w:val="20"/>
          <w:color w:val="auto"/>
        </w:rPr>
      </w:pPr>
      <w:r>
        <w:rPr>
          <w:rFonts w:ascii="Arial" w:cs="Arial" w:eastAsia="Arial" w:hAnsi="Arial"/>
          <w:sz w:val="20"/>
          <w:szCs w:val="20"/>
          <w:color w:val="auto"/>
        </w:rPr>
        <w:t>reflective of the Company’s ongoing business, such as adjustments related to purchase accounting, the revaluation of contingent consideration, transaction costs and executive severance.</w:t>
      </w:r>
    </w:p>
    <w:p>
      <w:pPr>
        <w:spacing w:after="0" w:line="18" w:lineRule="exact"/>
        <w:rPr>
          <w:sz w:val="20"/>
          <w:szCs w:val="20"/>
          <w:color w:val="auto"/>
        </w:rPr>
      </w:pPr>
    </w:p>
    <w:p>
      <w:pPr>
        <w:ind w:right="160"/>
        <w:spacing w:after="0" w:line="232" w:lineRule="auto"/>
        <w:rPr>
          <w:sz w:val="20"/>
          <w:szCs w:val="20"/>
          <w:color w:val="auto"/>
        </w:rPr>
      </w:pPr>
      <w:r>
        <w:rPr>
          <w:rFonts w:ascii="Arial" w:cs="Arial" w:eastAsia="Arial" w:hAnsi="Arial"/>
          <w:sz w:val="20"/>
          <w:szCs w:val="20"/>
          <w:b w:val="1"/>
          <w:bCs w:val="1"/>
          <w:color w:val="auto"/>
        </w:rPr>
        <w:t xml:space="preserve">Non-GAAP net income (loss): </w:t>
      </w:r>
      <w:r>
        <w:rPr>
          <w:rFonts w:ascii="Arial" w:cs="Arial" w:eastAsia="Arial" w:hAnsi="Arial"/>
          <w:sz w:val="20"/>
          <w:szCs w:val="20"/>
          <w:color w:val="auto"/>
        </w:rPr>
        <w:t>The Company defines non-GAAP net income (loss) as net loss adjusted for depreciation and</w:t>
      </w:r>
      <w:r>
        <w:rPr>
          <w:rFonts w:ascii="Arial" w:cs="Arial" w:eastAsia="Arial" w:hAnsi="Arial"/>
          <w:sz w:val="20"/>
          <w:szCs w:val="20"/>
          <w:b w:val="1"/>
          <w:bCs w:val="1"/>
          <w:color w:val="auto"/>
        </w:rPr>
        <w:t xml:space="preserve"> </w:t>
      </w:r>
      <w:r>
        <w:rPr>
          <w:rFonts w:ascii="Arial" w:cs="Arial" w:eastAsia="Arial" w:hAnsi="Arial"/>
          <w:sz w:val="20"/>
          <w:szCs w:val="20"/>
          <w:color w:val="auto"/>
        </w:rPr>
        <w:t>amortization, stock-based compensation, payroll tax expense related to stock-based compensation, amortization of lease intangible, amortization of deferred costs on convertible notes, loss on sale of property and equipment, charitable contributions of common stock, lease abandonment and termination, impairment of assets, restructuring charges, costs to exit the tools and materials business and acquisition and other adjustments not reflective of the Company’s ongoing business, such as adjustments related to purchase accounting, the revaluation of contingent consideration, transaction costs and executive severance.</w:t>
      </w:r>
    </w:p>
    <w:p>
      <w:pPr>
        <w:spacing w:after="0" w:line="37" w:lineRule="exact"/>
        <w:rPr>
          <w:sz w:val="20"/>
          <w:szCs w:val="20"/>
          <w:color w:val="auto"/>
        </w:rPr>
      </w:pPr>
    </w:p>
    <w:p>
      <w:pPr>
        <w:ind w:right="160"/>
        <w:spacing w:after="0" w:line="242" w:lineRule="auto"/>
        <w:rPr>
          <w:sz w:val="20"/>
          <w:szCs w:val="20"/>
          <w:color w:val="auto"/>
        </w:rPr>
      </w:pPr>
      <w:r>
        <w:rPr>
          <w:rFonts w:ascii="Arial" w:cs="Arial" w:eastAsia="Arial" w:hAnsi="Arial"/>
          <w:sz w:val="20"/>
          <w:szCs w:val="20"/>
          <w:b w:val="1"/>
          <w:bCs w:val="1"/>
          <w:color w:val="auto"/>
        </w:rPr>
        <w:t xml:space="preserve">Non-GAAP Earnings Per Share, basic and diluted (Non-GAAP EPS, basic and diluted): </w:t>
      </w:r>
      <w:r>
        <w:rPr>
          <w:rFonts w:ascii="Arial" w:cs="Arial" w:eastAsia="Arial" w:hAnsi="Arial"/>
          <w:sz w:val="20"/>
          <w:szCs w:val="20"/>
          <w:color w:val="auto"/>
        </w:rPr>
        <w:t>The Company calculates non-GAAP earnings per share, basic and diluted as non-GAAP net income (loss) divided by weighted average number of shares of common stock outstanding.</w:t>
      </w:r>
    </w:p>
    <w:p>
      <w:pPr>
        <w:spacing w:after="0" w:line="251" w:lineRule="exact"/>
        <w:rPr>
          <w:sz w:val="20"/>
          <w:szCs w:val="20"/>
          <w:color w:val="auto"/>
        </w:rPr>
      </w:pPr>
    </w:p>
    <w:p>
      <w:pPr>
        <w:spacing w:after="0" w:line="233" w:lineRule="auto"/>
        <w:rPr>
          <w:sz w:val="20"/>
          <w:szCs w:val="20"/>
          <w:color w:val="auto"/>
        </w:rPr>
      </w:pPr>
      <w:r>
        <w:rPr>
          <w:rFonts w:ascii="Arial" w:cs="Arial" w:eastAsia="Arial" w:hAnsi="Arial"/>
          <w:sz w:val="20"/>
          <w:szCs w:val="20"/>
          <w:color w:val="auto"/>
        </w:rPr>
        <w:t>Management believes that the exclusion of certain expenses and gains in calculating Adjusted EBITDA, non-GAAP net income (loss) and non-GAAP EPS, basic and diluted, provides a useful measure for period-to-period comparisons of the Company’s underlying core revenue and operating costs that is focused more closely on the current costs necessary to operate the Company’s businesses and reflects its ongoing business in a manner that allows for meaningful analysis of trends. Management also believes that excluding certain non-cash charges can be useful because the amount of such expenses is the result of long-term investment decisions made in previous periods rather than day-to-day operating decisions.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2" w:right="35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About Xometry</w:t>
      </w:r>
    </w:p>
    <w:p>
      <w:pPr>
        <w:spacing w:after="0" w:line="6" w:lineRule="exact"/>
        <w:rPr>
          <w:sz w:val="20"/>
          <w:szCs w:val="20"/>
          <w:color w:val="auto"/>
        </w:rPr>
      </w:pPr>
    </w:p>
    <w:p>
      <w:pPr>
        <w:ind w:right="120"/>
        <w:spacing w:after="0" w:line="231" w:lineRule="auto"/>
        <w:rPr>
          <w:sz w:val="20"/>
          <w:szCs w:val="20"/>
          <w:color w:val="auto"/>
        </w:rPr>
      </w:pPr>
      <w:r>
        <w:rPr>
          <w:rFonts w:ascii="Arial" w:cs="Arial" w:eastAsia="Arial" w:hAnsi="Arial"/>
          <w:sz w:val="20"/>
          <w:szCs w:val="20"/>
          <w:color w:val="auto"/>
        </w:rPr>
        <w:t xml:space="preserve">Xometry’s (NASDAQ:XMTR) AI-powered marketplace, popular Thomasnet® </w:t>
      </w:r>
      <w:r>
        <w:rPr>
          <w:rFonts w:ascii="Arial" w:cs="Arial" w:eastAsia="Arial" w:hAnsi="Arial"/>
          <w:sz w:val="20"/>
          <w:szCs w:val="20"/>
          <w:color w:val="1D1C1D"/>
        </w:rPr>
        <w:t>industrial sourcing platform and</w:t>
      </w:r>
      <w:r>
        <w:rPr>
          <w:rFonts w:ascii="Arial" w:cs="Arial" w:eastAsia="Arial" w:hAnsi="Arial"/>
          <w:sz w:val="20"/>
          <w:szCs w:val="20"/>
          <w:color w:val="auto"/>
        </w:rPr>
        <w:t xml:space="preserve"> suite of cloud-based services are rapidly digitizing the manufacturing industry. Xometry provides manufacturers the critical resources they need to grow their business and makes it easy for buyers to create locally resilient supply chains. The Xometry Instant Quoting Engine® leverages millions of pieces of data to analyze complex parts in real-time, matches buyers with the right suppliers globally, and provides accurate pricing and lead times. Learn more at www.xometry.com or follow @xometry.</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and Webcast Information</w:t>
      </w:r>
    </w:p>
    <w:p>
      <w:pPr>
        <w:spacing w:after="0" w:line="6" w:lineRule="exact"/>
        <w:rPr>
          <w:sz w:val="20"/>
          <w:szCs w:val="20"/>
          <w:color w:val="auto"/>
        </w:rPr>
      </w:pPr>
    </w:p>
    <w:p>
      <w:pPr>
        <w:ind w:right="240"/>
        <w:spacing w:after="0" w:line="234" w:lineRule="auto"/>
        <w:rPr>
          <w:sz w:val="20"/>
          <w:szCs w:val="20"/>
          <w:color w:val="auto"/>
        </w:rPr>
      </w:pPr>
      <w:r>
        <w:rPr>
          <w:rFonts w:ascii="Arial" w:cs="Arial" w:eastAsia="Arial" w:hAnsi="Arial"/>
          <w:sz w:val="20"/>
          <w:szCs w:val="20"/>
          <w:color w:val="auto"/>
        </w:rPr>
        <w:t>The Company will host a conference call and webcast to discuss the results at 8:30 a.m. ET (5:30 a.m. PT) on February 25, 2025. In addition to its press release announcing its fourth quarter and full year 2024 financial results, Xometry will release an earnings presentation, which will be available on its investor website at investors.xometry.com.</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Xometry, Inc. Fourth Quarter and Full Year 2024 Earnings Presentation and Conference Call</w:t>
      </w:r>
    </w:p>
    <w:p>
      <w:pPr>
        <w:spacing w:after="0" w:line="3"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Tuesday, February 25, 2025</w:t>
      </w:r>
    </w:p>
    <w:p>
      <w:pPr>
        <w:ind w:left="1020" w:hanging="503"/>
        <w:spacing w:after="0" w:line="238" w:lineRule="auto"/>
        <w:tabs>
          <w:tab w:leader="none" w:pos="102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8:30 a.m. Eastern / 5:30 a.m. Pacific</w:t>
      </w:r>
    </w:p>
    <w:p>
      <w:pPr>
        <w:ind w:left="1020" w:hanging="503"/>
        <w:spacing w:after="0" w:line="238" w:lineRule="auto"/>
        <w:tabs>
          <w:tab w:leader="none" w:pos="102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To access the webcast use the following link: https://register.vevent.com/register</w:t>
      </w:r>
    </w:p>
    <w:p>
      <w:pPr>
        <w:ind w:left="1020" w:right="60" w:hanging="503"/>
        <w:spacing w:after="0" w:line="239" w:lineRule="auto"/>
        <w:tabs>
          <w:tab w:leader="none" w:pos="102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You may also visit the Xometry Investor Relations Homepage at investors.xometry.com to listen to a live webcast of the call</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Cautionary Information Regarding Forward-Looking Statements</w:t>
      </w:r>
    </w:p>
    <w:p>
      <w:pPr>
        <w:spacing w:after="0" w:line="1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press release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“could,” “would,” “intend,” “target,” “project,” “contemplate,” “believe,” “estimate,” “predict,” “potential” or “continue” or the negative of these words or other similar terms or expressions that concern our expectations, strategy, plans or intentions. Forward-looking statements in this press release include, but are not limited to, our beliefs regarding our financial position and operating performance, including our outlook and guidance for the first quarter of 2025 and the full year 2025; our expectations regarding our growth; and statements regarding our strategies, initiatives, products and platform capabilities. Our expectations and beliefs regarding these matters may not materialize, and actual results in future periods are subject to risks and uncertainties that could cause actual results to differ materially from those projected, including risks and uncertainties related to: competition, managing our growth, financial performance, our ability to forecast our performance due to our limited operating history, investments in new products or offerings, our ability to attract buyers and sellers to our marketplace, legal proceedings and regulatory matters and developments, any future changes to our business or our financial or operating model, our brand and reputation, and the impact of fluctuations in general macroeconomic conditions, such as fluctuations in inflation and rising interest rates. The forward-looking statements contained in this press release are also subject to other risks and uncertainties that could cause actual results to differ from the results predicted, including those more fully described in our filings with the SEC, including our Annual Report on Form 10-K for the year ended December 31, 2024, our Quarterly Reports on Form 10-Q, and other filings and reports that we may file from time to time with the SEC. All forward-looking statements in this press release are based on information available to Xometry and assumptions and beliefs as of the date hereof, and we disclaim any obligation to update any forward-looking statements, except as required by law.</w:t>
      </w:r>
    </w:p>
    <w:p>
      <w:pPr>
        <w:sectPr>
          <w:pgSz w:w="11900" w:h="16838" w:orient="portrait"/>
          <w:cols w:equalWidth="0" w:num="1">
            <w:col w:w="11200"/>
          </w:cols>
          <w:pgMar w:left="320" w:top="1088" w:right="379" w:bottom="1440" w:gutter="0" w:footer="0" w:header="0"/>
        </w:sectPr>
      </w:pPr>
    </w:p>
    <w:p>
      <w:pPr>
        <w:spacing w:after="0" w:line="36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Investor Contact:</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7"/>
          <w:szCs w:val="17"/>
          <w:color w:val="auto"/>
        </w:rPr>
        <w:t>Shawn Milne</w:t>
      </w:r>
    </w:p>
    <w:p>
      <w:pPr>
        <w:ind w:left="20"/>
        <w:spacing w:after="0" w:line="232" w:lineRule="auto"/>
        <w:rPr>
          <w:sz w:val="20"/>
          <w:szCs w:val="20"/>
          <w:color w:val="auto"/>
        </w:rPr>
      </w:pPr>
      <w:r>
        <w:rPr>
          <w:rFonts w:ascii="Arial" w:cs="Arial" w:eastAsia="Arial" w:hAnsi="Arial"/>
          <w:sz w:val="17"/>
          <w:szCs w:val="17"/>
          <w:color w:val="auto"/>
        </w:rPr>
        <w:t>VP Investor Relations</w:t>
      </w:r>
    </w:p>
    <w:p>
      <w:pPr>
        <w:ind w:left="20"/>
        <w:spacing w:after="0" w:line="232" w:lineRule="auto"/>
        <w:rPr>
          <w:sz w:val="20"/>
          <w:szCs w:val="20"/>
          <w:color w:val="auto"/>
        </w:rPr>
      </w:pPr>
      <w:r>
        <w:rPr>
          <w:rFonts w:ascii="Arial" w:cs="Arial" w:eastAsia="Arial" w:hAnsi="Arial"/>
          <w:sz w:val="17"/>
          <w:szCs w:val="17"/>
          <w:color w:val="auto"/>
        </w:rPr>
        <w:t>240-335-8132</w:t>
      </w:r>
    </w:p>
    <w:p>
      <w:pPr>
        <w:ind w:left="20"/>
        <w:spacing w:after="0"/>
        <w:rPr>
          <w:sz w:val="20"/>
          <w:szCs w:val="20"/>
          <w:color w:val="auto"/>
        </w:rPr>
      </w:pPr>
      <w:r>
        <w:rPr>
          <w:rFonts w:ascii="Arial" w:cs="Arial" w:eastAsia="Arial" w:hAnsi="Arial"/>
          <w:sz w:val="17"/>
          <w:szCs w:val="17"/>
          <w:color w:val="auto"/>
        </w:rPr>
        <w:t>shawn.milne@xometry.com</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Media Contact: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Matthew Hutchison</w:t>
      </w:r>
    </w:p>
    <w:p>
      <w:pPr>
        <w:spacing w:after="0" w:line="232" w:lineRule="auto"/>
        <w:rPr>
          <w:sz w:val="20"/>
          <w:szCs w:val="20"/>
          <w:color w:val="auto"/>
        </w:rPr>
      </w:pPr>
      <w:r>
        <w:rPr>
          <w:rFonts w:ascii="Arial" w:cs="Arial" w:eastAsia="Arial" w:hAnsi="Arial"/>
          <w:sz w:val="17"/>
          <w:szCs w:val="17"/>
          <w:color w:val="auto"/>
        </w:rPr>
        <w:t>Global Corporate Communications</w:t>
      </w:r>
    </w:p>
    <w:p>
      <w:pPr>
        <w:spacing w:after="0" w:line="232" w:lineRule="auto"/>
        <w:rPr>
          <w:sz w:val="20"/>
          <w:szCs w:val="20"/>
          <w:color w:val="auto"/>
        </w:rPr>
      </w:pPr>
      <w:r>
        <w:rPr>
          <w:rFonts w:ascii="Arial" w:cs="Arial" w:eastAsia="Arial" w:hAnsi="Arial"/>
          <w:sz w:val="17"/>
          <w:szCs w:val="17"/>
          <w:color w:val="auto"/>
        </w:rPr>
        <w:t>415-583-2119</w:t>
      </w:r>
    </w:p>
    <w:p>
      <w:pPr>
        <w:spacing w:after="0"/>
        <w:rPr>
          <w:sz w:val="20"/>
          <w:szCs w:val="20"/>
          <w:color w:val="auto"/>
        </w:rPr>
      </w:pPr>
      <w:r>
        <w:rPr>
          <w:rFonts w:ascii="Arial" w:cs="Arial" w:eastAsia="Arial" w:hAnsi="Arial"/>
          <w:sz w:val="17"/>
          <w:szCs w:val="17"/>
          <w:color w:val="auto"/>
        </w:rPr>
        <w:t>matthew.hutchison@xometry.com</w:t>
      </w:r>
    </w:p>
    <w:p>
      <w:pPr>
        <w:spacing w:after="0" w:line="200" w:lineRule="exact"/>
        <w:rPr>
          <w:sz w:val="20"/>
          <w:szCs w:val="20"/>
          <w:color w:val="auto"/>
        </w:rPr>
      </w:pPr>
    </w:p>
    <w:p>
      <w:pPr>
        <w:sectPr>
          <w:pgSz w:w="11900" w:h="16838" w:orient="portrait"/>
          <w:cols w:equalWidth="0" w:num="2">
            <w:col w:w="4920" w:space="720"/>
            <w:col w:w="5560"/>
          </w:cols>
          <w:pgMar w:left="320" w:top="1088" w:right="379"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8" w:right="379" w:bottom="1440" w:gutter="0" w:footer="0" w:header="0"/>
          <w:type w:val="continuous"/>
        </w:sectPr>
      </w:pPr>
    </w:p>
    <w:bookmarkStart w:id="10" w:name="page11"/>
    <w:bookmarkEnd w:id="10"/>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jc w:val="center"/>
        <w:ind w:right="100"/>
        <w:spacing w:after="0" w:line="231" w:lineRule="auto"/>
        <w:rPr>
          <w:sz w:val="20"/>
          <w:szCs w:val="20"/>
          <w:color w:val="auto"/>
        </w:rPr>
      </w:pPr>
      <w:r>
        <w:rPr>
          <w:rFonts w:ascii="Arial" w:cs="Arial" w:eastAsia="Arial" w:hAnsi="Arial"/>
          <w:sz w:val="20"/>
          <w:szCs w:val="20"/>
          <w:color w:val="auto"/>
        </w:rPr>
        <w:t>Consolidated Balance Sheets</w:t>
      </w:r>
    </w:p>
    <w:p>
      <w:pPr>
        <w:jc w:val="center"/>
        <w:spacing w:after="0" w:line="226" w:lineRule="auto"/>
        <w:rPr>
          <w:sz w:val="20"/>
          <w:szCs w:val="20"/>
          <w:color w:val="auto"/>
        </w:rPr>
      </w:pPr>
      <w:r>
        <w:rPr>
          <w:rFonts w:ascii="Arial" w:cs="Arial" w:eastAsia="Arial" w:hAnsi="Arial"/>
          <w:sz w:val="20"/>
          <w:szCs w:val="20"/>
          <w:color w:val="auto"/>
        </w:rPr>
        <w:t>(In thousands, except share and per share data)</w:t>
      </w:r>
    </w:p>
    <w:p>
      <w:pPr>
        <w:jc w:val="center"/>
        <w:spacing w:after="0" w:line="228" w:lineRule="auto"/>
        <w:rPr>
          <w:sz w:val="20"/>
          <w:szCs w:val="20"/>
          <w:color w:val="auto"/>
        </w:rPr>
      </w:pPr>
      <w:r>
        <w:rPr>
          <w:rFonts w:ascii="Arial" w:cs="Arial" w:eastAsia="Arial" w:hAnsi="Arial"/>
          <w:sz w:val="20"/>
          <w:szCs w:val="20"/>
          <w:color w:val="auto"/>
        </w:rPr>
        <w:t>(Unaudited)</w:t>
      </w:r>
    </w:p>
    <w:tbl>
      <w:tblPr>
        <w:tblLayout w:type="fixed"/>
        <w:tblInd w:w="0" w:type="dxa"/>
        <w:tblCellMar>
          <w:top w:w="0" w:type="dxa"/>
          <w:left w:w="0" w:type="dxa"/>
          <w:bottom w:w="0" w:type="dxa"/>
          <w:right w:w="0" w:type="dxa"/>
        </w:tblCellMar>
      </w:tblPr>
      <w:tr>
        <w:trPr>
          <w:trHeight w:val="204"/>
        </w:trPr>
        <w:tc>
          <w:tcPr>
            <w:tcW w:w="79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spacing w:after="0" w:line="204" w:lineRule="exact"/>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79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2024</w:t>
            </w:r>
          </w:p>
        </w:tc>
        <w:tc>
          <w:tcPr>
            <w:tcW w:w="2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7"/>
                <w:szCs w:val="17"/>
                <w:color w:val="auto"/>
              </w:rPr>
            </w:pPr>
          </w:p>
        </w:tc>
      </w:tr>
      <w:tr>
        <w:trPr>
          <w:trHeight w:val="196"/>
        </w:trPr>
        <w:tc>
          <w:tcPr>
            <w:tcW w:w="79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Current assets: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22,232</w:t>
            </w:r>
          </w:p>
        </w:tc>
        <w:tc>
          <w:tcPr>
            <w:tcW w:w="220" w:type="dxa"/>
            <w:vAlign w:val="bottom"/>
            <w:shd w:val="clear" w:color="auto" w:fill="CFF0FC"/>
          </w:tcPr>
          <w:p>
            <w:pPr>
              <w:spacing w:after="0"/>
              <w:rPr>
                <w:sz w:val="17"/>
                <w:szCs w:val="17"/>
                <w:color w:val="auto"/>
              </w:rPr>
            </w:pPr>
          </w:p>
        </w:tc>
        <w:tc>
          <w:tcPr>
            <w:tcW w:w="520" w:type="dxa"/>
            <w:vAlign w:val="bottom"/>
            <w:shd w:val="clear" w:color="auto" w:fill="CFF0FC"/>
          </w:tcPr>
          <w:p>
            <w:pPr>
              <w:jc w:val="right"/>
              <w:ind w:right="31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53,424</w:t>
            </w: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ind w:left="220"/>
              <w:spacing w:after="0" w:line="202" w:lineRule="exact"/>
              <w:rPr>
                <w:sz w:val="20"/>
                <w:szCs w:val="20"/>
                <w:color w:val="auto"/>
              </w:rPr>
            </w:pPr>
            <w:r>
              <w:rPr>
                <w:rFonts w:ascii="Arial" w:cs="Arial" w:eastAsia="Arial" w:hAnsi="Arial"/>
                <w:sz w:val="18"/>
                <w:szCs w:val="18"/>
                <w:color w:val="auto"/>
              </w:rPr>
              <w:t>Marketable securities</w:t>
            </w: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217,603</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215,352</w:t>
            </w:r>
          </w:p>
        </w:tc>
        <w:tc>
          <w:tcPr>
            <w:tcW w:w="100" w:type="dxa"/>
            <w:vAlign w:val="bottom"/>
          </w:tcPr>
          <w:p>
            <w:pPr>
              <w:spacing w:after="0"/>
              <w:rPr>
                <w:sz w:val="17"/>
                <w:szCs w:val="17"/>
                <w:color w:val="auto"/>
              </w:rPr>
            </w:pPr>
          </w:p>
        </w:tc>
      </w:tr>
      <w:tr>
        <w:trPr>
          <w:trHeight w:val="184"/>
        </w:trPr>
        <w:tc>
          <w:tcPr>
            <w:tcW w:w="7920" w:type="dxa"/>
            <w:vAlign w:val="bottom"/>
            <w:shd w:val="clear" w:color="auto" w:fill="CFF0FC"/>
          </w:tcPr>
          <w:p>
            <w:pPr>
              <w:ind w:left="220"/>
              <w:spacing w:after="0" w:line="183" w:lineRule="exact"/>
              <w:rPr>
                <w:sz w:val="20"/>
                <w:szCs w:val="20"/>
                <w:color w:val="auto"/>
              </w:rPr>
            </w:pPr>
            <w:r>
              <w:rPr>
                <w:rFonts w:ascii="Arial" w:cs="Arial" w:eastAsia="Arial" w:hAnsi="Arial"/>
                <w:sz w:val="18"/>
                <w:szCs w:val="18"/>
                <w:color w:val="auto"/>
              </w:rPr>
              <w:t>Accounts receivable, less allowance for credit losses of $4.9 million and $2.4 million as of</w:t>
            </w:r>
          </w:p>
        </w:tc>
        <w:tc>
          <w:tcPr>
            <w:tcW w:w="3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1"/>
        </w:trPr>
        <w:tc>
          <w:tcPr>
            <w:tcW w:w="79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December 31, 2024 and December 31, 2023</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73,962</w:t>
            </w:r>
          </w:p>
        </w:tc>
        <w:tc>
          <w:tcPr>
            <w:tcW w:w="2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70,102</w:t>
            </w:r>
          </w:p>
        </w:tc>
        <w:tc>
          <w:tcPr>
            <w:tcW w:w="100" w:type="dxa"/>
            <w:vAlign w:val="bottom"/>
            <w:shd w:val="clear" w:color="auto" w:fill="CFF0FC"/>
          </w:tcPr>
          <w:p>
            <w:pPr>
              <w:spacing w:after="0"/>
              <w:rPr>
                <w:sz w:val="19"/>
                <w:szCs w:val="19"/>
                <w:color w:val="auto"/>
              </w:rPr>
            </w:pPr>
          </w:p>
        </w:tc>
      </w:tr>
      <w:tr>
        <w:trPr>
          <w:trHeight w:val="203"/>
        </w:trPr>
        <w:tc>
          <w:tcPr>
            <w:tcW w:w="7920" w:type="dxa"/>
            <w:vAlign w:val="bottom"/>
          </w:tcPr>
          <w:p>
            <w:pPr>
              <w:ind w:left="220"/>
              <w:spacing w:after="0" w:line="202" w:lineRule="exact"/>
              <w:rPr>
                <w:sz w:val="20"/>
                <w:szCs w:val="20"/>
                <w:color w:val="auto"/>
              </w:rPr>
            </w:pPr>
            <w:r>
              <w:rPr>
                <w:rFonts w:ascii="Arial" w:cs="Arial" w:eastAsia="Arial" w:hAnsi="Arial"/>
                <w:sz w:val="18"/>
                <w:szCs w:val="18"/>
                <w:color w:val="auto"/>
              </w:rPr>
              <w:t>Inventory</w:t>
            </w: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3,915</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2,885</w:t>
            </w: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Prepaid expenses</w:t>
            </w: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4,954</w:t>
            </w:r>
          </w:p>
        </w:tc>
        <w:tc>
          <w:tcPr>
            <w:tcW w:w="2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5,571</w:t>
            </w: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ind w:left="220"/>
              <w:spacing w:after="0" w:line="202" w:lineRule="exact"/>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4,874</w:t>
            </w:r>
          </w:p>
        </w:tc>
        <w:tc>
          <w:tcPr>
            <w:tcW w:w="2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8,897</w:t>
            </w:r>
          </w:p>
        </w:tc>
        <w:tc>
          <w:tcPr>
            <w:tcW w:w="100" w:type="dxa"/>
            <w:vAlign w:val="bottom"/>
          </w:tcPr>
          <w:p>
            <w:pPr>
              <w:spacing w:after="0"/>
              <w:rPr>
                <w:sz w:val="17"/>
                <w:szCs w:val="17"/>
                <w:color w:val="auto"/>
              </w:rPr>
            </w:pPr>
          </w:p>
        </w:tc>
      </w:tr>
      <w:tr>
        <w:trPr>
          <w:trHeight w:val="196"/>
        </w:trPr>
        <w:tc>
          <w:tcPr>
            <w:tcW w:w="7920" w:type="dxa"/>
            <w:vAlign w:val="bottom"/>
            <w:shd w:val="clear" w:color="auto" w:fill="CFF0FC"/>
          </w:tcPr>
          <w:p>
            <w:pPr>
              <w:ind w:left="420"/>
              <w:spacing w:after="0" w:line="196" w:lineRule="exact"/>
              <w:rPr>
                <w:sz w:val="20"/>
                <w:szCs w:val="20"/>
                <w:color w:val="auto"/>
              </w:rPr>
            </w:pPr>
            <w:r>
              <w:rPr>
                <w:rFonts w:ascii="Arial" w:cs="Arial" w:eastAsia="Arial" w:hAnsi="Arial"/>
                <w:sz w:val="18"/>
                <w:szCs w:val="18"/>
                <w:b w:val="1"/>
                <w:bCs w:val="1"/>
                <w:color w:val="auto"/>
              </w:rPr>
              <w:t>Total current assets</w:t>
            </w: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327,540</w:t>
            </w:r>
          </w:p>
        </w:tc>
        <w:tc>
          <w:tcPr>
            <w:tcW w:w="2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356,231</w:t>
            </w: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ind w:left="220"/>
              <w:spacing w:after="0" w:line="202" w:lineRule="exact"/>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44,825</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35,637</w:t>
            </w: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Operating lease right-of-use assets</w:t>
            </w: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8,462</w:t>
            </w:r>
          </w:p>
        </w:tc>
        <w:tc>
          <w:tcPr>
            <w:tcW w:w="2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12,251</w:t>
            </w: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ind w:left="220"/>
              <w:spacing w:after="0" w:line="202" w:lineRule="exact"/>
              <w:rPr>
                <w:sz w:val="20"/>
                <w:szCs w:val="20"/>
                <w:color w:val="auto"/>
              </w:rPr>
            </w:pPr>
            <w:r>
              <w:rPr>
                <w:rFonts w:ascii="Arial" w:cs="Arial" w:eastAsia="Arial" w:hAnsi="Arial"/>
                <w:sz w:val="18"/>
                <w:szCs w:val="18"/>
                <w:color w:val="auto"/>
              </w:rPr>
              <w:t>Investment in unconsolidated joint venture</w:t>
            </w: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4,065</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4,114</w:t>
            </w: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Intangible assets, net</w:t>
            </w: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32,139</w:t>
            </w:r>
          </w:p>
        </w:tc>
        <w:tc>
          <w:tcPr>
            <w:tcW w:w="2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35,768</w:t>
            </w: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ind w:left="220"/>
              <w:spacing w:after="0" w:line="202" w:lineRule="exact"/>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262,686</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262,915</w:t>
            </w:r>
          </w:p>
        </w:tc>
        <w:tc>
          <w:tcPr>
            <w:tcW w:w="100" w:type="dxa"/>
            <w:vAlign w:val="bottom"/>
          </w:tcPr>
          <w:p>
            <w:pPr>
              <w:spacing w:after="0"/>
              <w:rPr>
                <w:sz w:val="17"/>
                <w:szCs w:val="17"/>
                <w:color w:val="auto"/>
              </w:rPr>
            </w:pPr>
          </w:p>
        </w:tc>
      </w:tr>
      <w:tr>
        <w:trPr>
          <w:trHeight w:val="203"/>
        </w:trPr>
        <w:tc>
          <w:tcPr>
            <w:tcW w:w="7920" w:type="dxa"/>
            <w:vAlign w:val="bottom"/>
            <w:tcBorders>
              <w:bottom w:val="single" w:sz="8" w:color="CFF0FC"/>
            </w:tcBorders>
            <w:shd w:val="clear" w:color="auto" w:fill="CFF0FC"/>
          </w:tcPr>
          <w:p>
            <w:pPr>
              <w:ind w:left="220"/>
              <w:spacing w:after="0" w:line="202" w:lineRule="exact"/>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412</w:t>
            </w:r>
          </w:p>
        </w:tc>
        <w:tc>
          <w:tcPr>
            <w:tcW w:w="22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471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920" w:type="dxa"/>
            <w:vAlign w:val="bottom"/>
          </w:tcPr>
          <w:p>
            <w:pPr>
              <w:ind w:left="420"/>
              <w:spacing w:after="0" w:line="196" w:lineRule="exact"/>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680,129</w:t>
            </w:r>
          </w:p>
        </w:tc>
        <w:tc>
          <w:tcPr>
            <w:tcW w:w="220" w:type="dxa"/>
            <w:vAlign w:val="bottom"/>
          </w:tcPr>
          <w:p>
            <w:pPr>
              <w:spacing w:after="0"/>
              <w:rPr>
                <w:sz w:val="17"/>
                <w:szCs w:val="17"/>
                <w:color w:val="auto"/>
              </w:rPr>
            </w:pPr>
          </w:p>
        </w:tc>
        <w:tc>
          <w:tcPr>
            <w:tcW w:w="52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707,387</w:t>
            </w:r>
          </w:p>
        </w:tc>
        <w:tc>
          <w:tcPr>
            <w:tcW w:w="100" w:type="dxa"/>
            <w:vAlign w:val="bottom"/>
          </w:tcPr>
          <w:p>
            <w:pPr>
              <w:spacing w:after="0"/>
              <w:rPr>
                <w:sz w:val="17"/>
                <w:szCs w:val="17"/>
                <w:color w:val="auto"/>
              </w:rPr>
            </w:pPr>
          </w:p>
        </w:tc>
      </w:tr>
      <w:tr>
        <w:trPr>
          <w:trHeight w:val="20"/>
        </w:trPr>
        <w:tc>
          <w:tcPr>
            <w:tcW w:w="7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92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92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Current liabilities: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Accounts payable and accrued cost of revenue</w:t>
            </w:r>
          </w:p>
        </w:tc>
        <w:tc>
          <w:tcPr>
            <w:tcW w:w="3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35,023</w:t>
            </w:r>
          </w:p>
        </w:tc>
        <w:tc>
          <w:tcPr>
            <w:tcW w:w="220" w:type="dxa"/>
            <w:vAlign w:val="bottom"/>
            <w:shd w:val="clear" w:color="auto" w:fill="CFF0FC"/>
          </w:tcPr>
          <w:p>
            <w:pPr>
              <w:spacing w:after="0"/>
              <w:rPr>
                <w:sz w:val="17"/>
                <w:szCs w:val="17"/>
                <w:color w:val="auto"/>
              </w:rPr>
            </w:pPr>
          </w:p>
        </w:tc>
        <w:tc>
          <w:tcPr>
            <w:tcW w:w="520" w:type="dxa"/>
            <w:vAlign w:val="bottom"/>
            <w:shd w:val="clear" w:color="auto" w:fill="CFF0FC"/>
          </w:tcPr>
          <w:p>
            <w:pPr>
              <w:jc w:val="right"/>
              <w:ind w:right="31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43,878</w:t>
            </w: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ind w:left="220"/>
              <w:spacing w:after="0" w:line="202" w:lineRule="exact"/>
              <w:rPr>
                <w:sz w:val="20"/>
                <w:szCs w:val="20"/>
                <w:color w:val="auto"/>
              </w:rPr>
            </w:pPr>
            <w:r>
              <w:rPr>
                <w:rFonts w:ascii="Arial" w:cs="Arial" w:eastAsia="Arial" w:hAnsi="Arial"/>
                <w:sz w:val="18"/>
                <w:szCs w:val="18"/>
                <w:color w:val="auto"/>
              </w:rPr>
              <w:t>Other accrued expenses</w:t>
            </w: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24,401</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22,677</w:t>
            </w:r>
          </w:p>
        </w:tc>
        <w:tc>
          <w:tcPr>
            <w:tcW w:w="100" w:type="dxa"/>
            <w:vAlign w:val="bottom"/>
          </w:tcPr>
          <w:p>
            <w:pPr>
              <w:spacing w:after="0"/>
              <w:rPr>
                <w:sz w:val="17"/>
                <w:szCs w:val="17"/>
                <w:color w:val="auto"/>
              </w:rPr>
            </w:pPr>
          </w:p>
        </w:tc>
      </w:tr>
      <w:tr>
        <w:trPr>
          <w:trHeight w:val="202"/>
        </w:trPr>
        <w:tc>
          <w:tcPr>
            <w:tcW w:w="792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Contract liabilities</w:t>
            </w: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7,948</w:t>
            </w:r>
          </w:p>
        </w:tc>
        <w:tc>
          <w:tcPr>
            <w:tcW w:w="2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7,357</w:t>
            </w: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ind w:left="220"/>
              <w:spacing w:after="0" w:line="202" w:lineRule="exact"/>
              <w:rPr>
                <w:sz w:val="20"/>
                <w:szCs w:val="20"/>
                <w:color w:val="auto"/>
              </w:rPr>
            </w:pPr>
            <w:r>
              <w:rPr>
                <w:rFonts w:ascii="Arial" w:cs="Arial" w:eastAsia="Arial" w:hAnsi="Arial"/>
                <w:sz w:val="18"/>
                <w:szCs w:val="18"/>
                <w:color w:val="auto"/>
              </w:rPr>
              <w:t>Income taxes payable</w:t>
            </w: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979</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2,484</w:t>
            </w:r>
          </w:p>
        </w:tc>
        <w:tc>
          <w:tcPr>
            <w:tcW w:w="100" w:type="dxa"/>
            <w:vAlign w:val="bottom"/>
          </w:tcPr>
          <w:p>
            <w:pPr>
              <w:spacing w:after="0"/>
              <w:rPr>
                <w:sz w:val="17"/>
                <w:szCs w:val="17"/>
                <w:color w:val="auto"/>
              </w:rPr>
            </w:pPr>
          </w:p>
        </w:tc>
      </w:tr>
      <w:tr>
        <w:trPr>
          <w:trHeight w:val="203"/>
        </w:trPr>
        <w:tc>
          <w:tcPr>
            <w:tcW w:w="7920" w:type="dxa"/>
            <w:vAlign w:val="bottom"/>
            <w:tcBorders>
              <w:bottom w:val="single" w:sz="8" w:color="CFF0FC"/>
            </w:tcBorders>
            <w:shd w:val="clear" w:color="auto" w:fill="CFF0FC"/>
          </w:tcPr>
          <w:p>
            <w:pPr>
              <w:ind w:left="220"/>
              <w:spacing w:after="0" w:line="202" w:lineRule="exact"/>
              <w:rPr>
                <w:sz w:val="20"/>
                <w:szCs w:val="20"/>
                <w:color w:val="auto"/>
              </w:rPr>
            </w:pPr>
            <w:r>
              <w:rPr>
                <w:rFonts w:ascii="Arial" w:cs="Arial" w:eastAsia="Arial" w:hAnsi="Arial"/>
                <w:sz w:val="18"/>
                <w:szCs w:val="18"/>
                <w:color w:val="auto"/>
              </w:rPr>
              <w:t>Operating lease liabilities, current portion</w:t>
            </w:r>
          </w:p>
        </w:tc>
        <w:tc>
          <w:tcPr>
            <w:tcW w:w="3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6,436</w:t>
            </w:r>
          </w:p>
        </w:tc>
        <w:tc>
          <w:tcPr>
            <w:tcW w:w="22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6,799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920" w:type="dxa"/>
            <w:vAlign w:val="bottom"/>
          </w:tcPr>
          <w:p>
            <w:pPr>
              <w:ind w:left="420"/>
              <w:spacing w:after="0" w:line="196" w:lineRule="exact"/>
              <w:rPr>
                <w:sz w:val="20"/>
                <w:szCs w:val="20"/>
                <w:color w:val="auto"/>
              </w:rPr>
            </w:pPr>
            <w:r>
              <w:rPr>
                <w:rFonts w:ascii="Arial" w:cs="Arial" w:eastAsia="Arial" w:hAnsi="Arial"/>
                <w:sz w:val="18"/>
                <w:szCs w:val="18"/>
                <w:b w:val="1"/>
                <w:bCs w:val="1"/>
                <w:color w:val="auto"/>
              </w:rPr>
              <w:t>Total current liabilities</w:t>
            </w:r>
          </w:p>
        </w:tc>
        <w:tc>
          <w:tcPr>
            <w:tcW w:w="32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74,787</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83,195</w:t>
            </w: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Convertible notes</w:t>
            </w: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283,628</w:t>
            </w:r>
          </w:p>
        </w:tc>
        <w:tc>
          <w:tcPr>
            <w:tcW w:w="2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281,769</w:t>
            </w: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ind w:left="220"/>
              <w:spacing w:after="0" w:line="202" w:lineRule="exact"/>
              <w:rPr>
                <w:sz w:val="20"/>
                <w:szCs w:val="20"/>
                <w:color w:val="auto"/>
              </w:rPr>
            </w:pPr>
            <w:r>
              <w:rPr>
                <w:rFonts w:ascii="Arial" w:cs="Arial" w:eastAsia="Arial" w:hAnsi="Arial"/>
                <w:sz w:val="18"/>
                <w:szCs w:val="18"/>
                <w:color w:val="auto"/>
              </w:rPr>
              <w:t>Operating lease liabilities, net of current portion</w:t>
            </w: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5,072</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10,951</w:t>
            </w: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229</w:t>
            </w:r>
          </w:p>
        </w:tc>
        <w:tc>
          <w:tcPr>
            <w:tcW w:w="2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275</w:t>
            </w: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ind w:left="220"/>
              <w:spacing w:after="0" w:line="202" w:lineRule="exact"/>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817</w:t>
            </w:r>
          </w:p>
        </w:tc>
        <w:tc>
          <w:tcPr>
            <w:tcW w:w="2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778</w:t>
            </w:r>
          </w:p>
        </w:tc>
        <w:tc>
          <w:tcPr>
            <w:tcW w:w="100" w:type="dxa"/>
            <w:vAlign w:val="bottom"/>
          </w:tcPr>
          <w:p>
            <w:pPr>
              <w:spacing w:after="0"/>
              <w:rPr>
                <w:sz w:val="17"/>
                <w:szCs w:val="17"/>
                <w:color w:val="auto"/>
              </w:rPr>
            </w:pPr>
          </w:p>
        </w:tc>
      </w:tr>
      <w:tr>
        <w:trPr>
          <w:trHeight w:val="196"/>
        </w:trPr>
        <w:tc>
          <w:tcPr>
            <w:tcW w:w="7920" w:type="dxa"/>
            <w:vAlign w:val="bottom"/>
            <w:tcBorders>
              <w:bottom w:val="single" w:sz="8" w:color="CFF0FC"/>
            </w:tcBorders>
            <w:shd w:val="clear" w:color="auto" w:fill="CFF0FC"/>
          </w:tcPr>
          <w:p>
            <w:pPr>
              <w:ind w:left="420"/>
              <w:spacing w:after="0" w:line="196" w:lineRule="exact"/>
              <w:rPr>
                <w:sz w:val="20"/>
                <w:szCs w:val="20"/>
                <w:color w:val="auto"/>
              </w:rPr>
            </w:pPr>
            <w:r>
              <w:rPr>
                <w:rFonts w:ascii="Arial" w:cs="Arial" w:eastAsia="Arial" w:hAnsi="Arial"/>
                <w:sz w:val="18"/>
                <w:szCs w:val="18"/>
                <w:b w:val="1"/>
                <w:bCs w:val="1"/>
                <w:color w:val="auto"/>
              </w:rPr>
              <w:t>Total liabilities</w:t>
            </w:r>
          </w:p>
        </w:tc>
        <w:tc>
          <w:tcPr>
            <w:tcW w:w="3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364,533</w:t>
            </w:r>
          </w:p>
        </w:tc>
        <w:tc>
          <w:tcPr>
            <w:tcW w:w="22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376,968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9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Commitments and contingencies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Stockholders’ equity</w:t>
            </w: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4"/>
        </w:trPr>
        <w:tc>
          <w:tcPr>
            <w:tcW w:w="7920" w:type="dxa"/>
            <w:vAlign w:val="bottom"/>
          </w:tcPr>
          <w:p>
            <w:pPr>
              <w:ind w:left="220"/>
              <w:spacing w:after="0" w:line="183" w:lineRule="exact"/>
              <w:rPr>
                <w:sz w:val="20"/>
                <w:szCs w:val="20"/>
                <w:color w:val="auto"/>
              </w:rPr>
            </w:pPr>
            <w:r>
              <w:rPr>
                <w:rFonts w:ascii="Arial" w:cs="Arial" w:eastAsia="Arial" w:hAnsi="Arial"/>
                <w:sz w:val="18"/>
                <w:szCs w:val="18"/>
                <w:color w:val="auto"/>
              </w:rPr>
              <w:t>Preferred stock, $0.000001 par value. Authorized; 50,000,000 shares; zero shares issued and</w:t>
            </w: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1"/>
        </w:trPr>
        <w:tc>
          <w:tcPr>
            <w:tcW w:w="7920" w:type="dxa"/>
            <w:vAlign w:val="bottom"/>
          </w:tcPr>
          <w:p>
            <w:pPr>
              <w:ind w:left="220"/>
              <w:spacing w:after="0"/>
              <w:rPr>
                <w:sz w:val="20"/>
                <w:szCs w:val="20"/>
                <w:color w:val="auto"/>
              </w:rPr>
            </w:pPr>
            <w:r>
              <w:rPr>
                <w:rFonts w:ascii="Arial" w:cs="Arial" w:eastAsia="Arial" w:hAnsi="Arial"/>
                <w:sz w:val="18"/>
                <w:szCs w:val="18"/>
                <w:color w:val="auto"/>
              </w:rPr>
              <w:t>outstanding as of December 31, 2024 and December 31, 2023, respectively</w:t>
            </w:r>
          </w:p>
        </w:tc>
        <w:tc>
          <w:tcPr>
            <w:tcW w:w="32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184"/>
        </w:trPr>
        <w:tc>
          <w:tcPr>
            <w:tcW w:w="7920" w:type="dxa"/>
            <w:vAlign w:val="bottom"/>
            <w:shd w:val="clear" w:color="auto" w:fill="CFF0FC"/>
          </w:tcPr>
          <w:p>
            <w:pPr>
              <w:ind w:left="220"/>
              <w:spacing w:after="0" w:line="183" w:lineRule="exact"/>
              <w:rPr>
                <w:sz w:val="20"/>
                <w:szCs w:val="20"/>
                <w:color w:val="auto"/>
              </w:rPr>
            </w:pPr>
            <w:r>
              <w:rPr>
                <w:rFonts w:ascii="Arial" w:cs="Arial" w:eastAsia="Arial" w:hAnsi="Arial"/>
                <w:sz w:val="18"/>
                <w:szCs w:val="18"/>
                <w:color w:val="auto"/>
              </w:rPr>
              <w:t>Class A Common stock, $0.000001 par value. Authorized; 750,000,000 shares; 48,289,274</w:t>
            </w:r>
          </w:p>
        </w:tc>
        <w:tc>
          <w:tcPr>
            <w:tcW w:w="3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92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shares and 45,489,379 shares issued and outstanding as of December 31, 2024 and</w:t>
            </w: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1"/>
        </w:trPr>
        <w:tc>
          <w:tcPr>
            <w:tcW w:w="79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December 31, 2023, respectively</w:t>
            </w:r>
          </w:p>
        </w:tc>
        <w:tc>
          <w:tcPr>
            <w:tcW w:w="3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184"/>
        </w:trPr>
        <w:tc>
          <w:tcPr>
            <w:tcW w:w="7920" w:type="dxa"/>
            <w:vAlign w:val="bottom"/>
          </w:tcPr>
          <w:p>
            <w:pPr>
              <w:ind w:left="220"/>
              <w:spacing w:after="0" w:line="183" w:lineRule="exact"/>
              <w:rPr>
                <w:sz w:val="20"/>
                <w:szCs w:val="20"/>
                <w:color w:val="auto"/>
              </w:rPr>
            </w:pPr>
            <w:r>
              <w:rPr>
                <w:rFonts w:ascii="Arial" w:cs="Arial" w:eastAsia="Arial" w:hAnsi="Arial"/>
                <w:sz w:val="18"/>
                <w:szCs w:val="18"/>
                <w:color w:val="auto"/>
              </w:rPr>
              <w:t>Class B Common stock, $0.000001 par value. Authorized; 5,000,000 shares; 1,475,311</w:t>
            </w: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920" w:type="dxa"/>
            <w:vAlign w:val="bottom"/>
          </w:tcPr>
          <w:p>
            <w:pPr>
              <w:ind w:left="220"/>
              <w:spacing w:after="0" w:line="202" w:lineRule="exact"/>
              <w:rPr>
                <w:sz w:val="20"/>
                <w:szCs w:val="20"/>
                <w:color w:val="auto"/>
              </w:rPr>
            </w:pPr>
            <w:r>
              <w:rPr>
                <w:rFonts w:ascii="Arial" w:cs="Arial" w:eastAsia="Arial" w:hAnsi="Arial"/>
                <w:sz w:val="18"/>
                <w:szCs w:val="18"/>
                <w:color w:val="auto"/>
              </w:rPr>
              <w:t>shares and 2,676,154 shares issued and outstanding as of December 31, 2024 and</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7920" w:type="dxa"/>
            <w:vAlign w:val="bottom"/>
          </w:tcPr>
          <w:p>
            <w:pPr>
              <w:ind w:left="220"/>
              <w:spacing w:after="0"/>
              <w:rPr>
                <w:sz w:val="20"/>
                <w:szCs w:val="20"/>
                <w:color w:val="auto"/>
              </w:rPr>
            </w:pPr>
            <w:r>
              <w:rPr>
                <w:rFonts w:ascii="Arial" w:cs="Arial" w:eastAsia="Arial" w:hAnsi="Arial"/>
                <w:sz w:val="18"/>
                <w:szCs w:val="18"/>
                <w:color w:val="auto"/>
              </w:rPr>
              <w:t>December 31, 2023, respectively</w:t>
            </w:r>
          </w:p>
        </w:tc>
        <w:tc>
          <w:tcPr>
            <w:tcW w:w="32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3"/>
        </w:trPr>
        <w:tc>
          <w:tcPr>
            <w:tcW w:w="792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685,054</w:t>
            </w:r>
          </w:p>
        </w:tc>
        <w:tc>
          <w:tcPr>
            <w:tcW w:w="2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648,317</w:t>
            </w: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ind w:left="220"/>
              <w:spacing w:after="0" w:line="202" w:lineRule="exact"/>
              <w:rPr>
                <w:sz w:val="20"/>
                <w:szCs w:val="20"/>
                <w:color w:val="auto"/>
              </w:rPr>
            </w:pPr>
            <w:r>
              <w:rPr>
                <w:rFonts w:ascii="Arial" w:cs="Arial" w:eastAsia="Arial" w:hAnsi="Arial"/>
                <w:sz w:val="18"/>
                <w:szCs w:val="18"/>
                <w:color w:val="auto"/>
              </w:rPr>
              <w:t>Accumulated other comprehensive (loss) income</w:t>
            </w:r>
          </w:p>
        </w:tc>
        <w:tc>
          <w:tcPr>
            <w:tcW w:w="320" w:type="dxa"/>
            <w:vAlign w:val="bottom"/>
          </w:tcPr>
          <w:p>
            <w:pPr>
              <w:spacing w:after="0"/>
              <w:rPr>
                <w:sz w:val="17"/>
                <w:szCs w:val="17"/>
                <w:color w:val="auto"/>
              </w:rPr>
            </w:pPr>
          </w:p>
        </w:tc>
        <w:tc>
          <w:tcPr>
            <w:tcW w:w="13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(328 )</w:t>
            </w:r>
          </w:p>
        </w:tc>
        <w:tc>
          <w:tcPr>
            <w:tcW w:w="5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855</w:t>
            </w: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Accumulated deficit</w:t>
            </w:r>
          </w:p>
        </w:tc>
        <w:tc>
          <w:tcPr>
            <w:tcW w:w="3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(370,273 )</w:t>
            </w:r>
          </w:p>
        </w:tc>
        <w:tc>
          <w:tcPr>
            <w:tcW w:w="5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(319,872 )</w:t>
            </w:r>
          </w:p>
        </w:tc>
      </w:tr>
      <w:tr>
        <w:trPr>
          <w:trHeight w:val="196"/>
        </w:trPr>
        <w:tc>
          <w:tcPr>
            <w:tcW w:w="792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b w:val="1"/>
                <w:bCs w:val="1"/>
                <w:color w:val="auto"/>
              </w:rPr>
              <w:t>Total stockholders’ equity</w:t>
            </w: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314,453</w:t>
            </w:r>
          </w:p>
        </w:tc>
        <w:tc>
          <w:tcPr>
            <w:tcW w:w="220" w:type="dxa"/>
            <w:vAlign w:val="bottom"/>
            <w:tcBorders>
              <w:top w:val="single" w:sz="8" w:color="CFF0FC"/>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329,300</w:t>
            </w:r>
          </w:p>
        </w:tc>
        <w:tc>
          <w:tcPr>
            <w:tcW w:w="100" w:type="dxa"/>
            <w:vAlign w:val="bottom"/>
            <w:tcBorders>
              <w:top w:val="single" w:sz="8" w:color="CFF0FC"/>
            </w:tcBorders>
          </w:tcPr>
          <w:p>
            <w:pPr>
              <w:spacing w:after="0"/>
              <w:rPr>
                <w:sz w:val="17"/>
                <w:szCs w:val="17"/>
                <w:color w:val="auto"/>
              </w:rPr>
            </w:pPr>
          </w:p>
        </w:tc>
      </w:tr>
      <w:tr>
        <w:trPr>
          <w:trHeight w:val="203"/>
        </w:trPr>
        <w:tc>
          <w:tcPr>
            <w:tcW w:w="7920" w:type="dxa"/>
            <w:vAlign w:val="bottom"/>
            <w:tcBorders>
              <w:bottom w:val="single" w:sz="8" w:color="CFF0FC"/>
            </w:tcBorders>
            <w:shd w:val="clear" w:color="auto" w:fill="CFF0FC"/>
          </w:tcPr>
          <w:p>
            <w:pPr>
              <w:ind w:left="420"/>
              <w:spacing w:after="0" w:line="202" w:lineRule="exact"/>
              <w:rPr>
                <w:sz w:val="20"/>
                <w:szCs w:val="20"/>
                <w:color w:val="auto"/>
              </w:rPr>
            </w:pPr>
            <w:r>
              <w:rPr>
                <w:rFonts w:ascii="Arial" w:cs="Arial" w:eastAsia="Arial" w:hAnsi="Arial"/>
                <w:sz w:val="18"/>
                <w:szCs w:val="18"/>
                <w:b w:val="1"/>
                <w:bCs w:val="1"/>
                <w:color w:val="auto"/>
              </w:rPr>
              <w:t>Noncontrolling interest</w:t>
            </w:r>
          </w:p>
        </w:tc>
        <w:tc>
          <w:tcPr>
            <w:tcW w:w="3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1,143</w:t>
            </w:r>
          </w:p>
        </w:tc>
        <w:tc>
          <w:tcPr>
            <w:tcW w:w="22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1,119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920" w:type="dxa"/>
            <w:vAlign w:val="bottom"/>
          </w:tcPr>
          <w:p>
            <w:pPr>
              <w:ind w:left="420"/>
              <w:spacing w:after="0" w:line="196" w:lineRule="exact"/>
              <w:rPr>
                <w:sz w:val="20"/>
                <w:szCs w:val="20"/>
                <w:color w:val="auto"/>
              </w:rPr>
            </w:pPr>
            <w:r>
              <w:rPr>
                <w:rFonts w:ascii="Arial" w:cs="Arial" w:eastAsia="Arial" w:hAnsi="Arial"/>
                <w:sz w:val="18"/>
                <w:szCs w:val="18"/>
                <w:b w:val="1"/>
                <w:bCs w:val="1"/>
                <w:color w:val="auto"/>
              </w:rPr>
              <w:t>Total equity</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315,596</w:t>
            </w:r>
          </w:p>
        </w:tc>
        <w:tc>
          <w:tcPr>
            <w:tcW w:w="2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330,419</w:t>
            </w:r>
          </w:p>
        </w:tc>
        <w:tc>
          <w:tcPr>
            <w:tcW w:w="100" w:type="dxa"/>
            <w:vAlign w:val="bottom"/>
          </w:tcPr>
          <w:p>
            <w:pPr>
              <w:spacing w:after="0"/>
              <w:rPr>
                <w:sz w:val="17"/>
                <w:szCs w:val="17"/>
                <w:color w:val="auto"/>
              </w:rPr>
            </w:pPr>
          </w:p>
        </w:tc>
      </w:tr>
      <w:tr>
        <w:trPr>
          <w:trHeight w:val="236"/>
        </w:trPr>
        <w:tc>
          <w:tcPr>
            <w:tcW w:w="79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Total liabilities and stockholders’ equity</w:t>
            </w: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680,129</w:t>
            </w:r>
          </w:p>
        </w:tc>
        <w:tc>
          <w:tcPr>
            <w:tcW w:w="22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ind w:right="31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707,387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831"/>
        </w:trPr>
        <w:tc>
          <w:tcPr>
            <w:tcW w:w="792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7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-5133975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-5133975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-4070985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-4070985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-3282315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-3282315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-1602105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-1336675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-1336675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-1062355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-1045210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b w:val="1"/>
          <w:bCs w:val="1"/>
          <w:color w:val="auto"/>
        </w:rPr>
        <w:t xml:space="preserve">Xometry, Inc. and Subsidiaries </w:t>
      </w:r>
      <w:r>
        <w:rPr>
          <w:rFonts w:ascii="Arial" w:cs="Arial" w:eastAsia="Arial" w:hAnsi="Arial"/>
          <w:sz w:val="20"/>
          <w:szCs w:val="20"/>
          <w:color w:val="auto"/>
        </w:rPr>
        <w:t>Consolidated Statements of Operations and Comprehensive Loss (In thousands, except share and per share amounts) (Unaudited)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80" w:type="dxa"/>
            <w:vAlign w:val="bottom"/>
            <w:gridSpan w:val="5"/>
          </w:tcPr>
          <w:p>
            <w:pPr>
              <w:jc w:val="right"/>
              <w:ind w:right="868"/>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66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Revenue</w:t>
            </w:r>
          </w:p>
        </w:tc>
        <w:tc>
          <w:tcPr>
            <w:tcW w:w="2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148,546</w:t>
            </w:r>
          </w:p>
        </w:tc>
        <w:tc>
          <w:tcPr>
            <w:tcW w:w="240" w:type="dxa"/>
            <w:vAlign w:val="bottom"/>
            <w:shd w:val="clear" w:color="auto" w:fill="CFF0FC"/>
          </w:tcPr>
          <w:p>
            <w:pPr>
              <w:spacing w:after="0"/>
              <w:rPr>
                <w:sz w:val="14"/>
                <w:szCs w:val="14"/>
                <w:color w:val="auto"/>
              </w:rPr>
            </w:pPr>
          </w:p>
        </w:tc>
        <w:tc>
          <w:tcPr>
            <w:tcW w:w="42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128,145</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545,529</w:t>
            </w:r>
          </w:p>
        </w:tc>
        <w:tc>
          <w:tcPr>
            <w:tcW w:w="240" w:type="dxa"/>
            <w:vAlign w:val="bottom"/>
            <w:shd w:val="clear" w:color="auto" w:fill="CFF0FC"/>
          </w:tcPr>
          <w:p>
            <w:pPr>
              <w:spacing w:after="0"/>
              <w:rPr>
                <w:sz w:val="14"/>
                <w:szCs w:val="14"/>
                <w:color w:val="auto"/>
              </w:rPr>
            </w:pPr>
          </w:p>
        </w:tc>
        <w:tc>
          <w:tcPr>
            <w:tcW w:w="42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463,406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2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89,526</w:t>
            </w: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79,060</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329,905</w:t>
            </w: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285,147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220" w:type="dxa"/>
            <w:vAlign w:val="bottom"/>
            <w:tcBorders>
              <w:bottom w:val="single" w:sz="8" w:color="CFF0FC"/>
            </w:tcBorders>
            <w:shd w:val="clear" w:color="auto" w:fill="CFF0FC"/>
          </w:tcPr>
          <w:p>
            <w:pPr>
              <w:ind w:left="120"/>
              <w:spacing w:after="0" w:line="155" w:lineRule="exact"/>
              <w:rPr>
                <w:sz w:val="20"/>
                <w:szCs w:val="20"/>
                <w:color w:val="auto"/>
              </w:rPr>
            </w:pPr>
            <w:r>
              <w:rPr>
                <w:rFonts w:ascii="Arial" w:cs="Arial" w:eastAsia="Arial" w:hAnsi="Arial"/>
                <w:sz w:val="14"/>
                <w:szCs w:val="14"/>
                <w:b w:val="1"/>
                <w:bCs w:val="1"/>
                <w:color w:val="auto"/>
              </w:rPr>
              <w:t>Gross profit</w:t>
            </w:r>
          </w:p>
        </w:tc>
        <w:tc>
          <w:tcPr>
            <w:tcW w:w="280" w:type="dxa"/>
            <w:vAlign w:val="bottom"/>
            <w:tcBorders>
              <w:bottom w:val="single" w:sz="8" w:color="auto"/>
            </w:tcBorders>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59,020</w:t>
            </w:r>
          </w:p>
        </w:tc>
        <w:tc>
          <w:tcPr>
            <w:tcW w:w="240" w:type="dxa"/>
            <w:vAlign w:val="bottom"/>
            <w:tcBorders>
              <w:bottom w:val="single" w:sz="8" w:color="CFF0FC"/>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49,085</w:t>
            </w:r>
          </w:p>
        </w:tc>
        <w:tc>
          <w:tcPr>
            <w:tcW w:w="24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215,624</w:t>
            </w:r>
          </w:p>
        </w:tc>
        <w:tc>
          <w:tcPr>
            <w:tcW w:w="240" w:type="dxa"/>
            <w:vAlign w:val="bottom"/>
            <w:tcBorders>
              <w:bottom w:val="single" w:sz="8" w:color="CFF0FC"/>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178,259</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20" w:type="dxa"/>
            <w:vAlign w:val="bottom"/>
          </w:tcPr>
          <w:p>
            <w:pPr>
              <w:ind w:left="20"/>
              <w:spacing w:after="0" w:line="155" w:lineRule="exact"/>
              <w:rPr>
                <w:sz w:val="20"/>
                <w:szCs w:val="20"/>
                <w:color w:val="auto"/>
              </w:rPr>
            </w:pPr>
            <w:r>
              <w:rPr>
                <w:rFonts w:ascii="Arial" w:cs="Arial" w:eastAsia="Arial" w:hAnsi="Arial"/>
                <w:sz w:val="14"/>
                <w:szCs w:val="14"/>
                <w:color w:val="auto"/>
              </w:rPr>
              <w:t>Sales and marketing</w:t>
            </w:r>
          </w:p>
        </w:tc>
        <w:tc>
          <w:tcPr>
            <w:tcW w:w="28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26,546</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25,373</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108,437</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93,688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Operations and support</w:t>
            </w: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16,057</w:t>
            </w:r>
          </w:p>
        </w:tc>
        <w:tc>
          <w:tcPr>
            <w:tcW w:w="2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12,922</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58,975</w:t>
            </w:r>
          </w:p>
        </w:tc>
        <w:tc>
          <w:tcPr>
            <w:tcW w:w="2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52,372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20" w:type="dxa"/>
            <w:vAlign w:val="bottom"/>
          </w:tcPr>
          <w:p>
            <w:pPr>
              <w:ind w:left="20"/>
              <w:spacing w:after="0"/>
              <w:rPr>
                <w:sz w:val="20"/>
                <w:szCs w:val="20"/>
                <w:color w:val="auto"/>
              </w:rPr>
            </w:pPr>
            <w:r>
              <w:rPr>
                <w:rFonts w:ascii="Arial" w:cs="Arial" w:eastAsia="Arial" w:hAnsi="Arial"/>
                <w:sz w:val="14"/>
                <w:szCs w:val="14"/>
                <w:color w:val="auto"/>
              </w:rPr>
              <w:t>Product development</w:t>
            </w: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10,370</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8,892</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39,322</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34,462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General and administrative</w:t>
            </w: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17,487</w:t>
            </w:r>
          </w:p>
        </w:tc>
        <w:tc>
          <w:tcPr>
            <w:tcW w:w="2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14,437</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64,957</w:t>
            </w:r>
          </w:p>
        </w:tc>
        <w:tc>
          <w:tcPr>
            <w:tcW w:w="2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70,916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20" w:type="dxa"/>
            <w:vAlign w:val="bottom"/>
          </w:tcPr>
          <w:p>
            <w:pPr>
              <w:ind w:left="20"/>
              <w:spacing w:after="0"/>
              <w:rPr>
                <w:sz w:val="20"/>
                <w:szCs w:val="20"/>
                <w:color w:val="auto"/>
              </w:rPr>
            </w:pPr>
            <w:r>
              <w:rPr>
                <w:rFonts w:ascii="Arial" w:cs="Arial" w:eastAsia="Arial" w:hAnsi="Arial"/>
                <w:sz w:val="14"/>
                <w:szCs w:val="14"/>
                <w:color w:val="auto"/>
              </w:rPr>
              <w:t>Impairment of assets</w:t>
            </w: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220" w:type="dxa"/>
            <w:vAlign w:val="bottom"/>
            <w:tcBorders>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Total operating expenses</w:t>
            </w:r>
          </w:p>
        </w:tc>
        <w:tc>
          <w:tcPr>
            <w:tcW w:w="280" w:type="dxa"/>
            <w:vAlign w:val="bottom"/>
            <w:tcBorders>
              <w:bottom w:val="single" w:sz="8" w:color="auto"/>
            </w:tcBorders>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70,542</w:t>
            </w:r>
          </w:p>
        </w:tc>
        <w:tc>
          <w:tcPr>
            <w:tcW w:w="240" w:type="dxa"/>
            <w:vAlign w:val="bottom"/>
            <w:tcBorders>
              <w:bottom w:val="single" w:sz="8" w:color="CFF0FC"/>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61,624</w:t>
            </w:r>
          </w:p>
        </w:tc>
        <w:tc>
          <w:tcPr>
            <w:tcW w:w="24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271,773</w:t>
            </w:r>
          </w:p>
        </w:tc>
        <w:tc>
          <w:tcPr>
            <w:tcW w:w="240" w:type="dxa"/>
            <w:vAlign w:val="bottom"/>
            <w:tcBorders>
              <w:bottom w:val="single" w:sz="8" w:color="CFF0FC"/>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251,835</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20" w:type="dxa"/>
            <w:vAlign w:val="bottom"/>
          </w:tcPr>
          <w:p>
            <w:pPr>
              <w:ind w:left="120"/>
              <w:spacing w:after="0" w:line="155" w:lineRule="exact"/>
              <w:rPr>
                <w:sz w:val="20"/>
                <w:szCs w:val="20"/>
                <w:color w:val="auto"/>
              </w:rPr>
            </w:pPr>
            <w:r>
              <w:rPr>
                <w:rFonts w:ascii="Arial" w:cs="Arial" w:eastAsia="Arial" w:hAnsi="Arial"/>
                <w:sz w:val="14"/>
                <w:szCs w:val="14"/>
                <w:b w:val="1"/>
                <w:bCs w:val="1"/>
                <w:color w:val="auto"/>
              </w:rPr>
              <w:t>Loss from operations</w:t>
            </w:r>
          </w:p>
        </w:tc>
        <w:tc>
          <w:tcPr>
            <w:tcW w:w="280" w:type="dxa"/>
            <w:vAlign w:val="bottom"/>
          </w:tcPr>
          <w:p>
            <w:pPr>
              <w:spacing w:after="0"/>
              <w:rPr>
                <w:sz w:val="13"/>
                <w:szCs w:val="13"/>
                <w:color w:val="auto"/>
              </w:rPr>
            </w:pPr>
          </w:p>
        </w:tc>
        <w:tc>
          <w:tcPr>
            <w:tcW w:w="1240" w:type="dxa"/>
            <w:vAlign w:val="bottom"/>
            <w:gridSpan w:val="2"/>
          </w:tcPr>
          <w:p>
            <w:pPr>
              <w:jc w:val="right"/>
              <w:ind w:right="108"/>
              <w:spacing w:after="0" w:line="155" w:lineRule="exact"/>
              <w:rPr>
                <w:sz w:val="20"/>
                <w:szCs w:val="20"/>
                <w:color w:val="auto"/>
              </w:rPr>
            </w:pPr>
            <w:r>
              <w:rPr>
                <w:rFonts w:ascii="Arial" w:cs="Arial" w:eastAsia="Arial" w:hAnsi="Arial"/>
                <w:sz w:val="14"/>
                <w:szCs w:val="14"/>
                <w:color w:val="auto"/>
              </w:rPr>
              <w:t>(11,522 )</w:t>
            </w:r>
          </w:p>
        </w:tc>
        <w:tc>
          <w:tcPr>
            <w:tcW w:w="420" w:type="dxa"/>
            <w:vAlign w:val="bottom"/>
          </w:tcPr>
          <w:p>
            <w:pPr>
              <w:spacing w:after="0"/>
              <w:rPr>
                <w:sz w:val="13"/>
                <w:szCs w:val="13"/>
                <w:color w:val="auto"/>
              </w:rPr>
            </w:pPr>
          </w:p>
        </w:tc>
        <w:tc>
          <w:tcPr>
            <w:tcW w:w="1120" w:type="dxa"/>
            <w:vAlign w:val="bottom"/>
            <w:gridSpan w:val="2"/>
          </w:tcPr>
          <w:p>
            <w:pPr>
              <w:jc w:val="right"/>
              <w:ind w:right="108"/>
              <w:spacing w:after="0" w:line="155" w:lineRule="exact"/>
              <w:rPr>
                <w:sz w:val="20"/>
                <w:szCs w:val="20"/>
                <w:color w:val="auto"/>
              </w:rPr>
            </w:pPr>
            <w:r>
              <w:rPr>
                <w:rFonts w:ascii="Arial" w:cs="Arial" w:eastAsia="Arial" w:hAnsi="Arial"/>
                <w:sz w:val="14"/>
                <w:szCs w:val="14"/>
                <w:color w:val="auto"/>
              </w:rPr>
              <w:t>(12,539 )</w:t>
            </w:r>
          </w:p>
        </w:tc>
        <w:tc>
          <w:tcPr>
            <w:tcW w:w="300" w:type="dxa"/>
            <w:vAlign w:val="bottom"/>
          </w:tcPr>
          <w:p>
            <w:pPr>
              <w:spacing w:after="0"/>
              <w:rPr>
                <w:sz w:val="13"/>
                <w:szCs w:val="13"/>
                <w:color w:val="auto"/>
              </w:rPr>
            </w:pPr>
          </w:p>
        </w:tc>
        <w:tc>
          <w:tcPr>
            <w:tcW w:w="1240" w:type="dxa"/>
            <w:vAlign w:val="bottom"/>
            <w:gridSpan w:val="2"/>
          </w:tcPr>
          <w:p>
            <w:pPr>
              <w:jc w:val="right"/>
              <w:ind w:right="108"/>
              <w:spacing w:after="0" w:line="155" w:lineRule="exact"/>
              <w:rPr>
                <w:sz w:val="20"/>
                <w:szCs w:val="20"/>
                <w:color w:val="auto"/>
              </w:rPr>
            </w:pPr>
            <w:r>
              <w:rPr>
                <w:rFonts w:ascii="Arial" w:cs="Arial" w:eastAsia="Arial" w:hAnsi="Arial"/>
                <w:sz w:val="14"/>
                <w:szCs w:val="14"/>
                <w:color w:val="auto"/>
              </w:rPr>
              <w:t>(56,149 )</w:t>
            </w:r>
          </w:p>
        </w:tc>
        <w:tc>
          <w:tcPr>
            <w:tcW w:w="420" w:type="dxa"/>
            <w:vAlign w:val="bottom"/>
          </w:tcPr>
          <w:p>
            <w:pPr>
              <w:spacing w:after="0"/>
              <w:rPr>
                <w:sz w:val="13"/>
                <w:szCs w:val="13"/>
                <w:color w:val="auto"/>
              </w:rPr>
            </w:pPr>
          </w:p>
        </w:tc>
        <w:tc>
          <w:tcPr>
            <w:tcW w:w="10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(73,576 )</w:t>
            </w:r>
          </w:p>
        </w:tc>
        <w:tc>
          <w:tcPr>
            <w:tcW w:w="0" w:type="dxa"/>
            <w:vAlign w:val="bottom"/>
          </w:tcPr>
          <w:p>
            <w:pPr>
              <w:spacing w:after="0"/>
              <w:rPr>
                <w:sz w:val="1"/>
                <w:szCs w:val="1"/>
                <w:color w:val="auto"/>
              </w:rPr>
            </w:pPr>
          </w:p>
        </w:tc>
      </w:tr>
      <w:tr>
        <w:trPr>
          <w:trHeight w:val="162"/>
        </w:trPr>
        <w:tc>
          <w:tcPr>
            <w:tcW w:w="52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Other income (expenses)</w:t>
            </w: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2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280" w:type="dxa"/>
            <w:vAlign w:val="bottom"/>
          </w:tcPr>
          <w:p>
            <w:pPr>
              <w:spacing w:after="0"/>
              <w:rPr>
                <w:sz w:val="14"/>
                <w:szCs w:val="14"/>
                <w:color w:val="auto"/>
              </w:rPr>
            </w:pPr>
          </w:p>
        </w:tc>
        <w:tc>
          <w:tcPr>
            <w:tcW w:w="1240" w:type="dxa"/>
            <w:vAlign w:val="bottom"/>
            <w:gridSpan w:val="2"/>
          </w:tcPr>
          <w:p>
            <w:pPr>
              <w:jc w:val="right"/>
              <w:ind w:right="108"/>
              <w:spacing w:after="0"/>
              <w:rPr>
                <w:sz w:val="20"/>
                <w:szCs w:val="20"/>
                <w:color w:val="auto"/>
              </w:rPr>
            </w:pPr>
            <w:r>
              <w:rPr>
                <w:rFonts w:ascii="Arial" w:cs="Arial" w:eastAsia="Arial" w:hAnsi="Arial"/>
                <w:sz w:val="14"/>
                <w:szCs w:val="14"/>
                <w:color w:val="auto"/>
              </w:rPr>
              <w:t>(1,188 )</w:t>
            </w:r>
          </w:p>
        </w:tc>
        <w:tc>
          <w:tcPr>
            <w:tcW w:w="420" w:type="dxa"/>
            <w:vAlign w:val="bottom"/>
          </w:tcPr>
          <w:p>
            <w:pPr>
              <w:spacing w:after="0"/>
              <w:rPr>
                <w:sz w:val="14"/>
                <w:szCs w:val="14"/>
                <w:color w:val="auto"/>
              </w:rPr>
            </w:pPr>
          </w:p>
        </w:tc>
        <w:tc>
          <w:tcPr>
            <w:tcW w:w="1120" w:type="dxa"/>
            <w:vAlign w:val="bottom"/>
            <w:gridSpan w:val="2"/>
          </w:tcPr>
          <w:p>
            <w:pPr>
              <w:jc w:val="right"/>
              <w:ind w:right="108"/>
              <w:spacing w:after="0"/>
              <w:rPr>
                <w:sz w:val="20"/>
                <w:szCs w:val="20"/>
                <w:color w:val="auto"/>
              </w:rPr>
            </w:pPr>
            <w:r>
              <w:rPr>
                <w:rFonts w:ascii="Arial" w:cs="Arial" w:eastAsia="Arial" w:hAnsi="Arial"/>
                <w:sz w:val="14"/>
                <w:szCs w:val="14"/>
                <w:color w:val="auto"/>
              </w:rPr>
              <w:t>(1,188 )</w:t>
            </w:r>
          </w:p>
        </w:tc>
        <w:tc>
          <w:tcPr>
            <w:tcW w:w="300" w:type="dxa"/>
            <w:vAlign w:val="bottom"/>
          </w:tcPr>
          <w:p>
            <w:pPr>
              <w:spacing w:after="0"/>
              <w:rPr>
                <w:sz w:val="14"/>
                <w:szCs w:val="14"/>
                <w:color w:val="auto"/>
              </w:rPr>
            </w:pPr>
          </w:p>
        </w:tc>
        <w:tc>
          <w:tcPr>
            <w:tcW w:w="1240" w:type="dxa"/>
            <w:vAlign w:val="bottom"/>
            <w:gridSpan w:val="2"/>
          </w:tcPr>
          <w:p>
            <w:pPr>
              <w:jc w:val="right"/>
              <w:ind w:right="108"/>
              <w:spacing w:after="0"/>
              <w:rPr>
                <w:sz w:val="20"/>
                <w:szCs w:val="20"/>
                <w:color w:val="auto"/>
              </w:rPr>
            </w:pPr>
            <w:r>
              <w:rPr>
                <w:rFonts w:ascii="Arial" w:cs="Arial" w:eastAsia="Arial" w:hAnsi="Arial"/>
                <w:sz w:val="14"/>
                <w:szCs w:val="14"/>
                <w:color w:val="auto"/>
              </w:rPr>
              <w:t>(4,752 )</w:t>
            </w:r>
          </w:p>
        </w:tc>
        <w:tc>
          <w:tcPr>
            <w:tcW w:w="4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(4,784 )</w:t>
            </w:r>
          </w:p>
        </w:tc>
        <w:tc>
          <w:tcPr>
            <w:tcW w:w="0" w:type="dxa"/>
            <w:vAlign w:val="bottom"/>
          </w:tcPr>
          <w:p>
            <w:pPr>
              <w:spacing w:after="0"/>
              <w:rPr>
                <w:sz w:val="1"/>
                <w:szCs w:val="1"/>
                <w:color w:val="auto"/>
              </w:rPr>
            </w:pPr>
          </w:p>
        </w:tc>
      </w:tr>
      <w:tr>
        <w:trPr>
          <w:trHeight w:val="162"/>
        </w:trPr>
        <w:tc>
          <w:tcPr>
            <w:tcW w:w="5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and dividend income</w:t>
            </w: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2,507</w:t>
            </w:r>
          </w:p>
        </w:tc>
        <w:tc>
          <w:tcPr>
            <w:tcW w:w="2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2,959</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10,782</w:t>
            </w:r>
          </w:p>
        </w:tc>
        <w:tc>
          <w:tcPr>
            <w:tcW w:w="2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11,607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20" w:type="dxa"/>
            <w:vAlign w:val="bottom"/>
          </w:tcPr>
          <w:p>
            <w:pPr>
              <w:ind w:left="20"/>
              <w:spacing w:after="0"/>
              <w:rPr>
                <w:sz w:val="20"/>
                <w:szCs w:val="20"/>
                <w:color w:val="auto"/>
              </w:rPr>
            </w:pPr>
            <w:r>
              <w:rPr>
                <w:rFonts w:ascii="Arial" w:cs="Arial" w:eastAsia="Arial" w:hAnsi="Arial"/>
                <w:sz w:val="14"/>
                <w:szCs w:val="14"/>
                <w:color w:val="auto"/>
              </w:rPr>
              <w:t>Other expenses</w:t>
            </w: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307</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gridSpan w:val="2"/>
          </w:tcPr>
          <w:p>
            <w:pPr>
              <w:jc w:val="right"/>
              <w:ind w:right="108"/>
              <w:spacing w:after="0"/>
              <w:rPr>
                <w:sz w:val="20"/>
                <w:szCs w:val="20"/>
                <w:color w:val="auto"/>
              </w:rPr>
            </w:pPr>
            <w:r>
              <w:rPr>
                <w:rFonts w:ascii="Arial" w:cs="Arial" w:eastAsia="Arial" w:hAnsi="Arial"/>
                <w:sz w:val="14"/>
                <w:szCs w:val="14"/>
                <w:color w:val="auto"/>
              </w:rPr>
              <w:t>(355 )</w:t>
            </w:r>
          </w:p>
        </w:tc>
        <w:tc>
          <w:tcPr>
            <w:tcW w:w="300" w:type="dxa"/>
            <w:vAlign w:val="bottom"/>
          </w:tcPr>
          <w:p>
            <w:pPr>
              <w:spacing w:after="0"/>
              <w:rPr>
                <w:sz w:val="14"/>
                <w:szCs w:val="14"/>
                <w:color w:val="auto"/>
              </w:rPr>
            </w:pPr>
          </w:p>
        </w:tc>
        <w:tc>
          <w:tcPr>
            <w:tcW w:w="1240" w:type="dxa"/>
            <w:vAlign w:val="bottom"/>
            <w:gridSpan w:val="2"/>
          </w:tcPr>
          <w:p>
            <w:pPr>
              <w:jc w:val="right"/>
              <w:ind w:right="108"/>
              <w:spacing w:after="0"/>
              <w:rPr>
                <w:sz w:val="20"/>
                <w:szCs w:val="20"/>
                <w:color w:val="auto"/>
              </w:rPr>
            </w:pPr>
            <w:r>
              <w:rPr>
                <w:rFonts w:ascii="Arial" w:cs="Arial" w:eastAsia="Arial" w:hAnsi="Arial"/>
                <w:sz w:val="14"/>
                <w:szCs w:val="14"/>
                <w:color w:val="auto"/>
              </w:rPr>
              <w:t>(757 )</w:t>
            </w:r>
          </w:p>
        </w:tc>
        <w:tc>
          <w:tcPr>
            <w:tcW w:w="4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(1,511 )</w:t>
            </w:r>
          </w:p>
        </w:tc>
        <w:tc>
          <w:tcPr>
            <w:tcW w:w="0" w:type="dxa"/>
            <w:vAlign w:val="bottom"/>
          </w:tcPr>
          <w:p>
            <w:pPr>
              <w:spacing w:after="0"/>
              <w:rPr>
                <w:sz w:val="1"/>
                <w:szCs w:val="1"/>
                <w:color w:val="auto"/>
              </w:rPr>
            </w:pPr>
          </w:p>
        </w:tc>
      </w:tr>
      <w:tr>
        <w:trPr>
          <w:trHeight w:val="162"/>
        </w:trPr>
        <w:tc>
          <w:tcPr>
            <w:tcW w:w="5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Income from unconsolidated joint venture</w:t>
            </w:r>
          </w:p>
        </w:tc>
        <w:tc>
          <w:tcPr>
            <w:tcW w:w="28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(41 )</w:t>
            </w:r>
          </w:p>
        </w:tc>
        <w:tc>
          <w:tcPr>
            <w:tcW w:w="4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452</w:t>
            </w:r>
          </w:p>
        </w:tc>
        <w:tc>
          <w:tcPr>
            <w:tcW w:w="2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220" w:type="dxa"/>
            <w:vAlign w:val="bottom"/>
            <w:tcBorders>
              <w:top w:val="single" w:sz="8" w:color="CFF0FC"/>
            </w:tcBorders>
          </w:tcPr>
          <w:p>
            <w:pPr>
              <w:ind w:left="20"/>
              <w:spacing w:after="0" w:line="155" w:lineRule="exact"/>
              <w:rPr>
                <w:sz w:val="20"/>
                <w:szCs w:val="20"/>
                <w:color w:val="auto"/>
              </w:rPr>
            </w:pPr>
            <w:r>
              <w:rPr>
                <w:rFonts w:ascii="Arial" w:cs="Arial" w:eastAsia="Arial" w:hAnsi="Arial"/>
                <w:sz w:val="14"/>
                <w:szCs w:val="14"/>
                <w:color w:val="auto"/>
              </w:rPr>
              <w:t>Total other income</w:t>
            </w: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1,585</w:t>
            </w:r>
          </w:p>
        </w:tc>
        <w:tc>
          <w:tcPr>
            <w:tcW w:w="240" w:type="dxa"/>
            <w:vAlign w:val="bottom"/>
            <w:tcBorders>
              <w:top w:val="single" w:sz="8" w:color="CFF0FC"/>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1,425</w:t>
            </w:r>
          </w:p>
        </w:tc>
        <w:tc>
          <w:tcPr>
            <w:tcW w:w="240" w:type="dxa"/>
            <w:vAlign w:val="bottom"/>
            <w:tcBorders>
              <w:top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5,725</w:t>
            </w:r>
          </w:p>
        </w:tc>
        <w:tc>
          <w:tcPr>
            <w:tcW w:w="240" w:type="dxa"/>
            <w:vAlign w:val="bottom"/>
            <w:tcBorders>
              <w:top w:val="single" w:sz="8" w:color="CFF0FC"/>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5,758</w:t>
            </w: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20" w:type="dxa"/>
            <w:vAlign w:val="bottom"/>
            <w:shd w:val="clear" w:color="auto" w:fill="CFF0FC"/>
          </w:tcPr>
          <w:p>
            <w:pPr>
              <w:ind w:left="120"/>
              <w:spacing w:after="0" w:line="155" w:lineRule="exact"/>
              <w:rPr>
                <w:sz w:val="20"/>
                <w:szCs w:val="20"/>
                <w:color w:val="auto"/>
              </w:rPr>
            </w:pPr>
            <w:r>
              <w:rPr>
                <w:rFonts w:ascii="Arial" w:cs="Arial" w:eastAsia="Arial" w:hAnsi="Arial"/>
                <w:sz w:val="14"/>
                <w:szCs w:val="14"/>
                <w:b w:val="1"/>
                <w:bCs w:val="1"/>
                <w:color w:val="auto"/>
              </w:rPr>
              <w:t>Loss before income taxes</w:t>
            </w:r>
          </w:p>
        </w:tc>
        <w:tc>
          <w:tcPr>
            <w:tcW w:w="28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rPr>
              <w:t>(9,937 )</w:t>
            </w:r>
          </w:p>
        </w:tc>
        <w:tc>
          <w:tcPr>
            <w:tcW w:w="42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rPr>
              <w:t>(11,114 )</w:t>
            </w:r>
          </w:p>
        </w:tc>
        <w:tc>
          <w:tcPr>
            <w:tcW w:w="30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rPr>
              <w:t>(50,424 )</w:t>
            </w:r>
          </w:p>
        </w:tc>
        <w:tc>
          <w:tcPr>
            <w:tcW w:w="4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(67,818 )</w:t>
            </w:r>
          </w:p>
        </w:tc>
        <w:tc>
          <w:tcPr>
            <w:tcW w:w="0" w:type="dxa"/>
            <w:vAlign w:val="bottom"/>
          </w:tcPr>
          <w:p>
            <w:pPr>
              <w:spacing w:after="0"/>
              <w:rPr>
                <w:sz w:val="1"/>
                <w:szCs w:val="1"/>
                <w:color w:val="auto"/>
              </w:rPr>
            </w:pPr>
          </w:p>
        </w:tc>
      </w:tr>
      <w:tr>
        <w:trPr>
          <w:trHeight w:val="162"/>
        </w:trPr>
        <w:tc>
          <w:tcPr>
            <w:tcW w:w="5220" w:type="dxa"/>
            <w:vAlign w:val="bottom"/>
          </w:tcPr>
          <w:p>
            <w:pPr>
              <w:ind w:left="20"/>
              <w:spacing w:after="0"/>
              <w:rPr>
                <w:sz w:val="20"/>
                <w:szCs w:val="20"/>
                <w:color w:val="auto"/>
              </w:rPr>
            </w:pPr>
            <w:r>
              <w:rPr>
                <w:rFonts w:ascii="Arial" w:cs="Arial" w:eastAsia="Arial" w:hAnsi="Arial"/>
                <w:sz w:val="14"/>
                <w:szCs w:val="14"/>
                <w:color w:val="auto"/>
              </w:rPr>
              <w:t>Benefit for income taxes</w:t>
            </w: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561</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20" w:type="dxa"/>
            <w:vAlign w:val="bottom"/>
            <w:shd w:val="clear" w:color="auto" w:fill="CFF0FC"/>
          </w:tcPr>
          <w:p>
            <w:pPr>
              <w:ind w:left="120"/>
              <w:spacing w:after="0" w:line="155" w:lineRule="exact"/>
              <w:rPr>
                <w:sz w:val="20"/>
                <w:szCs w:val="20"/>
                <w:color w:val="auto"/>
              </w:rPr>
            </w:pPr>
            <w:r>
              <w:rPr>
                <w:rFonts w:ascii="Arial" w:cs="Arial" w:eastAsia="Arial" w:hAnsi="Arial"/>
                <w:sz w:val="14"/>
                <w:szCs w:val="14"/>
                <w:b w:val="1"/>
                <w:bCs w:val="1"/>
                <w:color w:val="auto"/>
              </w:rPr>
              <w:t>Net loss</w:t>
            </w:r>
          </w:p>
        </w:tc>
        <w:tc>
          <w:tcPr>
            <w:tcW w:w="28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rPr>
              <w:t>(9,896 )</w:t>
            </w:r>
          </w:p>
        </w:tc>
        <w:tc>
          <w:tcPr>
            <w:tcW w:w="42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rPr>
              <w:t>(10,553 )</w:t>
            </w:r>
          </w:p>
        </w:tc>
        <w:tc>
          <w:tcPr>
            <w:tcW w:w="30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rPr>
              <w:t>(50,403 )</w:t>
            </w:r>
          </w:p>
        </w:tc>
        <w:tc>
          <w:tcPr>
            <w:tcW w:w="4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(67,465 )</w:t>
            </w:r>
          </w:p>
        </w:tc>
        <w:tc>
          <w:tcPr>
            <w:tcW w:w="0" w:type="dxa"/>
            <w:vAlign w:val="bottom"/>
          </w:tcPr>
          <w:p>
            <w:pPr>
              <w:spacing w:after="0"/>
              <w:rPr>
                <w:sz w:val="1"/>
                <w:szCs w:val="1"/>
                <w:color w:val="auto"/>
              </w:rPr>
            </w:pPr>
          </w:p>
        </w:tc>
      </w:tr>
      <w:tr>
        <w:trPr>
          <w:trHeight w:val="162"/>
        </w:trPr>
        <w:tc>
          <w:tcPr>
            <w:tcW w:w="5220" w:type="dxa"/>
            <w:vAlign w:val="bottom"/>
          </w:tcPr>
          <w:p>
            <w:pPr>
              <w:ind w:left="20"/>
              <w:spacing w:after="0"/>
              <w:rPr>
                <w:sz w:val="20"/>
                <w:szCs w:val="20"/>
                <w:color w:val="auto"/>
              </w:rPr>
            </w:pPr>
            <w:r>
              <w:rPr>
                <w:rFonts w:ascii="Arial" w:cs="Arial" w:eastAsia="Arial" w:hAnsi="Arial"/>
                <w:sz w:val="14"/>
                <w:szCs w:val="14"/>
                <w:color w:val="auto"/>
              </w:rPr>
              <w:t>Net (loss) income attributable to noncontrolling interest</w:t>
            </w:r>
          </w:p>
        </w:tc>
        <w:tc>
          <w:tcPr>
            <w:tcW w:w="280" w:type="dxa"/>
            <w:vAlign w:val="bottom"/>
          </w:tcPr>
          <w:p>
            <w:pPr>
              <w:spacing w:after="0"/>
              <w:rPr>
                <w:sz w:val="14"/>
                <w:szCs w:val="14"/>
                <w:color w:val="auto"/>
              </w:rPr>
            </w:pPr>
          </w:p>
        </w:tc>
        <w:tc>
          <w:tcPr>
            <w:tcW w:w="1240" w:type="dxa"/>
            <w:vAlign w:val="bottom"/>
            <w:gridSpan w:val="2"/>
          </w:tcPr>
          <w:p>
            <w:pPr>
              <w:jc w:val="right"/>
              <w:ind w:right="108"/>
              <w:spacing w:after="0"/>
              <w:rPr>
                <w:sz w:val="20"/>
                <w:szCs w:val="20"/>
                <w:color w:val="auto"/>
              </w:rPr>
            </w:pPr>
            <w:r>
              <w:rPr>
                <w:rFonts w:ascii="Arial" w:cs="Arial" w:eastAsia="Arial" w:hAnsi="Arial"/>
                <w:sz w:val="14"/>
                <w:szCs w:val="14"/>
                <w:color w:val="auto"/>
              </w:rPr>
              <w:t>(7 )</w:t>
            </w:r>
          </w:p>
        </w:tc>
        <w:tc>
          <w:tcPr>
            <w:tcW w:w="420" w:type="dxa"/>
            <w:vAlign w:val="bottom"/>
          </w:tcPr>
          <w:p>
            <w:pPr>
              <w:spacing w:after="0"/>
              <w:rPr>
                <w:sz w:val="14"/>
                <w:szCs w:val="14"/>
                <w:color w:val="auto"/>
              </w:rPr>
            </w:pPr>
          </w:p>
        </w:tc>
        <w:tc>
          <w:tcPr>
            <w:tcW w:w="1120" w:type="dxa"/>
            <w:vAlign w:val="bottom"/>
            <w:gridSpan w:val="2"/>
          </w:tcPr>
          <w:p>
            <w:pPr>
              <w:jc w:val="right"/>
              <w:ind w:right="108"/>
              <w:spacing w:after="0"/>
              <w:rPr>
                <w:sz w:val="20"/>
                <w:szCs w:val="20"/>
                <w:color w:val="auto"/>
              </w:rPr>
            </w:pPr>
            <w:r>
              <w:rPr>
                <w:rFonts w:ascii="Arial" w:cs="Arial" w:eastAsia="Arial" w:hAnsi="Arial"/>
                <w:sz w:val="14"/>
                <w:szCs w:val="14"/>
                <w:color w:val="auto"/>
              </w:rPr>
              <w:t>(2 )</w:t>
            </w:r>
          </w:p>
        </w:tc>
        <w:tc>
          <w:tcPr>
            <w:tcW w:w="300" w:type="dxa"/>
            <w:vAlign w:val="bottom"/>
          </w:tcPr>
          <w:p>
            <w:pPr>
              <w:spacing w:after="0"/>
              <w:rPr>
                <w:sz w:val="14"/>
                <w:szCs w:val="14"/>
                <w:color w:val="auto"/>
              </w:rPr>
            </w:pPr>
          </w:p>
        </w:tc>
        <w:tc>
          <w:tcPr>
            <w:tcW w:w="1240" w:type="dxa"/>
            <w:vAlign w:val="bottom"/>
            <w:gridSpan w:val="2"/>
          </w:tcPr>
          <w:p>
            <w:pPr>
              <w:jc w:val="right"/>
              <w:ind w:right="108"/>
              <w:spacing w:after="0"/>
              <w:rPr>
                <w:sz w:val="20"/>
                <w:szCs w:val="20"/>
                <w:color w:val="auto"/>
              </w:rPr>
            </w:pPr>
            <w:r>
              <w:rPr>
                <w:rFonts w:ascii="Arial" w:cs="Arial" w:eastAsia="Arial" w:hAnsi="Arial"/>
                <w:sz w:val="14"/>
                <w:szCs w:val="14"/>
                <w:color w:val="auto"/>
              </w:rPr>
              <w:t>(2 )</w:t>
            </w:r>
          </w:p>
        </w:tc>
        <w:tc>
          <w:tcPr>
            <w:tcW w:w="4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shd w:val="clear" w:color="auto" w:fill="CFF0FC"/>
          </w:tcPr>
          <w:p>
            <w:pPr>
              <w:ind w:left="120"/>
              <w:spacing w:after="0" w:line="155" w:lineRule="exact"/>
              <w:rPr>
                <w:sz w:val="20"/>
                <w:szCs w:val="20"/>
                <w:color w:val="auto"/>
              </w:rPr>
            </w:pPr>
            <w:r>
              <w:rPr>
                <w:rFonts w:ascii="Arial" w:cs="Arial" w:eastAsia="Arial" w:hAnsi="Arial"/>
                <w:sz w:val="14"/>
                <w:szCs w:val="14"/>
                <w:b w:val="1"/>
                <w:bCs w:val="1"/>
                <w:color w:val="auto"/>
              </w:rPr>
              <w:t>Net loss attributable to common stockholders</w:t>
            </w:r>
          </w:p>
        </w:tc>
        <w:tc>
          <w:tcPr>
            <w:tcW w:w="280" w:type="dxa"/>
            <w:vAlign w:val="bottom"/>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rPr>
              <w:t>(9,889 )</w:t>
            </w:r>
          </w:p>
        </w:tc>
        <w:tc>
          <w:tcPr>
            <w:tcW w:w="420" w:type="dxa"/>
            <w:vAlign w:val="bottom"/>
            <w:shd w:val="clear" w:color="auto" w:fill="CFF0FC"/>
          </w:tcPr>
          <w:p>
            <w:pPr>
              <w:jc w:val="right"/>
              <w:ind w:right="248"/>
              <w:spacing w:after="0" w:line="155"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rPr>
              <w:t>(10,551 )</w:t>
            </w:r>
          </w:p>
        </w:tc>
        <w:tc>
          <w:tcPr>
            <w:tcW w:w="300" w:type="dxa"/>
            <w:vAlign w:val="bottom"/>
            <w:shd w:val="clear" w:color="auto" w:fill="CFF0FC"/>
          </w:tcPr>
          <w:p>
            <w:pPr>
              <w:jc w:val="right"/>
              <w:ind w:right="128"/>
              <w:spacing w:after="0" w:line="155"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rPr>
              <w:t>(50,401 )</w:t>
            </w:r>
          </w:p>
        </w:tc>
        <w:tc>
          <w:tcPr>
            <w:tcW w:w="420" w:type="dxa"/>
            <w:vAlign w:val="bottom"/>
            <w:shd w:val="clear" w:color="auto" w:fill="CFF0FC"/>
          </w:tcPr>
          <w:p>
            <w:pPr>
              <w:jc w:val="right"/>
              <w:ind w:right="248"/>
              <w:spacing w:after="0" w:line="155"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(67,472 )</w:t>
            </w:r>
          </w:p>
        </w:tc>
        <w:tc>
          <w:tcPr>
            <w:tcW w:w="0" w:type="dxa"/>
            <w:vAlign w:val="bottom"/>
          </w:tcPr>
          <w:p>
            <w:pPr>
              <w:spacing w:after="0"/>
              <w:rPr>
                <w:sz w:val="1"/>
                <w:szCs w:val="1"/>
                <w:color w:val="auto"/>
              </w:rPr>
            </w:pPr>
          </w:p>
        </w:tc>
      </w:tr>
      <w:tr>
        <w:trPr>
          <w:trHeight w:val="133"/>
        </w:trPr>
        <w:tc>
          <w:tcPr>
            <w:tcW w:w="5220" w:type="dxa"/>
            <w:vAlign w:val="bottom"/>
            <w:tcBorders>
              <w:top w:val="single" w:sz="8" w:color="CFF0FC"/>
            </w:tcBorders>
          </w:tcPr>
          <w:p>
            <w:pPr>
              <w:ind w:left="20"/>
              <w:spacing w:after="0" w:line="133" w:lineRule="exact"/>
              <w:rPr>
                <w:sz w:val="20"/>
                <w:szCs w:val="20"/>
                <w:color w:val="auto"/>
              </w:rPr>
            </w:pPr>
            <w:r>
              <w:rPr>
                <w:rFonts w:ascii="Arial" w:cs="Arial" w:eastAsia="Arial" w:hAnsi="Arial"/>
                <w:sz w:val="14"/>
                <w:szCs w:val="14"/>
                <w:color w:val="auto"/>
              </w:rPr>
              <w:t>Net loss per share, basic and diluted, of Class A and Class B common</w:t>
            </w:r>
          </w:p>
        </w:tc>
        <w:tc>
          <w:tcPr>
            <w:tcW w:w="28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(0.20</w:t>
            </w:r>
          </w:p>
        </w:tc>
        <w:tc>
          <w:tcPr>
            <w:tcW w:w="240" w:type="dxa"/>
            <w:vAlign w:val="bottom"/>
            <w:tcBorders>
              <w:top w:val="single" w:sz="8" w:color="CFF0FC"/>
            </w:tcBorders>
            <w:vMerge w:val="restart"/>
          </w:tcPr>
          <w:p>
            <w:pPr>
              <w:jc w:val="right"/>
              <w:ind w:right="108"/>
              <w:spacing w:after="0"/>
              <w:rPr>
                <w:sz w:val="20"/>
                <w:szCs w:val="20"/>
                <w:color w:val="auto"/>
              </w:rPr>
            </w:pPr>
            <w:r>
              <w:rPr>
                <w:rFonts w:ascii="Arial" w:cs="Arial" w:eastAsia="Arial" w:hAnsi="Arial"/>
                <w:sz w:val="14"/>
                <w:szCs w:val="14"/>
                <w:color w:val="auto"/>
                <w:w w:val="84"/>
              </w:rPr>
              <w:t>)</w:t>
            </w:r>
          </w:p>
        </w:tc>
        <w:tc>
          <w:tcPr>
            <w:tcW w:w="420" w:type="dxa"/>
            <w:vAlign w:val="bottom"/>
            <w:tcBorders>
              <w:top w:val="single" w:sz="8" w:color="auto"/>
            </w:tcBorders>
            <w:vMerge w:val="restart"/>
          </w:tcPr>
          <w:p>
            <w:pPr>
              <w:jc w:val="right"/>
              <w:ind w:right="24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(0.22</w:t>
            </w:r>
          </w:p>
        </w:tc>
        <w:tc>
          <w:tcPr>
            <w:tcW w:w="240" w:type="dxa"/>
            <w:vAlign w:val="bottom"/>
            <w:tcBorders>
              <w:top w:val="single" w:sz="8" w:color="CFF0FC"/>
            </w:tcBorders>
            <w:vMerge w:val="restart"/>
          </w:tcPr>
          <w:p>
            <w:pPr>
              <w:jc w:val="right"/>
              <w:ind w:right="108"/>
              <w:spacing w:after="0"/>
              <w:rPr>
                <w:sz w:val="20"/>
                <w:szCs w:val="20"/>
                <w:color w:val="auto"/>
              </w:rPr>
            </w:pPr>
            <w:r>
              <w:rPr>
                <w:rFonts w:ascii="Arial" w:cs="Arial" w:eastAsia="Arial" w:hAnsi="Arial"/>
                <w:sz w:val="14"/>
                <w:szCs w:val="14"/>
                <w:color w:val="auto"/>
                <w:w w:val="84"/>
              </w:rPr>
              <w:t>)</w:t>
            </w:r>
          </w:p>
        </w:tc>
        <w:tc>
          <w:tcPr>
            <w:tcW w:w="300" w:type="dxa"/>
            <w:vAlign w:val="bottom"/>
            <w:tcBorders>
              <w:top w:val="single" w:sz="8" w:color="auto"/>
            </w:tcBorders>
            <w:vMerge w:val="restart"/>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(1.03</w:t>
            </w:r>
          </w:p>
        </w:tc>
        <w:tc>
          <w:tcPr>
            <w:tcW w:w="240" w:type="dxa"/>
            <w:vAlign w:val="bottom"/>
            <w:tcBorders>
              <w:top w:val="single" w:sz="8" w:color="CFF0FC"/>
            </w:tcBorders>
            <w:vMerge w:val="restart"/>
          </w:tcPr>
          <w:p>
            <w:pPr>
              <w:jc w:val="right"/>
              <w:ind w:right="108"/>
              <w:spacing w:after="0"/>
              <w:rPr>
                <w:sz w:val="20"/>
                <w:szCs w:val="20"/>
                <w:color w:val="auto"/>
              </w:rPr>
            </w:pPr>
            <w:r>
              <w:rPr>
                <w:rFonts w:ascii="Arial" w:cs="Arial" w:eastAsia="Arial" w:hAnsi="Arial"/>
                <w:sz w:val="14"/>
                <w:szCs w:val="14"/>
                <w:color w:val="auto"/>
                <w:w w:val="84"/>
              </w:rPr>
              <w:t>)</w:t>
            </w:r>
          </w:p>
        </w:tc>
        <w:tc>
          <w:tcPr>
            <w:tcW w:w="420" w:type="dxa"/>
            <w:vAlign w:val="bottom"/>
            <w:tcBorders>
              <w:top w:val="single" w:sz="8" w:color="auto"/>
            </w:tcBorders>
            <w:vMerge w:val="restart"/>
          </w:tcPr>
          <w:p>
            <w:pPr>
              <w:jc w:val="right"/>
              <w:ind w:right="2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Borders>
              <w:top w:val="single" w:sz="8" w:color="CFF0FC"/>
            </w:tcBorders>
            <w:vMerge w:val="restart"/>
          </w:tcPr>
          <w:p>
            <w:pPr>
              <w:jc w:val="right"/>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36"/>
        </w:trPr>
        <w:tc>
          <w:tcPr>
            <w:tcW w:w="5220" w:type="dxa"/>
            <w:vAlign w:val="bottom"/>
          </w:tcPr>
          <w:p>
            <w:pPr>
              <w:ind w:left="140"/>
              <w:spacing w:after="0" w:line="125" w:lineRule="exact"/>
              <w:rPr>
                <w:sz w:val="20"/>
                <w:szCs w:val="20"/>
                <w:color w:val="auto"/>
              </w:rPr>
            </w:pPr>
            <w:r>
              <w:rPr>
                <w:rFonts w:ascii="Arial" w:cs="Arial" w:eastAsia="Arial" w:hAnsi="Arial"/>
                <w:sz w:val="14"/>
                <w:szCs w:val="14"/>
                <w:color w:val="auto"/>
              </w:rPr>
              <w:t>stock</w:t>
            </w:r>
          </w:p>
        </w:tc>
        <w:tc>
          <w:tcPr>
            <w:tcW w:w="280" w:type="dxa"/>
            <w:vAlign w:val="bottom"/>
            <w:tcBorders>
              <w:bottom w:val="single" w:sz="8" w:color="auto"/>
            </w:tcBorders>
            <w:vMerge w:val="continue"/>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240" w:type="dxa"/>
            <w:vAlign w:val="bottom"/>
            <w:tcBorders>
              <w:bottom w:val="single" w:sz="8" w:color="CFF0FC"/>
            </w:tcBorders>
            <w:vMerge w:val="continue"/>
          </w:tcPr>
          <w:p>
            <w:pPr>
              <w:spacing w:after="0"/>
              <w:rPr>
                <w:sz w:val="11"/>
                <w:szCs w:val="11"/>
                <w:color w:val="auto"/>
              </w:rPr>
            </w:pPr>
          </w:p>
        </w:tc>
        <w:tc>
          <w:tcPr>
            <w:tcW w:w="420" w:type="dxa"/>
            <w:vAlign w:val="bottom"/>
            <w:tcBorders>
              <w:bottom w:val="single" w:sz="8" w:color="auto"/>
            </w:tcBorders>
            <w:vMerge w:val="continue"/>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240" w:type="dxa"/>
            <w:vAlign w:val="bottom"/>
            <w:tcBorders>
              <w:bottom w:val="single" w:sz="8" w:color="CFF0FC"/>
            </w:tcBorders>
            <w:vMerge w:val="continue"/>
          </w:tcPr>
          <w:p>
            <w:pPr>
              <w:spacing w:after="0"/>
              <w:rPr>
                <w:sz w:val="11"/>
                <w:szCs w:val="11"/>
                <w:color w:val="auto"/>
              </w:rPr>
            </w:pPr>
          </w:p>
        </w:tc>
        <w:tc>
          <w:tcPr>
            <w:tcW w:w="300" w:type="dxa"/>
            <w:vAlign w:val="bottom"/>
            <w:tcBorders>
              <w:bottom w:val="single" w:sz="8" w:color="auto"/>
            </w:tcBorders>
            <w:vMerge w:val="continue"/>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240" w:type="dxa"/>
            <w:vAlign w:val="bottom"/>
            <w:tcBorders>
              <w:bottom w:val="single" w:sz="8" w:color="CFF0FC"/>
            </w:tcBorders>
            <w:vMerge w:val="continue"/>
          </w:tcPr>
          <w:p>
            <w:pPr>
              <w:spacing w:after="0"/>
              <w:rPr>
                <w:sz w:val="11"/>
                <w:szCs w:val="11"/>
                <w:color w:val="auto"/>
              </w:rPr>
            </w:pPr>
          </w:p>
        </w:tc>
        <w:tc>
          <w:tcPr>
            <w:tcW w:w="420" w:type="dxa"/>
            <w:vAlign w:val="bottom"/>
            <w:tcBorders>
              <w:bottom w:val="single" w:sz="8" w:color="auto"/>
            </w:tcBorders>
            <w:vMerge w:val="continue"/>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FF0F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5220" w:type="dxa"/>
            <w:vAlign w:val="bottom"/>
            <w:shd w:val="clear" w:color="auto" w:fill="CFF0FC"/>
          </w:tcPr>
          <w:p>
            <w:pPr>
              <w:ind w:left="20"/>
              <w:spacing w:after="0" w:line="133" w:lineRule="exact"/>
              <w:rPr>
                <w:sz w:val="20"/>
                <w:szCs w:val="20"/>
                <w:color w:val="auto"/>
              </w:rPr>
            </w:pPr>
            <w:r>
              <w:rPr>
                <w:rFonts w:ascii="Arial" w:cs="Arial" w:eastAsia="Arial" w:hAnsi="Arial"/>
                <w:sz w:val="14"/>
                <w:szCs w:val="14"/>
                <w:color w:val="auto"/>
              </w:rPr>
              <w:t>Weighted-average number of shares outstanding used to compute</w:t>
            </w:r>
          </w:p>
        </w:tc>
        <w:tc>
          <w:tcPr>
            <w:tcW w:w="2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2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net loss per share, basic and diluted, of Class A and Class B</w:t>
            </w:r>
          </w:p>
        </w:tc>
        <w:tc>
          <w:tcPr>
            <w:tcW w:w="280" w:type="dxa"/>
            <w:vAlign w:val="bottom"/>
            <w:shd w:val="clear" w:color="auto" w:fill="CFF0FC"/>
          </w:tcPr>
          <w:p>
            <w:pPr>
              <w:spacing w:after="0"/>
              <w:rPr>
                <w:sz w:val="14"/>
                <w:szCs w:val="14"/>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49,606,759</w:t>
            </w:r>
          </w:p>
        </w:tc>
        <w:tc>
          <w:tcPr>
            <w:tcW w:w="2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48,096,142</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49,082,722</w:t>
            </w:r>
          </w:p>
        </w:tc>
        <w:tc>
          <w:tcPr>
            <w:tcW w:w="2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47,914,039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20" w:type="dxa"/>
            <w:vAlign w:val="bottom"/>
            <w:tcBorders>
              <w:bottom w:val="single" w:sz="8" w:color="CFF0FC"/>
            </w:tcBorders>
            <w:shd w:val="clear" w:color="auto" w:fill="CFF0FC"/>
          </w:tcPr>
          <w:p>
            <w:pPr>
              <w:ind w:left="140"/>
              <w:spacing w:after="0" w:line="125" w:lineRule="exact"/>
              <w:rPr>
                <w:sz w:val="20"/>
                <w:szCs w:val="20"/>
                <w:color w:val="auto"/>
              </w:rPr>
            </w:pPr>
            <w:r>
              <w:rPr>
                <w:rFonts w:ascii="Arial" w:cs="Arial" w:eastAsia="Arial" w:hAnsi="Arial"/>
                <w:sz w:val="14"/>
                <w:szCs w:val="14"/>
                <w:color w:val="auto"/>
              </w:rPr>
              <w:t>common stock</w:t>
            </w:r>
          </w:p>
        </w:tc>
        <w:tc>
          <w:tcPr>
            <w:tcW w:w="28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05"/>
        </w:trPr>
        <w:tc>
          <w:tcPr>
            <w:tcW w:w="5220" w:type="dxa"/>
            <w:vAlign w:val="bottom"/>
          </w:tcPr>
          <w:p>
            <w:pPr>
              <w:ind w:left="20"/>
              <w:spacing w:after="0"/>
              <w:rPr>
                <w:sz w:val="20"/>
                <w:szCs w:val="20"/>
                <w:color w:val="auto"/>
              </w:rPr>
            </w:pPr>
            <w:r>
              <w:rPr>
                <w:rFonts w:ascii="Arial" w:cs="Arial" w:eastAsia="Arial" w:hAnsi="Arial"/>
                <w:sz w:val="14"/>
                <w:szCs w:val="14"/>
                <w:b w:val="1"/>
                <w:bCs w:val="1"/>
                <w:color w:val="auto"/>
              </w:rPr>
              <w:t>Net loss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08"/>
              <w:spacing w:after="0"/>
              <w:rPr>
                <w:sz w:val="20"/>
                <w:szCs w:val="20"/>
                <w:color w:val="auto"/>
              </w:rPr>
            </w:pPr>
            <w:r>
              <w:rPr>
                <w:rFonts w:ascii="Arial" w:cs="Arial" w:eastAsia="Arial" w:hAnsi="Arial"/>
                <w:sz w:val="14"/>
                <w:szCs w:val="14"/>
                <w:color w:val="auto"/>
              </w:rPr>
              <w:t>(9,896 )</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08"/>
              <w:spacing w:after="0"/>
              <w:rPr>
                <w:sz w:val="20"/>
                <w:szCs w:val="20"/>
                <w:color w:val="auto"/>
              </w:rPr>
            </w:pPr>
            <w:r>
              <w:rPr>
                <w:rFonts w:ascii="Arial" w:cs="Arial" w:eastAsia="Arial" w:hAnsi="Arial"/>
                <w:sz w:val="14"/>
                <w:szCs w:val="14"/>
                <w:color w:val="auto"/>
              </w:rPr>
              <w:t>(10,553 )</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08"/>
              <w:spacing w:after="0"/>
              <w:rPr>
                <w:sz w:val="20"/>
                <w:szCs w:val="20"/>
                <w:color w:val="auto"/>
              </w:rPr>
            </w:pPr>
            <w:r>
              <w:rPr>
                <w:rFonts w:ascii="Arial" w:cs="Arial" w:eastAsia="Arial" w:hAnsi="Arial"/>
                <w:sz w:val="14"/>
                <w:szCs w:val="14"/>
                <w:color w:val="auto"/>
              </w:rPr>
              <w:t>(50,403 )</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(67,465 )</w:t>
            </w:r>
          </w:p>
        </w:tc>
        <w:tc>
          <w:tcPr>
            <w:tcW w:w="0" w:type="dxa"/>
            <w:vAlign w:val="bottom"/>
          </w:tcPr>
          <w:p>
            <w:pPr>
              <w:spacing w:after="0"/>
              <w:rPr>
                <w:sz w:val="1"/>
                <w:szCs w:val="1"/>
                <w:color w:val="auto"/>
              </w:rPr>
            </w:pPr>
          </w:p>
        </w:tc>
      </w:tr>
      <w:tr>
        <w:trPr>
          <w:trHeight w:val="162"/>
        </w:trPr>
        <w:tc>
          <w:tcPr>
            <w:tcW w:w="5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Comprehensive loss:</w:t>
            </w: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20" w:type="dxa"/>
            <w:vAlign w:val="bottom"/>
          </w:tcPr>
          <w:p>
            <w:pPr>
              <w:ind w:left="120"/>
              <w:spacing w:after="0"/>
              <w:rPr>
                <w:sz w:val="20"/>
                <w:szCs w:val="20"/>
                <w:color w:val="auto"/>
              </w:rPr>
            </w:pPr>
            <w:r>
              <w:rPr>
                <w:rFonts w:ascii="Arial" w:cs="Arial" w:eastAsia="Arial" w:hAnsi="Arial"/>
                <w:sz w:val="14"/>
                <w:szCs w:val="14"/>
                <w:color w:val="auto"/>
              </w:rPr>
              <w:t>Foreign currency translation</w:t>
            </w:r>
          </w:p>
        </w:tc>
        <w:tc>
          <w:tcPr>
            <w:tcW w:w="280" w:type="dxa"/>
            <w:vAlign w:val="bottom"/>
          </w:tcPr>
          <w:p>
            <w:pPr>
              <w:spacing w:after="0"/>
              <w:rPr>
                <w:sz w:val="14"/>
                <w:szCs w:val="14"/>
                <w:color w:val="auto"/>
              </w:rPr>
            </w:pPr>
          </w:p>
        </w:tc>
        <w:tc>
          <w:tcPr>
            <w:tcW w:w="1240" w:type="dxa"/>
            <w:vAlign w:val="bottom"/>
            <w:gridSpan w:val="2"/>
          </w:tcPr>
          <w:p>
            <w:pPr>
              <w:jc w:val="right"/>
              <w:ind w:right="108"/>
              <w:spacing w:after="0"/>
              <w:rPr>
                <w:sz w:val="20"/>
                <w:szCs w:val="20"/>
                <w:color w:val="auto"/>
              </w:rPr>
            </w:pPr>
            <w:r>
              <w:rPr>
                <w:rFonts w:ascii="Arial" w:cs="Arial" w:eastAsia="Arial" w:hAnsi="Arial"/>
                <w:sz w:val="14"/>
                <w:szCs w:val="14"/>
                <w:color w:val="auto"/>
              </w:rPr>
              <w:t>(1,587 )</w:t>
            </w:r>
          </w:p>
        </w:tc>
        <w:tc>
          <w:tcPr>
            <w:tcW w:w="4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91</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right"/>
              <w:ind w:right="108"/>
              <w:spacing w:after="0"/>
              <w:rPr>
                <w:sz w:val="20"/>
                <w:szCs w:val="20"/>
                <w:color w:val="auto"/>
              </w:rPr>
            </w:pPr>
            <w:r>
              <w:rPr>
                <w:rFonts w:ascii="Arial" w:cs="Arial" w:eastAsia="Arial" w:hAnsi="Arial"/>
                <w:sz w:val="14"/>
                <w:szCs w:val="14"/>
                <w:color w:val="auto"/>
              </w:rPr>
              <w:t>(1,157 )</w:t>
            </w:r>
          </w:p>
        </w:tc>
        <w:tc>
          <w:tcPr>
            <w:tcW w:w="4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849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220" w:type="dxa"/>
            <w:vAlign w:val="bottom"/>
            <w:shd w:val="clear" w:color="auto" w:fill="CFF0FC"/>
          </w:tcPr>
          <w:p>
            <w:pPr>
              <w:ind w:left="200"/>
              <w:spacing w:after="0" w:line="155" w:lineRule="exact"/>
              <w:rPr>
                <w:sz w:val="20"/>
                <w:szCs w:val="20"/>
                <w:color w:val="auto"/>
              </w:rPr>
            </w:pPr>
            <w:r>
              <w:rPr>
                <w:rFonts w:ascii="Arial" w:cs="Arial" w:eastAsia="Arial" w:hAnsi="Arial"/>
                <w:sz w:val="14"/>
                <w:szCs w:val="14"/>
                <w:color w:val="auto"/>
              </w:rPr>
              <w:t>Total other comprehensive (loss) income</w:t>
            </w:r>
          </w:p>
        </w:tc>
        <w:tc>
          <w:tcPr>
            <w:tcW w:w="28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rPr>
              <w:t>(1,587 )</w:t>
            </w:r>
          </w:p>
        </w:tc>
        <w:tc>
          <w:tcPr>
            <w:tcW w:w="4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91</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rPr>
              <w:t>(1,157 )</w:t>
            </w:r>
          </w:p>
        </w:tc>
        <w:tc>
          <w:tcPr>
            <w:tcW w:w="42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849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22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Comprehensive loss</w:t>
            </w:r>
          </w:p>
        </w:tc>
        <w:tc>
          <w:tcPr>
            <w:tcW w:w="280" w:type="dxa"/>
            <w:vAlign w:val="bottom"/>
          </w:tcPr>
          <w:p>
            <w:pPr>
              <w:spacing w:after="0"/>
              <w:rPr>
                <w:sz w:val="13"/>
                <w:szCs w:val="13"/>
                <w:color w:val="auto"/>
              </w:rPr>
            </w:pPr>
          </w:p>
        </w:tc>
        <w:tc>
          <w:tcPr>
            <w:tcW w:w="1240" w:type="dxa"/>
            <w:vAlign w:val="bottom"/>
            <w:gridSpan w:val="2"/>
          </w:tcPr>
          <w:p>
            <w:pPr>
              <w:jc w:val="right"/>
              <w:ind w:right="108"/>
              <w:spacing w:after="0" w:line="155" w:lineRule="exact"/>
              <w:rPr>
                <w:sz w:val="20"/>
                <w:szCs w:val="20"/>
                <w:color w:val="auto"/>
              </w:rPr>
            </w:pPr>
            <w:r>
              <w:rPr>
                <w:rFonts w:ascii="Arial" w:cs="Arial" w:eastAsia="Arial" w:hAnsi="Arial"/>
                <w:sz w:val="14"/>
                <w:szCs w:val="14"/>
                <w:color w:val="auto"/>
              </w:rPr>
              <w:t>(11,483 )</w:t>
            </w:r>
          </w:p>
        </w:tc>
        <w:tc>
          <w:tcPr>
            <w:tcW w:w="420" w:type="dxa"/>
            <w:vAlign w:val="bottom"/>
          </w:tcPr>
          <w:p>
            <w:pPr>
              <w:spacing w:after="0"/>
              <w:rPr>
                <w:sz w:val="13"/>
                <w:szCs w:val="13"/>
                <w:color w:val="auto"/>
              </w:rPr>
            </w:pPr>
          </w:p>
        </w:tc>
        <w:tc>
          <w:tcPr>
            <w:tcW w:w="1120" w:type="dxa"/>
            <w:vAlign w:val="bottom"/>
            <w:gridSpan w:val="2"/>
          </w:tcPr>
          <w:p>
            <w:pPr>
              <w:jc w:val="right"/>
              <w:ind w:right="108"/>
              <w:spacing w:after="0" w:line="155" w:lineRule="exact"/>
              <w:rPr>
                <w:sz w:val="20"/>
                <w:szCs w:val="20"/>
                <w:color w:val="auto"/>
              </w:rPr>
            </w:pPr>
            <w:r>
              <w:rPr>
                <w:rFonts w:ascii="Arial" w:cs="Arial" w:eastAsia="Arial" w:hAnsi="Arial"/>
                <w:sz w:val="14"/>
                <w:szCs w:val="14"/>
                <w:color w:val="auto"/>
              </w:rPr>
              <w:t>(10,462 )</w:t>
            </w:r>
          </w:p>
        </w:tc>
        <w:tc>
          <w:tcPr>
            <w:tcW w:w="300" w:type="dxa"/>
            <w:vAlign w:val="bottom"/>
          </w:tcPr>
          <w:p>
            <w:pPr>
              <w:spacing w:after="0"/>
              <w:rPr>
                <w:sz w:val="13"/>
                <w:szCs w:val="13"/>
                <w:color w:val="auto"/>
              </w:rPr>
            </w:pPr>
          </w:p>
        </w:tc>
        <w:tc>
          <w:tcPr>
            <w:tcW w:w="1240" w:type="dxa"/>
            <w:vAlign w:val="bottom"/>
            <w:gridSpan w:val="2"/>
          </w:tcPr>
          <w:p>
            <w:pPr>
              <w:jc w:val="right"/>
              <w:ind w:right="108"/>
              <w:spacing w:after="0" w:line="155" w:lineRule="exact"/>
              <w:rPr>
                <w:sz w:val="20"/>
                <w:szCs w:val="20"/>
                <w:color w:val="auto"/>
              </w:rPr>
            </w:pPr>
            <w:r>
              <w:rPr>
                <w:rFonts w:ascii="Arial" w:cs="Arial" w:eastAsia="Arial" w:hAnsi="Arial"/>
                <w:sz w:val="14"/>
                <w:szCs w:val="14"/>
                <w:color w:val="auto"/>
              </w:rPr>
              <w:t>(51,560 )</w:t>
            </w:r>
          </w:p>
        </w:tc>
        <w:tc>
          <w:tcPr>
            <w:tcW w:w="420" w:type="dxa"/>
            <w:vAlign w:val="bottom"/>
          </w:tcPr>
          <w:p>
            <w:pPr>
              <w:spacing w:after="0"/>
              <w:rPr>
                <w:sz w:val="13"/>
                <w:szCs w:val="13"/>
                <w:color w:val="auto"/>
              </w:rPr>
            </w:pPr>
          </w:p>
        </w:tc>
        <w:tc>
          <w:tcPr>
            <w:tcW w:w="10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(66,616 )</w:t>
            </w:r>
          </w:p>
        </w:tc>
        <w:tc>
          <w:tcPr>
            <w:tcW w:w="0" w:type="dxa"/>
            <w:vAlign w:val="bottom"/>
          </w:tcPr>
          <w:p>
            <w:pPr>
              <w:spacing w:after="0"/>
              <w:rPr>
                <w:sz w:val="1"/>
                <w:szCs w:val="1"/>
                <w:color w:val="auto"/>
              </w:rPr>
            </w:pPr>
          </w:p>
        </w:tc>
      </w:tr>
      <w:tr>
        <w:trPr>
          <w:trHeight w:val="162"/>
        </w:trPr>
        <w:tc>
          <w:tcPr>
            <w:tcW w:w="5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Comprehensive income (loss) attributable to noncontrolling interest</w:t>
            </w: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2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(16 )</w:t>
            </w:r>
          </w:p>
        </w:tc>
        <w:tc>
          <w:tcPr>
            <w:tcW w:w="3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2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22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Total comprehensive loss attributable to common stockholders</w:t>
            </w:r>
          </w:p>
        </w:tc>
        <w:tc>
          <w:tcPr>
            <w:tcW w:w="280" w:type="dxa"/>
            <w:vAlign w:val="bottom"/>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08"/>
              <w:spacing w:after="0" w:line="155" w:lineRule="exact"/>
              <w:rPr>
                <w:sz w:val="20"/>
                <w:szCs w:val="20"/>
                <w:color w:val="auto"/>
              </w:rPr>
            </w:pPr>
            <w:r>
              <w:rPr>
                <w:rFonts w:ascii="Arial" w:cs="Arial" w:eastAsia="Arial" w:hAnsi="Arial"/>
                <w:sz w:val="14"/>
                <w:szCs w:val="14"/>
                <w:color w:val="auto"/>
              </w:rPr>
              <w:t>(11,499 )</w:t>
            </w:r>
          </w:p>
        </w:tc>
        <w:tc>
          <w:tcPr>
            <w:tcW w:w="420" w:type="dxa"/>
            <w:vAlign w:val="bottom"/>
          </w:tcPr>
          <w:p>
            <w:pPr>
              <w:jc w:val="right"/>
              <w:ind w:right="248"/>
              <w:spacing w:after="0" w:line="155"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08"/>
              <w:spacing w:after="0" w:line="155" w:lineRule="exact"/>
              <w:rPr>
                <w:sz w:val="20"/>
                <w:szCs w:val="20"/>
                <w:color w:val="auto"/>
              </w:rPr>
            </w:pPr>
            <w:r>
              <w:rPr>
                <w:rFonts w:ascii="Arial" w:cs="Arial" w:eastAsia="Arial" w:hAnsi="Arial"/>
                <w:sz w:val="14"/>
                <w:szCs w:val="14"/>
                <w:color w:val="auto"/>
              </w:rPr>
              <w:t>(10,446 )</w:t>
            </w:r>
          </w:p>
        </w:tc>
        <w:tc>
          <w:tcPr>
            <w:tcW w:w="300" w:type="dxa"/>
            <w:vAlign w:val="bottom"/>
          </w:tcPr>
          <w:p>
            <w:pPr>
              <w:jc w:val="right"/>
              <w:ind w:right="128"/>
              <w:spacing w:after="0" w:line="155"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08"/>
              <w:spacing w:after="0" w:line="155" w:lineRule="exact"/>
              <w:rPr>
                <w:sz w:val="20"/>
                <w:szCs w:val="20"/>
                <w:color w:val="auto"/>
              </w:rPr>
            </w:pPr>
            <w:r>
              <w:rPr>
                <w:rFonts w:ascii="Arial" w:cs="Arial" w:eastAsia="Arial" w:hAnsi="Arial"/>
                <w:sz w:val="14"/>
                <w:szCs w:val="14"/>
                <w:color w:val="auto"/>
              </w:rPr>
              <w:t>(51,584 )</w:t>
            </w:r>
          </w:p>
        </w:tc>
        <w:tc>
          <w:tcPr>
            <w:tcW w:w="420" w:type="dxa"/>
            <w:vAlign w:val="bottom"/>
          </w:tcPr>
          <w:p>
            <w:pPr>
              <w:jc w:val="right"/>
              <w:ind w:right="248"/>
              <w:spacing w:after="0" w:line="155"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(66,645 )</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-3325495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-3325495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-3325495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-3325495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-2691130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-2691130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-2691130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-2691130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-2065020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-2065020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-2065020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-2065020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-1413510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-1396365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-1413510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-1396365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-1413510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-1396365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-1413510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-1396365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-899795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-882015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-899795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-882015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-899795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-882015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-350520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-350520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-350520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-136525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-136525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-136525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4" w:right="339" w:bottom="1440" w:gutter="0" w:footer="0" w:header="0"/>
        </w:sectPr>
      </w:pPr>
    </w:p>
    <w:bookmarkStart w:id="12" w:name="page13"/>
    <w:bookmarkEnd w:id="12"/>
    <w:p>
      <w:pPr>
        <w:ind w:left="4180"/>
        <w:spacing w:after="0"/>
        <w:rPr>
          <w:sz w:val="20"/>
          <w:szCs w:val="20"/>
          <w:color w:val="auto"/>
        </w:rPr>
      </w:pPr>
      <w:r>
        <w:rPr>
          <w:rFonts w:ascii="Arial" w:cs="Arial" w:eastAsia="Arial" w:hAnsi="Arial"/>
          <w:sz w:val="20"/>
          <w:szCs w:val="20"/>
          <w:b w:val="1"/>
          <w:bCs w:val="1"/>
          <w:color w:val="auto"/>
        </w:rPr>
        <w:t>Xometry, Inc. and Subsidiaries</w:t>
      </w:r>
    </w:p>
    <w:p>
      <w:pPr>
        <w:ind w:left="3900"/>
        <w:spacing w:after="0" w:line="231" w:lineRule="auto"/>
        <w:rPr>
          <w:sz w:val="20"/>
          <w:szCs w:val="20"/>
          <w:color w:val="auto"/>
        </w:rPr>
      </w:pPr>
      <w:r>
        <w:rPr>
          <w:rFonts w:ascii="Arial" w:cs="Arial" w:eastAsia="Arial" w:hAnsi="Arial"/>
          <w:sz w:val="20"/>
          <w:szCs w:val="20"/>
          <w:color w:val="auto"/>
        </w:rPr>
        <w:t>Consolidated Statements of Cash Flows</w:t>
      </w:r>
    </w:p>
    <w:p>
      <w:pPr>
        <w:ind w:left="5000"/>
        <w:spacing w:after="0" w:line="226" w:lineRule="auto"/>
        <w:rPr>
          <w:sz w:val="20"/>
          <w:szCs w:val="20"/>
          <w:color w:val="auto"/>
        </w:rPr>
      </w:pPr>
      <w:r>
        <w:rPr>
          <w:rFonts w:ascii="Arial" w:cs="Arial" w:eastAsia="Arial" w:hAnsi="Arial"/>
          <w:sz w:val="20"/>
          <w:szCs w:val="20"/>
          <w:color w:val="auto"/>
        </w:rPr>
        <w:t>(In thousands)</w:t>
      </w:r>
    </w:p>
    <w:p>
      <w:pPr>
        <w:ind w:left="5100"/>
        <w:spacing w:after="0" w:line="234" w:lineRule="auto"/>
        <w:rPr>
          <w:sz w:val="20"/>
          <w:szCs w:val="20"/>
          <w:color w:val="auto"/>
        </w:rPr>
      </w:pPr>
      <w:r>
        <w:rPr>
          <w:rFonts w:ascii="Arial" w:cs="Arial" w:eastAsia="Arial" w:hAnsi="Arial"/>
          <w:sz w:val="20"/>
          <w:szCs w:val="20"/>
          <w:color w:val="auto"/>
        </w:rPr>
        <w:t>(Unaudited)</w:t>
      </w:r>
    </w:p>
    <w:tbl>
      <w:tblPr>
        <w:tblLayout w:type="fixed"/>
        <w:tblInd w:w="0" w:type="dxa"/>
        <w:tblCellMar>
          <w:top w:w="0" w:type="dxa"/>
          <w:left w:w="0" w:type="dxa"/>
          <w:bottom w:w="0" w:type="dxa"/>
          <w:right w:w="0" w:type="dxa"/>
        </w:tblCellMar>
      </w:tblPr>
      <w:tr>
        <w:trPr>
          <w:trHeight w:val="157"/>
        </w:trPr>
        <w:tc>
          <w:tcPr>
            <w:tcW w:w="7760" w:type="dxa"/>
            <w:vAlign w:val="bottom"/>
          </w:tcPr>
          <w:p>
            <w:pPr>
              <w:spacing w:after="0"/>
              <w:rPr>
                <w:sz w:val="13"/>
                <w:szCs w:val="13"/>
                <w:color w:val="auto"/>
              </w:rPr>
            </w:pPr>
          </w:p>
        </w:tc>
        <w:tc>
          <w:tcPr>
            <w:tcW w:w="2820" w:type="dxa"/>
            <w:vAlign w:val="bottom"/>
            <w:tcBorders>
              <w:bottom w:val="single" w:sz="8" w:color="auto"/>
            </w:tcBorders>
            <w:gridSpan w:val="5"/>
          </w:tcPr>
          <w:p>
            <w:pPr>
              <w:jc w:val="right"/>
              <w:ind w:right="188"/>
              <w:spacing w:after="0" w:line="157" w:lineRule="exact"/>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7760" w:type="dxa"/>
            <w:vAlign w:val="bottom"/>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7760" w:type="dxa"/>
            <w:vAlign w:val="bottom"/>
            <w:shd w:val="clear" w:color="auto" w:fill="CFF0FC"/>
          </w:tcPr>
          <w:p>
            <w:pPr>
              <w:ind w:left="20"/>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10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7760" w:type="dxa"/>
            <w:vAlign w:val="bottom"/>
          </w:tcPr>
          <w:p>
            <w:pPr>
              <w:ind w:left="160"/>
              <w:spacing w:after="0"/>
              <w:rPr>
                <w:sz w:val="20"/>
                <w:szCs w:val="20"/>
                <w:color w:val="auto"/>
              </w:rPr>
            </w:pPr>
            <w:r>
              <w:rPr>
                <w:rFonts w:ascii="Arial" w:cs="Arial" w:eastAsia="Arial" w:hAnsi="Arial"/>
                <w:sz w:val="14"/>
                <w:szCs w:val="14"/>
                <w:color w:val="auto"/>
              </w:rPr>
              <w:t>Net loss</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(50,403 )</w:t>
            </w:r>
          </w:p>
        </w:tc>
        <w:tc>
          <w:tcPr>
            <w:tcW w:w="140" w:type="dxa"/>
            <w:vAlign w:val="bottom"/>
          </w:tcPr>
          <w:p>
            <w:pPr>
              <w:spacing w:after="0"/>
              <w:rPr>
                <w:sz w:val="14"/>
                <w:szCs w:val="14"/>
                <w:color w:val="auto"/>
              </w:rPr>
            </w:pP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(67,465 )</w:t>
            </w:r>
          </w:p>
        </w:tc>
      </w:tr>
      <w:tr>
        <w:trPr>
          <w:trHeight w:val="162"/>
        </w:trPr>
        <w:tc>
          <w:tcPr>
            <w:tcW w:w="7760" w:type="dxa"/>
            <w:vAlign w:val="bottom"/>
            <w:shd w:val="clear" w:color="auto" w:fill="CFF0FC"/>
          </w:tcPr>
          <w:p>
            <w:pPr>
              <w:ind w:left="16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ind w:left="300"/>
              <w:spacing w:after="0"/>
              <w:rPr>
                <w:sz w:val="20"/>
                <w:szCs w:val="20"/>
                <w:color w:val="auto"/>
              </w:rPr>
            </w:pPr>
            <w:r>
              <w:rPr>
                <w:rFonts w:ascii="Arial" w:cs="Arial" w:eastAsia="Arial" w:hAnsi="Arial"/>
                <w:sz w:val="14"/>
                <w:szCs w:val="14"/>
                <w:color w:val="auto"/>
              </w:rPr>
              <w:t>Depreciation and amortization</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13,012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10,738</w:t>
            </w:r>
          </w:p>
        </w:tc>
        <w:tc>
          <w:tcPr>
            <w:tcW w:w="100" w:type="dxa"/>
            <w:vAlign w:val="bottom"/>
          </w:tcPr>
          <w:p>
            <w:pPr>
              <w:spacing w:after="0"/>
              <w:rPr>
                <w:sz w:val="14"/>
                <w:szCs w:val="14"/>
                <w:color w:val="auto"/>
              </w:rPr>
            </w:pPr>
          </w:p>
        </w:tc>
      </w:tr>
      <w:tr>
        <w:trPr>
          <w:trHeight w:val="162"/>
        </w:trPr>
        <w:tc>
          <w:tcPr>
            <w:tcW w:w="77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Impairment of assets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397</w:t>
            </w: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ind w:left="300"/>
              <w:spacing w:after="0"/>
              <w:rPr>
                <w:sz w:val="20"/>
                <w:szCs w:val="20"/>
                <w:color w:val="auto"/>
              </w:rPr>
            </w:pPr>
            <w:r>
              <w:rPr>
                <w:rFonts w:ascii="Arial" w:cs="Arial" w:eastAsia="Arial" w:hAnsi="Arial"/>
                <w:sz w:val="14"/>
                <w:szCs w:val="14"/>
                <w:color w:val="auto"/>
              </w:rPr>
              <w:t>Reduction in carrying amount of right-of-use asset</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4,458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14,355</w:t>
            </w:r>
          </w:p>
        </w:tc>
        <w:tc>
          <w:tcPr>
            <w:tcW w:w="100" w:type="dxa"/>
            <w:vAlign w:val="bottom"/>
          </w:tcPr>
          <w:p>
            <w:pPr>
              <w:spacing w:after="0"/>
              <w:rPr>
                <w:sz w:val="14"/>
                <w:szCs w:val="14"/>
                <w:color w:val="auto"/>
              </w:rPr>
            </w:pPr>
          </w:p>
        </w:tc>
      </w:tr>
      <w:tr>
        <w:trPr>
          <w:trHeight w:val="162"/>
        </w:trPr>
        <w:tc>
          <w:tcPr>
            <w:tcW w:w="77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Stock-based compensation</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29,322</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22,118</w:t>
            </w: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ind w:left="300"/>
              <w:spacing w:after="0"/>
              <w:rPr>
                <w:sz w:val="20"/>
                <w:szCs w:val="20"/>
                <w:color w:val="auto"/>
              </w:rPr>
            </w:pPr>
            <w:r>
              <w:rPr>
                <w:rFonts w:ascii="Arial" w:cs="Arial" w:eastAsia="Arial" w:hAnsi="Arial"/>
                <w:sz w:val="14"/>
                <w:szCs w:val="14"/>
                <w:color w:val="auto"/>
              </w:rPr>
              <w:t>Revaluation of contingent consideration</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571</w:t>
            </w:r>
          </w:p>
        </w:tc>
        <w:tc>
          <w:tcPr>
            <w:tcW w:w="100" w:type="dxa"/>
            <w:vAlign w:val="bottom"/>
          </w:tcPr>
          <w:p>
            <w:pPr>
              <w:spacing w:after="0"/>
              <w:rPr>
                <w:sz w:val="14"/>
                <w:szCs w:val="14"/>
                <w:color w:val="auto"/>
              </w:rPr>
            </w:pPr>
          </w:p>
        </w:tc>
      </w:tr>
      <w:tr>
        <w:trPr>
          <w:trHeight w:val="162"/>
        </w:trPr>
        <w:tc>
          <w:tcPr>
            <w:tcW w:w="77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(Income) from unconsolidated joint venture</w:t>
            </w:r>
          </w:p>
        </w:tc>
        <w:tc>
          <w:tcPr>
            <w:tcW w:w="10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(42 )</w:t>
            </w: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(46 )</w:t>
            </w:r>
          </w:p>
        </w:tc>
      </w:tr>
      <w:tr>
        <w:trPr>
          <w:trHeight w:val="162"/>
        </w:trPr>
        <w:tc>
          <w:tcPr>
            <w:tcW w:w="7760" w:type="dxa"/>
            <w:vAlign w:val="bottom"/>
          </w:tcPr>
          <w:p>
            <w:pPr>
              <w:ind w:left="300"/>
              <w:spacing w:after="0"/>
              <w:rPr>
                <w:sz w:val="20"/>
                <w:szCs w:val="20"/>
                <w:color w:val="auto"/>
              </w:rPr>
            </w:pPr>
            <w:r>
              <w:rPr>
                <w:rFonts w:ascii="Arial" w:cs="Arial" w:eastAsia="Arial" w:hAnsi="Arial"/>
                <w:sz w:val="14"/>
                <w:szCs w:val="14"/>
                <w:color w:val="auto"/>
              </w:rPr>
              <w:t>Donation of common stock</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1,686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1,029</w:t>
            </w:r>
          </w:p>
        </w:tc>
        <w:tc>
          <w:tcPr>
            <w:tcW w:w="100" w:type="dxa"/>
            <w:vAlign w:val="bottom"/>
          </w:tcPr>
          <w:p>
            <w:pPr>
              <w:spacing w:after="0"/>
              <w:rPr>
                <w:sz w:val="14"/>
                <w:szCs w:val="14"/>
                <w:color w:val="auto"/>
              </w:rPr>
            </w:pPr>
          </w:p>
        </w:tc>
      </w:tr>
      <w:tr>
        <w:trPr>
          <w:trHeight w:val="162"/>
        </w:trPr>
        <w:tc>
          <w:tcPr>
            <w:tcW w:w="77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Loss on sale of property and equipment</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ind w:left="300"/>
              <w:spacing w:after="0"/>
              <w:rPr>
                <w:sz w:val="20"/>
                <w:szCs w:val="20"/>
                <w:color w:val="auto"/>
              </w:rPr>
            </w:pPr>
            <w:r>
              <w:rPr>
                <w:rFonts w:ascii="Arial" w:cs="Arial" w:eastAsia="Arial" w:hAnsi="Arial"/>
                <w:sz w:val="14"/>
                <w:szCs w:val="14"/>
                <w:color w:val="auto"/>
              </w:rPr>
              <w:t>Inventory write-off</w:t>
            </w:r>
          </w:p>
        </w:tc>
        <w:tc>
          <w:tcPr>
            <w:tcW w:w="1000" w:type="dxa"/>
            <w:vAlign w:val="bottom"/>
          </w:tcPr>
          <w:p>
            <w:pPr>
              <w:spacing w:after="0"/>
              <w:rPr>
                <w:sz w:val="14"/>
                <w:szCs w:val="14"/>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14"/>
                <w:szCs w:val="14"/>
                <w:color w:val="auto"/>
              </w:rPr>
            </w:pPr>
          </w:p>
        </w:tc>
      </w:tr>
      <w:tr>
        <w:trPr>
          <w:trHeight w:val="162"/>
        </w:trPr>
        <w:tc>
          <w:tcPr>
            <w:tcW w:w="77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Amortization of deferred costs on convertible notes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1,859</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1,860</w:t>
            </w: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ind w:left="300"/>
              <w:spacing w:after="0"/>
              <w:rPr>
                <w:sz w:val="20"/>
                <w:szCs w:val="20"/>
                <w:color w:val="auto"/>
              </w:rPr>
            </w:pPr>
            <w:r>
              <w:rPr>
                <w:rFonts w:ascii="Arial" w:cs="Arial" w:eastAsia="Arial" w:hAnsi="Arial"/>
                <w:sz w:val="14"/>
                <w:szCs w:val="14"/>
                <w:color w:val="auto"/>
              </w:rPr>
              <w:t>Deferred tax benefit</w:t>
            </w:r>
          </w:p>
        </w:tc>
        <w:tc>
          <w:tcPr>
            <w:tcW w:w="100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(46 )</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(154 )</w:t>
            </w:r>
          </w:p>
        </w:tc>
      </w:tr>
      <w:tr>
        <w:trPr>
          <w:trHeight w:val="162"/>
        </w:trPr>
        <w:tc>
          <w:tcPr>
            <w:tcW w:w="77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Changes in other assets and liabilities: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ind w:left="440"/>
              <w:spacing w:after="0"/>
              <w:rPr>
                <w:sz w:val="20"/>
                <w:szCs w:val="20"/>
                <w:color w:val="auto"/>
              </w:rPr>
            </w:pPr>
            <w:r>
              <w:rPr>
                <w:rFonts w:ascii="Arial" w:cs="Arial" w:eastAsia="Arial" w:hAnsi="Arial"/>
                <w:sz w:val="14"/>
                <w:szCs w:val="14"/>
                <w:color w:val="auto"/>
              </w:rPr>
              <w:t>Accounts receivable, net</w:t>
            </w:r>
          </w:p>
        </w:tc>
        <w:tc>
          <w:tcPr>
            <w:tcW w:w="100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(5,749 )</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(20,594 )</w:t>
            </w:r>
          </w:p>
        </w:tc>
      </w:tr>
      <w:tr>
        <w:trPr>
          <w:trHeight w:val="162"/>
        </w:trPr>
        <w:tc>
          <w:tcPr>
            <w:tcW w:w="7760" w:type="dxa"/>
            <w:vAlign w:val="bottom"/>
            <w:shd w:val="clear" w:color="auto" w:fill="CFF0FC"/>
          </w:tcPr>
          <w:p>
            <w:pPr>
              <w:ind w:left="440"/>
              <w:spacing w:after="0"/>
              <w:rPr>
                <w:sz w:val="20"/>
                <w:szCs w:val="20"/>
                <w:color w:val="auto"/>
              </w:rPr>
            </w:pPr>
            <w:r>
              <w:rPr>
                <w:rFonts w:ascii="Arial" w:cs="Arial" w:eastAsia="Arial" w:hAnsi="Arial"/>
                <w:sz w:val="14"/>
                <w:szCs w:val="14"/>
                <w:color w:val="auto"/>
              </w:rPr>
              <w:t>Inventory</w:t>
            </w:r>
          </w:p>
        </w:tc>
        <w:tc>
          <w:tcPr>
            <w:tcW w:w="10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(1,282 )</w:t>
            </w: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(1,550 )</w:t>
            </w:r>
          </w:p>
        </w:tc>
      </w:tr>
      <w:tr>
        <w:trPr>
          <w:trHeight w:val="162"/>
        </w:trPr>
        <w:tc>
          <w:tcPr>
            <w:tcW w:w="7760" w:type="dxa"/>
            <w:vAlign w:val="bottom"/>
          </w:tcPr>
          <w:p>
            <w:pPr>
              <w:ind w:left="440"/>
              <w:spacing w:after="0"/>
              <w:rPr>
                <w:sz w:val="20"/>
                <w:szCs w:val="20"/>
                <w:color w:val="auto"/>
              </w:rPr>
            </w:pPr>
            <w:r>
              <w:rPr>
                <w:rFonts w:ascii="Arial" w:cs="Arial" w:eastAsia="Arial" w:hAnsi="Arial"/>
                <w:sz w:val="14"/>
                <w:szCs w:val="14"/>
                <w:color w:val="auto"/>
              </w:rPr>
              <w:t>Prepaid expenses</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599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1,669</w:t>
            </w:r>
          </w:p>
        </w:tc>
        <w:tc>
          <w:tcPr>
            <w:tcW w:w="100" w:type="dxa"/>
            <w:vAlign w:val="bottom"/>
          </w:tcPr>
          <w:p>
            <w:pPr>
              <w:spacing w:after="0"/>
              <w:rPr>
                <w:sz w:val="14"/>
                <w:szCs w:val="14"/>
                <w:color w:val="auto"/>
              </w:rPr>
            </w:pPr>
          </w:p>
        </w:tc>
      </w:tr>
      <w:tr>
        <w:trPr>
          <w:trHeight w:val="162"/>
        </w:trPr>
        <w:tc>
          <w:tcPr>
            <w:tcW w:w="7760" w:type="dxa"/>
            <w:vAlign w:val="bottom"/>
            <w:shd w:val="clear" w:color="auto" w:fill="CFF0FC"/>
          </w:tcPr>
          <w:p>
            <w:pPr>
              <w:ind w:left="440"/>
              <w:spacing w:after="0"/>
              <w:rPr>
                <w:sz w:val="20"/>
                <w:szCs w:val="20"/>
                <w:color w:val="auto"/>
              </w:rPr>
            </w:pPr>
            <w:r>
              <w:rPr>
                <w:rFonts w:ascii="Arial" w:cs="Arial" w:eastAsia="Arial" w:hAnsi="Arial"/>
                <w:sz w:val="14"/>
                <w:szCs w:val="14"/>
                <w:color w:val="auto"/>
              </w:rPr>
              <w:t>Other assets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4,213</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(80 )</w:t>
            </w:r>
          </w:p>
        </w:tc>
      </w:tr>
      <w:tr>
        <w:trPr>
          <w:trHeight w:val="162"/>
        </w:trPr>
        <w:tc>
          <w:tcPr>
            <w:tcW w:w="7760" w:type="dxa"/>
            <w:vAlign w:val="bottom"/>
          </w:tcPr>
          <w:p>
            <w:pPr>
              <w:ind w:left="440"/>
              <w:spacing w:after="0"/>
              <w:rPr>
                <w:sz w:val="20"/>
                <w:szCs w:val="20"/>
                <w:color w:val="auto"/>
              </w:rPr>
            </w:pPr>
            <w:r>
              <w:rPr>
                <w:rFonts w:ascii="Arial" w:cs="Arial" w:eastAsia="Arial" w:hAnsi="Arial"/>
                <w:sz w:val="14"/>
                <w:szCs w:val="14"/>
                <w:color w:val="auto"/>
              </w:rPr>
              <w:t>Accounts payable and accrued cost of revenue</w:t>
            </w:r>
          </w:p>
        </w:tc>
        <w:tc>
          <w:tcPr>
            <w:tcW w:w="100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(8,706 )</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12,593</w:t>
            </w:r>
          </w:p>
        </w:tc>
        <w:tc>
          <w:tcPr>
            <w:tcW w:w="100" w:type="dxa"/>
            <w:vAlign w:val="bottom"/>
          </w:tcPr>
          <w:p>
            <w:pPr>
              <w:spacing w:after="0"/>
              <w:rPr>
                <w:sz w:val="14"/>
                <w:szCs w:val="14"/>
                <w:color w:val="auto"/>
              </w:rPr>
            </w:pPr>
          </w:p>
        </w:tc>
      </w:tr>
      <w:tr>
        <w:trPr>
          <w:trHeight w:val="162"/>
        </w:trPr>
        <w:tc>
          <w:tcPr>
            <w:tcW w:w="7760" w:type="dxa"/>
            <w:vAlign w:val="bottom"/>
            <w:shd w:val="clear" w:color="auto" w:fill="CFF0FC"/>
          </w:tcPr>
          <w:p>
            <w:pPr>
              <w:ind w:left="440"/>
              <w:spacing w:after="0"/>
              <w:rPr>
                <w:sz w:val="20"/>
                <w:szCs w:val="20"/>
                <w:color w:val="auto"/>
              </w:rPr>
            </w:pPr>
            <w:r>
              <w:rPr>
                <w:rFonts w:ascii="Arial" w:cs="Arial" w:eastAsia="Arial" w:hAnsi="Arial"/>
                <w:sz w:val="14"/>
                <w:szCs w:val="14"/>
                <w:color w:val="auto"/>
              </w:rPr>
              <w:t>Other accrued expenses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2,681</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1,603</w:t>
            </w: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ind w:left="440"/>
              <w:spacing w:after="0"/>
              <w:rPr>
                <w:sz w:val="20"/>
                <w:szCs w:val="20"/>
                <w:color w:val="auto"/>
              </w:rPr>
            </w:pPr>
            <w:r>
              <w:rPr>
                <w:rFonts w:ascii="Arial" w:cs="Arial" w:eastAsia="Arial" w:hAnsi="Arial"/>
                <w:sz w:val="14"/>
                <w:szCs w:val="14"/>
                <w:color w:val="auto"/>
              </w:rPr>
              <w:t>Contract liabilities</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681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(1,404 )</w:t>
            </w:r>
          </w:p>
        </w:tc>
      </w:tr>
      <w:tr>
        <w:trPr>
          <w:trHeight w:val="162"/>
        </w:trPr>
        <w:tc>
          <w:tcPr>
            <w:tcW w:w="7760" w:type="dxa"/>
            <w:vAlign w:val="bottom"/>
            <w:shd w:val="clear" w:color="auto" w:fill="CFF0FC"/>
          </w:tcPr>
          <w:p>
            <w:pPr>
              <w:ind w:left="440"/>
              <w:spacing w:after="0"/>
              <w:rPr>
                <w:sz w:val="20"/>
                <w:szCs w:val="20"/>
                <w:color w:val="auto"/>
              </w:rPr>
            </w:pPr>
            <w:r>
              <w:rPr>
                <w:rFonts w:ascii="Arial" w:cs="Arial" w:eastAsia="Arial" w:hAnsi="Arial"/>
                <w:sz w:val="14"/>
                <w:szCs w:val="14"/>
                <w:color w:val="auto"/>
              </w:rPr>
              <w:t>Lease liabilities</w:t>
            </w:r>
          </w:p>
        </w:tc>
        <w:tc>
          <w:tcPr>
            <w:tcW w:w="10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(6,911 )</w:t>
            </w: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(5,520 )</w:t>
            </w:r>
          </w:p>
        </w:tc>
      </w:tr>
      <w:tr>
        <w:trPr>
          <w:trHeight w:val="162"/>
        </w:trPr>
        <w:tc>
          <w:tcPr>
            <w:tcW w:w="7760" w:type="dxa"/>
            <w:vAlign w:val="bottom"/>
          </w:tcPr>
          <w:p>
            <w:pPr>
              <w:ind w:left="440"/>
              <w:spacing w:after="0"/>
              <w:rPr>
                <w:sz w:val="20"/>
                <w:szCs w:val="20"/>
                <w:color w:val="auto"/>
              </w:rPr>
            </w:pPr>
            <w:r>
              <w:rPr>
                <w:rFonts w:ascii="Arial" w:cs="Arial" w:eastAsia="Arial" w:hAnsi="Arial"/>
                <w:sz w:val="14"/>
                <w:szCs w:val="14"/>
                <w:color w:val="auto"/>
              </w:rPr>
              <w:t>Other liabilities</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527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62"/>
        </w:trPr>
        <w:tc>
          <w:tcPr>
            <w:tcW w:w="7760" w:type="dxa"/>
            <w:vAlign w:val="bottom"/>
            <w:shd w:val="clear" w:color="auto" w:fill="CFF0FC"/>
          </w:tcPr>
          <w:p>
            <w:pPr>
              <w:ind w:left="440"/>
              <w:spacing w:after="0"/>
              <w:rPr>
                <w:sz w:val="20"/>
                <w:szCs w:val="20"/>
                <w:color w:val="auto"/>
              </w:rPr>
            </w:pPr>
            <w:r>
              <w:rPr>
                <w:rFonts w:ascii="Arial" w:cs="Arial" w:eastAsia="Arial" w:hAnsi="Arial"/>
                <w:sz w:val="14"/>
                <w:szCs w:val="14"/>
                <w:color w:val="auto"/>
              </w:rPr>
              <w:t>Income taxes payable</w:t>
            </w:r>
          </w:p>
        </w:tc>
        <w:tc>
          <w:tcPr>
            <w:tcW w:w="10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(1,505 )</w:t>
            </w: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(312 )</w:t>
            </w:r>
          </w:p>
        </w:tc>
      </w:tr>
      <w:tr>
        <w:trPr>
          <w:trHeight w:val="20"/>
        </w:trPr>
        <w:tc>
          <w:tcPr>
            <w:tcW w:w="77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5"/>
        </w:trPr>
        <w:tc>
          <w:tcPr>
            <w:tcW w:w="776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Net cash used in operating activities</w:t>
            </w:r>
          </w:p>
        </w:tc>
        <w:tc>
          <w:tcPr>
            <w:tcW w:w="1000" w:type="dxa"/>
            <w:vAlign w:val="bottom"/>
          </w:tcPr>
          <w:p>
            <w:pPr>
              <w:spacing w:after="0"/>
              <w:rPr>
                <w:sz w:val="13"/>
                <w:szCs w:val="13"/>
                <w:color w:val="auto"/>
              </w:rPr>
            </w:pPr>
          </w:p>
        </w:tc>
        <w:tc>
          <w:tcPr>
            <w:tcW w:w="6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(15,384 )</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(29,877 )</w:t>
            </w:r>
          </w:p>
        </w:tc>
      </w:tr>
      <w:tr>
        <w:trPr>
          <w:trHeight w:val="156"/>
        </w:trPr>
        <w:tc>
          <w:tcPr>
            <w:tcW w:w="7760" w:type="dxa"/>
            <w:vAlign w:val="bottom"/>
            <w:shd w:val="clear" w:color="auto" w:fill="CFF0FC"/>
          </w:tcPr>
          <w:p>
            <w:pPr>
              <w:ind w:left="20"/>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100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7760" w:type="dxa"/>
            <w:vAlign w:val="bottom"/>
          </w:tcPr>
          <w:p>
            <w:pPr>
              <w:ind w:left="160"/>
              <w:spacing w:after="0"/>
              <w:rPr>
                <w:sz w:val="20"/>
                <w:szCs w:val="20"/>
                <w:color w:val="auto"/>
              </w:rPr>
            </w:pPr>
            <w:r>
              <w:rPr>
                <w:rFonts w:ascii="Arial" w:cs="Arial" w:eastAsia="Arial" w:hAnsi="Arial"/>
                <w:sz w:val="14"/>
                <w:szCs w:val="14"/>
                <w:color w:val="auto"/>
              </w:rPr>
              <w:t>Purchases of marketable securities</w:t>
            </w:r>
          </w:p>
        </w:tc>
        <w:tc>
          <w:tcPr>
            <w:tcW w:w="100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(18,751 )</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(11,582 )</w:t>
            </w:r>
          </w:p>
        </w:tc>
      </w:tr>
      <w:tr>
        <w:trPr>
          <w:trHeight w:val="162"/>
        </w:trPr>
        <w:tc>
          <w:tcPr>
            <w:tcW w:w="7760" w:type="dxa"/>
            <w:vAlign w:val="bottom"/>
            <w:shd w:val="clear" w:color="auto" w:fill="CFF0FC"/>
          </w:tcPr>
          <w:p>
            <w:pPr>
              <w:ind w:left="160"/>
              <w:spacing w:after="0"/>
              <w:rPr>
                <w:sz w:val="20"/>
                <w:szCs w:val="20"/>
                <w:color w:val="auto"/>
              </w:rPr>
            </w:pPr>
            <w:r>
              <w:rPr>
                <w:rFonts w:ascii="Arial" w:cs="Arial" w:eastAsia="Arial" w:hAnsi="Arial"/>
                <w:sz w:val="14"/>
                <w:szCs w:val="14"/>
                <w:color w:val="auto"/>
              </w:rPr>
              <w:t>Proceeds from sale of marketable securities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16,500</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ind w:left="160"/>
              <w:spacing w:after="0"/>
              <w:rPr>
                <w:sz w:val="20"/>
                <w:szCs w:val="20"/>
                <w:color w:val="auto"/>
              </w:rPr>
            </w:pPr>
            <w:r>
              <w:rPr>
                <w:rFonts w:ascii="Arial" w:cs="Arial" w:eastAsia="Arial" w:hAnsi="Arial"/>
                <w:sz w:val="14"/>
                <w:szCs w:val="14"/>
                <w:color w:val="auto"/>
              </w:rPr>
              <w:t>Purchases of property and equipment</w:t>
            </w:r>
          </w:p>
        </w:tc>
        <w:tc>
          <w:tcPr>
            <w:tcW w:w="100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(18,097 )</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(18,486 )</w:t>
            </w:r>
          </w:p>
        </w:tc>
      </w:tr>
      <w:tr>
        <w:trPr>
          <w:trHeight w:val="162"/>
        </w:trPr>
        <w:tc>
          <w:tcPr>
            <w:tcW w:w="7760" w:type="dxa"/>
            <w:vAlign w:val="bottom"/>
            <w:shd w:val="clear" w:color="auto" w:fill="CFF0FC"/>
          </w:tcPr>
          <w:p>
            <w:pPr>
              <w:ind w:left="160"/>
              <w:spacing w:after="0"/>
              <w:rPr>
                <w:sz w:val="20"/>
                <w:szCs w:val="20"/>
                <w:color w:val="auto"/>
              </w:rPr>
            </w:pPr>
            <w:r>
              <w:rPr>
                <w:rFonts w:ascii="Arial" w:cs="Arial" w:eastAsia="Arial" w:hAnsi="Arial"/>
                <w:sz w:val="14"/>
                <w:szCs w:val="14"/>
                <w:color w:val="auto"/>
              </w:rPr>
              <w:t>Distributions in excess of earnings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7760" w:type="dxa"/>
            <w:vAlign w:val="bottom"/>
          </w:tcPr>
          <w:p>
            <w:pPr>
              <w:ind w:left="160"/>
              <w:spacing w:after="0"/>
              <w:rPr>
                <w:sz w:val="20"/>
                <w:szCs w:val="20"/>
                <w:color w:val="auto"/>
              </w:rPr>
            </w:pPr>
            <w:r>
              <w:rPr>
                <w:rFonts w:ascii="Arial" w:cs="Arial" w:eastAsia="Arial" w:hAnsi="Arial"/>
                <w:sz w:val="14"/>
                <w:szCs w:val="14"/>
                <w:color w:val="auto"/>
              </w:rPr>
              <w:t>Proceeds from sale of property and equipment</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14"/>
                <w:szCs w:val="14"/>
                <w:color w:val="auto"/>
              </w:rPr>
            </w:pPr>
          </w:p>
        </w:tc>
      </w:tr>
      <w:tr>
        <w:trPr>
          <w:trHeight w:val="162"/>
        </w:trPr>
        <w:tc>
          <w:tcPr>
            <w:tcW w:w="7760" w:type="dxa"/>
            <w:vAlign w:val="bottom"/>
            <w:shd w:val="clear" w:color="auto" w:fill="CFF0FC"/>
          </w:tcPr>
          <w:p>
            <w:pPr>
              <w:ind w:left="160"/>
              <w:spacing w:after="0"/>
              <w:rPr>
                <w:sz w:val="20"/>
                <w:szCs w:val="20"/>
                <w:color w:val="auto"/>
              </w:rPr>
            </w:pPr>
            <w:r>
              <w:rPr>
                <w:rFonts w:ascii="Arial" w:cs="Arial" w:eastAsia="Arial" w:hAnsi="Arial"/>
                <w:sz w:val="14"/>
                <w:szCs w:val="14"/>
                <w:color w:val="auto"/>
              </w:rPr>
              <w:t>Cash paid for business combination, net of cash acquired</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(3,349 )</w:t>
            </w:r>
          </w:p>
        </w:tc>
      </w:tr>
      <w:tr>
        <w:trPr>
          <w:trHeight w:val="20"/>
        </w:trPr>
        <w:tc>
          <w:tcPr>
            <w:tcW w:w="77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5"/>
        </w:trPr>
        <w:tc>
          <w:tcPr>
            <w:tcW w:w="776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Net cash (used in) provided by investing activities</w:t>
            </w:r>
          </w:p>
        </w:tc>
        <w:tc>
          <w:tcPr>
            <w:tcW w:w="1000" w:type="dxa"/>
            <w:vAlign w:val="bottom"/>
          </w:tcPr>
          <w:p>
            <w:pPr>
              <w:spacing w:after="0"/>
              <w:rPr>
                <w:sz w:val="13"/>
                <w:szCs w:val="13"/>
                <w:color w:val="auto"/>
              </w:rPr>
            </w:pPr>
          </w:p>
        </w:tc>
        <w:tc>
          <w:tcPr>
            <w:tcW w:w="6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(20,179 )</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16,806</w:t>
            </w:r>
          </w:p>
        </w:tc>
        <w:tc>
          <w:tcPr>
            <w:tcW w:w="100" w:type="dxa"/>
            <w:vAlign w:val="bottom"/>
          </w:tcPr>
          <w:p>
            <w:pPr>
              <w:spacing w:after="0"/>
              <w:rPr>
                <w:sz w:val="13"/>
                <w:szCs w:val="13"/>
                <w:color w:val="auto"/>
              </w:rPr>
            </w:pPr>
          </w:p>
        </w:tc>
      </w:tr>
      <w:tr>
        <w:trPr>
          <w:trHeight w:val="156"/>
        </w:trPr>
        <w:tc>
          <w:tcPr>
            <w:tcW w:w="7760" w:type="dxa"/>
            <w:vAlign w:val="bottom"/>
            <w:shd w:val="clear" w:color="auto" w:fill="CFF0FC"/>
          </w:tcPr>
          <w:p>
            <w:pPr>
              <w:ind w:left="20"/>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100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7760" w:type="dxa"/>
            <w:vAlign w:val="bottom"/>
          </w:tcPr>
          <w:p>
            <w:pPr>
              <w:ind w:left="160"/>
              <w:spacing w:after="0"/>
              <w:rPr>
                <w:sz w:val="20"/>
                <w:szCs w:val="20"/>
                <w:color w:val="auto"/>
              </w:rPr>
            </w:pPr>
            <w:r>
              <w:rPr>
                <w:rFonts w:ascii="Arial" w:cs="Arial" w:eastAsia="Arial" w:hAnsi="Arial"/>
                <w:sz w:val="14"/>
                <w:szCs w:val="14"/>
                <w:color w:val="auto"/>
              </w:rPr>
              <w:t>Proceeds from stock options exercised</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5,104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1,909</w:t>
            </w:r>
          </w:p>
        </w:tc>
        <w:tc>
          <w:tcPr>
            <w:tcW w:w="100" w:type="dxa"/>
            <w:vAlign w:val="bottom"/>
          </w:tcPr>
          <w:p>
            <w:pPr>
              <w:spacing w:after="0"/>
              <w:rPr>
                <w:sz w:val="14"/>
                <w:szCs w:val="14"/>
                <w:color w:val="auto"/>
              </w:rPr>
            </w:pPr>
          </w:p>
        </w:tc>
      </w:tr>
      <w:tr>
        <w:trPr>
          <w:trHeight w:val="162"/>
        </w:trPr>
        <w:tc>
          <w:tcPr>
            <w:tcW w:w="7760" w:type="dxa"/>
            <w:vAlign w:val="bottom"/>
            <w:shd w:val="clear" w:color="auto" w:fill="CFF0FC"/>
          </w:tcPr>
          <w:p>
            <w:pPr>
              <w:ind w:left="160"/>
              <w:spacing w:after="0"/>
              <w:rPr>
                <w:sz w:val="20"/>
                <w:szCs w:val="20"/>
                <w:color w:val="auto"/>
              </w:rPr>
            </w:pPr>
            <w:r>
              <w:rPr>
                <w:rFonts w:ascii="Arial" w:cs="Arial" w:eastAsia="Arial" w:hAnsi="Arial"/>
                <w:sz w:val="14"/>
                <w:szCs w:val="14"/>
                <w:color w:val="auto"/>
              </w:rPr>
              <w:t>Payment of contingent consideration</w:t>
            </w:r>
          </w:p>
        </w:tc>
        <w:tc>
          <w:tcPr>
            <w:tcW w:w="10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(465 )</w:t>
            </w: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(842 )</w:t>
            </w:r>
          </w:p>
        </w:tc>
      </w:tr>
      <w:tr>
        <w:trPr>
          <w:trHeight w:val="155"/>
        </w:trPr>
        <w:tc>
          <w:tcPr>
            <w:tcW w:w="7760" w:type="dxa"/>
            <w:vAlign w:val="bottom"/>
            <w:tcBorders>
              <w:top w:val="single" w:sz="8" w:color="CFF0FC"/>
            </w:tcBorders>
          </w:tcPr>
          <w:p>
            <w:pPr>
              <w:ind w:left="300"/>
              <w:spacing w:after="0" w:line="155" w:lineRule="exact"/>
              <w:rPr>
                <w:sz w:val="20"/>
                <w:szCs w:val="20"/>
                <w:color w:val="auto"/>
              </w:rPr>
            </w:pPr>
            <w:r>
              <w:rPr>
                <w:rFonts w:ascii="Arial" w:cs="Arial" w:eastAsia="Arial" w:hAnsi="Arial"/>
                <w:sz w:val="14"/>
                <w:szCs w:val="14"/>
                <w:b w:val="1"/>
                <w:bCs w:val="1"/>
                <w:color w:val="auto"/>
              </w:rPr>
              <w:t>Net cash provided by financing activities</w:t>
            </w:r>
          </w:p>
        </w:tc>
        <w:tc>
          <w:tcPr>
            <w:tcW w:w="10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4,639</w:t>
            </w:r>
          </w:p>
        </w:tc>
        <w:tc>
          <w:tcPr>
            <w:tcW w:w="120" w:type="dxa"/>
            <w:vAlign w:val="bottom"/>
            <w:tcBorders>
              <w:top w:val="single" w:sz="8" w:color="CFF0FC"/>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1,067</w:t>
            </w:r>
          </w:p>
        </w:tc>
        <w:tc>
          <w:tcPr>
            <w:tcW w:w="100" w:type="dxa"/>
            <w:vAlign w:val="bottom"/>
            <w:tcBorders>
              <w:top w:val="single" w:sz="8" w:color="CFF0FC"/>
            </w:tcBorders>
          </w:tcPr>
          <w:p>
            <w:pPr>
              <w:spacing w:after="0"/>
              <w:rPr>
                <w:sz w:val="13"/>
                <w:szCs w:val="13"/>
                <w:color w:val="auto"/>
              </w:rPr>
            </w:pPr>
          </w:p>
        </w:tc>
      </w:tr>
      <w:tr>
        <w:trPr>
          <w:trHeight w:val="155"/>
        </w:trPr>
        <w:tc>
          <w:tcPr>
            <w:tcW w:w="7760" w:type="dxa"/>
            <w:vAlign w:val="bottom"/>
            <w:shd w:val="clear" w:color="auto" w:fill="CFF0FC"/>
          </w:tcPr>
          <w:p>
            <w:pPr>
              <w:ind w:left="160"/>
              <w:spacing w:after="0" w:line="155" w:lineRule="exact"/>
              <w:rPr>
                <w:sz w:val="20"/>
                <w:szCs w:val="20"/>
                <w:color w:val="auto"/>
              </w:rPr>
            </w:pPr>
            <w:r>
              <w:rPr>
                <w:rFonts w:ascii="Arial" w:cs="Arial" w:eastAsia="Arial" w:hAnsi="Arial"/>
                <w:sz w:val="14"/>
                <w:szCs w:val="14"/>
                <w:color w:val="auto"/>
              </w:rPr>
              <w:t>Effect of foreign currency translation on cash and cash equivalents</w:t>
            </w:r>
          </w:p>
        </w:tc>
        <w:tc>
          <w:tcPr>
            <w:tcW w:w="100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40"/>
              <w:spacing w:after="0" w:line="155" w:lineRule="exact"/>
              <w:rPr>
                <w:sz w:val="20"/>
                <w:szCs w:val="20"/>
                <w:color w:val="auto"/>
              </w:rPr>
            </w:pPr>
            <w:r>
              <w:rPr>
                <w:rFonts w:ascii="Arial" w:cs="Arial" w:eastAsia="Arial" w:hAnsi="Arial"/>
                <w:sz w:val="14"/>
                <w:szCs w:val="14"/>
                <w:color w:val="auto"/>
              </w:rPr>
              <w:t>(268 )</w:t>
            </w: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40"/>
              <w:spacing w:after="0" w:line="155" w:lineRule="exact"/>
              <w:rPr>
                <w:sz w:val="20"/>
                <w:szCs w:val="20"/>
                <w:color w:val="auto"/>
              </w:rPr>
            </w:pPr>
            <w:r>
              <w:rPr>
                <w:rFonts w:ascii="Arial" w:cs="Arial" w:eastAsia="Arial" w:hAnsi="Arial"/>
                <w:sz w:val="14"/>
                <w:szCs w:val="14"/>
                <w:color w:val="auto"/>
              </w:rPr>
              <w:t>(234 )</w:t>
            </w:r>
          </w:p>
        </w:tc>
      </w:tr>
      <w:tr>
        <w:trPr>
          <w:trHeight w:val="20"/>
        </w:trPr>
        <w:tc>
          <w:tcPr>
            <w:tcW w:w="77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6"/>
        </w:trPr>
        <w:tc>
          <w:tcPr>
            <w:tcW w:w="776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Net decrease in cash and cash equivalents</w:t>
            </w:r>
          </w:p>
        </w:tc>
        <w:tc>
          <w:tcPr>
            <w:tcW w:w="1000" w:type="dxa"/>
            <w:vAlign w:val="bottom"/>
          </w:tcPr>
          <w:p>
            <w:pPr>
              <w:spacing w:after="0"/>
              <w:rPr>
                <w:sz w:val="13"/>
                <w:szCs w:val="13"/>
                <w:color w:val="auto"/>
              </w:rPr>
            </w:pPr>
          </w:p>
        </w:tc>
        <w:tc>
          <w:tcPr>
            <w:tcW w:w="6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(31,192 )</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(12,238 )</w:t>
            </w:r>
          </w:p>
        </w:tc>
      </w:tr>
      <w:tr>
        <w:trPr>
          <w:trHeight w:val="162"/>
        </w:trPr>
        <w:tc>
          <w:tcPr>
            <w:tcW w:w="7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Cash and cash equivalents at beginning of the year</w:t>
            </w:r>
          </w:p>
        </w:tc>
        <w:tc>
          <w:tcPr>
            <w:tcW w:w="100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53,424</w:t>
            </w: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65,662</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6"/>
        </w:trPr>
        <w:tc>
          <w:tcPr>
            <w:tcW w:w="776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Cash and cash equivalents at end of the year</w:t>
            </w:r>
          </w:p>
        </w:tc>
        <w:tc>
          <w:tcPr>
            <w:tcW w:w="1000" w:type="dxa"/>
            <w:vAlign w:val="bottom"/>
            <w:tcBorders>
              <w:bottom w:val="single" w:sz="8" w:color="auto"/>
            </w:tcBorders>
          </w:tcPr>
          <w:p>
            <w:pPr>
              <w:jc w:val="right"/>
              <w:ind w:right="828"/>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22,232</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848"/>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53,424</w:t>
            </w:r>
          </w:p>
        </w:tc>
        <w:tc>
          <w:tcPr>
            <w:tcW w:w="100" w:type="dxa"/>
            <w:vAlign w:val="bottom"/>
          </w:tcPr>
          <w:p>
            <w:pPr>
              <w:spacing w:after="0"/>
              <w:rPr>
                <w:sz w:val="13"/>
                <w:szCs w:val="13"/>
                <w:color w:val="auto"/>
              </w:rPr>
            </w:pPr>
          </w:p>
        </w:tc>
      </w:tr>
      <w:tr>
        <w:trPr>
          <w:trHeight w:val="20"/>
        </w:trPr>
        <w:tc>
          <w:tcPr>
            <w:tcW w:w="77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776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b w:val="1"/>
                <w:bCs w:val="1"/>
                <w:color w:val="auto"/>
              </w:rPr>
              <w:t>Supplemental cash flow information:</w:t>
            </w:r>
          </w:p>
        </w:tc>
        <w:tc>
          <w:tcPr>
            <w:tcW w:w="10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7760" w:type="dxa"/>
            <w:vAlign w:val="bottom"/>
          </w:tcPr>
          <w:p>
            <w:pPr>
              <w:ind w:left="20"/>
              <w:spacing w:after="0"/>
              <w:rPr>
                <w:sz w:val="20"/>
                <w:szCs w:val="20"/>
                <w:color w:val="auto"/>
              </w:rPr>
            </w:pPr>
            <w:r>
              <w:rPr>
                <w:rFonts w:ascii="Arial" w:cs="Arial" w:eastAsia="Arial" w:hAnsi="Arial"/>
                <w:sz w:val="14"/>
                <w:szCs w:val="14"/>
                <w:color w:val="auto"/>
              </w:rPr>
              <w:t>Cash paid for interest</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2,875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2,875</w:t>
            </w:r>
          </w:p>
        </w:tc>
        <w:tc>
          <w:tcPr>
            <w:tcW w:w="100" w:type="dxa"/>
            <w:vAlign w:val="bottom"/>
          </w:tcPr>
          <w:p>
            <w:pPr>
              <w:spacing w:after="0"/>
              <w:rPr>
                <w:sz w:val="14"/>
                <w:szCs w:val="14"/>
                <w:color w:val="auto"/>
              </w:rPr>
            </w:pPr>
          </w:p>
        </w:tc>
      </w:tr>
      <w:tr>
        <w:trPr>
          <w:trHeight w:val="162"/>
        </w:trPr>
        <w:tc>
          <w:tcPr>
            <w:tcW w:w="77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Non-cash investing and financing activities: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ind w:left="20"/>
              <w:spacing w:after="0"/>
              <w:rPr>
                <w:sz w:val="20"/>
                <w:szCs w:val="20"/>
                <w:color w:val="auto"/>
              </w:rPr>
            </w:pPr>
            <w:r>
              <w:rPr>
                <w:rFonts w:ascii="Arial" w:cs="Arial" w:eastAsia="Arial" w:hAnsi="Arial"/>
                <w:sz w:val="14"/>
                <w:szCs w:val="14"/>
                <w:color w:val="auto"/>
              </w:rPr>
              <w:t>Non-cash purchase of property and equipment</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1,059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5,353</w:t>
            </w:r>
          </w:p>
        </w:tc>
        <w:tc>
          <w:tcPr>
            <w:tcW w:w="100" w:type="dxa"/>
            <w:vAlign w:val="bottom"/>
          </w:tcPr>
          <w:p>
            <w:pPr>
              <w:spacing w:after="0"/>
              <w:rPr>
                <w:sz w:val="14"/>
                <w:szCs w:val="14"/>
                <w:color w:val="auto"/>
              </w:rPr>
            </w:pPr>
          </w:p>
        </w:tc>
      </w:tr>
      <w:tr>
        <w:trPr>
          <w:trHeight w:val="162"/>
        </w:trPr>
        <w:tc>
          <w:tcPr>
            <w:tcW w:w="776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Non-cash consideration in connection with business combination</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625</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1,593</w:t>
            </w:r>
          </w:p>
        </w:tc>
        <w:tc>
          <w:tcPr>
            <w:tcW w:w="100" w:type="dxa"/>
            <w:vAlign w:val="bottom"/>
            <w:shd w:val="clear" w:color="auto" w:fill="CFF0F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-2356485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-2356485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-1517015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-1517015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-1088390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-1088390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-865505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-865505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-650875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3" w:name="page14"/>
    <w:bookmarkEnd w:id="13"/>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jc w:val="center"/>
        <w:ind w:right="40"/>
        <w:spacing w:after="0" w:line="231" w:lineRule="auto"/>
        <w:rPr>
          <w:sz w:val="20"/>
          <w:szCs w:val="20"/>
          <w:color w:val="auto"/>
        </w:rPr>
      </w:pPr>
      <w:r>
        <w:rPr>
          <w:rFonts w:ascii="Arial" w:cs="Arial" w:eastAsia="Arial" w:hAnsi="Arial"/>
          <w:sz w:val="20"/>
          <w:szCs w:val="20"/>
          <w:color w:val="auto"/>
        </w:rPr>
        <w:t>Reconciliations of Non-GAAP Financial Measures</w:t>
      </w:r>
    </w:p>
    <w:p>
      <w:pPr>
        <w:jc w:val="center"/>
        <w:spacing w:after="0" w:line="226" w:lineRule="auto"/>
        <w:rPr>
          <w:sz w:val="20"/>
          <w:szCs w:val="20"/>
          <w:color w:val="auto"/>
        </w:rPr>
      </w:pPr>
      <w:r>
        <w:rPr>
          <w:rFonts w:ascii="Arial" w:cs="Arial" w:eastAsia="Arial" w:hAnsi="Arial"/>
          <w:sz w:val="20"/>
          <w:szCs w:val="20"/>
          <w:color w:val="auto"/>
        </w:rPr>
        <w:t>(In thousands, except share and per share amounts)</w:t>
      </w:r>
    </w:p>
    <w:p>
      <w:pPr>
        <w:jc w:val="center"/>
        <w:spacing w:after="0" w:line="234" w:lineRule="auto"/>
        <w:rPr>
          <w:sz w:val="20"/>
          <w:szCs w:val="20"/>
          <w:color w:val="auto"/>
        </w:rPr>
      </w:pPr>
      <w:r>
        <w:rPr>
          <w:rFonts w:ascii="Arial" w:cs="Arial" w:eastAsia="Arial" w:hAnsi="Arial"/>
          <w:sz w:val="20"/>
          <w:szCs w:val="20"/>
          <w:color w:val="auto"/>
        </w:rPr>
        <w:t>(Unaudited)</w:t>
      </w:r>
    </w:p>
    <w:tbl>
      <w:tblPr>
        <w:tblLayout w:type="fixed"/>
        <w:tblInd w:w="80" w:type="dxa"/>
        <w:tblCellMar>
          <w:top w:w="0" w:type="dxa"/>
          <w:left w:w="0" w:type="dxa"/>
          <w:bottom w:w="0" w:type="dxa"/>
          <w:right w:w="0" w:type="dxa"/>
        </w:tblCellMar>
      </w:tblPr>
      <w:tr>
        <w:trPr>
          <w:trHeight w:val="148"/>
        </w:trPr>
        <w:tc>
          <w:tcPr>
            <w:tcW w:w="12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40" w:type="dxa"/>
            <w:vAlign w:val="bottom"/>
            <w:gridSpan w:val="5"/>
          </w:tcPr>
          <w:p>
            <w:pPr>
              <w:jc w:val="right"/>
              <w:ind w:right="720"/>
              <w:spacing w:after="0" w:line="148" w:lineRule="exact"/>
              <w:rPr>
                <w:sz w:val="20"/>
                <w:szCs w:val="20"/>
                <w:color w:val="auto"/>
              </w:rPr>
            </w:pPr>
            <w:r>
              <w:rPr>
                <w:rFonts w:ascii="Arial" w:cs="Arial" w:eastAsia="Arial" w:hAnsi="Arial"/>
                <w:sz w:val="14"/>
                <w:szCs w:val="14"/>
                <w:b w:val="1"/>
                <w:bCs w:val="1"/>
                <w:color w:val="auto"/>
              </w:rPr>
              <w:t>For the Three Months</w:t>
            </w:r>
          </w:p>
        </w:tc>
        <w:tc>
          <w:tcPr>
            <w:tcW w:w="240" w:type="dxa"/>
            <w:vAlign w:val="bottom"/>
          </w:tcPr>
          <w:p>
            <w:pPr>
              <w:spacing w:after="0"/>
              <w:rPr>
                <w:sz w:val="12"/>
                <w:szCs w:val="12"/>
                <w:color w:val="auto"/>
              </w:rPr>
            </w:pPr>
          </w:p>
        </w:tc>
        <w:tc>
          <w:tcPr>
            <w:tcW w:w="1460" w:type="dxa"/>
            <w:vAlign w:val="bottom"/>
            <w:gridSpan w:val="3"/>
          </w:tcPr>
          <w:p>
            <w:pPr>
              <w:jc w:val="right"/>
              <w:spacing w:after="0" w:line="148" w:lineRule="exact"/>
              <w:rPr>
                <w:sz w:val="20"/>
                <w:szCs w:val="20"/>
                <w:color w:val="auto"/>
              </w:rPr>
            </w:pPr>
            <w:r>
              <w:rPr>
                <w:rFonts w:ascii="Arial" w:cs="Arial" w:eastAsia="Arial" w:hAnsi="Arial"/>
                <w:sz w:val="14"/>
                <w:szCs w:val="14"/>
                <w:b w:val="1"/>
                <w:bCs w:val="1"/>
                <w:color w:val="auto"/>
              </w:rPr>
              <w:t>For the Year</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1"/>
        </w:trPr>
        <w:tc>
          <w:tcPr>
            <w:tcW w:w="12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Ended December 31,</w:t>
            </w:r>
          </w:p>
        </w:tc>
        <w:tc>
          <w:tcPr>
            <w:tcW w:w="240" w:type="dxa"/>
            <w:vAlign w:val="bottom"/>
          </w:tcPr>
          <w:p>
            <w:pPr>
              <w:spacing w:after="0"/>
              <w:rPr>
                <w:sz w:val="14"/>
                <w:szCs w:val="14"/>
                <w:color w:val="auto"/>
              </w:rPr>
            </w:pPr>
          </w:p>
        </w:tc>
        <w:tc>
          <w:tcPr>
            <w:tcW w:w="23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Ended December 31,</w:t>
            </w:r>
          </w:p>
        </w:tc>
      </w:tr>
      <w:tr>
        <w:trPr>
          <w:trHeight w:val="155"/>
        </w:trPr>
        <w:tc>
          <w:tcPr>
            <w:tcW w:w="124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2024</w:t>
            </w:r>
          </w:p>
        </w:tc>
        <w:tc>
          <w:tcPr>
            <w:tcW w:w="24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2024</w:t>
            </w:r>
          </w:p>
        </w:tc>
        <w:tc>
          <w:tcPr>
            <w:tcW w:w="240" w:type="dxa"/>
            <w:vAlign w:val="bottom"/>
            <w:tcBorders>
              <w:top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3"/>
                <w:szCs w:val="13"/>
                <w:color w:val="auto"/>
              </w:rPr>
            </w:pPr>
          </w:p>
        </w:tc>
      </w:tr>
      <w:tr>
        <w:trPr>
          <w:trHeight w:val="142"/>
        </w:trPr>
        <w:tc>
          <w:tcPr>
            <w:tcW w:w="5840" w:type="dxa"/>
            <w:vAlign w:val="bottom"/>
            <w:gridSpan w:val="2"/>
            <w:shd w:val="clear" w:color="auto" w:fill="CFF0FC"/>
          </w:tcPr>
          <w:p>
            <w:pPr>
              <w:spacing w:after="0" w:line="142" w:lineRule="exact"/>
              <w:rPr>
                <w:sz w:val="20"/>
                <w:szCs w:val="20"/>
                <w:color w:val="auto"/>
              </w:rPr>
            </w:pPr>
            <w:r>
              <w:rPr>
                <w:rFonts w:ascii="Arial" w:cs="Arial" w:eastAsia="Arial" w:hAnsi="Arial"/>
                <w:sz w:val="14"/>
                <w:szCs w:val="14"/>
                <w:b w:val="1"/>
                <w:bCs w:val="1"/>
                <w:color w:val="auto"/>
              </w:rPr>
              <w:t>Adjusted EBITDA:</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5"/>
        </w:trPr>
        <w:tc>
          <w:tcPr>
            <w:tcW w:w="12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Net loss</w:t>
            </w:r>
          </w:p>
        </w:tc>
        <w:tc>
          <w:tcPr>
            <w:tcW w:w="4600" w:type="dxa"/>
            <w:vAlign w:val="bottom"/>
            <w:tcBorders>
              <w:top w:val="single" w:sz="8" w:color="CFF0FC"/>
            </w:tcBorders>
          </w:tcPr>
          <w:p>
            <w:pPr>
              <w:spacing w:after="0"/>
              <w:rPr>
                <w:sz w:val="13"/>
                <w:szCs w:val="13"/>
                <w:color w:val="auto"/>
              </w:rPr>
            </w:pPr>
          </w:p>
        </w:tc>
        <w:tc>
          <w:tcPr>
            <w:tcW w:w="240" w:type="dxa"/>
            <w:vAlign w:val="bottom"/>
            <w:tcBorders>
              <w:top w:val="single" w:sz="8" w:color="CFF0FC"/>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CFF0FC"/>
            </w:tcBorders>
            <w:gridSpan w:val="2"/>
          </w:tcPr>
          <w:p>
            <w:pPr>
              <w:jc w:val="right"/>
              <w:ind w:right="200"/>
              <w:spacing w:after="0" w:line="155" w:lineRule="exact"/>
              <w:rPr>
                <w:sz w:val="20"/>
                <w:szCs w:val="20"/>
                <w:color w:val="auto"/>
              </w:rPr>
            </w:pPr>
            <w:r>
              <w:rPr>
                <w:rFonts w:ascii="Arial" w:cs="Arial" w:eastAsia="Arial" w:hAnsi="Arial"/>
                <w:sz w:val="14"/>
                <w:szCs w:val="14"/>
                <w:color w:val="auto"/>
              </w:rPr>
              <w:t>(9,896 )</w:t>
            </w:r>
          </w:p>
        </w:tc>
        <w:tc>
          <w:tcPr>
            <w:tcW w:w="240" w:type="dxa"/>
            <w:vAlign w:val="bottom"/>
            <w:tcBorders>
              <w:top w:val="single" w:sz="8" w:color="CFF0FC"/>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CFF0FC"/>
            </w:tcBorders>
            <w:gridSpan w:val="2"/>
          </w:tcPr>
          <w:p>
            <w:pPr>
              <w:jc w:val="right"/>
              <w:ind w:right="180"/>
              <w:spacing w:after="0" w:line="155" w:lineRule="exact"/>
              <w:rPr>
                <w:sz w:val="20"/>
                <w:szCs w:val="20"/>
                <w:color w:val="auto"/>
              </w:rPr>
            </w:pPr>
            <w:r>
              <w:rPr>
                <w:rFonts w:ascii="Arial" w:cs="Arial" w:eastAsia="Arial" w:hAnsi="Arial"/>
                <w:sz w:val="14"/>
                <w:szCs w:val="14"/>
                <w:color w:val="auto"/>
              </w:rPr>
              <w:t>(10,553 )</w:t>
            </w:r>
          </w:p>
        </w:tc>
        <w:tc>
          <w:tcPr>
            <w:tcW w:w="240" w:type="dxa"/>
            <w:vAlign w:val="bottom"/>
            <w:tcBorders>
              <w:top w:val="single" w:sz="8" w:color="CFF0FC"/>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120" w:type="dxa"/>
            <w:vAlign w:val="bottom"/>
            <w:tcBorders>
              <w:top w:val="single" w:sz="8" w:color="CFF0FC"/>
            </w:tcBorders>
            <w:gridSpan w:val="2"/>
          </w:tcPr>
          <w:p>
            <w:pPr>
              <w:jc w:val="right"/>
              <w:ind w:right="200"/>
              <w:spacing w:after="0" w:line="155" w:lineRule="exact"/>
              <w:rPr>
                <w:sz w:val="20"/>
                <w:szCs w:val="20"/>
                <w:color w:val="auto"/>
              </w:rPr>
            </w:pPr>
            <w:r>
              <w:rPr>
                <w:rFonts w:ascii="Arial" w:cs="Arial" w:eastAsia="Arial" w:hAnsi="Arial"/>
                <w:sz w:val="14"/>
                <w:szCs w:val="14"/>
                <w:color w:val="auto"/>
              </w:rPr>
              <w:t>(50,403 )</w:t>
            </w:r>
          </w:p>
        </w:tc>
        <w:tc>
          <w:tcPr>
            <w:tcW w:w="340" w:type="dxa"/>
            <w:vAlign w:val="bottom"/>
            <w:tcBorders>
              <w:top w:val="single" w:sz="8" w:color="CFF0FC"/>
            </w:tcBorders>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CFF0FC"/>
            </w:tcBorders>
            <w:gridSpan w:val="2"/>
          </w:tcPr>
          <w:p>
            <w:pPr>
              <w:jc w:val="right"/>
              <w:ind w:right="60"/>
              <w:spacing w:after="0" w:line="155" w:lineRule="exact"/>
              <w:rPr>
                <w:sz w:val="20"/>
                <w:szCs w:val="20"/>
                <w:color w:val="auto"/>
              </w:rPr>
            </w:pPr>
            <w:r>
              <w:rPr>
                <w:rFonts w:ascii="Arial" w:cs="Arial" w:eastAsia="Arial" w:hAnsi="Arial"/>
                <w:sz w:val="14"/>
                <w:szCs w:val="14"/>
                <w:color w:val="auto"/>
              </w:rPr>
              <w:t>(67,465 )</w:t>
            </w:r>
          </w:p>
        </w:tc>
      </w:tr>
      <w:tr>
        <w:trPr>
          <w:trHeight w:val="162"/>
        </w:trPr>
        <w:tc>
          <w:tcPr>
            <w:tcW w:w="58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Add (deduct):</w:t>
            </w: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5840" w:type="dxa"/>
            <w:vAlign w:val="bottom"/>
            <w:gridSpan w:val="2"/>
          </w:tcPr>
          <w:p>
            <w:pPr>
              <w:spacing w:after="0"/>
              <w:rPr>
                <w:sz w:val="20"/>
                <w:szCs w:val="20"/>
                <w:color w:val="auto"/>
              </w:rPr>
            </w:pPr>
            <w:r>
              <w:rPr>
                <w:rFonts w:ascii="Arial" w:cs="Arial" w:eastAsia="Arial" w:hAnsi="Arial"/>
                <w:sz w:val="14"/>
                <w:szCs w:val="14"/>
                <w:color w:val="auto"/>
              </w:rPr>
              <w:t>Interest expense, interest and dividend income and other expenses</w:t>
            </w:r>
          </w:p>
        </w:tc>
        <w:tc>
          <w:tcPr>
            <w:tcW w:w="24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(1,626 )</w:t>
            </w:r>
          </w:p>
        </w:tc>
        <w:tc>
          <w:tcPr>
            <w:tcW w:w="24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(1,416 )</w:t>
            </w:r>
          </w:p>
        </w:tc>
        <w:tc>
          <w:tcPr>
            <w:tcW w:w="24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(5,273 )</w:t>
            </w:r>
          </w:p>
        </w:tc>
        <w:tc>
          <w:tcPr>
            <w:tcW w:w="34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(5,312 )</w:t>
            </w:r>
          </w:p>
        </w:tc>
      </w:tr>
      <w:tr>
        <w:trPr>
          <w:trHeight w:val="162"/>
        </w:trPr>
        <w:tc>
          <w:tcPr>
            <w:tcW w:w="5840" w:type="dxa"/>
            <w:vAlign w:val="bottom"/>
            <w:gridSpan w:val="2"/>
            <w:shd w:val="clear" w:color="auto" w:fill="CFF0FC"/>
          </w:tcPr>
          <w:p>
            <w:pPr>
              <w:spacing w:after="0" w:line="162" w:lineRule="exact"/>
              <w:rPr>
                <w:sz w:val="20"/>
                <w:szCs w:val="20"/>
                <w:color w:val="auto"/>
              </w:rPr>
            </w:pPr>
            <w:r>
              <w:rPr>
                <w:rFonts w:ascii="Arial" w:cs="Arial" w:eastAsia="Arial" w:hAnsi="Arial"/>
                <w:sz w:val="14"/>
                <w:szCs w:val="14"/>
                <w:color w:val="auto"/>
              </w:rPr>
              <w:t>Depreciation and amortization</w:t>
            </w:r>
            <w:r>
              <w:rPr>
                <w:rFonts w:ascii="Arial" w:cs="Arial" w:eastAsia="Arial" w:hAnsi="Arial"/>
                <w:sz w:val="18"/>
                <w:szCs w:val="18"/>
                <w:color w:val="auto"/>
                <w:vertAlign w:val="superscript"/>
              </w:rPr>
              <w:t>(1)</w:t>
            </w: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3,390</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2,799</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13,012</w:t>
            </w:r>
          </w:p>
        </w:tc>
        <w:tc>
          <w:tcPr>
            <w:tcW w:w="2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10,738</w:t>
            </w:r>
          </w:p>
        </w:tc>
        <w:tc>
          <w:tcPr>
            <w:tcW w:w="120" w:type="dxa"/>
            <w:vAlign w:val="bottom"/>
            <w:shd w:val="clear" w:color="auto" w:fill="CFF0FC"/>
          </w:tcPr>
          <w:p>
            <w:pPr>
              <w:spacing w:after="0"/>
              <w:rPr>
                <w:sz w:val="14"/>
                <w:szCs w:val="14"/>
                <w:color w:val="auto"/>
              </w:rPr>
            </w:pPr>
          </w:p>
        </w:tc>
      </w:tr>
      <w:tr>
        <w:trPr>
          <w:trHeight w:val="162"/>
        </w:trPr>
        <w:tc>
          <w:tcPr>
            <w:tcW w:w="5840" w:type="dxa"/>
            <w:vAlign w:val="bottom"/>
            <w:gridSpan w:val="2"/>
          </w:tcPr>
          <w:p>
            <w:pPr>
              <w:spacing w:after="0"/>
              <w:rPr>
                <w:sz w:val="20"/>
                <w:szCs w:val="20"/>
                <w:color w:val="auto"/>
              </w:rPr>
            </w:pPr>
            <w:r>
              <w:rPr>
                <w:rFonts w:ascii="Arial" w:cs="Arial" w:eastAsia="Arial" w:hAnsi="Arial"/>
                <w:sz w:val="14"/>
                <w:szCs w:val="14"/>
                <w:color w:val="auto"/>
              </w:rPr>
              <w:t>Amortization of lease intangible</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720</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950</w:t>
            </w:r>
          </w:p>
        </w:tc>
        <w:tc>
          <w:tcPr>
            <w:tcW w:w="120" w:type="dxa"/>
            <w:vAlign w:val="bottom"/>
          </w:tcPr>
          <w:p>
            <w:pPr>
              <w:spacing w:after="0"/>
              <w:rPr>
                <w:sz w:val="14"/>
                <w:szCs w:val="14"/>
                <w:color w:val="auto"/>
              </w:rPr>
            </w:pPr>
          </w:p>
        </w:tc>
      </w:tr>
      <w:tr>
        <w:trPr>
          <w:trHeight w:val="162"/>
        </w:trPr>
        <w:tc>
          <w:tcPr>
            <w:tcW w:w="58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Benefit for income taxes</w:t>
            </w:r>
          </w:p>
        </w:tc>
        <w:tc>
          <w:tcPr>
            <w:tcW w:w="24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(41 )</w:t>
            </w:r>
          </w:p>
        </w:tc>
        <w:tc>
          <w:tcPr>
            <w:tcW w:w="24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(561 )</w:t>
            </w:r>
          </w:p>
        </w:tc>
        <w:tc>
          <w:tcPr>
            <w:tcW w:w="2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(21 )</w:t>
            </w:r>
          </w:p>
        </w:tc>
        <w:tc>
          <w:tcPr>
            <w:tcW w:w="3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(353 )</w:t>
            </w:r>
          </w:p>
        </w:tc>
      </w:tr>
      <w:tr>
        <w:trPr>
          <w:trHeight w:val="162"/>
        </w:trPr>
        <w:tc>
          <w:tcPr>
            <w:tcW w:w="5840" w:type="dxa"/>
            <w:vAlign w:val="bottom"/>
            <w:gridSpan w:val="2"/>
          </w:tcPr>
          <w:p>
            <w:pPr>
              <w:spacing w:after="0" w:line="162" w:lineRule="exact"/>
              <w:rPr>
                <w:sz w:val="20"/>
                <w:szCs w:val="20"/>
                <w:color w:val="auto"/>
              </w:rPr>
            </w:pPr>
            <w:r>
              <w:rPr>
                <w:rFonts w:ascii="Arial" w:cs="Arial" w:eastAsia="Arial" w:hAnsi="Arial"/>
                <w:sz w:val="14"/>
                <w:szCs w:val="14"/>
                <w:color w:val="auto"/>
              </w:rPr>
              <w:t>Stock-based compensation</w:t>
            </w:r>
            <w:r>
              <w:rPr>
                <w:rFonts w:ascii="Arial" w:cs="Arial" w:eastAsia="Arial" w:hAnsi="Arial"/>
                <w:sz w:val="18"/>
                <w:szCs w:val="18"/>
                <w:color w:val="auto"/>
                <w:vertAlign w:val="superscript"/>
              </w:rPr>
              <w:t>(2)</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8,207</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5,896</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29,322</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22,118</w:t>
            </w:r>
          </w:p>
        </w:tc>
        <w:tc>
          <w:tcPr>
            <w:tcW w:w="120" w:type="dxa"/>
            <w:vAlign w:val="bottom"/>
          </w:tcPr>
          <w:p>
            <w:pPr>
              <w:spacing w:after="0"/>
              <w:rPr>
                <w:sz w:val="14"/>
                <w:szCs w:val="14"/>
                <w:color w:val="auto"/>
              </w:rPr>
            </w:pPr>
          </w:p>
        </w:tc>
      </w:tr>
      <w:tr>
        <w:trPr>
          <w:trHeight w:val="162"/>
        </w:trPr>
        <w:tc>
          <w:tcPr>
            <w:tcW w:w="5840" w:type="dxa"/>
            <w:vAlign w:val="bottom"/>
            <w:gridSpan w:val="2"/>
            <w:shd w:val="clear" w:color="auto" w:fill="CFF0FC"/>
          </w:tcPr>
          <w:p>
            <w:pPr>
              <w:spacing w:after="0" w:line="162" w:lineRule="exact"/>
              <w:rPr>
                <w:sz w:val="20"/>
                <w:szCs w:val="20"/>
                <w:color w:val="auto"/>
              </w:rPr>
            </w:pPr>
            <w:r>
              <w:rPr>
                <w:rFonts w:ascii="Arial" w:cs="Arial" w:eastAsia="Arial" w:hAnsi="Arial"/>
                <w:sz w:val="14"/>
                <w:szCs w:val="14"/>
                <w:color w:val="auto"/>
              </w:rPr>
              <w:t>Payroll tax expense related to stock-based compensation</w:t>
            </w:r>
            <w:r>
              <w:rPr>
                <w:rFonts w:ascii="Arial" w:cs="Arial" w:eastAsia="Arial" w:hAnsi="Arial"/>
                <w:sz w:val="18"/>
                <w:szCs w:val="18"/>
                <w:color w:val="auto"/>
                <w:vertAlign w:val="superscript"/>
              </w:rPr>
              <w:t>(3)</w:t>
            </w: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965</w:t>
            </w:r>
          </w:p>
        </w:tc>
        <w:tc>
          <w:tcPr>
            <w:tcW w:w="2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5840" w:type="dxa"/>
            <w:vAlign w:val="bottom"/>
            <w:gridSpan w:val="2"/>
          </w:tcPr>
          <w:p>
            <w:pPr>
              <w:spacing w:after="0" w:line="162" w:lineRule="exact"/>
              <w:rPr>
                <w:sz w:val="20"/>
                <w:szCs w:val="20"/>
                <w:color w:val="auto"/>
              </w:rPr>
            </w:pPr>
            <w:r>
              <w:rPr>
                <w:rFonts w:ascii="Arial" w:cs="Arial" w:eastAsia="Arial" w:hAnsi="Arial"/>
                <w:sz w:val="14"/>
                <w:szCs w:val="14"/>
                <w:color w:val="auto"/>
              </w:rPr>
              <w:t>Lease abandonment</w:t>
            </w:r>
            <w:r>
              <w:rPr>
                <w:rFonts w:ascii="Arial" w:cs="Arial" w:eastAsia="Arial" w:hAnsi="Arial"/>
                <w:sz w:val="18"/>
                <w:szCs w:val="18"/>
                <w:color w:val="auto"/>
                <w:vertAlign w:val="superscript"/>
              </w:rPr>
              <w:t>(4)</w:t>
            </w:r>
          </w:p>
        </w:tc>
        <w:tc>
          <w:tcPr>
            <w:tcW w:w="24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8,706</w:t>
            </w:r>
          </w:p>
        </w:tc>
        <w:tc>
          <w:tcPr>
            <w:tcW w:w="120" w:type="dxa"/>
            <w:vAlign w:val="bottom"/>
          </w:tcPr>
          <w:p>
            <w:pPr>
              <w:spacing w:after="0"/>
              <w:rPr>
                <w:sz w:val="14"/>
                <w:szCs w:val="14"/>
                <w:color w:val="auto"/>
              </w:rPr>
            </w:pPr>
          </w:p>
        </w:tc>
      </w:tr>
      <w:tr>
        <w:trPr>
          <w:trHeight w:val="162"/>
        </w:trPr>
        <w:tc>
          <w:tcPr>
            <w:tcW w:w="5840" w:type="dxa"/>
            <w:vAlign w:val="bottom"/>
            <w:gridSpan w:val="2"/>
            <w:shd w:val="clear" w:color="auto" w:fill="CFF0FC"/>
          </w:tcPr>
          <w:p>
            <w:pPr>
              <w:spacing w:after="0" w:line="162" w:lineRule="exact"/>
              <w:rPr>
                <w:sz w:val="20"/>
                <w:szCs w:val="20"/>
                <w:color w:val="auto"/>
              </w:rPr>
            </w:pPr>
            <w:r>
              <w:rPr>
                <w:rFonts w:ascii="Arial" w:cs="Arial" w:eastAsia="Arial" w:hAnsi="Arial"/>
                <w:sz w:val="14"/>
                <w:szCs w:val="14"/>
                <w:color w:val="auto"/>
              </w:rPr>
              <w:t>Acquisition and other</w:t>
            </w:r>
            <w:r>
              <w:rPr>
                <w:rFonts w:ascii="Arial" w:cs="Arial" w:eastAsia="Arial" w:hAnsi="Arial"/>
                <w:sz w:val="18"/>
                <w:szCs w:val="18"/>
                <w:color w:val="auto"/>
                <w:vertAlign w:val="superscript"/>
              </w:rPr>
              <w:t>(5)</w:t>
            </w:r>
          </w:p>
        </w:tc>
        <w:tc>
          <w:tcPr>
            <w:tcW w:w="24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481</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686</w:t>
            </w:r>
          </w:p>
        </w:tc>
        <w:tc>
          <w:tcPr>
            <w:tcW w:w="2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824</w:t>
            </w:r>
          </w:p>
        </w:tc>
        <w:tc>
          <w:tcPr>
            <w:tcW w:w="120" w:type="dxa"/>
            <w:vAlign w:val="bottom"/>
            <w:shd w:val="clear" w:color="auto" w:fill="CFF0FC"/>
          </w:tcPr>
          <w:p>
            <w:pPr>
              <w:spacing w:after="0"/>
              <w:rPr>
                <w:sz w:val="14"/>
                <w:szCs w:val="14"/>
                <w:color w:val="auto"/>
              </w:rPr>
            </w:pPr>
          </w:p>
        </w:tc>
      </w:tr>
      <w:tr>
        <w:trPr>
          <w:trHeight w:val="162"/>
        </w:trPr>
        <w:tc>
          <w:tcPr>
            <w:tcW w:w="5840" w:type="dxa"/>
            <w:vAlign w:val="bottom"/>
            <w:gridSpan w:val="2"/>
          </w:tcPr>
          <w:p>
            <w:pPr>
              <w:spacing w:after="0"/>
              <w:rPr>
                <w:sz w:val="20"/>
                <w:szCs w:val="20"/>
                <w:color w:val="auto"/>
              </w:rPr>
            </w:pPr>
            <w:r>
              <w:rPr>
                <w:rFonts w:ascii="Arial" w:cs="Arial" w:eastAsia="Arial" w:hAnsi="Arial"/>
                <w:sz w:val="14"/>
                <w:szCs w:val="14"/>
                <w:color w:val="auto"/>
              </w:rPr>
              <w:t>Charitable contribution of common stock</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623</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333</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1,686</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1,029</w:t>
            </w:r>
          </w:p>
        </w:tc>
        <w:tc>
          <w:tcPr>
            <w:tcW w:w="120" w:type="dxa"/>
            <w:vAlign w:val="bottom"/>
          </w:tcPr>
          <w:p>
            <w:pPr>
              <w:spacing w:after="0"/>
              <w:rPr>
                <w:sz w:val="14"/>
                <w:szCs w:val="14"/>
                <w:color w:val="auto"/>
              </w:rPr>
            </w:pPr>
          </w:p>
        </w:tc>
      </w:tr>
      <w:tr>
        <w:trPr>
          <w:trHeight w:val="162"/>
        </w:trPr>
        <w:tc>
          <w:tcPr>
            <w:tcW w:w="58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Income from unconsolidated joint venture</w:t>
            </w: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(9 )</w:t>
            </w:r>
          </w:p>
        </w:tc>
        <w:tc>
          <w:tcPr>
            <w:tcW w:w="2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(452 )</w:t>
            </w:r>
          </w:p>
        </w:tc>
        <w:tc>
          <w:tcPr>
            <w:tcW w:w="3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(446 )</w:t>
            </w:r>
          </w:p>
        </w:tc>
      </w:tr>
      <w:tr>
        <w:trPr>
          <w:trHeight w:val="162"/>
        </w:trPr>
        <w:tc>
          <w:tcPr>
            <w:tcW w:w="5840" w:type="dxa"/>
            <w:vAlign w:val="bottom"/>
            <w:gridSpan w:val="2"/>
          </w:tcPr>
          <w:p>
            <w:pPr>
              <w:spacing w:after="0"/>
              <w:rPr>
                <w:sz w:val="20"/>
                <w:szCs w:val="20"/>
                <w:color w:val="auto"/>
              </w:rPr>
            </w:pPr>
            <w:r>
              <w:rPr>
                <w:rFonts w:ascii="Arial" w:cs="Arial" w:eastAsia="Arial" w:hAnsi="Arial"/>
                <w:sz w:val="14"/>
                <w:szCs w:val="14"/>
                <w:color w:val="auto"/>
              </w:rPr>
              <w:t>Impairment of assets</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82</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82</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397</w:t>
            </w:r>
          </w:p>
        </w:tc>
        <w:tc>
          <w:tcPr>
            <w:tcW w:w="120" w:type="dxa"/>
            <w:vAlign w:val="bottom"/>
          </w:tcPr>
          <w:p>
            <w:pPr>
              <w:spacing w:after="0"/>
              <w:rPr>
                <w:sz w:val="14"/>
                <w:szCs w:val="14"/>
                <w:color w:val="auto"/>
              </w:rPr>
            </w:pPr>
          </w:p>
        </w:tc>
      </w:tr>
      <w:tr>
        <w:trPr>
          <w:trHeight w:val="162"/>
        </w:trPr>
        <w:tc>
          <w:tcPr>
            <w:tcW w:w="5840" w:type="dxa"/>
            <w:vAlign w:val="bottom"/>
            <w:gridSpan w:val="2"/>
            <w:shd w:val="clear" w:color="auto" w:fill="CFF0FC"/>
          </w:tcPr>
          <w:p>
            <w:pPr>
              <w:spacing w:after="0" w:line="162" w:lineRule="exact"/>
              <w:rPr>
                <w:sz w:val="20"/>
                <w:szCs w:val="20"/>
                <w:color w:val="auto"/>
              </w:rPr>
            </w:pPr>
            <w:r>
              <w:rPr>
                <w:rFonts w:ascii="Arial" w:cs="Arial" w:eastAsia="Arial" w:hAnsi="Arial"/>
                <w:sz w:val="14"/>
                <w:szCs w:val="14"/>
                <w:color w:val="auto"/>
              </w:rPr>
              <w:t>Restructuring charges</w:t>
            </w:r>
            <w:r>
              <w:rPr>
                <w:rFonts w:ascii="Arial" w:cs="Arial" w:eastAsia="Arial" w:hAnsi="Arial"/>
                <w:sz w:val="18"/>
                <w:szCs w:val="18"/>
                <w:color w:val="auto"/>
                <w:vertAlign w:val="superscript"/>
              </w:rPr>
              <w:t>(6)</w:t>
            </w:r>
          </w:p>
        </w:tc>
        <w:tc>
          <w:tcPr>
            <w:tcW w:w="24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738</w:t>
            </w:r>
          </w:p>
        </w:tc>
        <w:tc>
          <w:tcPr>
            <w:tcW w:w="120" w:type="dxa"/>
            <w:vAlign w:val="bottom"/>
            <w:shd w:val="clear" w:color="auto" w:fill="CFF0FC"/>
          </w:tcPr>
          <w:p>
            <w:pPr>
              <w:spacing w:after="0"/>
              <w:rPr>
                <w:sz w:val="14"/>
                <w:szCs w:val="14"/>
                <w:color w:val="auto"/>
              </w:rPr>
            </w:pPr>
          </w:p>
        </w:tc>
      </w:tr>
      <w:tr>
        <w:trPr>
          <w:trHeight w:val="162"/>
        </w:trPr>
        <w:tc>
          <w:tcPr>
            <w:tcW w:w="5840" w:type="dxa"/>
            <w:vAlign w:val="bottom"/>
            <w:gridSpan w:val="2"/>
          </w:tcPr>
          <w:p>
            <w:pPr>
              <w:spacing w:after="0"/>
              <w:rPr>
                <w:sz w:val="20"/>
                <w:szCs w:val="20"/>
                <w:color w:val="auto"/>
              </w:rPr>
            </w:pPr>
            <w:r>
              <w:rPr>
                <w:rFonts w:ascii="Arial" w:cs="Arial" w:eastAsia="Arial" w:hAnsi="Arial"/>
                <w:sz w:val="14"/>
                <w:szCs w:val="14"/>
                <w:color w:val="auto"/>
              </w:rPr>
              <w:t>Costs to exit the tools and materials business</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w:t>
            </w:r>
          </w:p>
        </w:tc>
        <w:tc>
          <w:tcPr>
            <w:tcW w:w="120" w:type="dxa"/>
            <w:vAlign w:val="bottom"/>
          </w:tcPr>
          <w:p>
            <w:pPr>
              <w:spacing w:after="0"/>
              <w:rPr>
                <w:sz w:val="14"/>
                <w:szCs w:val="14"/>
                <w:color w:val="auto"/>
              </w:rPr>
            </w:pPr>
          </w:p>
        </w:tc>
      </w:tr>
      <w:tr>
        <w:trPr>
          <w:trHeight w:val="175"/>
        </w:trPr>
        <w:tc>
          <w:tcPr>
            <w:tcW w:w="584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Adjusted EBITDA</w:t>
            </w:r>
          </w:p>
        </w:tc>
        <w:tc>
          <w:tcPr>
            <w:tcW w:w="240" w:type="dxa"/>
            <w:vAlign w:val="bottom"/>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1,049</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(2,850 )</w:t>
            </w:r>
          </w:p>
        </w:tc>
        <w:tc>
          <w:tcPr>
            <w:tcW w:w="24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FF0FC"/>
          </w:tcPr>
          <w:p>
            <w:pPr>
              <w:jc w:val="right"/>
              <w:ind w:right="200"/>
              <w:spacing w:after="0" w:line="155" w:lineRule="exact"/>
              <w:rPr>
                <w:sz w:val="20"/>
                <w:szCs w:val="20"/>
                <w:color w:val="auto"/>
              </w:rPr>
            </w:pPr>
            <w:r>
              <w:rPr>
                <w:rFonts w:ascii="Arial" w:cs="Arial" w:eastAsia="Arial" w:hAnsi="Arial"/>
                <w:sz w:val="14"/>
                <w:szCs w:val="14"/>
                <w:color w:val="auto"/>
              </w:rPr>
              <w:t>(9,676 )</w:t>
            </w:r>
          </w:p>
        </w:tc>
        <w:tc>
          <w:tcPr>
            <w:tcW w:w="340" w:type="dxa"/>
            <w:vAlign w:val="bottom"/>
            <w:shd w:val="clear" w:color="auto" w:fill="CFF0FC"/>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(27,490 )</w:t>
            </w:r>
          </w:p>
        </w:tc>
      </w:tr>
      <w:tr>
        <w:trPr>
          <w:trHeight w:val="20"/>
        </w:trPr>
        <w:tc>
          <w:tcPr>
            <w:tcW w:w="1240" w:type="dxa"/>
            <w:vAlign w:val="bottom"/>
            <w:tcBorders>
              <w:top w:val="single" w:sz="8" w:color="CFF0FC"/>
            </w:tcBorders>
            <w:shd w:val="clear" w:color="auto" w:fill="CFF0FC"/>
          </w:tcPr>
          <w:p>
            <w:pPr>
              <w:spacing w:after="0" w:line="20" w:lineRule="exact"/>
              <w:rPr>
                <w:sz w:val="1"/>
                <w:szCs w:val="1"/>
                <w:color w:val="auto"/>
              </w:rPr>
            </w:pPr>
          </w:p>
        </w:tc>
        <w:tc>
          <w:tcPr>
            <w:tcW w:w="46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-25400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-25400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-25400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-25400</wp:posOffset>
            </wp:positionV>
            <wp:extent cx="774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774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For the Three Months</w:t>
            </w:r>
          </w:p>
        </w:tc>
        <w:tc>
          <w:tcPr>
            <w:tcW w:w="240" w:type="dxa"/>
            <w:vAlign w:val="bottom"/>
          </w:tcPr>
          <w:p>
            <w:pPr>
              <w:spacing w:after="0"/>
              <w:rPr>
                <w:sz w:val="14"/>
                <w:szCs w:val="1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Year</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Ended December 31,</w:t>
            </w:r>
          </w:p>
        </w:tc>
        <w:tc>
          <w:tcPr>
            <w:tcW w:w="240" w:type="dxa"/>
            <w:vAlign w:val="bottom"/>
          </w:tcPr>
          <w:p>
            <w:pPr>
              <w:spacing w:after="0"/>
              <w:rPr>
                <w:sz w:val="14"/>
                <w:szCs w:val="14"/>
                <w:color w:val="auto"/>
              </w:rPr>
            </w:pPr>
          </w:p>
        </w:tc>
        <w:tc>
          <w:tcPr>
            <w:tcW w:w="23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Ended 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Borders>
              <w:top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CFF0FC"/>
            </w:tcBorders>
            <w:shd w:val="clear" w:color="auto" w:fill="CFF0FC"/>
          </w:tcPr>
          <w:p>
            <w:pPr>
              <w:spacing w:after="0"/>
              <w:rPr>
                <w:sz w:val="12"/>
                <w:szCs w:val="12"/>
                <w:color w:val="auto"/>
              </w:rPr>
            </w:pPr>
          </w:p>
        </w:tc>
        <w:tc>
          <w:tcPr>
            <w:tcW w:w="2080" w:type="dxa"/>
            <w:vAlign w:val="bottom"/>
            <w:tcBorders>
              <w:bottom w:val="single" w:sz="8" w:color="auto"/>
            </w:tcBorders>
            <w:shd w:val="clear" w:color="auto" w:fill="CFF0FC"/>
          </w:tcPr>
          <w:p>
            <w:pPr>
              <w:spacing w:after="0" w:line="142" w:lineRule="exact"/>
              <w:rPr>
                <w:sz w:val="20"/>
                <w:szCs w:val="20"/>
                <w:color w:val="auto"/>
              </w:rPr>
            </w:pPr>
            <w:r>
              <w:rPr>
                <w:rFonts w:ascii="Arial" w:cs="Arial" w:eastAsia="Arial" w:hAnsi="Arial"/>
                <w:sz w:val="14"/>
                <w:szCs w:val="14"/>
                <w:b w:val="1"/>
                <w:bCs w:val="1"/>
                <w:color w:val="auto"/>
              </w:rPr>
              <w:t>Non-GAAP Net Income (Loss):</w:t>
            </w:r>
          </w:p>
        </w:tc>
        <w:tc>
          <w:tcPr>
            <w:tcW w:w="392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020" w:type="dxa"/>
            <w:vAlign w:val="bottom"/>
            <w:gridSpan w:val="3"/>
          </w:tcPr>
          <w:p>
            <w:pPr>
              <w:ind w:left="20"/>
              <w:spacing w:after="0" w:line="155" w:lineRule="exact"/>
              <w:rPr>
                <w:sz w:val="20"/>
                <w:szCs w:val="20"/>
                <w:color w:val="auto"/>
              </w:rPr>
            </w:pPr>
            <w:r>
              <w:rPr>
                <w:rFonts w:ascii="Arial" w:cs="Arial" w:eastAsia="Arial" w:hAnsi="Arial"/>
                <w:sz w:val="14"/>
                <w:szCs w:val="14"/>
                <w:color w:val="auto"/>
              </w:rPr>
              <w:t>Net loss</w:t>
            </w:r>
          </w:p>
        </w:tc>
        <w:tc>
          <w:tcPr>
            <w:tcW w:w="240" w:type="dxa"/>
            <w:vAlign w:val="bottom"/>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(9,896 )</w:t>
            </w:r>
          </w:p>
        </w:tc>
        <w:tc>
          <w:tcPr>
            <w:tcW w:w="240" w:type="dxa"/>
            <w:vAlign w:val="bottom"/>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(10,553 )</w:t>
            </w:r>
          </w:p>
        </w:tc>
        <w:tc>
          <w:tcPr>
            <w:tcW w:w="240" w:type="dxa"/>
            <w:vAlign w:val="bottom"/>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(50,403 )</w:t>
            </w:r>
          </w:p>
        </w:tc>
        <w:tc>
          <w:tcPr>
            <w:tcW w:w="380" w:type="dxa"/>
            <w:vAlign w:val="bottom"/>
          </w:tcPr>
          <w:p>
            <w:pPr>
              <w:jc w:val="right"/>
              <w:ind w:right="208"/>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(67,465 )</w:t>
            </w:r>
          </w:p>
        </w:tc>
        <w:tc>
          <w:tcPr>
            <w:tcW w:w="0" w:type="dxa"/>
            <w:vAlign w:val="bottom"/>
          </w:tcPr>
          <w:p>
            <w:pPr>
              <w:spacing w:after="0"/>
              <w:rPr>
                <w:sz w:val="1"/>
                <w:szCs w:val="1"/>
                <w:color w:val="auto"/>
              </w:rPr>
            </w:pPr>
          </w:p>
        </w:tc>
      </w:tr>
      <w:tr>
        <w:trPr>
          <w:trHeight w:val="162"/>
        </w:trPr>
        <w:tc>
          <w:tcPr>
            <w:tcW w:w="602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Add (deduct):</w:t>
            </w: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gridSpan w:val="3"/>
          </w:tcPr>
          <w:p>
            <w:pPr>
              <w:ind w:left="20"/>
              <w:spacing w:after="0" w:line="162" w:lineRule="exact"/>
              <w:rPr>
                <w:sz w:val="20"/>
                <w:szCs w:val="20"/>
                <w:color w:val="auto"/>
              </w:rPr>
            </w:pPr>
            <w:r>
              <w:rPr>
                <w:rFonts w:ascii="Arial" w:cs="Arial" w:eastAsia="Arial" w:hAnsi="Arial"/>
                <w:sz w:val="14"/>
                <w:szCs w:val="14"/>
                <w:color w:val="auto"/>
              </w:rPr>
              <w:t>Depreciation and amortization</w:t>
            </w:r>
            <w:r>
              <w:rPr>
                <w:rFonts w:ascii="Arial" w:cs="Arial" w:eastAsia="Arial" w:hAnsi="Arial"/>
                <w:sz w:val="18"/>
                <w:szCs w:val="18"/>
                <w:color w:val="auto"/>
                <w:vertAlign w:val="superscript"/>
              </w:rPr>
              <w:t>(1)</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3,390</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2,799</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13,012</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10,738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gridSpan w:val="3"/>
            <w:shd w:val="clear" w:color="auto" w:fill="CFF0FC"/>
          </w:tcPr>
          <w:p>
            <w:pPr>
              <w:ind w:left="20"/>
              <w:spacing w:after="0" w:line="162" w:lineRule="exact"/>
              <w:rPr>
                <w:sz w:val="20"/>
                <w:szCs w:val="20"/>
                <w:color w:val="auto"/>
              </w:rPr>
            </w:pPr>
            <w:r>
              <w:rPr>
                <w:rFonts w:ascii="Arial" w:cs="Arial" w:eastAsia="Arial" w:hAnsi="Arial"/>
                <w:sz w:val="14"/>
                <w:szCs w:val="14"/>
                <w:color w:val="auto"/>
              </w:rPr>
              <w:t xml:space="preserve">Stock-based compensation </w:t>
            </w:r>
            <w:r>
              <w:rPr>
                <w:rFonts w:ascii="Arial" w:cs="Arial" w:eastAsia="Arial" w:hAnsi="Arial"/>
                <w:sz w:val="18"/>
                <w:szCs w:val="18"/>
                <w:color w:val="auto"/>
                <w:vertAlign w:val="superscript"/>
              </w:rPr>
              <w:t>(2)</w:t>
            </w: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8,207</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5,896</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29,322</w:t>
            </w:r>
          </w:p>
        </w:tc>
        <w:tc>
          <w:tcPr>
            <w:tcW w:w="2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22,118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gridSpan w:val="3"/>
          </w:tcPr>
          <w:p>
            <w:pPr>
              <w:ind w:left="20"/>
              <w:spacing w:after="0" w:line="162" w:lineRule="exact"/>
              <w:rPr>
                <w:sz w:val="20"/>
                <w:szCs w:val="20"/>
                <w:color w:val="auto"/>
              </w:rPr>
            </w:pPr>
            <w:r>
              <w:rPr>
                <w:rFonts w:ascii="Arial" w:cs="Arial" w:eastAsia="Arial" w:hAnsi="Arial"/>
                <w:sz w:val="14"/>
                <w:szCs w:val="14"/>
                <w:color w:val="auto"/>
              </w:rPr>
              <w:t>Payroll tax expense related to stock-based compensation</w:t>
            </w:r>
            <w:r>
              <w:rPr>
                <w:rFonts w:ascii="Arial" w:cs="Arial" w:eastAsia="Arial" w:hAnsi="Arial"/>
                <w:sz w:val="18"/>
                <w:szCs w:val="18"/>
                <w:color w:val="auto"/>
                <w:vertAlign w:val="superscript"/>
              </w:rPr>
              <w:t>(3)</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89</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965</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02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Amortization of lease intangible</w:t>
            </w: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720</w:t>
            </w:r>
          </w:p>
        </w:tc>
        <w:tc>
          <w:tcPr>
            <w:tcW w:w="2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gridSpan w:val="3"/>
          </w:tcPr>
          <w:p>
            <w:pPr>
              <w:ind w:left="20"/>
              <w:spacing w:after="0"/>
              <w:rPr>
                <w:sz w:val="20"/>
                <w:szCs w:val="20"/>
                <w:color w:val="auto"/>
              </w:rPr>
            </w:pPr>
            <w:r>
              <w:rPr>
                <w:rFonts w:ascii="Arial" w:cs="Arial" w:eastAsia="Arial" w:hAnsi="Arial"/>
                <w:sz w:val="14"/>
                <w:szCs w:val="14"/>
                <w:color w:val="auto"/>
              </w:rPr>
              <w:t>Amortization of deferred costs on convertible notes</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465</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464</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1,859</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1,860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gridSpan w:val="3"/>
            <w:shd w:val="clear" w:color="auto" w:fill="CFF0FC"/>
          </w:tcPr>
          <w:p>
            <w:pPr>
              <w:ind w:left="20"/>
              <w:spacing w:after="0" w:line="162" w:lineRule="exact"/>
              <w:rPr>
                <w:sz w:val="20"/>
                <w:szCs w:val="20"/>
                <w:color w:val="auto"/>
              </w:rPr>
            </w:pPr>
            <w:r>
              <w:rPr>
                <w:rFonts w:ascii="Arial" w:cs="Arial" w:eastAsia="Arial" w:hAnsi="Arial"/>
                <w:sz w:val="14"/>
                <w:szCs w:val="14"/>
                <w:color w:val="auto"/>
              </w:rPr>
              <w:t>Acquisition and other</w:t>
            </w:r>
            <w:r>
              <w:rPr>
                <w:rFonts w:ascii="Arial" w:cs="Arial" w:eastAsia="Arial" w:hAnsi="Arial"/>
                <w:sz w:val="18"/>
                <w:szCs w:val="18"/>
                <w:color w:val="auto"/>
                <w:vertAlign w:val="superscript"/>
              </w:rPr>
              <w:t>(5)</w:t>
            </w:r>
          </w:p>
        </w:tc>
        <w:tc>
          <w:tcPr>
            <w:tcW w:w="2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481</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686</w:t>
            </w:r>
          </w:p>
        </w:tc>
        <w:tc>
          <w:tcPr>
            <w:tcW w:w="2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gridSpan w:val="3"/>
          </w:tcPr>
          <w:p>
            <w:pPr>
              <w:ind w:left="20"/>
              <w:spacing w:after="0"/>
              <w:rPr>
                <w:sz w:val="20"/>
                <w:szCs w:val="20"/>
                <w:color w:val="auto"/>
              </w:rPr>
            </w:pPr>
            <w:r>
              <w:rPr>
                <w:rFonts w:ascii="Arial" w:cs="Arial" w:eastAsia="Arial" w:hAnsi="Arial"/>
                <w:sz w:val="14"/>
                <w:szCs w:val="14"/>
                <w:color w:val="auto"/>
              </w:rPr>
              <w:t>Loss on sale of property and equipment</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Charitable contribution of common stock</w:t>
            </w: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623</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333</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1,686</w:t>
            </w:r>
          </w:p>
        </w:tc>
        <w:tc>
          <w:tcPr>
            <w:tcW w:w="2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gridSpan w:val="3"/>
          </w:tcPr>
          <w:p>
            <w:pPr>
              <w:ind w:left="20"/>
              <w:spacing w:after="0" w:line="162" w:lineRule="exact"/>
              <w:rPr>
                <w:sz w:val="20"/>
                <w:szCs w:val="20"/>
                <w:color w:val="auto"/>
              </w:rPr>
            </w:pPr>
            <w:r>
              <w:rPr>
                <w:rFonts w:ascii="Arial" w:cs="Arial" w:eastAsia="Arial" w:hAnsi="Arial"/>
                <w:sz w:val="14"/>
                <w:szCs w:val="14"/>
                <w:color w:val="auto"/>
              </w:rPr>
              <w:t>Lease abandonment and termination</w:t>
            </w:r>
            <w:r>
              <w:rPr>
                <w:rFonts w:ascii="Arial" w:cs="Arial" w:eastAsia="Arial" w:hAnsi="Arial"/>
                <w:sz w:val="18"/>
                <w:szCs w:val="18"/>
                <w:color w:val="auto"/>
                <w:vertAlign w:val="superscript"/>
              </w:rPr>
              <w:t>(4)</w:t>
            </w:r>
          </w:p>
        </w:tc>
        <w:tc>
          <w:tcPr>
            <w:tcW w:w="24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8,778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Impairment of assets</w:t>
            </w: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w:t>
            </w:r>
          </w:p>
        </w:tc>
        <w:tc>
          <w:tcPr>
            <w:tcW w:w="2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gridSpan w:val="3"/>
          </w:tcPr>
          <w:p>
            <w:pPr>
              <w:ind w:left="20"/>
              <w:spacing w:after="0" w:line="162" w:lineRule="exact"/>
              <w:rPr>
                <w:sz w:val="20"/>
                <w:szCs w:val="20"/>
                <w:color w:val="auto"/>
              </w:rPr>
            </w:pPr>
            <w:r>
              <w:rPr>
                <w:rFonts w:ascii="Arial" w:cs="Arial" w:eastAsia="Arial" w:hAnsi="Arial"/>
                <w:sz w:val="14"/>
                <w:szCs w:val="14"/>
                <w:color w:val="auto"/>
              </w:rPr>
              <w:t>Restructuring charges</w:t>
            </w:r>
            <w:r>
              <w:rPr>
                <w:rFonts w:ascii="Arial" w:cs="Arial" w:eastAsia="Arial" w:hAnsi="Arial"/>
                <w:sz w:val="18"/>
                <w:szCs w:val="18"/>
                <w:color w:val="auto"/>
                <w:vertAlign w:val="superscript"/>
              </w:rPr>
              <w:t>(6)</w:t>
            </w:r>
          </w:p>
        </w:tc>
        <w:tc>
          <w:tcPr>
            <w:tcW w:w="24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738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Costs to exit the tools and materials business</w:t>
            </w:r>
          </w:p>
        </w:tc>
        <w:tc>
          <w:tcPr>
            <w:tcW w:w="24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586</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02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Non-GAAP Net Income (Loss)</w:t>
            </w:r>
          </w:p>
        </w:tc>
        <w:tc>
          <w:tcPr>
            <w:tcW w:w="240" w:type="dxa"/>
            <w:vAlign w:val="bottom"/>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3,165</w:t>
            </w:r>
          </w:p>
        </w:tc>
        <w:tc>
          <w:tcPr>
            <w:tcW w:w="220" w:type="dxa"/>
            <w:vAlign w:val="bottom"/>
          </w:tcPr>
          <w:p>
            <w:pPr>
              <w:spacing w:after="0"/>
              <w:rPr>
                <w:sz w:val="13"/>
                <w:szCs w:val="13"/>
                <w:color w:val="auto"/>
              </w:rPr>
            </w:pPr>
          </w:p>
        </w:tc>
        <w:tc>
          <w:tcPr>
            <w:tcW w:w="240" w:type="dxa"/>
            <w:vAlign w:val="bottom"/>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(400 )</w:t>
            </w:r>
          </w:p>
        </w:tc>
        <w:tc>
          <w:tcPr>
            <w:tcW w:w="240" w:type="dxa"/>
            <w:vAlign w:val="bottom"/>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(2,069 )</w:t>
            </w:r>
          </w:p>
        </w:tc>
        <w:tc>
          <w:tcPr>
            <w:tcW w:w="380" w:type="dxa"/>
            <w:vAlign w:val="bottom"/>
          </w:tcPr>
          <w:p>
            <w:pPr>
              <w:jc w:val="right"/>
              <w:ind w:right="208"/>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(19,355 )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020" w:type="dxa"/>
            <w:vAlign w:val="bottom"/>
            <w:gridSpan w:val="3"/>
            <w:shd w:val="clear" w:color="auto" w:fill="CFF0FC"/>
          </w:tcPr>
          <w:p>
            <w:pPr>
              <w:ind w:left="20"/>
              <w:spacing w:after="0" w:line="133" w:lineRule="exact"/>
              <w:rPr>
                <w:sz w:val="20"/>
                <w:szCs w:val="20"/>
                <w:color w:val="auto"/>
              </w:rPr>
            </w:pPr>
            <w:r>
              <w:rPr>
                <w:rFonts w:ascii="Arial" w:cs="Arial" w:eastAsia="Arial" w:hAnsi="Arial"/>
                <w:sz w:val="14"/>
                <w:szCs w:val="14"/>
                <w:color w:val="auto"/>
              </w:rPr>
              <w:t>Weighted-average number of shares outstanding used to compute Non-GAAP Net Income</w:t>
            </w:r>
          </w:p>
        </w:tc>
        <w:tc>
          <w:tcPr>
            <w:tcW w:w="2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02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(Loss) per share, basic and diluted, of Class A and Class B common stock</w:t>
            </w: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49,606,759</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48,096,142</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49,082,722</w:t>
            </w:r>
          </w:p>
        </w:tc>
        <w:tc>
          <w:tcPr>
            <w:tcW w:w="2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47,914,039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gridSpan w:val="3"/>
          </w:tcPr>
          <w:p>
            <w:pPr>
              <w:ind w:left="20"/>
              <w:spacing w:after="0"/>
              <w:rPr>
                <w:sz w:val="20"/>
                <w:szCs w:val="20"/>
                <w:color w:val="auto"/>
              </w:rPr>
            </w:pPr>
            <w:r>
              <w:rPr>
                <w:rFonts w:ascii="Arial" w:cs="Arial" w:eastAsia="Arial" w:hAnsi="Arial"/>
                <w:sz w:val="14"/>
                <w:szCs w:val="14"/>
                <w:color w:val="auto"/>
              </w:rPr>
              <w:t>Non-GAAP weighted-average effect of potentially dilutive Class A common stock</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2,656,165</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6020" w:type="dxa"/>
            <w:vAlign w:val="bottom"/>
            <w:gridSpan w:val="3"/>
            <w:shd w:val="clear" w:color="auto" w:fill="CFF0FC"/>
          </w:tcPr>
          <w:p>
            <w:pPr>
              <w:ind w:left="20"/>
              <w:spacing w:after="0" w:line="147" w:lineRule="exact"/>
              <w:rPr>
                <w:sz w:val="20"/>
                <w:szCs w:val="20"/>
                <w:color w:val="auto"/>
              </w:rPr>
            </w:pPr>
            <w:r>
              <w:rPr>
                <w:rFonts w:ascii="Arial" w:cs="Arial" w:eastAsia="Arial" w:hAnsi="Arial"/>
                <w:sz w:val="14"/>
                <w:szCs w:val="14"/>
                <w:color w:val="auto"/>
              </w:rPr>
              <w:t>Non-GAAP weighted-average shares used to compute Non-GAAP Net Income (Loss) per</w:t>
            </w:r>
          </w:p>
        </w:tc>
        <w:tc>
          <w:tcPr>
            <w:tcW w:w="24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52,262,924</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48,096,142</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49,082,722</w:t>
            </w:r>
          </w:p>
        </w:tc>
        <w:tc>
          <w:tcPr>
            <w:tcW w:w="2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47,914,039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020" w:type="dxa"/>
            <w:vAlign w:val="bottom"/>
            <w:tcBorders>
              <w:bottom w:val="single" w:sz="8" w:color="CFF0FC"/>
            </w:tcBorders>
            <w:gridSpan w:val="3"/>
            <w:shd w:val="clear" w:color="auto" w:fill="CFF0FC"/>
          </w:tcPr>
          <w:p>
            <w:pPr>
              <w:ind w:left="20"/>
              <w:spacing w:after="0" w:line="158" w:lineRule="exact"/>
              <w:rPr>
                <w:sz w:val="20"/>
                <w:szCs w:val="20"/>
                <w:color w:val="auto"/>
              </w:rPr>
            </w:pPr>
            <w:r>
              <w:rPr>
                <w:rFonts w:ascii="Arial" w:cs="Arial" w:eastAsia="Arial" w:hAnsi="Arial"/>
                <w:sz w:val="14"/>
                <w:szCs w:val="14"/>
                <w:color w:val="auto"/>
              </w:rPr>
              <w:t>share, diluted</w:t>
            </w:r>
          </w:p>
        </w:tc>
        <w:tc>
          <w:tcPr>
            <w:tcW w:w="24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6020" w:type="dxa"/>
            <w:vAlign w:val="bottom"/>
            <w:gridSpan w:val="3"/>
          </w:tcPr>
          <w:p>
            <w:pPr>
              <w:ind w:left="20"/>
              <w:spacing w:after="0"/>
              <w:rPr>
                <w:sz w:val="20"/>
                <w:szCs w:val="20"/>
                <w:color w:val="auto"/>
              </w:rPr>
            </w:pPr>
            <w:r>
              <w:rPr>
                <w:rFonts w:ascii="Arial" w:cs="Arial" w:eastAsia="Arial" w:hAnsi="Arial"/>
                <w:sz w:val="14"/>
                <w:szCs w:val="14"/>
                <w:color w:val="auto"/>
              </w:rPr>
              <w:t>EPS, basic and diluted, of Class A and Class B common stock</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(0.20 )</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(0.22 )</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(1.03 )</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(1.41 )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20" w:type="dxa"/>
            <w:vAlign w:val="bottom"/>
            <w:gridSpan w:val="3"/>
            <w:shd w:val="clear" w:color="auto" w:fill="CFF0FC"/>
          </w:tcPr>
          <w:p>
            <w:pPr>
              <w:ind w:left="20"/>
              <w:spacing w:after="0" w:line="143" w:lineRule="exact"/>
              <w:rPr>
                <w:sz w:val="20"/>
                <w:szCs w:val="20"/>
                <w:color w:val="auto"/>
              </w:rPr>
            </w:pPr>
            <w:r>
              <w:rPr>
                <w:rFonts w:ascii="Arial" w:cs="Arial" w:eastAsia="Arial" w:hAnsi="Arial"/>
                <w:sz w:val="14"/>
                <w:szCs w:val="14"/>
                <w:color w:val="auto"/>
              </w:rPr>
              <w:t>Non-GAAP EPS basic and diluted, of Class A and Class B common stock</w:t>
            </w:r>
          </w:p>
        </w:tc>
        <w:tc>
          <w:tcPr>
            <w:tcW w:w="240" w:type="dxa"/>
            <w:vAlign w:val="bottom"/>
            <w:shd w:val="clear" w:color="auto" w:fill="CFF0FC"/>
          </w:tcPr>
          <w:p>
            <w:pPr>
              <w:jc w:val="right"/>
              <w:ind w:right="68"/>
              <w:spacing w:after="0" w:line="143" w:lineRule="exact"/>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0.06</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68"/>
              <w:spacing w:after="0" w:line="143"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160"/>
              <w:spacing w:after="0" w:line="143" w:lineRule="exact"/>
              <w:rPr>
                <w:sz w:val="20"/>
                <w:szCs w:val="20"/>
                <w:color w:val="auto"/>
              </w:rPr>
            </w:pPr>
            <w:r>
              <w:rPr>
                <w:rFonts w:ascii="Arial" w:cs="Arial" w:eastAsia="Arial" w:hAnsi="Arial"/>
                <w:sz w:val="14"/>
                <w:szCs w:val="14"/>
                <w:color w:val="auto"/>
              </w:rPr>
              <w:t>(0.01 )</w:t>
            </w:r>
          </w:p>
        </w:tc>
        <w:tc>
          <w:tcPr>
            <w:tcW w:w="240" w:type="dxa"/>
            <w:vAlign w:val="bottom"/>
            <w:shd w:val="clear" w:color="auto" w:fill="CFF0FC"/>
          </w:tcPr>
          <w:p>
            <w:pPr>
              <w:jc w:val="right"/>
              <w:ind w:right="68"/>
              <w:spacing w:after="0" w:line="143"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140"/>
              <w:spacing w:after="0" w:line="143" w:lineRule="exact"/>
              <w:rPr>
                <w:sz w:val="20"/>
                <w:szCs w:val="20"/>
                <w:color w:val="auto"/>
              </w:rPr>
            </w:pPr>
            <w:r>
              <w:rPr>
                <w:rFonts w:ascii="Arial" w:cs="Arial" w:eastAsia="Arial" w:hAnsi="Arial"/>
                <w:sz w:val="14"/>
                <w:szCs w:val="14"/>
                <w:color w:val="auto"/>
              </w:rPr>
              <w:t>(0.04 )</w:t>
            </w:r>
          </w:p>
        </w:tc>
        <w:tc>
          <w:tcPr>
            <w:tcW w:w="380" w:type="dxa"/>
            <w:vAlign w:val="bottom"/>
            <w:shd w:val="clear" w:color="auto" w:fill="CFF0FC"/>
          </w:tcPr>
          <w:p>
            <w:pPr>
              <w:jc w:val="right"/>
              <w:ind w:right="208"/>
              <w:spacing w:after="0" w:line="143"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40"/>
              <w:spacing w:after="0" w:line="143" w:lineRule="exact"/>
              <w:rPr>
                <w:sz w:val="20"/>
                <w:szCs w:val="20"/>
                <w:color w:val="auto"/>
              </w:rPr>
            </w:pPr>
            <w:r>
              <w:rPr>
                <w:rFonts w:ascii="Arial" w:cs="Arial" w:eastAsia="Arial" w:hAnsi="Arial"/>
                <w:sz w:val="14"/>
                <w:szCs w:val="14"/>
                <w:color w:val="auto"/>
              </w:rPr>
              <w:t>(0.40 )</w:t>
            </w: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2080" w:type="dxa"/>
            <w:vAlign w:val="bottom"/>
            <w:tcBorders>
              <w:top w:val="single" w:sz="8" w:color="CFF0FC"/>
            </w:tcBorders>
            <w:shd w:val="clear" w:color="auto" w:fill="CFF0FC"/>
          </w:tcPr>
          <w:p>
            <w:pPr>
              <w:spacing w:after="0" w:line="20" w:lineRule="exact"/>
              <w:rPr>
                <w:sz w:val="1"/>
                <w:szCs w:val="1"/>
                <w:color w:val="auto"/>
              </w:rPr>
            </w:pPr>
          </w:p>
        </w:tc>
        <w:tc>
          <w:tcPr>
            <w:tcW w:w="39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-1019810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-1019810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-1019810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-1019810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-368300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-368300</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-368300</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-368300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-25400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-8255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-25400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-8255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-25400</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-8255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left="380" w:right="120" w:hanging="372"/>
        <w:spacing w:after="0" w:line="251" w:lineRule="auto"/>
        <w:tabs>
          <w:tab w:leader="none" w:pos="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depreciation expense of the Company’s long-lived tangible assets and amortization expense of its finite-lived intangible assets, as included in the Company’s GAAP results of operations.</w:t>
      </w:r>
    </w:p>
    <w:p>
      <w:pPr>
        <w:spacing w:after="0" w:line="1" w:lineRule="exact"/>
        <w:rPr>
          <w:rFonts w:ascii="Arial" w:cs="Arial" w:eastAsia="Arial" w:hAnsi="Arial"/>
          <w:sz w:val="14"/>
          <w:szCs w:val="14"/>
          <w:color w:val="auto"/>
        </w:rPr>
      </w:pPr>
    </w:p>
    <w:p>
      <w:pPr>
        <w:ind w:left="380" w:hanging="372"/>
        <w:spacing w:after="0"/>
        <w:tabs>
          <w:tab w:leader="none" w:pos="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the non-cash expense related to stock-based awards granted to employees, as included in the Company’s GAAP results of operations.</w:t>
      </w:r>
    </w:p>
    <w:p>
      <w:pPr>
        <w:spacing w:after="0" w:line="1" w:lineRule="exact"/>
        <w:rPr>
          <w:rFonts w:ascii="Arial" w:cs="Arial" w:eastAsia="Arial" w:hAnsi="Arial"/>
          <w:sz w:val="14"/>
          <w:szCs w:val="14"/>
          <w:color w:val="auto"/>
        </w:rPr>
      </w:pPr>
    </w:p>
    <w:p>
      <w:pPr>
        <w:ind w:left="380" w:right="180" w:hanging="372"/>
        <w:spacing w:after="0" w:line="241" w:lineRule="auto"/>
        <w:tabs>
          <w:tab w:leader="none" w:pos="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 the second quarter of 2024, we changed the definition of Adjusted EBITDA and Non-GAAP Net Income (Loss) to exclude payroll tax expense related to stock-based compensation. For prior periods, this amount was considered de minimis and, accordingly, we have not adjusted the Adjusted EBITDA or Non-GAAP Net Income (Loss) amounts for such periods.</w:t>
      </w:r>
    </w:p>
    <w:p>
      <w:pPr>
        <w:spacing w:after="0" w:line="1" w:lineRule="exact"/>
        <w:rPr>
          <w:rFonts w:ascii="Arial" w:cs="Arial" w:eastAsia="Arial" w:hAnsi="Arial"/>
          <w:sz w:val="14"/>
          <w:szCs w:val="14"/>
          <w:color w:val="auto"/>
        </w:rPr>
      </w:pPr>
    </w:p>
    <w:p>
      <w:pPr>
        <w:ind w:left="380" w:hanging="372"/>
        <w:spacing w:after="0"/>
        <w:tabs>
          <w:tab w:leader="none" w:pos="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Amount is recorded in general and administrative and/or other expenses.</w:t>
      </w:r>
    </w:p>
    <w:p>
      <w:pPr>
        <w:spacing w:after="0" w:line="1" w:lineRule="exact"/>
        <w:rPr>
          <w:rFonts w:ascii="Arial" w:cs="Arial" w:eastAsia="Arial" w:hAnsi="Arial"/>
          <w:sz w:val="14"/>
          <w:szCs w:val="14"/>
          <w:color w:val="auto"/>
        </w:rPr>
      </w:pPr>
    </w:p>
    <w:p>
      <w:pPr>
        <w:ind w:left="380" w:hanging="372"/>
        <w:spacing w:after="0"/>
        <w:tabs>
          <w:tab w:leader="none" w:pos="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adjustments related to purchase accounting, the revaluation of contingent consideration, transaction costs and executive severance.</w:t>
      </w:r>
    </w:p>
    <w:p>
      <w:pPr>
        <w:spacing w:after="0" w:line="1" w:lineRule="exact"/>
        <w:rPr>
          <w:rFonts w:ascii="Arial" w:cs="Arial" w:eastAsia="Arial" w:hAnsi="Arial"/>
          <w:sz w:val="14"/>
          <w:szCs w:val="14"/>
          <w:color w:val="auto"/>
        </w:rPr>
      </w:pPr>
    </w:p>
    <w:p>
      <w:pPr>
        <w:ind w:left="380" w:hanging="372"/>
        <w:spacing w:after="0"/>
        <w:tabs>
          <w:tab w:leader="none" w:pos="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Costs associated with the May 2023 reduction in workforce.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Xometry, Inc. and Subsidiaries</w:t>
      </w:r>
    </w:p>
    <w:p>
      <w:pPr>
        <w:jc w:val="center"/>
        <w:spacing w:after="0" w:line="231" w:lineRule="auto"/>
        <w:rPr>
          <w:sz w:val="20"/>
          <w:szCs w:val="20"/>
          <w:color w:val="auto"/>
        </w:rPr>
      </w:pPr>
      <w:r>
        <w:rPr>
          <w:rFonts w:ascii="Arial" w:cs="Arial" w:eastAsia="Arial" w:hAnsi="Arial"/>
          <w:sz w:val="20"/>
          <w:szCs w:val="20"/>
          <w:color w:val="auto"/>
        </w:rPr>
        <w:t>Reconciliation of GAAP EPS to Non-GAAP EPS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189"/>
        </w:trPr>
        <w:tc>
          <w:tcPr>
            <w:tcW w:w="128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gridSpan w:val="5"/>
          </w:tcPr>
          <w:p>
            <w:pPr>
              <w:jc w:val="right"/>
              <w:ind w:right="600"/>
              <w:spacing w:after="0"/>
              <w:rPr>
                <w:sz w:val="20"/>
                <w:szCs w:val="20"/>
                <w:color w:val="auto"/>
              </w:rPr>
            </w:pPr>
            <w:r>
              <w:rPr>
                <w:rFonts w:ascii="Arial" w:cs="Arial" w:eastAsia="Arial" w:hAnsi="Arial"/>
                <w:sz w:val="16"/>
                <w:szCs w:val="16"/>
                <w:b w:val="1"/>
                <w:bCs w:val="1"/>
                <w:color w:val="auto"/>
              </w:rPr>
              <w:t>For the Three Months</w:t>
            </w:r>
          </w:p>
        </w:tc>
        <w:tc>
          <w:tcPr>
            <w:tcW w:w="24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For the Year</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128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0" w:type="dxa"/>
            <w:vAlign w:val="bottom"/>
            <w:gridSpan w:val="5"/>
          </w:tcPr>
          <w:p>
            <w:pPr>
              <w:jc w:val="right"/>
              <w:ind w:right="620"/>
              <w:spacing w:after="0"/>
              <w:rPr>
                <w:sz w:val="20"/>
                <w:szCs w:val="20"/>
                <w:color w:val="auto"/>
              </w:rPr>
            </w:pPr>
            <w:r>
              <w:rPr>
                <w:rFonts w:ascii="Arial" w:cs="Arial" w:eastAsia="Arial" w:hAnsi="Arial"/>
                <w:sz w:val="16"/>
                <w:szCs w:val="16"/>
                <w:b w:val="1"/>
                <w:bCs w:val="1"/>
                <w:color w:val="auto"/>
              </w:rPr>
              <w:t>Ended December 31,</w:t>
            </w:r>
          </w:p>
        </w:tc>
        <w:tc>
          <w:tcPr>
            <w:tcW w:w="240" w:type="dxa"/>
            <w:vAlign w:val="bottom"/>
          </w:tcPr>
          <w:p>
            <w:pPr>
              <w:spacing w:after="0"/>
              <w:rPr>
                <w:sz w:val="17"/>
                <w:szCs w:val="17"/>
                <w:color w:val="auto"/>
              </w:rPr>
            </w:pPr>
          </w:p>
        </w:tc>
        <w:tc>
          <w:tcPr>
            <w:tcW w:w="2360" w:type="dxa"/>
            <w:vAlign w:val="bottom"/>
            <w:gridSpan w:val="5"/>
          </w:tcPr>
          <w:p>
            <w:pPr>
              <w:jc w:val="right"/>
              <w:ind w:right="560"/>
              <w:spacing w:after="0"/>
              <w:rPr>
                <w:sz w:val="20"/>
                <w:szCs w:val="20"/>
                <w:color w:val="auto"/>
              </w:rPr>
            </w:pPr>
            <w:r>
              <w:rPr>
                <w:rFonts w:ascii="Arial" w:cs="Arial" w:eastAsia="Arial" w:hAnsi="Arial"/>
                <w:sz w:val="16"/>
                <w:szCs w:val="16"/>
                <w:b w:val="1"/>
                <w:bCs w:val="1"/>
                <w:color w:val="auto"/>
              </w:rPr>
              <w:t>Ended December 31,</w:t>
            </w:r>
          </w:p>
        </w:tc>
      </w:tr>
      <w:tr>
        <w:trPr>
          <w:trHeight w:val="183"/>
        </w:trPr>
        <w:tc>
          <w:tcPr>
            <w:tcW w:w="128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279"/>
              <w:spacing w:after="0" w:line="183" w:lineRule="exact"/>
              <w:rPr>
                <w:sz w:val="20"/>
                <w:szCs w:val="20"/>
                <w:color w:val="auto"/>
              </w:rPr>
            </w:pPr>
            <w:r>
              <w:rPr>
                <w:rFonts w:ascii="Arial" w:cs="Arial" w:eastAsia="Arial" w:hAnsi="Arial"/>
                <w:sz w:val="16"/>
                <w:szCs w:val="16"/>
                <w:b w:val="1"/>
                <w:bCs w:val="1"/>
                <w:color w:val="auto"/>
              </w:rPr>
              <w:t>2024</w:t>
            </w:r>
          </w:p>
        </w:tc>
        <w:tc>
          <w:tcPr>
            <w:tcW w:w="22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299"/>
              <w:spacing w:after="0" w:line="183" w:lineRule="exact"/>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299"/>
              <w:spacing w:after="0" w:line="183" w:lineRule="exact"/>
              <w:rPr>
                <w:sz w:val="20"/>
                <w:szCs w:val="20"/>
                <w:color w:val="auto"/>
              </w:rPr>
            </w:pPr>
            <w:r>
              <w:rPr>
                <w:rFonts w:ascii="Arial" w:cs="Arial" w:eastAsia="Arial" w:hAnsi="Arial"/>
                <w:sz w:val="16"/>
                <w:szCs w:val="16"/>
                <w:b w:val="1"/>
                <w:bCs w:val="1"/>
                <w:color w:val="auto"/>
              </w:rPr>
              <w:t>2024</w:t>
            </w:r>
          </w:p>
        </w:tc>
        <w:tc>
          <w:tcPr>
            <w:tcW w:w="22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319"/>
              <w:spacing w:after="0" w:line="183"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5"/>
                <w:szCs w:val="15"/>
                <w:color w:val="auto"/>
              </w:rPr>
            </w:pPr>
          </w:p>
        </w:tc>
      </w:tr>
      <w:tr>
        <w:trPr>
          <w:trHeight w:val="156"/>
        </w:trPr>
        <w:tc>
          <w:tcPr>
            <w:tcW w:w="6000" w:type="dxa"/>
            <w:vAlign w:val="bottom"/>
            <w:tcBorders>
              <w:left w:val="single" w:sz="8" w:color="CFF0FC"/>
            </w:tcBorders>
            <w:gridSpan w:val="2"/>
            <w:shd w:val="clear" w:color="auto" w:fill="CFF0FC"/>
          </w:tcPr>
          <w:p>
            <w:pPr>
              <w:ind w:left="20"/>
              <w:spacing w:after="0" w:line="155" w:lineRule="exact"/>
              <w:rPr>
                <w:sz w:val="20"/>
                <w:szCs w:val="20"/>
                <w:color w:val="auto"/>
              </w:rPr>
            </w:pPr>
            <w:r>
              <w:rPr>
                <w:rFonts w:ascii="Arial" w:cs="Arial" w:eastAsia="Arial" w:hAnsi="Arial"/>
                <w:sz w:val="16"/>
                <w:szCs w:val="16"/>
                <w:b w:val="1"/>
                <w:bCs w:val="1"/>
                <w:color w:val="auto"/>
              </w:rPr>
              <w:t>Non-GAAP EPS:</w:t>
            </w:r>
          </w:p>
        </w:tc>
        <w:tc>
          <w:tcPr>
            <w:tcW w:w="2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27"/>
        </w:trPr>
        <w:tc>
          <w:tcPr>
            <w:tcW w:w="1280" w:type="dxa"/>
            <w:vAlign w:val="bottom"/>
            <w:tcBorders>
              <w:left w:val="single" w:sz="8" w:color="CFF0FC"/>
            </w:tcBorders>
            <w:shd w:val="clear" w:color="auto" w:fill="000000"/>
          </w:tcPr>
          <w:p>
            <w:pPr>
              <w:spacing w:after="0"/>
              <w:rPr>
                <w:sz w:val="2"/>
                <w:szCs w:val="2"/>
                <w:color w:val="auto"/>
              </w:rPr>
            </w:pPr>
          </w:p>
        </w:tc>
        <w:tc>
          <w:tcPr>
            <w:tcW w:w="472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6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8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7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189"/>
        </w:trPr>
        <w:tc>
          <w:tcPr>
            <w:tcW w:w="6000" w:type="dxa"/>
            <w:vAlign w:val="bottom"/>
            <w:gridSpan w:val="2"/>
          </w:tcPr>
          <w:p>
            <w:pPr>
              <w:ind w:left="20"/>
              <w:spacing w:after="0"/>
              <w:rPr>
                <w:sz w:val="20"/>
                <w:szCs w:val="20"/>
                <w:color w:val="auto"/>
              </w:rPr>
            </w:pPr>
            <w:r>
              <w:rPr>
                <w:rFonts w:ascii="Arial" w:cs="Arial" w:eastAsia="Arial" w:hAnsi="Arial"/>
                <w:sz w:val="16"/>
                <w:szCs w:val="16"/>
                <w:color w:val="auto"/>
              </w:rPr>
              <w:t>GAAP EPS, diluted, of Class A and Class B common stock</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(0.20 )</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(0.22 )</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(1.03 )</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(1.41 )</w:t>
            </w:r>
          </w:p>
        </w:tc>
      </w:tr>
      <w:tr>
        <w:trPr>
          <w:trHeight w:val="189"/>
        </w:trPr>
        <w:tc>
          <w:tcPr>
            <w:tcW w:w="6000" w:type="dxa"/>
            <w:vAlign w:val="bottom"/>
            <w:tcBorders>
              <w:left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Non-GAAP effect of potentially dilutive Class A common stock</w:t>
            </w: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0.01</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6000" w:type="dxa"/>
            <w:vAlign w:val="bottom"/>
            <w:gridSpan w:val="2"/>
          </w:tcPr>
          <w:p>
            <w:pPr>
              <w:ind w:left="20"/>
              <w:spacing w:after="0"/>
              <w:rPr>
                <w:sz w:val="20"/>
                <w:szCs w:val="20"/>
                <w:color w:val="auto"/>
              </w:rPr>
            </w:pPr>
            <w:r>
              <w:rPr>
                <w:rFonts w:ascii="Arial" w:cs="Arial" w:eastAsia="Arial" w:hAnsi="Arial"/>
                <w:sz w:val="16"/>
                <w:szCs w:val="16"/>
                <w:color w:val="auto"/>
              </w:rPr>
              <w:t>Add (deduct):</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000" w:type="dxa"/>
            <w:vAlign w:val="bottom"/>
            <w:tcBorders>
              <w:left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Depreciation and amortization</w:t>
            </w: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0.07</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0.06</w:t>
            </w: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0.27</w:t>
            </w:r>
          </w:p>
        </w:tc>
        <w:tc>
          <w:tcPr>
            <w:tcW w:w="2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0.22</w:t>
            </w:r>
          </w:p>
        </w:tc>
        <w:tc>
          <w:tcPr>
            <w:tcW w:w="100" w:type="dxa"/>
            <w:vAlign w:val="bottom"/>
            <w:shd w:val="clear" w:color="auto" w:fill="CFF0FC"/>
          </w:tcPr>
          <w:p>
            <w:pPr>
              <w:spacing w:after="0"/>
              <w:rPr>
                <w:sz w:val="16"/>
                <w:szCs w:val="16"/>
                <w:color w:val="auto"/>
              </w:rPr>
            </w:pPr>
          </w:p>
        </w:tc>
      </w:tr>
      <w:tr>
        <w:trPr>
          <w:trHeight w:val="189"/>
        </w:trPr>
        <w:tc>
          <w:tcPr>
            <w:tcW w:w="6000" w:type="dxa"/>
            <w:vAlign w:val="bottom"/>
            <w:gridSpan w:val="2"/>
          </w:tcPr>
          <w:p>
            <w:pPr>
              <w:ind w:left="20"/>
              <w:spacing w:after="0"/>
              <w:rPr>
                <w:sz w:val="20"/>
                <w:szCs w:val="20"/>
                <w:color w:val="auto"/>
              </w:rPr>
            </w:pPr>
            <w:r>
              <w:rPr>
                <w:rFonts w:ascii="Arial" w:cs="Arial" w:eastAsia="Arial" w:hAnsi="Arial"/>
                <w:sz w:val="16"/>
                <w:szCs w:val="16"/>
                <w:color w:val="auto"/>
              </w:rPr>
              <w:t>Stock-based compensation</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0.16</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0.12</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0.60</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0.46</w:t>
            </w:r>
          </w:p>
        </w:tc>
        <w:tc>
          <w:tcPr>
            <w:tcW w:w="100" w:type="dxa"/>
            <w:vAlign w:val="bottom"/>
          </w:tcPr>
          <w:p>
            <w:pPr>
              <w:spacing w:after="0"/>
              <w:rPr>
                <w:sz w:val="16"/>
                <w:szCs w:val="16"/>
                <w:color w:val="auto"/>
              </w:rPr>
            </w:pPr>
          </w:p>
        </w:tc>
      </w:tr>
      <w:tr>
        <w:trPr>
          <w:trHeight w:val="189"/>
        </w:trPr>
        <w:tc>
          <w:tcPr>
            <w:tcW w:w="6000" w:type="dxa"/>
            <w:vAlign w:val="bottom"/>
            <w:tcBorders>
              <w:left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Payroll tax expense related to stock-based compensation</w:t>
            </w:r>
          </w:p>
        </w:tc>
        <w:tc>
          <w:tcPr>
            <w:tcW w:w="24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0.02</w:t>
            </w:r>
          </w:p>
        </w:tc>
        <w:tc>
          <w:tcPr>
            <w:tcW w:w="2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6000" w:type="dxa"/>
            <w:vAlign w:val="bottom"/>
            <w:gridSpan w:val="2"/>
          </w:tcPr>
          <w:p>
            <w:pPr>
              <w:ind w:left="20"/>
              <w:spacing w:after="0"/>
              <w:rPr>
                <w:sz w:val="20"/>
                <w:szCs w:val="20"/>
                <w:color w:val="auto"/>
              </w:rPr>
            </w:pPr>
            <w:r>
              <w:rPr>
                <w:rFonts w:ascii="Arial" w:cs="Arial" w:eastAsia="Arial" w:hAnsi="Arial"/>
                <w:sz w:val="16"/>
                <w:szCs w:val="16"/>
                <w:color w:val="auto"/>
              </w:rPr>
              <w:t>Amortization of lease intangible</w:t>
            </w:r>
          </w:p>
        </w:tc>
        <w:tc>
          <w:tcPr>
            <w:tcW w:w="24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0.01</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6"/>
                <w:szCs w:val="16"/>
                <w:color w:val="auto"/>
              </w:rPr>
            </w:pPr>
          </w:p>
        </w:tc>
      </w:tr>
      <w:tr>
        <w:trPr>
          <w:trHeight w:val="189"/>
        </w:trPr>
        <w:tc>
          <w:tcPr>
            <w:tcW w:w="6000" w:type="dxa"/>
            <w:vAlign w:val="bottom"/>
            <w:tcBorders>
              <w:left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Amortization of deferred costs on convertible notes</w:t>
            </w: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0.01</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0.01</w:t>
            </w: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0.04</w:t>
            </w:r>
          </w:p>
        </w:tc>
        <w:tc>
          <w:tcPr>
            <w:tcW w:w="2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0.04</w:t>
            </w:r>
          </w:p>
        </w:tc>
        <w:tc>
          <w:tcPr>
            <w:tcW w:w="100" w:type="dxa"/>
            <w:vAlign w:val="bottom"/>
            <w:shd w:val="clear" w:color="auto" w:fill="CFF0FC"/>
          </w:tcPr>
          <w:p>
            <w:pPr>
              <w:spacing w:after="0"/>
              <w:rPr>
                <w:sz w:val="16"/>
                <w:szCs w:val="16"/>
                <w:color w:val="auto"/>
              </w:rPr>
            </w:pPr>
          </w:p>
        </w:tc>
      </w:tr>
      <w:tr>
        <w:trPr>
          <w:trHeight w:val="189"/>
        </w:trPr>
        <w:tc>
          <w:tcPr>
            <w:tcW w:w="6000" w:type="dxa"/>
            <w:vAlign w:val="bottom"/>
            <w:gridSpan w:val="2"/>
          </w:tcPr>
          <w:p>
            <w:pPr>
              <w:ind w:left="20"/>
              <w:spacing w:after="0"/>
              <w:rPr>
                <w:sz w:val="20"/>
                <w:szCs w:val="20"/>
                <w:color w:val="auto"/>
              </w:rPr>
            </w:pPr>
            <w:r>
              <w:rPr>
                <w:rFonts w:ascii="Arial" w:cs="Arial" w:eastAsia="Arial" w:hAnsi="Arial"/>
                <w:sz w:val="16"/>
                <w:szCs w:val="16"/>
                <w:color w:val="auto"/>
              </w:rPr>
              <w:t>Acquisition and other</w:t>
            </w:r>
          </w:p>
        </w:tc>
        <w:tc>
          <w:tcPr>
            <w:tcW w:w="24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0.01</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0.02</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16"/>
                <w:szCs w:val="16"/>
                <w:color w:val="auto"/>
              </w:rPr>
            </w:pPr>
          </w:p>
        </w:tc>
      </w:tr>
      <w:tr>
        <w:trPr>
          <w:trHeight w:val="189"/>
        </w:trPr>
        <w:tc>
          <w:tcPr>
            <w:tcW w:w="6000" w:type="dxa"/>
            <w:vAlign w:val="bottom"/>
            <w:tcBorders>
              <w:left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Charitable contribution of common stock</w:t>
            </w: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0.01</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0.01</w:t>
            </w: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0.03</w:t>
            </w:r>
          </w:p>
        </w:tc>
        <w:tc>
          <w:tcPr>
            <w:tcW w:w="2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CFF0FC"/>
          </w:tcPr>
          <w:p>
            <w:pPr>
              <w:spacing w:after="0"/>
              <w:rPr>
                <w:sz w:val="16"/>
                <w:szCs w:val="16"/>
                <w:color w:val="auto"/>
              </w:rPr>
            </w:pPr>
          </w:p>
        </w:tc>
      </w:tr>
      <w:tr>
        <w:trPr>
          <w:trHeight w:val="189"/>
        </w:trPr>
        <w:tc>
          <w:tcPr>
            <w:tcW w:w="6000" w:type="dxa"/>
            <w:vAlign w:val="bottom"/>
            <w:gridSpan w:val="2"/>
          </w:tcPr>
          <w:p>
            <w:pPr>
              <w:ind w:left="20"/>
              <w:spacing w:after="0"/>
              <w:rPr>
                <w:sz w:val="20"/>
                <w:szCs w:val="20"/>
                <w:color w:val="auto"/>
              </w:rPr>
            </w:pPr>
            <w:r>
              <w:rPr>
                <w:rFonts w:ascii="Arial" w:cs="Arial" w:eastAsia="Arial" w:hAnsi="Arial"/>
                <w:sz w:val="16"/>
                <w:szCs w:val="16"/>
                <w:color w:val="auto"/>
              </w:rPr>
              <w:t>Lease abandonment and termination</w:t>
            </w:r>
          </w:p>
        </w:tc>
        <w:tc>
          <w:tcPr>
            <w:tcW w:w="24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0.18</w:t>
            </w:r>
          </w:p>
        </w:tc>
        <w:tc>
          <w:tcPr>
            <w:tcW w:w="100" w:type="dxa"/>
            <w:vAlign w:val="bottom"/>
          </w:tcPr>
          <w:p>
            <w:pPr>
              <w:spacing w:after="0"/>
              <w:rPr>
                <w:sz w:val="16"/>
                <w:szCs w:val="16"/>
                <w:color w:val="auto"/>
              </w:rPr>
            </w:pPr>
          </w:p>
        </w:tc>
      </w:tr>
      <w:tr>
        <w:trPr>
          <w:trHeight w:val="189"/>
        </w:trPr>
        <w:tc>
          <w:tcPr>
            <w:tcW w:w="6000" w:type="dxa"/>
            <w:vAlign w:val="bottom"/>
            <w:tcBorders>
              <w:left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Impairment of assets</w:t>
            </w:r>
          </w:p>
        </w:tc>
        <w:tc>
          <w:tcPr>
            <w:tcW w:w="24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FF0FC"/>
          </w:tcPr>
          <w:p>
            <w:pPr>
              <w:spacing w:after="0"/>
              <w:rPr>
                <w:sz w:val="16"/>
                <w:szCs w:val="16"/>
                <w:color w:val="auto"/>
              </w:rPr>
            </w:pPr>
          </w:p>
        </w:tc>
      </w:tr>
      <w:tr>
        <w:trPr>
          <w:trHeight w:val="189"/>
        </w:trPr>
        <w:tc>
          <w:tcPr>
            <w:tcW w:w="6000" w:type="dxa"/>
            <w:vAlign w:val="bottom"/>
            <w:gridSpan w:val="2"/>
          </w:tcPr>
          <w:p>
            <w:pPr>
              <w:ind w:left="20"/>
              <w:spacing w:after="0"/>
              <w:rPr>
                <w:sz w:val="20"/>
                <w:szCs w:val="20"/>
                <w:color w:val="auto"/>
              </w:rPr>
            </w:pPr>
            <w:r>
              <w:rPr>
                <w:rFonts w:ascii="Arial" w:cs="Arial" w:eastAsia="Arial" w:hAnsi="Arial"/>
                <w:sz w:val="16"/>
                <w:szCs w:val="16"/>
                <w:color w:val="auto"/>
              </w:rPr>
              <w:t>Restructuring charges</w:t>
            </w:r>
          </w:p>
        </w:tc>
        <w:tc>
          <w:tcPr>
            <w:tcW w:w="24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6"/>
                <w:szCs w:val="16"/>
                <w:color w:val="auto"/>
              </w:rPr>
            </w:pPr>
          </w:p>
        </w:tc>
      </w:tr>
      <w:tr>
        <w:trPr>
          <w:trHeight w:val="189"/>
        </w:trPr>
        <w:tc>
          <w:tcPr>
            <w:tcW w:w="6000" w:type="dxa"/>
            <w:vAlign w:val="bottom"/>
            <w:tcBorders>
              <w:left w:val="single" w:sz="8" w:color="CFF0FC"/>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Costs to exit the tools and materials business</w:t>
            </w:r>
          </w:p>
        </w:tc>
        <w:tc>
          <w:tcPr>
            <w:tcW w:w="24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600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Non-GAAP EPS, diluted, of Class A and Class B common stock</w:t>
            </w:r>
          </w:p>
        </w:tc>
        <w:tc>
          <w:tcPr>
            <w:tcW w:w="240" w:type="dxa"/>
            <w:vAlign w:val="bottom"/>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0.06</w:t>
            </w:r>
          </w:p>
        </w:tc>
        <w:tc>
          <w:tcPr>
            <w:tcW w:w="220" w:type="dxa"/>
            <w:vAlign w:val="bottom"/>
          </w:tcPr>
          <w:p>
            <w:pPr>
              <w:spacing w:after="0"/>
              <w:rPr>
                <w:sz w:val="15"/>
                <w:szCs w:val="15"/>
                <w:color w:val="auto"/>
              </w:rPr>
            </w:pPr>
          </w:p>
        </w:tc>
        <w:tc>
          <w:tcPr>
            <w:tcW w:w="240" w:type="dxa"/>
            <w:vAlign w:val="bottom"/>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40"/>
              <w:spacing w:after="0" w:line="183" w:lineRule="exact"/>
              <w:rPr>
                <w:sz w:val="20"/>
                <w:szCs w:val="20"/>
                <w:color w:val="auto"/>
              </w:rPr>
            </w:pPr>
            <w:r>
              <w:rPr>
                <w:rFonts w:ascii="Arial" w:cs="Arial" w:eastAsia="Arial" w:hAnsi="Arial"/>
                <w:sz w:val="16"/>
                <w:szCs w:val="16"/>
                <w:color w:val="auto"/>
              </w:rPr>
              <w:t>(0.01 )</w:t>
            </w:r>
          </w:p>
        </w:tc>
        <w:tc>
          <w:tcPr>
            <w:tcW w:w="240" w:type="dxa"/>
            <w:vAlign w:val="bottom"/>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(0.04 )</w:t>
            </w:r>
          </w:p>
        </w:tc>
        <w:tc>
          <w:tcPr>
            <w:tcW w:w="380" w:type="dxa"/>
            <w:vAlign w:val="bottom"/>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(0.40 )</w:t>
            </w:r>
          </w:p>
        </w:tc>
      </w:tr>
      <w:tr>
        <w:trPr>
          <w:trHeight w:val="20"/>
        </w:trPr>
        <w:tc>
          <w:tcPr>
            <w:tcW w:w="12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-153670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-153670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-153670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Xometry, Inc. and Subsidiaries</w:t>
      </w:r>
    </w:p>
    <w:p>
      <w:pPr>
        <w:jc w:val="center"/>
        <w:spacing w:after="0" w:line="231" w:lineRule="auto"/>
        <w:rPr>
          <w:sz w:val="20"/>
          <w:szCs w:val="20"/>
          <w:color w:val="auto"/>
        </w:rPr>
      </w:pPr>
      <w:r>
        <w:rPr>
          <w:rFonts w:ascii="Arial" w:cs="Arial" w:eastAsia="Arial" w:hAnsi="Arial"/>
          <w:sz w:val="20"/>
          <w:szCs w:val="20"/>
          <w:color w:val="auto"/>
        </w:rPr>
        <w:t>Segment Results</w:t>
      </w:r>
    </w:p>
    <w:p>
      <w:pPr>
        <w:jc w:val="center"/>
        <w:spacing w:after="0" w:line="226" w:lineRule="auto"/>
        <w:rPr>
          <w:sz w:val="20"/>
          <w:szCs w:val="20"/>
          <w:color w:val="auto"/>
        </w:rPr>
      </w:pPr>
      <w:r>
        <w:rPr>
          <w:rFonts w:ascii="Arial" w:cs="Arial" w:eastAsia="Arial" w:hAnsi="Arial"/>
          <w:sz w:val="20"/>
          <w:szCs w:val="20"/>
          <w:color w:val="auto"/>
        </w:rPr>
        <w:t>(In thousands)</w:t>
      </w:r>
    </w:p>
    <w:p>
      <w:pPr>
        <w:jc w:val="center"/>
        <w:spacing w:after="0"/>
        <w:rPr>
          <w:sz w:val="20"/>
          <w:szCs w:val="20"/>
          <w:color w:val="auto"/>
        </w:rPr>
      </w:pPr>
      <w:r>
        <w:rPr>
          <w:rFonts w:ascii="Arial" w:cs="Arial" w:eastAsia="Arial" w:hAnsi="Arial"/>
          <w:sz w:val="20"/>
          <w:szCs w:val="20"/>
          <w:color w:val="auto"/>
        </w:rPr>
        <w:t>(Unaudited)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For the Three Months Ended</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1"/>
        </w:trPr>
        <w:tc>
          <w:tcPr>
            <w:tcW w:w="4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18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rPr>
              <w:t>For the Year Ended December 31,</w:t>
            </w:r>
          </w:p>
        </w:tc>
      </w:tr>
      <w:tr>
        <w:trPr>
          <w:trHeight w:val="196"/>
        </w:trPr>
        <w:tc>
          <w:tcPr>
            <w:tcW w:w="44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2024</w:t>
            </w:r>
          </w:p>
        </w:tc>
        <w:tc>
          <w:tcPr>
            <w:tcW w:w="260" w:type="dxa"/>
            <w:vAlign w:val="bottom"/>
            <w:tcBorders>
              <w:top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2024</w:t>
            </w:r>
          </w:p>
        </w:tc>
        <w:tc>
          <w:tcPr>
            <w:tcW w:w="24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7"/>
                <w:szCs w:val="17"/>
                <w:color w:val="auto"/>
              </w:rPr>
            </w:pPr>
          </w:p>
        </w:tc>
      </w:tr>
      <w:tr>
        <w:trPr>
          <w:trHeight w:val="196"/>
        </w:trPr>
        <w:tc>
          <w:tcPr>
            <w:tcW w:w="44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Segment Revenue:</w:t>
            </w: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460" w:type="dxa"/>
            <w:vAlign w:val="bottom"/>
          </w:tcPr>
          <w:p>
            <w:pPr>
              <w:ind w:left="20"/>
              <w:spacing w:after="0" w:line="202" w:lineRule="exact"/>
              <w:rPr>
                <w:sz w:val="20"/>
                <w:szCs w:val="20"/>
                <w:color w:val="auto"/>
              </w:rPr>
            </w:pPr>
            <w:r>
              <w:rPr>
                <w:rFonts w:ascii="Arial" w:cs="Arial" w:eastAsia="Arial" w:hAnsi="Arial"/>
                <w:sz w:val="18"/>
                <w:szCs w:val="18"/>
                <w:color w:val="auto"/>
              </w:rPr>
              <w:t>U.S.</w:t>
            </w:r>
          </w:p>
        </w:tc>
        <w:tc>
          <w:tcPr>
            <w:tcW w:w="2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123,614</w:t>
            </w:r>
          </w:p>
        </w:tc>
        <w:tc>
          <w:tcPr>
            <w:tcW w:w="260" w:type="dxa"/>
            <w:vAlign w:val="bottom"/>
          </w:tcPr>
          <w:p>
            <w:pPr>
              <w:spacing w:after="0"/>
              <w:rPr>
                <w:sz w:val="17"/>
                <w:szCs w:val="17"/>
                <w:color w:val="auto"/>
              </w:rPr>
            </w:pPr>
          </w:p>
        </w:tc>
        <w:tc>
          <w:tcPr>
            <w:tcW w:w="500" w:type="dxa"/>
            <w:vAlign w:val="bottom"/>
          </w:tcPr>
          <w:p>
            <w:pPr>
              <w:jc w:val="right"/>
              <w:ind w:right="31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110,574</w:t>
            </w:r>
          </w:p>
        </w:tc>
        <w:tc>
          <w:tcPr>
            <w:tcW w:w="24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456,727</w:t>
            </w:r>
          </w:p>
        </w:tc>
        <w:tc>
          <w:tcPr>
            <w:tcW w:w="240" w:type="dxa"/>
            <w:vAlign w:val="bottom"/>
          </w:tcPr>
          <w:p>
            <w:pPr>
              <w:spacing w:after="0"/>
              <w:rPr>
                <w:sz w:val="17"/>
                <w:szCs w:val="17"/>
                <w:color w:val="auto"/>
              </w:rPr>
            </w:pP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403,289</w:t>
            </w:r>
          </w:p>
        </w:tc>
        <w:tc>
          <w:tcPr>
            <w:tcW w:w="100" w:type="dxa"/>
            <w:vAlign w:val="bottom"/>
          </w:tcPr>
          <w:p>
            <w:pPr>
              <w:spacing w:after="0"/>
              <w:rPr>
                <w:sz w:val="17"/>
                <w:szCs w:val="17"/>
                <w:color w:val="auto"/>
              </w:rPr>
            </w:pPr>
          </w:p>
        </w:tc>
      </w:tr>
      <w:tr>
        <w:trPr>
          <w:trHeight w:val="203"/>
        </w:trPr>
        <w:tc>
          <w:tcPr>
            <w:tcW w:w="44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24,932</w:t>
            </w:r>
          </w:p>
        </w:tc>
        <w:tc>
          <w:tcPr>
            <w:tcW w:w="26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17,571</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88,802</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60,117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460" w:type="dxa"/>
            <w:vAlign w:val="bottom"/>
          </w:tcPr>
          <w:p>
            <w:pPr>
              <w:ind w:left="140"/>
              <w:spacing w:after="0" w:line="196" w:lineRule="exact"/>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148,546</w:t>
            </w:r>
          </w:p>
        </w:tc>
        <w:tc>
          <w:tcPr>
            <w:tcW w:w="260" w:type="dxa"/>
            <w:vAlign w:val="bottom"/>
          </w:tcPr>
          <w:p>
            <w:pPr>
              <w:spacing w:after="0"/>
              <w:rPr>
                <w:sz w:val="17"/>
                <w:szCs w:val="17"/>
                <w:color w:val="auto"/>
              </w:rPr>
            </w:pPr>
          </w:p>
        </w:tc>
        <w:tc>
          <w:tcPr>
            <w:tcW w:w="5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128,145</w:t>
            </w:r>
          </w:p>
        </w:tc>
        <w:tc>
          <w:tcPr>
            <w:tcW w:w="24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545,529</w:t>
            </w:r>
          </w:p>
        </w:tc>
        <w:tc>
          <w:tcPr>
            <w:tcW w:w="24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463,406</w:t>
            </w:r>
          </w:p>
        </w:tc>
        <w:tc>
          <w:tcPr>
            <w:tcW w:w="100" w:type="dxa"/>
            <w:vAlign w:val="bottom"/>
          </w:tcPr>
          <w:p>
            <w:pPr>
              <w:spacing w:after="0"/>
              <w:rPr>
                <w:sz w:val="17"/>
                <w:szCs w:val="17"/>
                <w:color w:val="auto"/>
              </w:rPr>
            </w:pPr>
          </w:p>
        </w:tc>
      </w:tr>
      <w:tr>
        <w:trPr>
          <w:trHeight w:val="20"/>
        </w:trPr>
        <w:tc>
          <w:tcPr>
            <w:tcW w:w="4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4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Segment Cost of Revenue:</w:t>
            </w: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460" w:type="dxa"/>
            <w:vAlign w:val="bottom"/>
          </w:tcPr>
          <w:p>
            <w:pPr>
              <w:ind w:left="20"/>
              <w:spacing w:after="0" w:line="202" w:lineRule="exact"/>
              <w:rPr>
                <w:sz w:val="20"/>
                <w:szCs w:val="20"/>
                <w:color w:val="auto"/>
              </w:rPr>
            </w:pPr>
            <w:r>
              <w:rPr>
                <w:rFonts w:ascii="Arial" w:cs="Arial" w:eastAsia="Arial" w:hAnsi="Arial"/>
                <w:sz w:val="18"/>
                <w:szCs w:val="18"/>
                <w:color w:val="auto"/>
              </w:rPr>
              <w:t>U.S.</w:t>
            </w:r>
          </w:p>
        </w:tc>
        <w:tc>
          <w:tcPr>
            <w:tcW w:w="2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74,010</w:t>
            </w:r>
          </w:p>
        </w:tc>
        <w:tc>
          <w:tcPr>
            <w:tcW w:w="260" w:type="dxa"/>
            <w:vAlign w:val="bottom"/>
          </w:tcPr>
          <w:p>
            <w:pPr>
              <w:spacing w:after="0"/>
              <w:rPr>
                <w:sz w:val="17"/>
                <w:szCs w:val="17"/>
                <w:color w:val="auto"/>
              </w:rPr>
            </w:pPr>
          </w:p>
        </w:tc>
        <w:tc>
          <w:tcPr>
            <w:tcW w:w="500" w:type="dxa"/>
            <w:vAlign w:val="bottom"/>
          </w:tcPr>
          <w:p>
            <w:pPr>
              <w:jc w:val="right"/>
              <w:ind w:right="31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68,137</w:t>
            </w:r>
          </w:p>
        </w:tc>
        <w:tc>
          <w:tcPr>
            <w:tcW w:w="24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274,838</w:t>
            </w:r>
          </w:p>
        </w:tc>
        <w:tc>
          <w:tcPr>
            <w:tcW w:w="240" w:type="dxa"/>
            <w:vAlign w:val="bottom"/>
          </w:tcPr>
          <w:p>
            <w:pPr>
              <w:spacing w:after="0"/>
              <w:rPr>
                <w:sz w:val="17"/>
                <w:szCs w:val="17"/>
                <w:color w:val="auto"/>
              </w:rPr>
            </w:pP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247,519</w:t>
            </w:r>
          </w:p>
        </w:tc>
        <w:tc>
          <w:tcPr>
            <w:tcW w:w="100" w:type="dxa"/>
            <w:vAlign w:val="bottom"/>
          </w:tcPr>
          <w:p>
            <w:pPr>
              <w:spacing w:after="0"/>
              <w:rPr>
                <w:sz w:val="17"/>
                <w:szCs w:val="17"/>
                <w:color w:val="auto"/>
              </w:rPr>
            </w:pPr>
          </w:p>
        </w:tc>
      </w:tr>
      <w:tr>
        <w:trPr>
          <w:trHeight w:val="203"/>
        </w:trPr>
        <w:tc>
          <w:tcPr>
            <w:tcW w:w="44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15,516</w:t>
            </w:r>
          </w:p>
        </w:tc>
        <w:tc>
          <w:tcPr>
            <w:tcW w:w="26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10,923</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55,067</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37,628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460" w:type="dxa"/>
            <w:vAlign w:val="bottom"/>
          </w:tcPr>
          <w:p>
            <w:pPr>
              <w:ind w:left="140"/>
              <w:spacing w:after="0" w:line="196" w:lineRule="exact"/>
              <w:rPr>
                <w:sz w:val="20"/>
                <w:szCs w:val="20"/>
                <w:color w:val="auto"/>
              </w:rPr>
            </w:pPr>
            <w:r>
              <w:rPr>
                <w:rFonts w:ascii="Arial" w:cs="Arial" w:eastAsia="Arial" w:hAnsi="Arial"/>
                <w:sz w:val="18"/>
                <w:szCs w:val="18"/>
                <w:color w:val="auto"/>
              </w:rPr>
              <w:t>Total cost of revenue</w:t>
            </w:r>
          </w:p>
        </w:tc>
        <w:tc>
          <w:tcPr>
            <w:tcW w:w="2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89,526</w:t>
            </w:r>
          </w:p>
        </w:tc>
        <w:tc>
          <w:tcPr>
            <w:tcW w:w="260" w:type="dxa"/>
            <w:vAlign w:val="bottom"/>
          </w:tcPr>
          <w:p>
            <w:pPr>
              <w:spacing w:after="0"/>
              <w:rPr>
                <w:sz w:val="17"/>
                <w:szCs w:val="17"/>
                <w:color w:val="auto"/>
              </w:rPr>
            </w:pPr>
          </w:p>
        </w:tc>
        <w:tc>
          <w:tcPr>
            <w:tcW w:w="5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79,060</w:t>
            </w:r>
          </w:p>
        </w:tc>
        <w:tc>
          <w:tcPr>
            <w:tcW w:w="24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329,905</w:t>
            </w:r>
          </w:p>
        </w:tc>
        <w:tc>
          <w:tcPr>
            <w:tcW w:w="24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285,147</w:t>
            </w:r>
          </w:p>
        </w:tc>
        <w:tc>
          <w:tcPr>
            <w:tcW w:w="100" w:type="dxa"/>
            <w:vAlign w:val="bottom"/>
          </w:tcPr>
          <w:p>
            <w:pPr>
              <w:spacing w:after="0"/>
              <w:rPr>
                <w:sz w:val="17"/>
                <w:szCs w:val="17"/>
                <w:color w:val="auto"/>
              </w:rPr>
            </w:pPr>
          </w:p>
        </w:tc>
      </w:tr>
      <w:tr>
        <w:trPr>
          <w:trHeight w:val="20"/>
        </w:trPr>
        <w:tc>
          <w:tcPr>
            <w:tcW w:w="4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4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Segment Adjusted EBITDA:</w:t>
            </w: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460" w:type="dxa"/>
            <w:vAlign w:val="bottom"/>
          </w:tcPr>
          <w:p>
            <w:pPr>
              <w:ind w:left="20"/>
              <w:spacing w:after="0" w:line="202" w:lineRule="exact"/>
              <w:rPr>
                <w:sz w:val="20"/>
                <w:szCs w:val="20"/>
                <w:color w:val="auto"/>
              </w:rPr>
            </w:pPr>
            <w:r>
              <w:rPr>
                <w:rFonts w:ascii="Arial" w:cs="Arial" w:eastAsia="Arial" w:hAnsi="Arial"/>
                <w:sz w:val="18"/>
                <w:szCs w:val="18"/>
                <w:color w:val="auto"/>
              </w:rPr>
              <w:t>U.S.</w:t>
            </w:r>
          </w:p>
        </w:tc>
        <w:tc>
          <w:tcPr>
            <w:tcW w:w="2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4,018</w:t>
            </w:r>
          </w:p>
        </w:tc>
        <w:tc>
          <w:tcPr>
            <w:tcW w:w="260" w:type="dxa"/>
            <w:vAlign w:val="bottom"/>
          </w:tcPr>
          <w:p>
            <w:pPr>
              <w:spacing w:after="0"/>
              <w:rPr>
                <w:sz w:val="17"/>
                <w:szCs w:val="17"/>
                <w:color w:val="auto"/>
              </w:rPr>
            </w:pPr>
          </w:p>
        </w:tc>
        <w:tc>
          <w:tcPr>
            <w:tcW w:w="500" w:type="dxa"/>
            <w:vAlign w:val="bottom"/>
          </w:tcPr>
          <w:p>
            <w:pPr>
              <w:jc w:val="right"/>
              <w:ind w:right="31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(763 )</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167</w:t>
            </w:r>
          </w:p>
        </w:tc>
        <w:tc>
          <w:tcPr>
            <w:tcW w:w="240" w:type="dxa"/>
            <w:vAlign w:val="bottom"/>
          </w:tcPr>
          <w:p>
            <w:pPr>
              <w:spacing w:after="0"/>
              <w:rPr>
                <w:sz w:val="17"/>
                <w:szCs w:val="17"/>
                <w:color w:val="auto"/>
              </w:rPr>
            </w:pP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(15,810 )</w:t>
            </w:r>
          </w:p>
        </w:tc>
      </w:tr>
      <w:tr>
        <w:trPr>
          <w:trHeight w:val="203"/>
        </w:trPr>
        <w:tc>
          <w:tcPr>
            <w:tcW w:w="4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International</w:t>
            </w:r>
          </w:p>
        </w:tc>
        <w:tc>
          <w:tcPr>
            <w:tcW w:w="24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(2,969 )</w:t>
            </w:r>
          </w:p>
        </w:tc>
        <w:tc>
          <w:tcPr>
            <w:tcW w:w="5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(2,087 )</w:t>
            </w:r>
          </w:p>
        </w:tc>
        <w:tc>
          <w:tcPr>
            <w:tcW w:w="14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(9,843 )</w:t>
            </w:r>
          </w:p>
        </w:tc>
        <w:tc>
          <w:tcPr>
            <w:tcW w:w="3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(11,680 )</w:t>
            </w:r>
          </w:p>
        </w:tc>
      </w:tr>
      <w:tr>
        <w:trPr>
          <w:trHeight w:val="20"/>
        </w:trPr>
        <w:tc>
          <w:tcPr>
            <w:tcW w:w="44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4460" w:type="dxa"/>
            <w:vAlign w:val="bottom"/>
          </w:tcPr>
          <w:p>
            <w:pPr>
              <w:ind w:left="140"/>
              <w:spacing w:after="0" w:line="196" w:lineRule="exact"/>
              <w:rPr>
                <w:sz w:val="20"/>
                <w:szCs w:val="20"/>
                <w:color w:val="auto"/>
              </w:rPr>
            </w:pPr>
            <w:r>
              <w:rPr>
                <w:rFonts w:ascii="Arial" w:cs="Arial" w:eastAsia="Arial" w:hAnsi="Arial"/>
                <w:sz w:val="18"/>
                <w:szCs w:val="18"/>
                <w:color w:val="auto"/>
              </w:rPr>
              <w:t>Total Adjusted EBITDA</w:t>
            </w:r>
          </w:p>
        </w:tc>
        <w:tc>
          <w:tcPr>
            <w:tcW w:w="240" w:type="dxa"/>
            <w:vAlign w:val="bottom"/>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1,049</w:t>
            </w:r>
          </w:p>
        </w:tc>
        <w:tc>
          <w:tcPr>
            <w:tcW w:w="260" w:type="dxa"/>
            <w:vAlign w:val="bottom"/>
          </w:tcPr>
          <w:p>
            <w:pPr>
              <w:spacing w:after="0"/>
              <w:rPr>
                <w:sz w:val="17"/>
                <w:szCs w:val="17"/>
                <w:color w:val="auto"/>
              </w:rPr>
            </w:pPr>
          </w:p>
        </w:tc>
        <w:tc>
          <w:tcPr>
            <w:tcW w:w="500" w:type="dxa"/>
            <w:vAlign w:val="bottom"/>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(2,850 )</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(9,676 )</w:t>
            </w:r>
          </w:p>
        </w:tc>
        <w:tc>
          <w:tcPr>
            <w:tcW w:w="34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(27,490 )</w:t>
            </w:r>
          </w:p>
        </w:tc>
      </w:tr>
      <w:tr>
        <w:trPr>
          <w:trHeight w:val="20"/>
        </w:trPr>
        <w:tc>
          <w:tcPr>
            <w:tcW w:w="4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23"/>
        </w:trPr>
        <w:tc>
          <w:tcPr>
            <w:tcW w:w="4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-2485390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-2485390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-2485390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-2485390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-1807845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-1807845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-1807845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-1807845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-1130935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-1130935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-1130935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5" w:name="page16"/>
    <w:bookmarkEnd w:id="15"/>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jc w:val="center"/>
        <w:spacing w:after="0" w:line="231" w:lineRule="auto"/>
        <w:rPr>
          <w:sz w:val="20"/>
          <w:szCs w:val="20"/>
          <w:color w:val="auto"/>
        </w:rPr>
      </w:pPr>
      <w:r>
        <w:rPr>
          <w:rFonts w:ascii="Arial" w:cs="Arial" w:eastAsia="Arial" w:hAnsi="Arial"/>
          <w:sz w:val="20"/>
          <w:szCs w:val="20"/>
          <w:color w:val="auto"/>
        </w:rPr>
        <w:t>Supplemental Information</w:t>
      </w:r>
    </w:p>
    <w:p>
      <w:pPr>
        <w:jc w:val="center"/>
        <w:spacing w:after="0" w:line="226" w:lineRule="auto"/>
        <w:rPr>
          <w:sz w:val="20"/>
          <w:szCs w:val="20"/>
          <w:color w:val="auto"/>
        </w:rPr>
      </w:pPr>
      <w:r>
        <w:rPr>
          <w:rFonts w:ascii="Arial" w:cs="Arial" w:eastAsia="Arial" w:hAnsi="Arial"/>
          <w:sz w:val="20"/>
          <w:szCs w:val="20"/>
          <w:color w:val="auto"/>
        </w:rPr>
        <w:t>(In thousands)</w:t>
      </w:r>
    </w:p>
    <w:p>
      <w:pPr>
        <w:jc w:val="center"/>
        <w:spacing w:after="0"/>
        <w:rPr>
          <w:sz w:val="20"/>
          <w:szCs w:val="20"/>
          <w:color w:val="auto"/>
        </w:rPr>
      </w:pPr>
      <w:r>
        <w:rPr>
          <w:rFonts w:ascii="Arial" w:cs="Arial" w:eastAsia="Arial" w:hAnsi="Arial"/>
          <w:sz w:val="20"/>
          <w:szCs w:val="20"/>
          <w:color w:val="auto"/>
        </w:rPr>
        <w:t>(Unaudited)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tcPr>
          <w:p>
            <w:pPr>
              <w:spacing w:after="0"/>
              <w:rPr>
                <w:sz w:val="17"/>
                <w:szCs w:val="17"/>
                <w:color w:val="auto"/>
              </w:rPr>
            </w:pPr>
          </w:p>
        </w:tc>
        <w:tc>
          <w:tcPr>
            <w:tcW w:w="244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the Three Months</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w w:val="98"/>
              </w:rPr>
              <w:t>For the Year</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100" w:type="dxa"/>
            <w:vAlign w:val="bottom"/>
          </w:tcPr>
          <w:p>
            <w:pPr>
              <w:spacing w:after="0"/>
              <w:rPr>
                <w:sz w:val="19"/>
                <w:szCs w:val="19"/>
                <w:color w:val="auto"/>
              </w:rPr>
            </w:pPr>
          </w:p>
        </w:tc>
        <w:tc>
          <w:tcPr>
            <w:tcW w:w="244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Ended December 31,</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2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9"/>
              </w:rPr>
              <w:t>Ended December 31,</w:t>
            </w:r>
          </w:p>
        </w:tc>
        <w:tc>
          <w:tcPr>
            <w:tcW w:w="0" w:type="dxa"/>
            <w:vAlign w:val="bottom"/>
          </w:tcPr>
          <w:p>
            <w:pPr>
              <w:spacing w:after="0"/>
              <w:rPr>
                <w:sz w:val="1"/>
                <w:szCs w:val="1"/>
                <w:color w:val="auto"/>
              </w:rPr>
            </w:pPr>
          </w:p>
        </w:tc>
      </w:tr>
      <w:tr>
        <w:trPr>
          <w:trHeight w:val="196"/>
        </w:trPr>
        <w:tc>
          <w:tcPr>
            <w:tcW w:w="5100" w:type="dxa"/>
            <w:vAlign w:val="bottom"/>
          </w:tcPr>
          <w:p>
            <w:pPr>
              <w:spacing w:after="0"/>
              <w:rPr>
                <w:sz w:val="17"/>
                <w:szCs w:val="17"/>
                <w:color w:val="auto"/>
              </w:rPr>
            </w:pPr>
          </w:p>
        </w:tc>
        <w:tc>
          <w:tcPr>
            <w:tcW w:w="8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2024</w:t>
            </w:r>
          </w:p>
        </w:tc>
        <w:tc>
          <w:tcPr>
            <w:tcW w:w="4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2023</w:t>
            </w:r>
          </w:p>
        </w:tc>
        <w:tc>
          <w:tcPr>
            <w:tcW w:w="4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2024</w:t>
            </w:r>
          </w:p>
        </w:tc>
        <w:tc>
          <w:tcPr>
            <w:tcW w:w="2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w w:val="99"/>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5100" w:type="dxa"/>
            <w:vAlign w:val="bottom"/>
            <w:shd w:val="clear" w:color="auto" w:fill="CFF0FC"/>
          </w:tcPr>
          <w:p>
            <w:pPr>
              <w:ind w:left="20"/>
              <w:spacing w:after="0" w:line="177" w:lineRule="exact"/>
              <w:rPr>
                <w:sz w:val="20"/>
                <w:szCs w:val="20"/>
                <w:color w:val="auto"/>
              </w:rPr>
            </w:pPr>
            <w:r>
              <w:rPr>
                <w:rFonts w:ascii="Arial" w:cs="Arial" w:eastAsia="Arial" w:hAnsi="Arial"/>
                <w:sz w:val="18"/>
                <w:szCs w:val="18"/>
                <w:b w:val="1"/>
                <w:bCs w:val="1"/>
                <w:color w:val="auto"/>
              </w:rPr>
              <w:t>Summary of Stock-based Compensation Expense and</w:t>
            </w:r>
          </w:p>
        </w:tc>
        <w:tc>
          <w:tcPr>
            <w:tcW w:w="860" w:type="dxa"/>
            <w:vAlign w:val="bottom"/>
            <w:tcBorders>
              <w:top w:val="single" w:sz="8" w:color="auto"/>
            </w:tcBorders>
            <w:shd w:val="clear" w:color="auto" w:fill="CFF0FC"/>
          </w:tcPr>
          <w:p>
            <w:pPr>
              <w:spacing w:after="0"/>
              <w:rPr>
                <w:sz w:val="15"/>
                <w:szCs w:val="15"/>
                <w:color w:val="auto"/>
              </w:rPr>
            </w:pPr>
          </w:p>
        </w:tc>
        <w:tc>
          <w:tcPr>
            <w:tcW w:w="48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46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4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Payroll Taxes Related to Stock-based Compensation</w:t>
            </w:r>
          </w:p>
        </w:tc>
        <w:tc>
          <w:tcPr>
            <w:tcW w:w="8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Expense</w:t>
            </w: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100" w:type="dxa"/>
            <w:vAlign w:val="bottom"/>
          </w:tcPr>
          <w:p>
            <w:pPr>
              <w:ind w:left="20"/>
              <w:spacing w:after="0" w:line="202" w:lineRule="exact"/>
              <w:rPr>
                <w:sz w:val="20"/>
                <w:szCs w:val="20"/>
                <w:color w:val="auto"/>
              </w:rPr>
            </w:pPr>
            <w:r>
              <w:rPr>
                <w:rFonts w:ascii="Arial" w:cs="Arial" w:eastAsia="Arial" w:hAnsi="Arial"/>
                <w:sz w:val="18"/>
                <w:szCs w:val="18"/>
                <w:color w:val="auto"/>
              </w:rPr>
              <w:t>Sales and marketing</w:t>
            </w:r>
          </w:p>
        </w:tc>
        <w:tc>
          <w:tcPr>
            <w:tcW w:w="860" w:type="dxa"/>
            <w:vAlign w:val="bottom"/>
          </w:tcPr>
          <w:p>
            <w:pPr>
              <w:jc w:val="right"/>
              <w:ind w:right="650"/>
              <w:spacing w:after="0" w:line="202" w:lineRule="exact"/>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w w:val="97"/>
              </w:rPr>
              <w:t>2,233</w:t>
            </w:r>
          </w:p>
        </w:tc>
        <w:tc>
          <w:tcPr>
            <w:tcW w:w="1100" w:type="dxa"/>
            <w:vAlign w:val="bottom"/>
            <w:gridSpan w:val="2"/>
          </w:tcPr>
          <w:p>
            <w:pPr>
              <w:jc w:val="right"/>
              <w:ind w:right="67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3"/>
              </w:rPr>
              <w:t>1,456</w:t>
            </w:r>
          </w:p>
        </w:tc>
        <w:tc>
          <w:tcPr>
            <w:tcW w:w="220" w:type="dxa"/>
            <w:vAlign w:val="bottom"/>
          </w:tcPr>
          <w:p>
            <w:pPr>
              <w:spacing w:after="0"/>
              <w:rPr>
                <w:sz w:val="17"/>
                <w:szCs w:val="17"/>
                <w:color w:val="auto"/>
              </w:rPr>
            </w:pPr>
          </w:p>
        </w:tc>
        <w:tc>
          <w:tcPr>
            <w:tcW w:w="30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8,233</w:t>
            </w:r>
          </w:p>
        </w:tc>
        <w:tc>
          <w:tcPr>
            <w:tcW w:w="68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4,909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Operations and support</w:t>
            </w:r>
          </w:p>
        </w:tc>
        <w:tc>
          <w:tcPr>
            <w:tcW w:w="86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7"/>
              </w:rPr>
              <w:t>2,739</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3"/>
              </w:rPr>
              <w:t>2,029</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9,582</w:t>
            </w: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7,719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tcPr>
          <w:p>
            <w:pPr>
              <w:ind w:left="20"/>
              <w:spacing w:after="0" w:line="202" w:lineRule="exact"/>
              <w:rPr>
                <w:sz w:val="20"/>
                <w:szCs w:val="20"/>
                <w:color w:val="auto"/>
              </w:rPr>
            </w:pPr>
            <w:r>
              <w:rPr>
                <w:rFonts w:ascii="Arial" w:cs="Arial" w:eastAsia="Arial" w:hAnsi="Arial"/>
                <w:sz w:val="18"/>
                <w:szCs w:val="18"/>
                <w:color w:val="auto"/>
              </w:rPr>
              <w:t>Product development</w:t>
            </w:r>
          </w:p>
        </w:tc>
        <w:tc>
          <w:tcPr>
            <w:tcW w:w="8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w w:val="97"/>
              </w:rPr>
              <w:t>1,834</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3"/>
              </w:rPr>
              <w:t>1,455</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6,881</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5,345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86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97"/>
              </w:rPr>
              <w:t>1,490</w:t>
            </w:r>
          </w:p>
        </w:tc>
        <w:tc>
          <w:tcPr>
            <w:tcW w:w="22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956</w:t>
            </w:r>
          </w:p>
        </w:tc>
        <w:tc>
          <w:tcPr>
            <w:tcW w:w="2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5,591</w:t>
            </w:r>
          </w:p>
        </w:tc>
        <w:tc>
          <w:tcPr>
            <w:tcW w:w="24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4,145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5100" w:type="dxa"/>
            <w:vAlign w:val="bottom"/>
          </w:tcPr>
          <w:p>
            <w:pPr>
              <w:ind w:left="20"/>
              <w:spacing w:after="0" w:line="177" w:lineRule="exact"/>
              <w:rPr>
                <w:sz w:val="20"/>
                <w:szCs w:val="20"/>
                <w:color w:val="auto"/>
              </w:rPr>
            </w:pPr>
            <w:r>
              <w:rPr>
                <w:rFonts w:ascii="Arial" w:cs="Arial" w:eastAsia="Arial" w:hAnsi="Arial"/>
                <w:sz w:val="18"/>
                <w:szCs w:val="18"/>
                <w:color w:val="auto"/>
              </w:rPr>
              <w:t>Total stock-based compensation expense and payroll taxes</w:t>
            </w:r>
          </w:p>
        </w:tc>
        <w:tc>
          <w:tcPr>
            <w:tcW w:w="860" w:type="dxa"/>
            <w:vAlign w:val="bottom"/>
            <w:vMerge w:val="restart"/>
          </w:tcPr>
          <w:p>
            <w:pPr>
              <w:jc w:val="right"/>
              <w:ind w:right="650"/>
              <w:spacing w:after="0"/>
              <w:rPr>
                <w:sz w:val="20"/>
                <w:szCs w:val="20"/>
                <w:color w:val="auto"/>
              </w:rPr>
            </w:pPr>
            <w:r>
              <w:rPr>
                <w:rFonts w:ascii="Arial" w:cs="Arial" w:eastAsia="Arial" w:hAnsi="Arial"/>
                <w:sz w:val="18"/>
                <w:szCs w:val="18"/>
                <w:color w:val="auto"/>
                <w:w w:val="99"/>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w w:val="97"/>
              </w:rPr>
              <w:t>8,296</w:t>
            </w:r>
          </w:p>
        </w:tc>
        <w:tc>
          <w:tcPr>
            <w:tcW w:w="1100" w:type="dxa"/>
            <w:vAlign w:val="bottom"/>
            <w:gridSpan w:val="2"/>
            <w:vMerge w:val="restart"/>
          </w:tcPr>
          <w:p>
            <w:pPr>
              <w:jc w:val="right"/>
              <w:ind w:right="670"/>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w w:val="93"/>
              </w:rPr>
              <w:t>5,896</w:t>
            </w:r>
          </w:p>
        </w:tc>
        <w:tc>
          <w:tcPr>
            <w:tcW w:w="220" w:type="dxa"/>
            <w:vAlign w:val="bottom"/>
          </w:tcPr>
          <w:p>
            <w:pPr>
              <w:spacing w:after="0"/>
              <w:rPr>
                <w:sz w:val="15"/>
                <w:szCs w:val="15"/>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30,287</w:t>
            </w:r>
          </w:p>
        </w:tc>
        <w:tc>
          <w:tcPr>
            <w:tcW w:w="680" w:type="dxa"/>
            <w:vAlign w:val="bottom"/>
            <w:gridSpan w:val="2"/>
            <w:vMerge w:val="restart"/>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22,118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100" w:type="dxa"/>
            <w:vAlign w:val="bottom"/>
          </w:tcPr>
          <w:p>
            <w:pPr>
              <w:ind w:left="20"/>
              <w:spacing w:after="0" w:line="161" w:lineRule="exact"/>
              <w:rPr>
                <w:sz w:val="20"/>
                <w:szCs w:val="20"/>
                <w:color w:val="auto"/>
              </w:rPr>
            </w:pPr>
            <w:r>
              <w:rPr>
                <w:rFonts w:ascii="Arial" w:cs="Arial" w:eastAsia="Arial" w:hAnsi="Arial"/>
                <w:sz w:val="18"/>
                <w:szCs w:val="18"/>
                <w:color w:val="auto"/>
              </w:rPr>
              <w:t>related to stock-based compensation</w:t>
            </w:r>
          </w:p>
        </w:tc>
        <w:tc>
          <w:tcPr>
            <w:tcW w:w="86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Summary of Depreciation and Amortization Expense</w:t>
            </w:r>
          </w:p>
        </w:tc>
        <w:tc>
          <w:tcPr>
            <w:tcW w:w="8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tcPr>
          <w:p>
            <w:pPr>
              <w:ind w:left="20"/>
              <w:spacing w:after="0" w:line="202" w:lineRule="exact"/>
              <w:rPr>
                <w:sz w:val="20"/>
                <w:szCs w:val="20"/>
                <w:color w:val="auto"/>
              </w:rPr>
            </w:pPr>
            <w:r>
              <w:rPr>
                <w:rFonts w:ascii="Arial" w:cs="Arial" w:eastAsia="Arial" w:hAnsi="Arial"/>
                <w:sz w:val="18"/>
                <w:szCs w:val="18"/>
                <w:color w:val="auto"/>
              </w:rPr>
              <w:t>Cost of revenue</w:t>
            </w:r>
          </w:p>
        </w:tc>
        <w:tc>
          <w:tcPr>
            <w:tcW w:w="860" w:type="dxa"/>
            <w:vAlign w:val="bottom"/>
          </w:tcPr>
          <w:p>
            <w:pPr>
              <w:jc w:val="right"/>
              <w:ind w:right="650"/>
              <w:spacing w:after="0" w:line="202" w:lineRule="exact"/>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182</w:t>
            </w:r>
          </w:p>
        </w:tc>
        <w:tc>
          <w:tcPr>
            <w:tcW w:w="1100" w:type="dxa"/>
            <w:vAlign w:val="bottom"/>
            <w:gridSpan w:val="2"/>
          </w:tcPr>
          <w:p>
            <w:pPr>
              <w:jc w:val="right"/>
              <w:ind w:right="67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52</w:t>
            </w:r>
          </w:p>
        </w:tc>
        <w:tc>
          <w:tcPr>
            <w:tcW w:w="220" w:type="dxa"/>
            <w:vAlign w:val="bottom"/>
          </w:tcPr>
          <w:p>
            <w:pPr>
              <w:spacing w:after="0"/>
              <w:rPr>
                <w:sz w:val="17"/>
                <w:szCs w:val="17"/>
                <w:color w:val="auto"/>
              </w:rPr>
            </w:pPr>
          </w:p>
        </w:tc>
        <w:tc>
          <w:tcPr>
            <w:tcW w:w="30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731</w:t>
            </w:r>
          </w:p>
        </w:tc>
        <w:tc>
          <w:tcPr>
            <w:tcW w:w="68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Sales and marketing</w:t>
            </w:r>
          </w:p>
        </w:tc>
        <w:tc>
          <w:tcPr>
            <w:tcW w:w="86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798</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782</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3,185</w:t>
            </w: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3,162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tcPr>
          <w:p>
            <w:pPr>
              <w:ind w:left="20"/>
              <w:spacing w:after="0" w:line="202" w:lineRule="exact"/>
              <w:rPr>
                <w:sz w:val="20"/>
                <w:szCs w:val="20"/>
                <w:color w:val="auto"/>
              </w:rPr>
            </w:pPr>
            <w:r>
              <w:rPr>
                <w:rFonts w:ascii="Arial" w:cs="Arial" w:eastAsia="Arial" w:hAnsi="Arial"/>
                <w:sz w:val="18"/>
                <w:szCs w:val="18"/>
                <w:color w:val="auto"/>
              </w:rPr>
              <w:t>Operations and support</w:t>
            </w:r>
          </w:p>
        </w:tc>
        <w:tc>
          <w:tcPr>
            <w:tcW w:w="8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32</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139</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Product development</w:t>
            </w:r>
          </w:p>
        </w:tc>
        <w:tc>
          <w:tcPr>
            <w:tcW w:w="86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7"/>
              </w:rPr>
              <w:t>2,166</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3"/>
              </w:rPr>
              <w:t>1,976</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8,078</w:t>
            </w: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5,974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8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210</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(43 )</w:t>
            </w: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879</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1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 depreciation and amortization expense</w:t>
            </w:r>
          </w:p>
        </w:tc>
        <w:tc>
          <w:tcPr>
            <w:tcW w:w="860" w:type="dxa"/>
            <w:vAlign w:val="bottom"/>
            <w:tcBorders>
              <w:top w:val="single" w:sz="8" w:color="auto"/>
              <w:bottom w:val="single" w:sz="8" w:color="auto"/>
            </w:tcBorders>
            <w:shd w:val="clear" w:color="auto" w:fill="CFF0FC"/>
          </w:tcPr>
          <w:p>
            <w:pPr>
              <w:jc w:val="right"/>
              <w:ind w:right="650"/>
              <w:spacing w:after="0" w:line="182" w:lineRule="exact"/>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7"/>
              </w:rPr>
              <w:t>3,390</w:t>
            </w:r>
          </w:p>
        </w:tc>
        <w:tc>
          <w:tcPr>
            <w:tcW w:w="22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ind w:right="670"/>
              <w:spacing w:after="0" w:line="182" w:lineRule="exact"/>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3"/>
              </w:rPr>
              <w:t>2,799</w:t>
            </w:r>
          </w:p>
        </w:tc>
        <w:tc>
          <w:tcPr>
            <w:tcW w:w="2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13,012</w:t>
            </w:r>
          </w:p>
        </w:tc>
        <w:tc>
          <w:tcPr>
            <w:tcW w:w="24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jc w:val="right"/>
              <w:ind w:right="25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10,738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5100" w:type="dxa"/>
            <w:vAlign w:val="bottom"/>
          </w:tcPr>
          <w:p>
            <w:pPr>
              <w:ind w:left="20"/>
              <w:spacing w:after="0"/>
              <w:rPr>
                <w:sz w:val="20"/>
                <w:szCs w:val="20"/>
                <w:color w:val="auto"/>
              </w:rPr>
            </w:pPr>
            <w:r>
              <w:rPr>
                <w:rFonts w:ascii="Arial" w:cs="Arial" w:eastAsia="Arial" w:hAnsi="Arial"/>
                <w:sz w:val="18"/>
                <w:szCs w:val="18"/>
                <w:b w:val="1"/>
                <w:bCs w:val="1"/>
                <w:color w:val="auto"/>
              </w:rPr>
              <w:t>Summary of Restructuring Charges</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860" w:type="dxa"/>
            <w:vAlign w:val="bottom"/>
            <w:shd w:val="clear" w:color="auto" w:fill="CFF0FC"/>
          </w:tcPr>
          <w:p>
            <w:pPr>
              <w:jc w:val="right"/>
              <w:ind w:right="65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67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20"/>
              <w:spacing w:after="0"/>
              <w:rPr>
                <w:sz w:val="20"/>
                <w:szCs w:val="20"/>
                <w:color w:val="auto"/>
              </w:rPr>
            </w:pPr>
            <w:r>
              <w:rPr>
                <w:rFonts w:ascii="Arial" w:cs="Arial" w:eastAsia="Arial" w:hAnsi="Arial"/>
                <w:sz w:val="18"/>
                <w:szCs w:val="18"/>
                <w:color w:val="auto"/>
              </w:rPr>
              <w:t>Operations and support</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development</w:t>
            </w:r>
          </w:p>
        </w:tc>
        <w:tc>
          <w:tcPr>
            <w:tcW w:w="86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00" w:type="dxa"/>
            <w:vAlign w:val="bottom"/>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8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100" w:type="dxa"/>
            <w:vAlign w:val="bottom"/>
            <w:shd w:val="clear" w:color="auto" w:fill="CFF0FC"/>
          </w:tcPr>
          <w:p>
            <w:pPr>
              <w:ind w:left="20"/>
              <w:spacing w:after="0" w:line="182" w:lineRule="exact"/>
              <w:rPr>
                <w:sz w:val="20"/>
                <w:szCs w:val="20"/>
                <w:color w:val="auto"/>
              </w:rPr>
            </w:pPr>
            <w:r>
              <w:rPr>
                <w:rFonts w:ascii="Arial" w:cs="Arial" w:eastAsia="Arial" w:hAnsi="Arial"/>
                <w:sz w:val="18"/>
                <w:szCs w:val="18"/>
                <w:color w:val="auto"/>
              </w:rPr>
              <w:t>Total restructuring charge</w:t>
            </w:r>
          </w:p>
        </w:tc>
        <w:tc>
          <w:tcPr>
            <w:tcW w:w="860" w:type="dxa"/>
            <w:vAlign w:val="bottom"/>
            <w:shd w:val="clear" w:color="auto" w:fill="CFF0FC"/>
          </w:tcPr>
          <w:p>
            <w:pPr>
              <w:jc w:val="right"/>
              <w:ind w:right="650"/>
              <w:spacing w:after="0" w:line="182" w:lineRule="exact"/>
              <w:rPr>
                <w:sz w:val="20"/>
                <w:szCs w:val="20"/>
                <w:color w:val="auto"/>
              </w:rPr>
            </w:pPr>
            <w:r>
              <w:rPr>
                <w:rFonts w:ascii="Arial" w:cs="Arial" w:eastAsia="Arial" w:hAnsi="Arial"/>
                <w:sz w:val="18"/>
                <w:szCs w:val="18"/>
                <w:color w:val="auto"/>
                <w:w w:val="99"/>
              </w:rPr>
              <w:t>$</w:t>
            </w:r>
          </w:p>
        </w:tc>
        <w:tc>
          <w:tcPr>
            <w:tcW w:w="4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670"/>
              <w:spacing w:after="0" w:line="182" w:lineRule="exact"/>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ind w:right="250"/>
              <w:spacing w:after="0" w:line="18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738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629"/>
        </w:trPr>
        <w:tc>
          <w:tcPr>
            <w:tcW w:w="5100" w:type="dxa"/>
            <w:vAlign w:val="bottom"/>
            <w:tcBorders>
              <w:top w:val="single" w:sz="8" w:color="CFF0FC"/>
            </w:tcBorders>
          </w:tcPr>
          <w:p>
            <w:pPr>
              <w:spacing w:after="0"/>
              <w:rPr>
                <w:sz w:val="24"/>
                <w:szCs w:val="24"/>
                <w:color w:val="auto"/>
              </w:rPr>
            </w:pPr>
          </w:p>
        </w:tc>
        <w:tc>
          <w:tcPr>
            <w:tcW w:w="8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13</w:t>
            </w:r>
          </w:p>
        </w:tc>
        <w:tc>
          <w:tcPr>
            <w:tcW w:w="4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-3213735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-3213735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-3213735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-3213735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-1910715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-1893570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-1910715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-1893570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-1910715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-1893570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-1910715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-1893570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-933450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-916305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-933450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-916305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-933450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-916305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6" w:name="page17"/>
    <w:bookmarkEnd w:id="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2"/>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2025-02-25T06:24:22Z</dcterms:created>
  <dcterms:modified xsi:type="dcterms:W3CDTF">2025-02-25T06:24:22Z</dcterms:modified>
</cp:coreProperties>
</file>